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Default ContentType="application/vnd.openxmlformats-officedocument.oleObject" Extension="bin"/>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Default ContentType="image/png" Extension="png"/>
  <Default ContentType="image/x-wmf" Extension="wm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Pr>
          <w:rFonts w:eastAsia="黑体"/>
          <w:color w:val="000000"/>
        </w:rPr>
      </w:pPr>
      <w:bookmarkStart w:id="15" w:name="_GoBack"/>
      <w:bookmarkEnd w:id="15"/>
    </w:p>
    <w:p>
      <w:pPr>
        <w:rPr>
          <w:rFonts w:eastAsia="黑体"/>
          <w:color w:val="000000"/>
        </w:rPr>
      </w:pPr>
    </w:p>
    <w:p>
      <w:pPr>
        <w:rPr>
          <w:rFonts w:eastAsia="黑体"/>
          <w:color w:val="000000"/>
          <w:sz w:val="28"/>
          <w:szCs w:val="28"/>
        </w:rPr>
      </w:pPr>
    </w:p>
    <w:p>
      <w:pPr>
        <w:rPr>
          <w:b/>
          <w:bCs/>
          <w:color w:val="000000"/>
          <w:sz w:val="36"/>
          <w:szCs w:val="36"/>
        </w:rPr>
      </w:pPr>
    </w:p>
    <w:p>
      <w:pPr>
        <w:rPr>
          <w:b/>
          <w:bCs/>
          <w:color w:val="000000"/>
          <w:sz w:val="36"/>
          <w:szCs w:val="36"/>
        </w:rPr>
      </w:pPr>
    </w:p>
    <w:p>
      <w:pPr>
        <w:rPr>
          <w:b/>
          <w:bCs/>
          <w:color w:val="000000"/>
          <w:sz w:val="36"/>
          <w:szCs w:val="36"/>
        </w:rPr>
      </w:pPr>
    </w:p>
    <w:p>
      <w:pPr>
        <w:rPr>
          <w:b/>
          <w:bCs/>
          <w:color w:val="000000"/>
          <w:sz w:val="36"/>
          <w:szCs w:val="36"/>
        </w:rPr>
      </w:pPr>
    </w:p>
    <w:p>
      <w:pPr>
        <w:rPr>
          <w:b/>
          <w:bCs/>
          <w:color w:val="000000"/>
          <w:sz w:val="36"/>
          <w:szCs w:val="36"/>
        </w:rPr>
      </w:pPr>
    </w:p>
    <w:p>
      <w:pPr>
        <w:spacing w:line="360" w:lineRule="auto"/>
        <w:jc w:val="center"/>
        <w:rPr>
          <w:rFonts w:eastAsia="黑体"/>
          <w:b/>
          <w:bCs/>
          <w:color w:val="000000"/>
          <w:sz w:val="44"/>
          <w:szCs w:val="44"/>
        </w:rPr>
      </w:pPr>
      <w:r>
        <w:rPr>
          <w:rFonts w:hint="eastAsia" w:eastAsia="黑体"/>
          <w:b/>
          <w:bCs/>
          <w:color w:val="000000"/>
          <w:sz w:val="44"/>
          <w:szCs w:val="44"/>
        </w:rPr>
        <w:t>柳河县康华牧业有限责任公司锅炉改造项目</w:t>
      </w:r>
    </w:p>
    <w:p>
      <w:pPr>
        <w:spacing w:line="360" w:lineRule="auto"/>
        <w:jc w:val="center"/>
        <w:rPr>
          <w:rFonts w:eastAsia="黑体"/>
          <w:b/>
          <w:bCs/>
          <w:color w:val="000000"/>
          <w:sz w:val="44"/>
          <w:szCs w:val="44"/>
        </w:rPr>
      </w:pPr>
      <w:r>
        <w:rPr>
          <w:rFonts w:hint="eastAsia" w:eastAsia="黑体"/>
          <w:b/>
          <w:bCs/>
          <w:color w:val="000000"/>
          <w:sz w:val="44"/>
          <w:szCs w:val="44"/>
        </w:rPr>
        <w:t>生态</w:t>
      </w:r>
      <w:r>
        <w:rPr>
          <w:rFonts w:eastAsia="黑体"/>
          <w:b/>
          <w:bCs/>
          <w:color w:val="000000"/>
          <w:sz w:val="44"/>
          <w:szCs w:val="44"/>
        </w:rPr>
        <w:t>环境影响报告表</w:t>
      </w:r>
    </w:p>
    <w:p>
      <w:pPr>
        <w:rPr>
          <w:rFonts w:eastAsia="黑体"/>
          <w:b/>
          <w:bCs/>
          <w:color w:val="000000"/>
          <w:sz w:val="36"/>
        </w:rPr>
      </w:pPr>
    </w:p>
    <w:p>
      <w:pPr>
        <w:rPr>
          <w:rFonts w:eastAsia="黑体"/>
          <w:b/>
          <w:bCs/>
          <w:color w:val="000000"/>
          <w:sz w:val="36"/>
        </w:rPr>
      </w:pPr>
    </w:p>
    <w:p>
      <w:pPr>
        <w:rPr>
          <w:rFonts w:eastAsia="黑体"/>
          <w:b/>
          <w:bCs/>
          <w:color w:val="000000"/>
          <w:sz w:val="36"/>
        </w:rPr>
      </w:pPr>
    </w:p>
    <w:p>
      <w:pPr>
        <w:rPr>
          <w:rFonts w:eastAsia="黑体"/>
          <w:b/>
          <w:bCs/>
          <w:color w:val="000000"/>
          <w:sz w:val="36"/>
        </w:rPr>
      </w:pPr>
    </w:p>
    <w:p>
      <w:pPr>
        <w:rPr>
          <w:rFonts w:eastAsia="黑体"/>
          <w:b/>
          <w:bCs/>
          <w:color w:val="000000"/>
          <w:sz w:val="36"/>
        </w:rPr>
      </w:pPr>
    </w:p>
    <w:p>
      <w:pPr>
        <w:rPr>
          <w:rFonts w:eastAsia="黑体"/>
          <w:b/>
          <w:bCs/>
          <w:color w:val="000000"/>
          <w:sz w:val="36"/>
        </w:rPr>
      </w:pPr>
    </w:p>
    <w:p>
      <w:pPr>
        <w:rPr>
          <w:rFonts w:eastAsia="黑体"/>
          <w:b/>
          <w:bCs/>
          <w:color w:val="000000"/>
          <w:sz w:val="36"/>
        </w:rPr>
      </w:pPr>
    </w:p>
    <w:p>
      <w:pPr>
        <w:rPr>
          <w:rFonts w:eastAsia="黑体"/>
          <w:b/>
          <w:bCs/>
          <w:color w:val="000000"/>
          <w:sz w:val="36"/>
        </w:rPr>
      </w:pPr>
    </w:p>
    <w:p>
      <w:pPr>
        <w:rPr>
          <w:rFonts w:eastAsia="黑体"/>
          <w:b/>
          <w:bCs/>
          <w:color w:val="000000"/>
          <w:sz w:val="36"/>
        </w:rPr>
      </w:pPr>
    </w:p>
    <w:p>
      <w:pPr>
        <w:rPr>
          <w:rFonts w:eastAsia="黑体"/>
          <w:b/>
          <w:bCs/>
          <w:color w:val="000000"/>
          <w:sz w:val="36"/>
        </w:rPr>
      </w:pPr>
    </w:p>
    <w:p>
      <w:pPr>
        <w:pStyle w:val="39"/>
        <w:rPr>
          <w:rFonts w:eastAsia="黑体"/>
          <w:b/>
          <w:bCs/>
          <w:color w:val="000000"/>
          <w:sz w:val="36"/>
        </w:rPr>
      </w:pPr>
    </w:p>
    <w:p>
      <w:pPr>
        <w:pStyle w:val="39"/>
        <w:rPr>
          <w:rFonts w:eastAsia="黑体"/>
          <w:b/>
          <w:bCs/>
          <w:color w:val="000000"/>
          <w:sz w:val="36"/>
        </w:rPr>
      </w:pPr>
    </w:p>
    <w:p>
      <w:pPr>
        <w:spacing w:line="360" w:lineRule="auto"/>
        <w:jc w:val="center"/>
        <w:rPr>
          <w:rFonts w:eastAsia="黑体"/>
          <w:b/>
          <w:bCs/>
          <w:color w:val="000000"/>
          <w:sz w:val="32"/>
          <w:szCs w:val="32"/>
        </w:rPr>
      </w:pPr>
      <w:r>
        <w:rPr>
          <w:rFonts w:eastAsia="黑体"/>
          <w:b/>
          <w:bCs/>
          <w:color w:val="000000"/>
          <w:sz w:val="32"/>
          <w:szCs w:val="32"/>
        </w:rPr>
        <w:t>委托单位：</w:t>
      </w:r>
      <w:r>
        <w:rPr>
          <w:rFonts w:hint="eastAsia" w:eastAsia="黑体"/>
          <w:b/>
          <w:bCs/>
          <w:color w:val="000000"/>
          <w:sz w:val="32"/>
          <w:szCs w:val="32"/>
        </w:rPr>
        <w:t>柳河县康华牧业有限责任公司</w:t>
      </w:r>
    </w:p>
    <w:p>
      <w:pPr>
        <w:spacing w:line="360" w:lineRule="auto"/>
        <w:jc w:val="center"/>
        <w:rPr>
          <w:rFonts w:eastAsia="黑体"/>
          <w:b/>
          <w:bCs/>
          <w:color w:val="000000"/>
          <w:sz w:val="32"/>
          <w:szCs w:val="32"/>
        </w:rPr>
      </w:pPr>
      <w:r>
        <w:rPr>
          <w:rFonts w:eastAsia="黑体"/>
          <w:b/>
          <w:bCs/>
          <w:color w:val="000000"/>
          <w:sz w:val="32"/>
          <w:szCs w:val="32"/>
        </w:rPr>
        <w:t>编制单位：</w:t>
      </w:r>
      <w:r>
        <w:rPr>
          <w:rFonts w:hint="eastAsia" w:eastAsia="黑体"/>
          <w:b/>
          <w:bCs/>
          <w:color w:val="000000"/>
          <w:sz w:val="32"/>
          <w:szCs w:val="32"/>
        </w:rPr>
        <w:t>吉林省中园环保咨询有限公司</w:t>
      </w:r>
    </w:p>
    <w:p>
      <w:pPr>
        <w:spacing w:line="360" w:lineRule="auto"/>
        <w:jc w:val="center"/>
        <w:rPr>
          <w:rFonts w:eastAsia="黑体"/>
          <w:b/>
          <w:bCs/>
          <w:color w:val="000000"/>
          <w:sz w:val="32"/>
          <w:szCs w:val="32"/>
        </w:rPr>
      </w:pPr>
      <w:r>
        <w:rPr>
          <w:rFonts w:eastAsia="黑体"/>
          <w:b/>
          <w:bCs/>
          <w:color w:val="000000"/>
          <w:sz w:val="32"/>
          <w:szCs w:val="32"/>
        </w:rPr>
        <w:t>202</w:t>
      </w:r>
      <w:r>
        <w:rPr>
          <w:rFonts w:hint="eastAsia" w:eastAsia="黑体"/>
          <w:b/>
          <w:bCs/>
          <w:color w:val="000000"/>
          <w:sz w:val="32"/>
          <w:szCs w:val="32"/>
        </w:rPr>
        <w:t>6</w:t>
      </w:r>
      <w:r>
        <w:rPr>
          <w:rFonts w:eastAsia="黑体"/>
          <w:b/>
          <w:bCs/>
          <w:color w:val="000000"/>
          <w:sz w:val="32"/>
          <w:szCs w:val="32"/>
        </w:rPr>
        <w:t>年</w:t>
      </w:r>
      <w:r>
        <w:rPr>
          <w:rFonts w:hint="eastAsia" w:eastAsia="黑体"/>
          <w:b/>
          <w:bCs/>
          <w:color w:val="000000"/>
          <w:sz w:val="32"/>
          <w:szCs w:val="32"/>
        </w:rPr>
        <w:t>9</w:t>
      </w:r>
      <w:r>
        <w:rPr>
          <w:rFonts w:eastAsia="黑体"/>
          <w:b/>
          <w:bCs/>
          <w:color w:val="000000"/>
          <w:sz w:val="32"/>
          <w:szCs w:val="32"/>
        </w:rPr>
        <w:t>月</w:t>
      </w:r>
    </w:p>
    <w:p>
      <w:pPr>
        <w:pStyle w:val="2"/>
        <w:sectPr>
          <w:headerReference r:id="rId6" w:type="first"/>
          <w:footerReference r:id="rId9" w:type="first"/>
          <w:headerReference r:id="rId4" w:type="default"/>
          <w:footerReference r:id="rId7" w:type="default"/>
          <w:headerReference r:id="rId5" w:type="even"/>
          <w:footerReference r:id="rId8" w:type="even"/>
          <w:pgSz w:w="11906" w:h="16838"/>
          <w:pgMar w:top="1474" w:right="1474" w:bottom="1559" w:left="1540" w:header="851" w:footer="992" w:gutter="0"/>
          <w:cols w:space="720" w:num="1"/>
          <w:docGrid w:linePitch="312"/>
        </w:sectPr>
      </w:pPr>
    </w:p>
    <w:p>
      <w:pPr>
        <w:ind w:firstLine="1040"/>
        <w:rPr>
          <w:sz w:val="44"/>
          <w:szCs w:val="44"/>
        </w:rPr>
      </w:pPr>
    </w:p>
    <w:p>
      <w:pPr>
        <w:ind w:firstLine="1040"/>
        <w:rPr>
          <w:sz w:val="44"/>
          <w:szCs w:val="44"/>
        </w:rPr>
      </w:pPr>
    </w:p>
    <w:p>
      <w:pPr>
        <w:ind w:firstLine="1040"/>
        <w:rPr>
          <w:sz w:val="44"/>
          <w:szCs w:val="44"/>
        </w:rPr>
      </w:pPr>
    </w:p>
    <w:p>
      <w:pPr>
        <w:ind w:firstLine="1040"/>
        <w:rPr>
          <w:sz w:val="44"/>
          <w:szCs w:val="44"/>
        </w:rPr>
      </w:pPr>
    </w:p>
    <w:p>
      <w:pPr>
        <w:adjustRightInd w:val="0"/>
        <w:snapToGrid w:val="0"/>
        <w:jc w:val="center"/>
        <w:outlineLvl w:val="0"/>
        <w:rPr>
          <w:bCs/>
          <w:sz w:val="72"/>
          <w:szCs w:val="72"/>
        </w:rPr>
      </w:pPr>
      <w:r>
        <w:rPr>
          <w:bCs/>
          <w:sz w:val="52"/>
          <w:szCs w:val="52"/>
        </w:rPr>
        <w:t>建设项目</w:t>
      </w:r>
      <w:r>
        <w:rPr>
          <w:rFonts w:hint="eastAsia"/>
          <w:bCs/>
          <w:sz w:val="52"/>
          <w:szCs w:val="52"/>
        </w:rPr>
        <w:t>生态</w:t>
      </w:r>
      <w:r>
        <w:rPr>
          <w:bCs/>
          <w:sz w:val="52"/>
          <w:szCs w:val="52"/>
        </w:rPr>
        <w:t>环境影响报告表</w:t>
      </w:r>
    </w:p>
    <w:p>
      <w:pPr>
        <w:adjustRightInd w:val="0"/>
        <w:snapToGrid w:val="0"/>
        <w:spacing w:beforeLines="80"/>
        <w:jc w:val="center"/>
        <w:rPr>
          <w:bCs/>
          <w:sz w:val="48"/>
          <w:szCs w:val="48"/>
        </w:rPr>
      </w:pPr>
      <w:r>
        <w:rPr>
          <w:bCs/>
          <w:sz w:val="48"/>
          <w:szCs w:val="48"/>
        </w:rPr>
        <w:t>（污染影响类）</w:t>
      </w:r>
    </w:p>
    <w:p>
      <w:pPr>
        <w:ind w:firstLine="1040"/>
        <w:rPr>
          <w:sz w:val="44"/>
          <w:szCs w:val="44"/>
        </w:rPr>
      </w:pPr>
    </w:p>
    <w:p>
      <w:pPr>
        <w:ind w:firstLine="1040"/>
        <w:rPr>
          <w:sz w:val="44"/>
          <w:szCs w:val="44"/>
        </w:rPr>
      </w:pPr>
    </w:p>
    <w:p>
      <w:pPr>
        <w:ind w:firstLine="1040"/>
        <w:rPr>
          <w:sz w:val="44"/>
          <w:szCs w:val="44"/>
        </w:rPr>
      </w:pPr>
    </w:p>
    <w:p>
      <w:pPr>
        <w:ind w:firstLine="1040"/>
        <w:rPr>
          <w:sz w:val="44"/>
          <w:szCs w:val="44"/>
        </w:rPr>
      </w:pPr>
    </w:p>
    <w:p>
      <w:pPr>
        <w:ind w:firstLine="1040"/>
        <w:rPr>
          <w:sz w:val="44"/>
          <w:szCs w:val="44"/>
        </w:rPr>
      </w:pPr>
    </w:p>
    <w:p>
      <w:pPr>
        <w:ind w:firstLine="1040"/>
        <w:rPr>
          <w:sz w:val="44"/>
          <w:szCs w:val="44"/>
        </w:rPr>
      </w:pPr>
    </w:p>
    <w:p>
      <w:pPr>
        <w:ind w:firstLine="1040"/>
        <w:rPr>
          <w:sz w:val="44"/>
          <w:szCs w:val="44"/>
        </w:rPr>
      </w:pPr>
    </w:p>
    <w:p>
      <w:pPr>
        <w:adjustRightInd w:val="0"/>
        <w:snapToGrid w:val="0"/>
        <w:spacing w:line="288" w:lineRule="auto"/>
        <w:rPr>
          <w:sz w:val="36"/>
          <w:szCs w:val="36"/>
        </w:rPr>
      </w:pPr>
    </w:p>
    <w:p>
      <w:pPr>
        <w:adjustRightInd w:val="0"/>
        <w:snapToGrid w:val="0"/>
        <w:spacing w:line="288" w:lineRule="auto"/>
        <w:jc w:val="center"/>
        <w:rPr>
          <w:sz w:val="36"/>
          <w:szCs w:val="36"/>
          <w:u w:val="single"/>
        </w:rPr>
      </w:pPr>
      <w:r>
        <w:rPr>
          <w:sz w:val="36"/>
          <w:szCs w:val="36"/>
        </w:rPr>
        <w:t>项目名称：</w:t>
      </w:r>
      <w:r>
        <w:rPr>
          <w:rFonts w:hint="eastAsia"/>
          <w:sz w:val="36"/>
          <w:szCs w:val="36"/>
          <w:u w:val="single"/>
        </w:rPr>
        <w:t>柳河县康华牧业有限责任公司锅炉改造项目</w:t>
      </w:r>
    </w:p>
    <w:p>
      <w:pPr>
        <w:adjustRightInd w:val="0"/>
        <w:snapToGrid w:val="0"/>
        <w:spacing w:line="288" w:lineRule="auto"/>
        <w:jc w:val="center"/>
        <w:rPr>
          <w:sz w:val="36"/>
          <w:szCs w:val="36"/>
          <w:u w:val="single"/>
        </w:rPr>
      </w:pPr>
      <w:r>
        <w:rPr>
          <w:sz w:val="36"/>
          <w:szCs w:val="36"/>
        </w:rPr>
        <w:t>建设单位（盖章）：</w:t>
      </w:r>
      <w:r>
        <w:rPr>
          <w:rFonts w:hint="eastAsia"/>
          <w:sz w:val="36"/>
          <w:szCs w:val="36"/>
          <w:u w:val="single"/>
        </w:rPr>
        <w:t>柳河县康华牧业有限责任公司</w:t>
      </w:r>
    </w:p>
    <w:p>
      <w:pPr>
        <w:adjustRightInd w:val="0"/>
        <w:snapToGrid w:val="0"/>
        <w:spacing w:line="288" w:lineRule="auto"/>
        <w:jc w:val="center"/>
        <w:rPr>
          <w:sz w:val="36"/>
          <w:szCs w:val="36"/>
          <w:u w:val="single"/>
        </w:rPr>
      </w:pPr>
      <w:r>
        <w:rPr>
          <w:sz w:val="36"/>
          <w:szCs w:val="36"/>
        </w:rPr>
        <w:t>编制日期：</w:t>
      </w:r>
      <w:r>
        <w:rPr>
          <w:sz w:val="36"/>
          <w:szCs w:val="36"/>
          <w:u w:val="single"/>
        </w:rPr>
        <w:t>202</w:t>
      </w:r>
      <w:r>
        <w:rPr>
          <w:rFonts w:hint="eastAsia"/>
          <w:sz w:val="36"/>
          <w:szCs w:val="36"/>
          <w:u w:val="single"/>
        </w:rPr>
        <w:t>6</w:t>
      </w:r>
      <w:r>
        <w:rPr>
          <w:sz w:val="36"/>
          <w:szCs w:val="36"/>
          <w:u w:val="single"/>
        </w:rPr>
        <w:t>年</w:t>
      </w:r>
      <w:r>
        <w:rPr>
          <w:rFonts w:hint="eastAsia"/>
          <w:sz w:val="36"/>
          <w:szCs w:val="36"/>
          <w:u w:val="single"/>
        </w:rPr>
        <w:t>9</w:t>
      </w:r>
      <w:r>
        <w:rPr>
          <w:sz w:val="36"/>
          <w:szCs w:val="36"/>
          <w:u w:val="single"/>
        </w:rPr>
        <w:t>月</w:t>
      </w:r>
    </w:p>
    <w:p>
      <w:pPr>
        <w:adjustRightInd w:val="0"/>
        <w:snapToGrid w:val="0"/>
        <w:spacing w:line="288" w:lineRule="auto"/>
        <w:ind w:firstLine="567"/>
        <w:rPr>
          <w:sz w:val="36"/>
          <w:szCs w:val="36"/>
          <w:u w:val="single"/>
        </w:rPr>
      </w:pPr>
      <w:bookmarkStart w:id="0" w:name="_Hlk57884087"/>
    </w:p>
    <w:p>
      <w:pPr>
        <w:adjustRightInd w:val="0"/>
        <w:snapToGrid w:val="0"/>
        <w:spacing w:line="288" w:lineRule="auto"/>
        <w:ind w:firstLine="1040"/>
        <w:rPr>
          <w:sz w:val="36"/>
          <w:szCs w:val="36"/>
        </w:rPr>
      </w:pPr>
    </w:p>
    <w:bookmarkEnd w:id="0"/>
    <w:p>
      <w:pPr>
        <w:adjustRightInd w:val="0"/>
        <w:snapToGrid w:val="0"/>
        <w:spacing w:line="288" w:lineRule="auto"/>
        <w:jc w:val="center"/>
        <w:rPr>
          <w:sz w:val="36"/>
          <w:szCs w:val="36"/>
        </w:rPr>
      </w:pPr>
      <w:r>
        <w:rPr>
          <w:sz w:val="36"/>
          <w:szCs w:val="36"/>
        </w:rPr>
        <w:t>中华人民共和国生态环境部制</w:t>
      </w:r>
    </w:p>
    <w:p>
      <w:pPr>
        <w:rPr>
          <w:sz w:val="36"/>
          <w:szCs w:val="36"/>
        </w:rPr>
      </w:pPr>
      <w:r>
        <w:rPr>
          <w:sz w:val="36"/>
          <w:szCs w:val="36"/>
        </w:rPr>
        <w:br w:type="page"/>
      </w:r>
    </w:p>
    <w:p>
      <w:pPr>
        <w:spacing w:line="360" w:lineRule="auto"/>
        <w:jc w:val="center"/>
        <w:rPr>
          <w:b/>
          <w:bCs/>
          <w:sz w:val="24"/>
          <w:szCs w:val="32"/>
        </w:rPr>
      </w:pPr>
      <w:r>
        <w:rPr>
          <w:rFonts w:hint="eastAsia"/>
          <w:b/>
          <w:bCs/>
          <w:sz w:val="24"/>
          <w:szCs w:val="32"/>
        </w:rPr>
        <w:t>修改清单</w:t>
      </w:r>
    </w:p>
    <w:tbl>
      <w:tblPr>
        <w:tblW w:w="9056"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10"/>
        <w:gridCol w:w="6288"/>
        <w:gridCol w:w="1958"/>
      </w:tblGrid>
      <w:tr>
        <w:trPr>
          <w:trHeight w:val="340" w:hRule="atLeast"/>
          <w:tblHeader/>
        </w:trPr>
        <w:tc>
          <w:tcPr>
            <w:tcW w:w="810" w:type="dxa"/>
            <w:tcBorders>
              <w:tl2br w:val="nil"/>
              <w:tr2bl w:val="nil"/>
            </w:tcBorders>
            <w:vAlign w:val="center"/>
          </w:tcPr>
          <w:p>
            <w:pPr>
              <w:jc w:val="center"/>
              <w:rPr>
                <w:b/>
                <w:bCs/>
                <w:szCs w:val="21"/>
              </w:rPr>
            </w:pPr>
            <w:r>
              <w:rPr>
                <w:b/>
                <w:bCs/>
                <w:szCs w:val="21"/>
              </w:rPr>
              <w:t>序号</w:t>
            </w:r>
          </w:p>
        </w:tc>
        <w:tc>
          <w:tcPr>
            <w:tcW w:w="6288" w:type="dxa"/>
            <w:tcBorders>
              <w:tl2br w:val="nil"/>
              <w:tr2bl w:val="nil"/>
            </w:tcBorders>
            <w:vAlign w:val="center"/>
          </w:tcPr>
          <w:p>
            <w:pPr>
              <w:jc w:val="center"/>
              <w:rPr>
                <w:b/>
                <w:bCs/>
                <w:szCs w:val="21"/>
              </w:rPr>
            </w:pPr>
            <w:r>
              <w:rPr>
                <w:b/>
                <w:bCs/>
                <w:szCs w:val="21"/>
              </w:rPr>
              <w:t>专家意见</w:t>
            </w:r>
          </w:p>
        </w:tc>
        <w:tc>
          <w:tcPr>
            <w:tcW w:w="1958" w:type="dxa"/>
            <w:tcBorders>
              <w:tl2br w:val="nil"/>
              <w:tr2bl w:val="nil"/>
            </w:tcBorders>
            <w:vAlign w:val="center"/>
          </w:tcPr>
          <w:p>
            <w:pPr>
              <w:jc w:val="center"/>
              <w:rPr>
                <w:b/>
                <w:bCs/>
                <w:szCs w:val="21"/>
              </w:rPr>
            </w:pPr>
            <w:r>
              <w:rPr>
                <w:b/>
                <w:bCs/>
                <w:szCs w:val="21"/>
              </w:rPr>
              <w:t>修改说明</w:t>
            </w:r>
          </w:p>
        </w:tc>
      </w:tr>
      <w:tr>
        <w:trPr>
          <w:trHeight w:val="340" w:hRule="atLeast"/>
        </w:trPr>
        <w:tc>
          <w:tcPr>
            <w:tcW w:w="9056" w:type="dxa"/>
            <w:gridSpan w:val="3"/>
            <w:tcBorders>
              <w:tl2br w:val="nil"/>
              <w:tr2bl w:val="nil"/>
            </w:tcBorders>
            <w:vAlign w:val="center"/>
          </w:tcPr>
          <w:p>
            <w:pPr>
              <w:jc w:val="center"/>
              <w:rPr>
                <w:b/>
                <w:bCs/>
                <w:szCs w:val="21"/>
              </w:rPr>
            </w:pPr>
            <w:r>
              <w:rPr>
                <w:b/>
                <w:bCs/>
                <w:szCs w:val="21"/>
              </w:rPr>
              <w:t>会议纪要</w:t>
            </w:r>
          </w:p>
        </w:tc>
      </w:tr>
      <w:tr>
        <w:trPr>
          <w:trHeight w:val="340" w:hRule="atLeast"/>
        </w:trPr>
        <w:tc>
          <w:tcPr>
            <w:tcW w:w="810" w:type="dxa"/>
            <w:tcBorders>
              <w:tl2br w:val="nil"/>
              <w:tr2bl w:val="nil"/>
            </w:tcBorders>
            <w:vAlign w:val="center"/>
          </w:tcPr>
          <w:p>
            <w:pPr>
              <w:jc w:val="center"/>
              <w:rPr>
                <w:szCs w:val="21"/>
              </w:rPr>
            </w:pPr>
            <w:r>
              <w:rPr>
                <w:szCs w:val="21"/>
              </w:rPr>
              <w:t>1</w:t>
            </w:r>
          </w:p>
        </w:tc>
        <w:tc>
          <w:tcPr>
            <w:tcW w:w="6288" w:type="dxa"/>
            <w:tcBorders>
              <w:tl2br w:val="nil"/>
              <w:tr2bl w:val="nil"/>
            </w:tcBorders>
            <w:vAlign w:val="center"/>
          </w:tcPr>
          <w:p>
            <w:pPr>
              <w:jc w:val="center"/>
              <w:rPr>
                <w:szCs w:val="21"/>
              </w:rPr>
            </w:pPr>
            <w:r>
              <w:rPr>
                <w:rFonts w:hint="eastAsia"/>
                <w:szCs w:val="21"/>
              </w:rPr>
              <w:t>补充主行业类别；完善项目与生态环境分区管控单元要求相符性分析内容。</w:t>
            </w:r>
          </w:p>
        </w:tc>
        <w:tc>
          <w:tcPr>
            <w:tcW w:w="1958" w:type="dxa"/>
            <w:tcBorders>
              <w:tl2br w:val="nil"/>
              <w:tr2bl w:val="nil"/>
            </w:tcBorders>
            <w:vAlign w:val="center"/>
          </w:tcPr>
          <w:p>
            <w:pPr>
              <w:jc w:val="center"/>
              <w:rPr>
                <w:szCs w:val="21"/>
              </w:rPr>
            </w:pPr>
            <w:r>
              <w:rPr>
                <w:rFonts w:hint="eastAsia"/>
                <w:szCs w:val="21"/>
              </w:rPr>
              <w:t>P2-6；P10；P12；P14；P6-11</w:t>
            </w:r>
          </w:p>
        </w:tc>
      </w:tr>
      <w:tr>
        <w:trPr>
          <w:trHeight w:val="340" w:hRule="atLeast"/>
        </w:trPr>
        <w:tc>
          <w:tcPr>
            <w:tcW w:w="810" w:type="dxa"/>
            <w:tcBorders>
              <w:tl2br w:val="nil"/>
              <w:tr2bl w:val="nil"/>
            </w:tcBorders>
            <w:vAlign w:val="center"/>
          </w:tcPr>
          <w:p>
            <w:pPr>
              <w:jc w:val="center"/>
              <w:rPr>
                <w:szCs w:val="21"/>
              </w:rPr>
            </w:pPr>
            <w:r>
              <w:rPr>
                <w:szCs w:val="21"/>
              </w:rPr>
              <w:t>2</w:t>
            </w:r>
          </w:p>
        </w:tc>
        <w:tc>
          <w:tcPr>
            <w:tcW w:w="6288" w:type="dxa"/>
            <w:tcBorders>
              <w:tl2br w:val="nil"/>
              <w:tr2bl w:val="nil"/>
            </w:tcBorders>
            <w:vAlign w:val="center"/>
          </w:tcPr>
          <w:p>
            <w:pPr>
              <w:jc w:val="center"/>
              <w:rPr>
                <w:szCs w:val="21"/>
              </w:rPr>
            </w:pPr>
            <w:r>
              <w:rPr>
                <w:rFonts w:hint="eastAsia"/>
                <w:szCs w:val="21"/>
              </w:rPr>
              <w:t>细化现有项目污染物产生与排放情况调查内容，复核现存环境问题。</w:t>
            </w:r>
          </w:p>
        </w:tc>
        <w:tc>
          <w:tcPr>
            <w:tcW w:w="1958" w:type="dxa"/>
            <w:tcBorders>
              <w:tl2br w:val="nil"/>
              <w:tr2bl w:val="nil"/>
            </w:tcBorders>
            <w:vAlign w:val="center"/>
          </w:tcPr>
          <w:p>
            <w:pPr>
              <w:jc w:val="center"/>
              <w:rPr>
                <w:szCs w:val="21"/>
              </w:rPr>
            </w:pPr>
            <w:r>
              <w:rPr>
                <w:rFonts w:hint="eastAsia"/>
                <w:szCs w:val="21"/>
              </w:rPr>
              <w:t>P22-26</w:t>
            </w:r>
          </w:p>
        </w:tc>
      </w:tr>
      <w:tr>
        <w:trPr>
          <w:trHeight w:val="340" w:hRule="atLeast"/>
        </w:trPr>
        <w:tc>
          <w:tcPr>
            <w:tcW w:w="810" w:type="dxa"/>
            <w:tcBorders>
              <w:tl2br w:val="nil"/>
              <w:tr2bl w:val="nil"/>
            </w:tcBorders>
            <w:vAlign w:val="center"/>
          </w:tcPr>
          <w:p>
            <w:pPr>
              <w:jc w:val="center"/>
              <w:rPr>
                <w:szCs w:val="21"/>
              </w:rPr>
            </w:pPr>
            <w:r>
              <w:rPr>
                <w:szCs w:val="21"/>
              </w:rPr>
              <w:t>3</w:t>
            </w:r>
          </w:p>
        </w:tc>
        <w:tc>
          <w:tcPr>
            <w:tcW w:w="6288" w:type="dxa"/>
            <w:tcBorders>
              <w:tl2br w:val="nil"/>
              <w:tr2bl w:val="nil"/>
            </w:tcBorders>
            <w:vAlign w:val="center"/>
          </w:tcPr>
          <w:p>
            <w:pPr>
              <w:jc w:val="center"/>
              <w:rPr>
                <w:szCs w:val="21"/>
              </w:rPr>
            </w:pPr>
            <w:r>
              <w:rPr>
                <w:rFonts w:hint="eastAsia"/>
                <w:szCs w:val="21"/>
              </w:rPr>
              <w:t>细化工程分析内容，细化新建及依托工程情况，完善设备一览表；细化用热情况，核准锅炉运行时间，复核生物质燃料用量及储存量；复核用排水情况及水平衡。</w:t>
            </w:r>
          </w:p>
        </w:tc>
        <w:tc>
          <w:tcPr>
            <w:tcW w:w="1958" w:type="dxa"/>
            <w:tcBorders>
              <w:tl2br w:val="nil"/>
              <w:tr2bl w:val="nil"/>
            </w:tcBorders>
            <w:vAlign w:val="center"/>
          </w:tcPr>
          <w:p>
            <w:pPr>
              <w:jc w:val="center"/>
              <w:rPr>
                <w:szCs w:val="21"/>
              </w:rPr>
            </w:pPr>
            <w:r>
              <w:rPr>
                <w:rFonts w:hint="eastAsia"/>
                <w:szCs w:val="21"/>
              </w:rPr>
              <w:t>P15-18</w:t>
            </w:r>
          </w:p>
        </w:tc>
      </w:tr>
      <w:tr>
        <w:trPr>
          <w:trHeight w:val="340" w:hRule="atLeast"/>
        </w:trPr>
        <w:tc>
          <w:tcPr>
            <w:tcW w:w="810" w:type="dxa"/>
            <w:tcBorders>
              <w:tl2br w:val="nil"/>
              <w:tr2bl w:val="nil"/>
            </w:tcBorders>
            <w:vAlign w:val="center"/>
          </w:tcPr>
          <w:p>
            <w:pPr>
              <w:jc w:val="center"/>
              <w:rPr>
                <w:szCs w:val="21"/>
              </w:rPr>
            </w:pPr>
            <w:r>
              <w:rPr>
                <w:szCs w:val="21"/>
              </w:rPr>
              <w:t>4</w:t>
            </w:r>
          </w:p>
        </w:tc>
        <w:tc>
          <w:tcPr>
            <w:tcW w:w="6288" w:type="dxa"/>
            <w:tcBorders>
              <w:tl2br w:val="nil"/>
              <w:tr2bl w:val="nil"/>
            </w:tcBorders>
            <w:vAlign w:val="center"/>
          </w:tcPr>
          <w:p>
            <w:pPr>
              <w:jc w:val="center"/>
              <w:rPr>
                <w:szCs w:val="21"/>
              </w:rPr>
            </w:pPr>
            <w:r>
              <w:rPr>
                <w:rFonts w:hint="eastAsia"/>
                <w:szCs w:val="21"/>
              </w:rPr>
              <w:t>复核锅炉烟气中烟尘与二氧化硫产生与排放浓度，细化源强核算内容。</w:t>
            </w:r>
          </w:p>
        </w:tc>
        <w:tc>
          <w:tcPr>
            <w:tcW w:w="1958" w:type="dxa"/>
            <w:tcBorders>
              <w:tl2br w:val="nil"/>
              <w:tr2bl w:val="nil"/>
            </w:tcBorders>
            <w:vAlign w:val="center"/>
          </w:tcPr>
          <w:p>
            <w:pPr>
              <w:jc w:val="center"/>
              <w:rPr>
                <w:szCs w:val="21"/>
              </w:rPr>
            </w:pPr>
            <w:r>
              <w:rPr>
                <w:rFonts w:hint="eastAsia"/>
                <w:szCs w:val="21"/>
              </w:rPr>
              <w:t>P33-35</w:t>
            </w:r>
          </w:p>
        </w:tc>
      </w:tr>
      <w:tr>
        <w:trPr>
          <w:trHeight w:val="340" w:hRule="atLeast"/>
        </w:trPr>
        <w:tc>
          <w:tcPr>
            <w:tcW w:w="810" w:type="dxa"/>
            <w:tcBorders>
              <w:tl2br w:val="nil"/>
              <w:tr2bl w:val="nil"/>
            </w:tcBorders>
            <w:vAlign w:val="center"/>
          </w:tcPr>
          <w:p>
            <w:pPr>
              <w:jc w:val="center"/>
              <w:rPr>
                <w:szCs w:val="21"/>
              </w:rPr>
            </w:pPr>
            <w:r>
              <w:rPr>
                <w:szCs w:val="21"/>
              </w:rPr>
              <w:t>5</w:t>
            </w:r>
          </w:p>
        </w:tc>
        <w:tc>
          <w:tcPr>
            <w:tcW w:w="6288" w:type="dxa"/>
            <w:tcBorders>
              <w:tl2br w:val="nil"/>
              <w:tr2bl w:val="nil"/>
            </w:tcBorders>
            <w:vAlign w:val="center"/>
          </w:tcPr>
          <w:p>
            <w:pPr>
              <w:jc w:val="center"/>
              <w:rPr>
                <w:szCs w:val="21"/>
              </w:rPr>
            </w:pPr>
            <w:r>
              <w:rPr>
                <w:rFonts w:hint="eastAsia"/>
                <w:szCs w:val="21"/>
              </w:rPr>
              <w:t>复核设备噪声源强及噪声影响预测内容，细化噪声污染防治措施。</w:t>
            </w:r>
          </w:p>
        </w:tc>
        <w:tc>
          <w:tcPr>
            <w:tcW w:w="1958" w:type="dxa"/>
            <w:tcBorders>
              <w:tl2br w:val="nil"/>
              <w:tr2bl w:val="nil"/>
            </w:tcBorders>
            <w:vAlign w:val="center"/>
          </w:tcPr>
          <w:p>
            <w:pPr>
              <w:jc w:val="center"/>
              <w:rPr>
                <w:szCs w:val="21"/>
              </w:rPr>
            </w:pPr>
            <w:r>
              <w:rPr>
                <w:rFonts w:hint="eastAsia"/>
                <w:szCs w:val="21"/>
              </w:rPr>
              <w:t>P37-39</w:t>
            </w:r>
          </w:p>
        </w:tc>
      </w:tr>
      <w:tr>
        <w:trPr>
          <w:trHeight w:val="340" w:hRule="atLeast"/>
        </w:trPr>
        <w:tc>
          <w:tcPr>
            <w:tcW w:w="810" w:type="dxa"/>
            <w:tcBorders>
              <w:tl2br w:val="nil"/>
              <w:tr2bl w:val="nil"/>
            </w:tcBorders>
            <w:vAlign w:val="center"/>
          </w:tcPr>
          <w:p>
            <w:pPr>
              <w:jc w:val="center"/>
              <w:rPr>
                <w:szCs w:val="21"/>
              </w:rPr>
            </w:pPr>
            <w:r>
              <w:rPr>
                <w:rFonts w:hint="eastAsia"/>
                <w:szCs w:val="21"/>
              </w:rPr>
              <w:t>6</w:t>
            </w:r>
          </w:p>
        </w:tc>
        <w:tc>
          <w:tcPr>
            <w:tcW w:w="6288" w:type="dxa"/>
            <w:tcBorders>
              <w:tl2br w:val="nil"/>
              <w:tr2bl w:val="nil"/>
            </w:tcBorders>
            <w:vAlign w:val="center"/>
          </w:tcPr>
          <w:p>
            <w:pPr>
              <w:jc w:val="center"/>
              <w:rPr>
                <w:szCs w:val="21"/>
              </w:rPr>
            </w:pPr>
            <w:r>
              <w:rPr>
                <w:rFonts w:hint="eastAsia"/>
                <w:szCs w:val="21"/>
              </w:rPr>
              <w:t>复核固体废物产生种类及产生量，细化现有危险废物贮存场所建设情况，充实本项目危险废物依托贮存的可行性分析内容。</w:t>
            </w:r>
          </w:p>
        </w:tc>
        <w:tc>
          <w:tcPr>
            <w:tcW w:w="1958" w:type="dxa"/>
            <w:tcBorders>
              <w:tl2br w:val="nil"/>
              <w:tr2bl w:val="nil"/>
            </w:tcBorders>
            <w:vAlign w:val="center"/>
          </w:tcPr>
          <w:p>
            <w:pPr>
              <w:jc w:val="center"/>
              <w:rPr>
                <w:szCs w:val="21"/>
              </w:rPr>
            </w:pPr>
            <w:r>
              <w:rPr>
                <w:rFonts w:hint="eastAsia"/>
                <w:szCs w:val="21"/>
              </w:rPr>
              <w:t>P39-40；P41</w:t>
            </w:r>
          </w:p>
        </w:tc>
      </w:tr>
      <w:tr>
        <w:trPr>
          <w:trHeight w:val="340" w:hRule="atLeast"/>
        </w:trPr>
        <w:tc>
          <w:tcPr>
            <w:tcW w:w="810" w:type="dxa"/>
            <w:tcBorders>
              <w:tl2br w:val="nil"/>
              <w:tr2bl w:val="nil"/>
            </w:tcBorders>
            <w:vAlign w:val="center"/>
          </w:tcPr>
          <w:p>
            <w:pPr>
              <w:jc w:val="center"/>
              <w:rPr>
                <w:szCs w:val="21"/>
              </w:rPr>
            </w:pPr>
            <w:r>
              <w:rPr>
                <w:rFonts w:hint="eastAsia"/>
                <w:szCs w:val="21"/>
              </w:rPr>
              <w:t>7</w:t>
            </w:r>
          </w:p>
        </w:tc>
        <w:tc>
          <w:tcPr>
            <w:tcW w:w="6288" w:type="dxa"/>
            <w:tcBorders>
              <w:tl2br w:val="nil"/>
              <w:tr2bl w:val="nil"/>
            </w:tcBorders>
            <w:vAlign w:val="center"/>
          </w:tcPr>
          <w:p>
            <w:pPr>
              <w:jc w:val="center"/>
              <w:rPr>
                <w:szCs w:val="21"/>
              </w:rPr>
            </w:pPr>
            <w:r>
              <w:rPr>
                <w:rFonts w:hint="eastAsia"/>
                <w:szCs w:val="21"/>
              </w:rPr>
              <w:t>核准环境风险物质种类及储存量，如原料机油等，完善环境风险评价内容。</w:t>
            </w:r>
          </w:p>
        </w:tc>
        <w:tc>
          <w:tcPr>
            <w:tcW w:w="1958" w:type="dxa"/>
            <w:tcBorders>
              <w:tl2br w:val="nil"/>
              <w:tr2bl w:val="nil"/>
            </w:tcBorders>
            <w:vAlign w:val="center"/>
          </w:tcPr>
          <w:p>
            <w:pPr>
              <w:jc w:val="center"/>
              <w:rPr>
                <w:szCs w:val="21"/>
              </w:rPr>
            </w:pPr>
            <w:r>
              <w:rPr>
                <w:rFonts w:hint="eastAsia"/>
                <w:szCs w:val="21"/>
              </w:rPr>
              <w:t>P42；P43</w:t>
            </w:r>
          </w:p>
        </w:tc>
      </w:tr>
      <w:tr>
        <w:trPr>
          <w:trHeight w:val="340" w:hRule="atLeast"/>
        </w:trPr>
        <w:tc>
          <w:tcPr>
            <w:tcW w:w="810" w:type="dxa"/>
            <w:tcBorders>
              <w:tl2br w:val="nil"/>
              <w:tr2bl w:val="nil"/>
            </w:tcBorders>
            <w:vAlign w:val="center"/>
          </w:tcPr>
          <w:p>
            <w:pPr>
              <w:jc w:val="center"/>
              <w:rPr>
                <w:szCs w:val="21"/>
              </w:rPr>
            </w:pPr>
            <w:r>
              <w:rPr>
                <w:rFonts w:hint="eastAsia"/>
                <w:szCs w:val="21"/>
              </w:rPr>
              <w:t>8</w:t>
            </w:r>
          </w:p>
        </w:tc>
        <w:tc>
          <w:tcPr>
            <w:tcW w:w="6288" w:type="dxa"/>
            <w:tcBorders>
              <w:tl2br w:val="nil"/>
              <w:tr2bl w:val="nil"/>
            </w:tcBorders>
            <w:vAlign w:val="center"/>
          </w:tcPr>
          <w:p>
            <w:pPr>
              <w:jc w:val="center"/>
              <w:rPr>
                <w:szCs w:val="21"/>
              </w:rPr>
            </w:pPr>
            <w:r>
              <w:rPr>
                <w:rFonts w:hint="eastAsia"/>
                <w:szCs w:val="21"/>
              </w:rPr>
              <w:t>复核污染物排放总量、环保投资及环境保护措施监督检查清单内容，规范附图附件。</w:t>
            </w:r>
          </w:p>
        </w:tc>
        <w:tc>
          <w:tcPr>
            <w:tcW w:w="1958" w:type="dxa"/>
            <w:tcBorders>
              <w:tl2br w:val="nil"/>
              <w:tr2bl w:val="nil"/>
            </w:tcBorders>
            <w:vAlign w:val="center"/>
          </w:tcPr>
          <w:p>
            <w:pPr>
              <w:jc w:val="center"/>
              <w:rPr>
                <w:szCs w:val="21"/>
              </w:rPr>
            </w:pPr>
            <w:r>
              <w:rPr>
                <w:rFonts w:hint="eastAsia"/>
                <w:szCs w:val="21"/>
              </w:rPr>
              <w:t>P43-44；P45-47；规范附图附件</w:t>
            </w:r>
          </w:p>
        </w:tc>
      </w:tr>
      <w:tr>
        <w:trPr>
          <w:trHeight w:val="340" w:hRule="atLeast"/>
        </w:trPr>
        <w:tc>
          <w:tcPr>
            <w:tcW w:w="810" w:type="dxa"/>
            <w:tcBorders>
              <w:tl2br w:val="nil"/>
              <w:tr2bl w:val="nil"/>
            </w:tcBorders>
            <w:vAlign w:val="center"/>
          </w:tcPr>
          <w:p>
            <w:pPr>
              <w:jc w:val="center"/>
              <w:rPr>
                <w:szCs w:val="21"/>
              </w:rPr>
            </w:pPr>
            <w:r>
              <w:rPr>
                <w:rFonts w:hint="eastAsia"/>
                <w:szCs w:val="21"/>
              </w:rPr>
              <w:t>9</w:t>
            </w:r>
          </w:p>
        </w:tc>
        <w:tc>
          <w:tcPr>
            <w:tcW w:w="6288" w:type="dxa"/>
            <w:tcBorders>
              <w:tl2br w:val="nil"/>
              <w:tr2bl w:val="nil"/>
            </w:tcBorders>
            <w:vAlign w:val="center"/>
          </w:tcPr>
          <w:p>
            <w:pPr>
              <w:jc w:val="center"/>
              <w:rPr>
                <w:szCs w:val="21"/>
              </w:rPr>
            </w:pPr>
            <w:r>
              <w:rPr>
                <w:szCs w:val="21"/>
              </w:rPr>
              <w:t>其他专家合理化意见一并修改。</w:t>
            </w:r>
          </w:p>
        </w:tc>
        <w:tc>
          <w:tcPr>
            <w:tcW w:w="1958" w:type="dxa"/>
            <w:tcBorders>
              <w:tl2br w:val="nil"/>
              <w:tr2bl w:val="nil"/>
            </w:tcBorders>
            <w:vAlign w:val="center"/>
          </w:tcPr>
          <w:p>
            <w:pPr>
              <w:jc w:val="center"/>
              <w:rPr>
                <w:szCs w:val="21"/>
              </w:rPr>
            </w:pPr>
            <w:r>
              <w:rPr>
                <w:rFonts w:hint="eastAsia"/>
                <w:szCs w:val="21"/>
              </w:rPr>
              <w:t>全文一并修改</w:t>
            </w:r>
          </w:p>
        </w:tc>
      </w:tr>
      <w:tr>
        <w:trPr>
          <w:trHeight w:val="340" w:hRule="atLeast"/>
        </w:trPr>
        <w:tc>
          <w:tcPr>
            <w:tcW w:w="9056" w:type="dxa"/>
            <w:gridSpan w:val="3"/>
            <w:tcBorders>
              <w:tl2br w:val="nil"/>
              <w:tr2bl w:val="nil"/>
            </w:tcBorders>
            <w:vAlign w:val="center"/>
          </w:tcPr>
          <w:p>
            <w:pPr>
              <w:jc w:val="center"/>
              <w:rPr>
                <w:b/>
                <w:bCs/>
                <w:szCs w:val="21"/>
              </w:rPr>
            </w:pPr>
            <w:r>
              <w:rPr>
                <w:rFonts w:hint="eastAsia"/>
                <w:b/>
                <w:bCs/>
                <w:szCs w:val="21"/>
              </w:rPr>
              <w:t>王晓东</w:t>
            </w:r>
            <w:r>
              <w:rPr>
                <w:b/>
                <w:bCs/>
                <w:szCs w:val="21"/>
              </w:rPr>
              <w:t>专家个人意见</w:t>
            </w:r>
          </w:p>
        </w:tc>
      </w:tr>
      <w:tr>
        <w:trPr>
          <w:trHeight w:val="340" w:hRule="atLeast"/>
        </w:trPr>
        <w:tc>
          <w:tcPr>
            <w:tcW w:w="810" w:type="dxa"/>
            <w:tcBorders>
              <w:tl2br w:val="nil"/>
              <w:tr2bl w:val="nil"/>
            </w:tcBorders>
            <w:vAlign w:val="center"/>
          </w:tcPr>
          <w:p>
            <w:pPr>
              <w:jc w:val="center"/>
              <w:rPr>
                <w:szCs w:val="21"/>
              </w:rPr>
            </w:pPr>
            <w:r>
              <w:rPr>
                <w:szCs w:val="21"/>
              </w:rPr>
              <w:t>1</w:t>
            </w:r>
          </w:p>
        </w:tc>
        <w:tc>
          <w:tcPr>
            <w:tcW w:w="6288" w:type="dxa"/>
            <w:tcBorders>
              <w:tl2br w:val="nil"/>
              <w:tr2bl w:val="nil"/>
            </w:tcBorders>
            <w:vAlign w:val="center"/>
          </w:tcPr>
          <w:p>
            <w:pPr>
              <w:jc w:val="center"/>
              <w:rPr>
                <w:szCs w:val="21"/>
              </w:rPr>
            </w:pPr>
            <w:r>
              <w:rPr>
                <w:rFonts w:hint="eastAsia"/>
                <w:szCs w:val="21"/>
              </w:rPr>
              <w:t>细化现有项目污染物产生与排放情况调查内容，复核现存环境问题。</w:t>
            </w:r>
          </w:p>
        </w:tc>
        <w:tc>
          <w:tcPr>
            <w:tcW w:w="1958" w:type="dxa"/>
            <w:tcBorders>
              <w:tl2br w:val="nil"/>
              <w:tr2bl w:val="nil"/>
            </w:tcBorders>
            <w:vAlign w:val="center"/>
          </w:tcPr>
          <w:p>
            <w:pPr>
              <w:jc w:val="center"/>
              <w:rPr>
                <w:szCs w:val="21"/>
              </w:rPr>
            </w:pPr>
            <w:r>
              <w:rPr>
                <w:rFonts w:hint="eastAsia"/>
                <w:szCs w:val="21"/>
              </w:rPr>
              <w:t>P22-26</w:t>
            </w:r>
          </w:p>
        </w:tc>
      </w:tr>
      <w:tr>
        <w:trPr>
          <w:trHeight w:val="340" w:hRule="atLeast"/>
        </w:trPr>
        <w:tc>
          <w:tcPr>
            <w:tcW w:w="810" w:type="dxa"/>
            <w:tcBorders>
              <w:tl2br w:val="nil"/>
              <w:tr2bl w:val="nil"/>
            </w:tcBorders>
            <w:vAlign w:val="center"/>
          </w:tcPr>
          <w:p>
            <w:pPr>
              <w:jc w:val="center"/>
              <w:rPr>
                <w:szCs w:val="21"/>
              </w:rPr>
            </w:pPr>
            <w:r>
              <w:rPr>
                <w:szCs w:val="21"/>
              </w:rPr>
              <w:t>2</w:t>
            </w:r>
          </w:p>
        </w:tc>
        <w:tc>
          <w:tcPr>
            <w:tcW w:w="6288" w:type="dxa"/>
            <w:tcBorders>
              <w:tl2br w:val="nil"/>
              <w:tr2bl w:val="nil"/>
            </w:tcBorders>
            <w:vAlign w:val="center"/>
          </w:tcPr>
          <w:p>
            <w:pPr>
              <w:jc w:val="center"/>
              <w:rPr>
                <w:szCs w:val="21"/>
              </w:rPr>
            </w:pPr>
            <w:r>
              <w:rPr>
                <w:rFonts w:hint="eastAsia"/>
                <w:szCs w:val="21"/>
              </w:rPr>
              <w:t>细化工程分析内容，细化新建及依托工程情况，细化用热情况，复核生物质燃料用量及储存量；复核用排水情况及水平衡。</w:t>
            </w:r>
          </w:p>
        </w:tc>
        <w:tc>
          <w:tcPr>
            <w:tcW w:w="1958" w:type="dxa"/>
            <w:tcBorders>
              <w:tl2br w:val="nil"/>
              <w:tr2bl w:val="nil"/>
            </w:tcBorders>
            <w:vAlign w:val="center"/>
          </w:tcPr>
          <w:p>
            <w:pPr>
              <w:jc w:val="center"/>
              <w:rPr>
                <w:szCs w:val="21"/>
              </w:rPr>
            </w:pPr>
            <w:r>
              <w:rPr>
                <w:rFonts w:hint="eastAsia"/>
                <w:szCs w:val="21"/>
              </w:rPr>
              <w:t>P15-18</w:t>
            </w:r>
          </w:p>
        </w:tc>
      </w:tr>
      <w:tr>
        <w:trPr>
          <w:trHeight w:val="340" w:hRule="atLeast"/>
        </w:trPr>
        <w:tc>
          <w:tcPr>
            <w:tcW w:w="810" w:type="dxa"/>
            <w:tcBorders>
              <w:tl2br w:val="nil"/>
              <w:tr2bl w:val="nil"/>
            </w:tcBorders>
            <w:vAlign w:val="center"/>
          </w:tcPr>
          <w:p>
            <w:pPr>
              <w:jc w:val="center"/>
              <w:rPr>
                <w:szCs w:val="21"/>
              </w:rPr>
            </w:pPr>
            <w:r>
              <w:rPr>
                <w:szCs w:val="21"/>
              </w:rPr>
              <w:t>3</w:t>
            </w:r>
          </w:p>
        </w:tc>
        <w:tc>
          <w:tcPr>
            <w:tcW w:w="6288" w:type="dxa"/>
            <w:tcBorders>
              <w:tl2br w:val="nil"/>
              <w:tr2bl w:val="nil"/>
            </w:tcBorders>
            <w:vAlign w:val="center"/>
          </w:tcPr>
          <w:p>
            <w:pPr>
              <w:jc w:val="center"/>
              <w:rPr>
                <w:szCs w:val="21"/>
              </w:rPr>
            </w:pPr>
            <w:r>
              <w:rPr>
                <w:rFonts w:hint="eastAsia"/>
                <w:szCs w:val="21"/>
              </w:rPr>
              <w:t>复核锅炉烟气中烟尘与二氧化硫产生与排放浓度，细化源强核算内容。</w:t>
            </w:r>
          </w:p>
        </w:tc>
        <w:tc>
          <w:tcPr>
            <w:tcW w:w="1958" w:type="dxa"/>
            <w:tcBorders>
              <w:tl2br w:val="nil"/>
              <w:tr2bl w:val="nil"/>
            </w:tcBorders>
            <w:vAlign w:val="center"/>
          </w:tcPr>
          <w:p>
            <w:pPr>
              <w:jc w:val="center"/>
              <w:rPr>
                <w:szCs w:val="21"/>
              </w:rPr>
            </w:pPr>
            <w:r>
              <w:rPr>
                <w:rFonts w:hint="eastAsia"/>
                <w:szCs w:val="21"/>
              </w:rPr>
              <w:t>P33-35</w:t>
            </w:r>
          </w:p>
        </w:tc>
      </w:tr>
      <w:tr>
        <w:trPr>
          <w:trHeight w:val="340" w:hRule="atLeast"/>
        </w:trPr>
        <w:tc>
          <w:tcPr>
            <w:tcW w:w="810" w:type="dxa"/>
            <w:tcBorders>
              <w:tl2br w:val="nil"/>
              <w:tr2bl w:val="nil"/>
            </w:tcBorders>
            <w:vAlign w:val="center"/>
          </w:tcPr>
          <w:p>
            <w:pPr>
              <w:jc w:val="center"/>
              <w:rPr>
                <w:szCs w:val="21"/>
              </w:rPr>
            </w:pPr>
            <w:r>
              <w:rPr>
                <w:szCs w:val="21"/>
              </w:rPr>
              <w:t>4</w:t>
            </w:r>
          </w:p>
        </w:tc>
        <w:tc>
          <w:tcPr>
            <w:tcW w:w="6288" w:type="dxa"/>
            <w:tcBorders>
              <w:tl2br w:val="nil"/>
              <w:tr2bl w:val="nil"/>
            </w:tcBorders>
            <w:vAlign w:val="center"/>
          </w:tcPr>
          <w:p>
            <w:pPr>
              <w:jc w:val="center"/>
              <w:rPr>
                <w:szCs w:val="21"/>
              </w:rPr>
            </w:pPr>
            <w:r>
              <w:rPr>
                <w:rFonts w:hint="eastAsia"/>
                <w:szCs w:val="21"/>
              </w:rPr>
              <w:t>复核设备噪声源强及噪声影响预测内容，细化噪声污染防治措施。</w:t>
            </w:r>
          </w:p>
        </w:tc>
        <w:tc>
          <w:tcPr>
            <w:tcW w:w="1958" w:type="dxa"/>
            <w:tcBorders>
              <w:tl2br w:val="nil"/>
              <w:tr2bl w:val="nil"/>
            </w:tcBorders>
            <w:vAlign w:val="center"/>
          </w:tcPr>
          <w:p>
            <w:pPr>
              <w:jc w:val="center"/>
              <w:rPr>
                <w:szCs w:val="21"/>
              </w:rPr>
            </w:pPr>
            <w:r>
              <w:rPr>
                <w:rFonts w:hint="eastAsia"/>
                <w:szCs w:val="21"/>
              </w:rPr>
              <w:t>P37-39</w:t>
            </w:r>
          </w:p>
        </w:tc>
      </w:tr>
      <w:tr>
        <w:trPr>
          <w:trHeight w:val="340" w:hRule="atLeast"/>
        </w:trPr>
        <w:tc>
          <w:tcPr>
            <w:tcW w:w="810" w:type="dxa"/>
            <w:tcBorders>
              <w:tl2br w:val="nil"/>
              <w:tr2bl w:val="nil"/>
            </w:tcBorders>
            <w:vAlign w:val="center"/>
          </w:tcPr>
          <w:p>
            <w:pPr>
              <w:jc w:val="center"/>
              <w:rPr>
                <w:szCs w:val="21"/>
              </w:rPr>
            </w:pPr>
            <w:r>
              <w:rPr>
                <w:rFonts w:hint="eastAsia"/>
                <w:szCs w:val="21"/>
              </w:rPr>
              <w:t>5</w:t>
            </w:r>
          </w:p>
        </w:tc>
        <w:tc>
          <w:tcPr>
            <w:tcW w:w="6288" w:type="dxa"/>
            <w:tcBorders>
              <w:tl2br w:val="nil"/>
              <w:tr2bl w:val="nil"/>
            </w:tcBorders>
            <w:vAlign w:val="center"/>
          </w:tcPr>
          <w:p>
            <w:pPr>
              <w:jc w:val="center"/>
              <w:rPr>
                <w:szCs w:val="21"/>
              </w:rPr>
            </w:pPr>
            <w:r>
              <w:rPr>
                <w:rFonts w:hint="eastAsia"/>
                <w:szCs w:val="21"/>
              </w:rPr>
              <w:t>复核固体废物产生种类及产生量，细化现有危险废物贮存场所建设情况，充实本项目危险废物依托贮存的可行性分析内容。</w:t>
            </w:r>
          </w:p>
        </w:tc>
        <w:tc>
          <w:tcPr>
            <w:tcW w:w="1958" w:type="dxa"/>
            <w:tcBorders>
              <w:tl2br w:val="nil"/>
              <w:tr2bl w:val="nil"/>
            </w:tcBorders>
            <w:vAlign w:val="center"/>
          </w:tcPr>
          <w:p>
            <w:pPr>
              <w:jc w:val="center"/>
              <w:rPr>
                <w:szCs w:val="21"/>
              </w:rPr>
            </w:pPr>
            <w:r>
              <w:rPr>
                <w:rFonts w:hint="eastAsia"/>
                <w:szCs w:val="21"/>
              </w:rPr>
              <w:t>P39-40；P41</w:t>
            </w:r>
          </w:p>
        </w:tc>
      </w:tr>
      <w:tr>
        <w:trPr>
          <w:trHeight w:val="340" w:hRule="atLeast"/>
        </w:trPr>
        <w:tc>
          <w:tcPr>
            <w:tcW w:w="810" w:type="dxa"/>
            <w:tcBorders>
              <w:tl2br w:val="nil"/>
              <w:tr2bl w:val="nil"/>
            </w:tcBorders>
            <w:vAlign w:val="center"/>
          </w:tcPr>
          <w:p>
            <w:pPr>
              <w:jc w:val="center"/>
              <w:rPr>
                <w:szCs w:val="21"/>
              </w:rPr>
            </w:pPr>
            <w:r>
              <w:rPr>
                <w:rFonts w:hint="eastAsia"/>
                <w:szCs w:val="21"/>
              </w:rPr>
              <w:t>6</w:t>
            </w:r>
          </w:p>
        </w:tc>
        <w:tc>
          <w:tcPr>
            <w:tcW w:w="6288" w:type="dxa"/>
            <w:tcBorders>
              <w:tl2br w:val="nil"/>
              <w:tr2bl w:val="nil"/>
            </w:tcBorders>
            <w:vAlign w:val="center"/>
          </w:tcPr>
          <w:p>
            <w:pPr>
              <w:jc w:val="center"/>
              <w:rPr>
                <w:szCs w:val="21"/>
              </w:rPr>
            </w:pPr>
            <w:r>
              <w:rPr>
                <w:rFonts w:hint="eastAsia"/>
                <w:szCs w:val="21"/>
              </w:rPr>
              <w:t>核准环境风险物质种类及储存量，如原料机油等，完善环境风险评价内容。</w:t>
            </w:r>
          </w:p>
        </w:tc>
        <w:tc>
          <w:tcPr>
            <w:tcW w:w="1958" w:type="dxa"/>
            <w:tcBorders>
              <w:tl2br w:val="nil"/>
              <w:tr2bl w:val="nil"/>
            </w:tcBorders>
            <w:vAlign w:val="center"/>
          </w:tcPr>
          <w:p>
            <w:pPr>
              <w:jc w:val="center"/>
              <w:rPr>
                <w:szCs w:val="21"/>
              </w:rPr>
            </w:pPr>
            <w:r>
              <w:rPr>
                <w:rFonts w:hint="eastAsia"/>
                <w:szCs w:val="21"/>
              </w:rPr>
              <w:t>P42；P43</w:t>
            </w:r>
          </w:p>
        </w:tc>
      </w:tr>
      <w:tr>
        <w:trPr>
          <w:trHeight w:val="340" w:hRule="atLeast"/>
        </w:trPr>
        <w:tc>
          <w:tcPr>
            <w:tcW w:w="9056" w:type="dxa"/>
            <w:gridSpan w:val="3"/>
            <w:tcBorders>
              <w:tl2br w:val="nil"/>
              <w:tr2bl w:val="nil"/>
            </w:tcBorders>
            <w:vAlign w:val="center"/>
          </w:tcPr>
          <w:p>
            <w:pPr>
              <w:jc w:val="center"/>
              <w:rPr>
                <w:b/>
                <w:bCs/>
                <w:szCs w:val="21"/>
              </w:rPr>
            </w:pPr>
            <w:r>
              <w:rPr>
                <w:rFonts w:hint="eastAsia"/>
                <w:b/>
                <w:bCs/>
                <w:szCs w:val="21"/>
              </w:rPr>
              <w:t>王胜</w:t>
            </w:r>
            <w:r>
              <w:rPr>
                <w:b/>
                <w:bCs/>
                <w:szCs w:val="21"/>
              </w:rPr>
              <w:t>专家个人意见</w:t>
            </w:r>
          </w:p>
        </w:tc>
      </w:tr>
      <w:tr>
        <w:trPr>
          <w:trHeight w:val="340" w:hRule="atLeast"/>
        </w:trPr>
        <w:tc>
          <w:tcPr>
            <w:tcW w:w="810" w:type="dxa"/>
            <w:tcBorders>
              <w:tl2br w:val="nil"/>
              <w:tr2bl w:val="nil"/>
            </w:tcBorders>
            <w:vAlign w:val="center"/>
          </w:tcPr>
          <w:p>
            <w:pPr>
              <w:jc w:val="center"/>
              <w:rPr>
                <w:szCs w:val="21"/>
              </w:rPr>
            </w:pPr>
            <w:r>
              <w:rPr>
                <w:szCs w:val="21"/>
              </w:rPr>
              <w:t>1</w:t>
            </w:r>
          </w:p>
        </w:tc>
        <w:tc>
          <w:tcPr>
            <w:tcW w:w="6288" w:type="dxa"/>
            <w:tcBorders>
              <w:tl2br w:val="nil"/>
              <w:tr2bl w:val="nil"/>
            </w:tcBorders>
            <w:vAlign w:val="center"/>
          </w:tcPr>
          <w:p>
            <w:pPr>
              <w:jc w:val="center"/>
              <w:rPr>
                <w:szCs w:val="21"/>
              </w:rPr>
            </w:pPr>
            <w:r>
              <w:rPr>
                <w:rFonts w:hint="eastAsia"/>
                <w:szCs w:val="21"/>
              </w:rPr>
              <w:t>充实规划符合性分析内容，完善项目与生态环境分区管控单元要求相符性分析内容。</w:t>
            </w:r>
          </w:p>
        </w:tc>
        <w:tc>
          <w:tcPr>
            <w:tcW w:w="1958" w:type="dxa"/>
            <w:tcBorders>
              <w:tl2br w:val="nil"/>
              <w:tr2bl w:val="nil"/>
            </w:tcBorders>
            <w:vAlign w:val="center"/>
          </w:tcPr>
          <w:p>
            <w:pPr>
              <w:jc w:val="center"/>
              <w:rPr>
                <w:szCs w:val="21"/>
              </w:rPr>
            </w:pPr>
            <w:r>
              <w:rPr>
                <w:rFonts w:hint="eastAsia"/>
                <w:szCs w:val="21"/>
              </w:rPr>
              <w:t>P2-6；P6-11</w:t>
            </w:r>
          </w:p>
        </w:tc>
      </w:tr>
      <w:tr>
        <w:trPr>
          <w:trHeight w:val="340" w:hRule="atLeast"/>
        </w:trPr>
        <w:tc>
          <w:tcPr>
            <w:tcW w:w="810" w:type="dxa"/>
            <w:tcBorders>
              <w:tl2br w:val="nil"/>
              <w:tr2bl w:val="nil"/>
            </w:tcBorders>
            <w:vAlign w:val="center"/>
          </w:tcPr>
          <w:p>
            <w:pPr>
              <w:jc w:val="center"/>
              <w:rPr>
                <w:szCs w:val="21"/>
              </w:rPr>
            </w:pPr>
            <w:r>
              <w:rPr>
                <w:szCs w:val="21"/>
              </w:rPr>
              <w:t>2</w:t>
            </w:r>
          </w:p>
        </w:tc>
        <w:tc>
          <w:tcPr>
            <w:tcW w:w="6288" w:type="dxa"/>
            <w:tcBorders>
              <w:tl2br w:val="nil"/>
              <w:tr2bl w:val="nil"/>
            </w:tcBorders>
            <w:vAlign w:val="center"/>
          </w:tcPr>
          <w:p>
            <w:pPr>
              <w:jc w:val="center"/>
              <w:rPr>
                <w:szCs w:val="21"/>
              </w:rPr>
            </w:pPr>
            <w:r>
              <w:rPr>
                <w:rFonts w:hint="eastAsia"/>
                <w:szCs w:val="21"/>
              </w:rPr>
              <w:t>完善工程建设内容，明确新建、改造及依托现有工程内容，及可依托性。</w:t>
            </w:r>
            <w:r>
              <w:rPr>
                <w:szCs w:val="21"/>
              </w:rPr>
              <w:t>陶瓷多管除尘器</w:t>
            </w:r>
            <w:r>
              <w:rPr>
                <w:rFonts w:hint="eastAsia"/>
                <w:szCs w:val="21"/>
              </w:rPr>
              <w:t>是原有还是本次新增，全文不一致。</w:t>
            </w:r>
          </w:p>
        </w:tc>
        <w:tc>
          <w:tcPr>
            <w:tcW w:w="1958" w:type="dxa"/>
            <w:tcBorders>
              <w:tl2br w:val="nil"/>
              <w:tr2bl w:val="nil"/>
            </w:tcBorders>
            <w:vAlign w:val="center"/>
          </w:tcPr>
          <w:p>
            <w:pPr>
              <w:jc w:val="center"/>
              <w:rPr>
                <w:szCs w:val="21"/>
              </w:rPr>
            </w:pPr>
            <w:r>
              <w:rPr>
                <w:rFonts w:hint="eastAsia"/>
                <w:szCs w:val="21"/>
              </w:rPr>
              <w:t>P15-16</w:t>
            </w:r>
          </w:p>
        </w:tc>
      </w:tr>
      <w:tr>
        <w:trPr>
          <w:trHeight w:val="340" w:hRule="atLeast"/>
        </w:trPr>
        <w:tc>
          <w:tcPr>
            <w:tcW w:w="810" w:type="dxa"/>
            <w:tcBorders>
              <w:tl2br w:val="nil"/>
              <w:tr2bl w:val="nil"/>
            </w:tcBorders>
            <w:vAlign w:val="center"/>
          </w:tcPr>
          <w:p>
            <w:pPr>
              <w:jc w:val="center"/>
              <w:rPr>
                <w:szCs w:val="21"/>
              </w:rPr>
            </w:pPr>
            <w:r>
              <w:rPr>
                <w:szCs w:val="21"/>
              </w:rPr>
              <w:t>3</w:t>
            </w:r>
          </w:p>
        </w:tc>
        <w:tc>
          <w:tcPr>
            <w:tcW w:w="6288" w:type="dxa"/>
            <w:tcBorders>
              <w:tl2br w:val="nil"/>
              <w:tr2bl w:val="nil"/>
            </w:tcBorders>
            <w:vAlign w:val="center"/>
          </w:tcPr>
          <w:p>
            <w:pPr>
              <w:jc w:val="center"/>
              <w:rPr>
                <w:szCs w:val="21"/>
              </w:rPr>
            </w:pPr>
            <w:r>
              <w:rPr>
                <w:rFonts w:hint="eastAsia"/>
                <w:szCs w:val="21"/>
              </w:rPr>
              <w:t>补充生物质燃料用量确定依据，复核工作制度，锅炉既为生产又为采暖，应明确采暖期、非采暖期锅炉运行方案。</w:t>
            </w:r>
          </w:p>
        </w:tc>
        <w:tc>
          <w:tcPr>
            <w:tcW w:w="1958" w:type="dxa"/>
            <w:tcBorders>
              <w:tl2br w:val="nil"/>
              <w:tr2bl w:val="nil"/>
            </w:tcBorders>
            <w:vAlign w:val="center"/>
          </w:tcPr>
          <w:p>
            <w:pPr>
              <w:jc w:val="center"/>
              <w:rPr>
                <w:szCs w:val="21"/>
              </w:rPr>
            </w:pPr>
            <w:r>
              <w:rPr>
                <w:rFonts w:hint="eastAsia"/>
                <w:szCs w:val="21"/>
              </w:rPr>
              <w:t>P17；P18；P22</w:t>
            </w:r>
          </w:p>
        </w:tc>
      </w:tr>
      <w:tr>
        <w:trPr>
          <w:trHeight w:val="340" w:hRule="atLeast"/>
        </w:trPr>
        <w:tc>
          <w:tcPr>
            <w:tcW w:w="810" w:type="dxa"/>
            <w:tcBorders>
              <w:tl2br w:val="nil"/>
              <w:tr2bl w:val="nil"/>
            </w:tcBorders>
            <w:vAlign w:val="center"/>
          </w:tcPr>
          <w:p>
            <w:pPr>
              <w:jc w:val="center"/>
              <w:rPr>
                <w:szCs w:val="21"/>
              </w:rPr>
            </w:pPr>
            <w:r>
              <w:rPr>
                <w:szCs w:val="21"/>
              </w:rPr>
              <w:t>4</w:t>
            </w:r>
          </w:p>
        </w:tc>
        <w:tc>
          <w:tcPr>
            <w:tcW w:w="6288" w:type="dxa"/>
            <w:tcBorders>
              <w:tl2br w:val="nil"/>
              <w:tr2bl w:val="nil"/>
            </w:tcBorders>
            <w:vAlign w:val="center"/>
          </w:tcPr>
          <w:p>
            <w:pPr>
              <w:jc w:val="center"/>
              <w:rPr>
                <w:szCs w:val="21"/>
              </w:rPr>
            </w:pPr>
            <w:r>
              <w:rPr>
                <w:rFonts w:hint="eastAsia"/>
                <w:szCs w:val="21"/>
              </w:rPr>
              <w:t>进一步梳理现有工程环评验收落实情况，补充现有工程污染物实际排放总量计算参数，细化与该项目有关的主要环境问题并提出整改措施。</w:t>
            </w:r>
          </w:p>
        </w:tc>
        <w:tc>
          <w:tcPr>
            <w:tcW w:w="1958" w:type="dxa"/>
            <w:tcBorders>
              <w:tl2br w:val="nil"/>
              <w:tr2bl w:val="nil"/>
            </w:tcBorders>
            <w:vAlign w:val="center"/>
          </w:tcPr>
          <w:p>
            <w:pPr>
              <w:jc w:val="center"/>
              <w:rPr>
                <w:szCs w:val="21"/>
              </w:rPr>
            </w:pPr>
            <w:r>
              <w:rPr>
                <w:rFonts w:hint="eastAsia"/>
                <w:szCs w:val="21"/>
              </w:rPr>
              <w:t>P25-26；P25；P26</w:t>
            </w:r>
          </w:p>
        </w:tc>
      </w:tr>
      <w:tr>
        <w:trPr>
          <w:trHeight w:val="340" w:hRule="atLeast"/>
        </w:trPr>
        <w:tc>
          <w:tcPr>
            <w:tcW w:w="810" w:type="dxa"/>
            <w:tcBorders>
              <w:tl2br w:val="nil"/>
              <w:tr2bl w:val="nil"/>
            </w:tcBorders>
            <w:vAlign w:val="center"/>
          </w:tcPr>
          <w:p>
            <w:pPr>
              <w:jc w:val="center"/>
              <w:rPr>
                <w:szCs w:val="21"/>
              </w:rPr>
            </w:pPr>
            <w:r>
              <w:rPr>
                <w:rFonts w:hint="eastAsia"/>
                <w:szCs w:val="21"/>
              </w:rPr>
              <w:t>5</w:t>
            </w:r>
          </w:p>
        </w:tc>
        <w:tc>
          <w:tcPr>
            <w:tcW w:w="6288" w:type="dxa"/>
            <w:tcBorders>
              <w:tl2br w:val="nil"/>
              <w:tr2bl w:val="nil"/>
            </w:tcBorders>
            <w:vAlign w:val="center"/>
          </w:tcPr>
          <w:p>
            <w:pPr>
              <w:jc w:val="center"/>
              <w:rPr>
                <w:szCs w:val="21"/>
              </w:rPr>
            </w:pPr>
            <w:r>
              <w:rPr>
                <w:rFonts w:hint="eastAsia"/>
                <w:szCs w:val="21"/>
              </w:rPr>
              <w:t>细化施工期环境影响及污染防治措施内容，建议补充旧锅炉拆除方案，明确拆除废物的分类处置去向。</w:t>
            </w:r>
          </w:p>
        </w:tc>
        <w:tc>
          <w:tcPr>
            <w:tcW w:w="1958" w:type="dxa"/>
            <w:tcBorders>
              <w:tl2br w:val="nil"/>
              <w:tr2bl w:val="nil"/>
            </w:tcBorders>
            <w:vAlign w:val="center"/>
          </w:tcPr>
          <w:p>
            <w:pPr>
              <w:jc w:val="center"/>
              <w:rPr>
                <w:szCs w:val="21"/>
              </w:rPr>
            </w:pPr>
            <w:r>
              <w:rPr>
                <w:rFonts w:hint="eastAsia"/>
                <w:szCs w:val="21"/>
              </w:rPr>
              <w:t>P32</w:t>
            </w:r>
          </w:p>
        </w:tc>
      </w:tr>
      <w:tr>
        <w:trPr>
          <w:trHeight w:val="340" w:hRule="atLeast"/>
        </w:trPr>
        <w:tc>
          <w:tcPr>
            <w:tcW w:w="810" w:type="dxa"/>
            <w:tcBorders>
              <w:tl2br w:val="nil"/>
              <w:tr2bl w:val="nil"/>
            </w:tcBorders>
            <w:vAlign w:val="center"/>
          </w:tcPr>
          <w:p>
            <w:pPr>
              <w:jc w:val="center"/>
              <w:rPr>
                <w:szCs w:val="21"/>
              </w:rPr>
            </w:pPr>
            <w:r>
              <w:rPr>
                <w:rFonts w:hint="eastAsia"/>
                <w:szCs w:val="21"/>
              </w:rPr>
              <w:t>6</w:t>
            </w:r>
          </w:p>
        </w:tc>
        <w:tc>
          <w:tcPr>
            <w:tcW w:w="6288" w:type="dxa"/>
            <w:tcBorders>
              <w:tl2br w:val="nil"/>
              <w:tr2bl w:val="nil"/>
            </w:tcBorders>
            <w:vAlign w:val="center"/>
          </w:tcPr>
          <w:p>
            <w:pPr>
              <w:jc w:val="center"/>
              <w:rPr>
                <w:szCs w:val="21"/>
              </w:rPr>
            </w:pPr>
            <w:r>
              <w:rPr>
                <w:rFonts w:hint="eastAsia"/>
                <w:szCs w:val="21"/>
              </w:rPr>
              <w:t>复核锅炉大气污染物源强及污染物排放量核算结果（结合复核后燃料用量、采暖期及非采暖期运行方案），复核烟气量，充实氮氧化物浓度确定依据。本项目为“等容量替换”，说明新锅炉排放量与现有锅炉排放量差别较大的原因，并完善建设项目污染物排放量汇总表。</w:t>
            </w:r>
          </w:p>
        </w:tc>
        <w:tc>
          <w:tcPr>
            <w:tcW w:w="1958" w:type="dxa"/>
            <w:tcBorders>
              <w:tl2br w:val="nil"/>
              <w:tr2bl w:val="nil"/>
            </w:tcBorders>
            <w:vAlign w:val="center"/>
          </w:tcPr>
          <w:p>
            <w:pPr>
              <w:jc w:val="center"/>
              <w:rPr>
                <w:szCs w:val="21"/>
              </w:rPr>
            </w:pPr>
            <w:r>
              <w:rPr>
                <w:rFonts w:hint="eastAsia"/>
                <w:szCs w:val="21"/>
              </w:rPr>
              <w:t>P33-35；P49-50</w:t>
            </w:r>
          </w:p>
        </w:tc>
      </w:tr>
      <w:tr>
        <w:trPr>
          <w:trHeight w:val="340" w:hRule="atLeast"/>
        </w:trPr>
        <w:tc>
          <w:tcPr>
            <w:tcW w:w="810" w:type="dxa"/>
            <w:tcBorders>
              <w:tl2br w:val="nil"/>
              <w:tr2bl w:val="nil"/>
            </w:tcBorders>
            <w:vAlign w:val="center"/>
          </w:tcPr>
          <w:p>
            <w:pPr>
              <w:jc w:val="center"/>
              <w:rPr>
                <w:szCs w:val="21"/>
              </w:rPr>
            </w:pPr>
            <w:r>
              <w:rPr>
                <w:rFonts w:hint="eastAsia"/>
                <w:szCs w:val="21"/>
              </w:rPr>
              <w:t>7</w:t>
            </w:r>
          </w:p>
        </w:tc>
        <w:tc>
          <w:tcPr>
            <w:tcW w:w="6288" w:type="dxa"/>
            <w:tcBorders>
              <w:tl2br w:val="nil"/>
              <w:tr2bl w:val="nil"/>
            </w:tcBorders>
            <w:vAlign w:val="center"/>
          </w:tcPr>
          <w:p>
            <w:pPr>
              <w:jc w:val="center"/>
              <w:rPr>
                <w:szCs w:val="21"/>
              </w:rPr>
            </w:pPr>
            <w:r>
              <w:rPr>
                <w:rFonts w:hint="eastAsia"/>
                <w:szCs w:val="21"/>
              </w:rPr>
              <w:t>结合锅炉房在厂区内的位置，完善噪声影响分析预测分析，充实噪声控制措施，进一步完善厂界达标情况分析。</w:t>
            </w:r>
          </w:p>
        </w:tc>
        <w:tc>
          <w:tcPr>
            <w:tcW w:w="1958" w:type="dxa"/>
            <w:tcBorders>
              <w:tl2br w:val="nil"/>
              <w:tr2bl w:val="nil"/>
            </w:tcBorders>
            <w:vAlign w:val="center"/>
          </w:tcPr>
          <w:p>
            <w:pPr>
              <w:jc w:val="center"/>
              <w:rPr>
                <w:szCs w:val="21"/>
              </w:rPr>
            </w:pPr>
            <w:r>
              <w:rPr>
                <w:rFonts w:hint="eastAsia"/>
                <w:szCs w:val="21"/>
              </w:rPr>
              <w:t>P37-39</w:t>
            </w:r>
          </w:p>
        </w:tc>
      </w:tr>
      <w:tr>
        <w:trPr>
          <w:trHeight w:val="340" w:hRule="atLeast"/>
        </w:trPr>
        <w:tc>
          <w:tcPr>
            <w:tcW w:w="9056" w:type="dxa"/>
            <w:gridSpan w:val="3"/>
            <w:tcBorders>
              <w:tl2br w:val="nil"/>
              <w:tr2bl w:val="nil"/>
            </w:tcBorders>
            <w:vAlign w:val="center"/>
          </w:tcPr>
          <w:p>
            <w:pPr>
              <w:jc w:val="center"/>
              <w:rPr>
                <w:b/>
                <w:bCs/>
                <w:szCs w:val="21"/>
              </w:rPr>
            </w:pPr>
            <w:r>
              <w:rPr>
                <w:rFonts w:hint="eastAsia"/>
                <w:b/>
                <w:bCs/>
                <w:szCs w:val="21"/>
              </w:rPr>
              <w:t>张丹</w:t>
            </w:r>
            <w:r>
              <w:rPr>
                <w:b/>
                <w:bCs/>
                <w:szCs w:val="21"/>
              </w:rPr>
              <w:t>专家个人意见</w:t>
            </w:r>
          </w:p>
        </w:tc>
      </w:tr>
      <w:tr>
        <w:trPr>
          <w:trHeight w:val="340" w:hRule="atLeast"/>
        </w:trPr>
        <w:tc>
          <w:tcPr>
            <w:tcW w:w="810" w:type="dxa"/>
            <w:tcBorders>
              <w:tl2br w:val="nil"/>
              <w:tr2bl w:val="nil"/>
            </w:tcBorders>
            <w:vAlign w:val="center"/>
          </w:tcPr>
          <w:p>
            <w:pPr>
              <w:jc w:val="center"/>
              <w:rPr>
                <w:szCs w:val="21"/>
              </w:rPr>
            </w:pPr>
            <w:r>
              <w:rPr>
                <w:szCs w:val="21"/>
              </w:rPr>
              <w:t>1</w:t>
            </w:r>
          </w:p>
        </w:tc>
        <w:tc>
          <w:tcPr>
            <w:tcW w:w="6288" w:type="dxa"/>
            <w:tcBorders>
              <w:tl2br w:val="nil"/>
              <w:tr2bl w:val="nil"/>
            </w:tcBorders>
            <w:vAlign w:val="center"/>
          </w:tcPr>
          <w:p>
            <w:pPr>
              <w:jc w:val="center"/>
              <w:rPr>
                <w:szCs w:val="21"/>
              </w:rPr>
            </w:pPr>
            <w:r>
              <w:rPr>
                <w:rFonts w:hint="eastAsia"/>
                <w:szCs w:val="21"/>
              </w:rPr>
              <w:t>补充主行业类别，复核规划符合性分析，“企业为屠宰企业，属于食品加工类项目”不准确，本项目应为农副食品加工业。</w:t>
            </w:r>
          </w:p>
        </w:tc>
        <w:tc>
          <w:tcPr>
            <w:tcW w:w="1958" w:type="dxa"/>
            <w:tcBorders>
              <w:tl2br w:val="nil"/>
              <w:tr2bl w:val="nil"/>
            </w:tcBorders>
            <w:vAlign w:val="center"/>
          </w:tcPr>
          <w:p>
            <w:pPr>
              <w:jc w:val="center"/>
              <w:rPr>
                <w:szCs w:val="21"/>
              </w:rPr>
            </w:pPr>
            <w:r>
              <w:rPr>
                <w:rFonts w:hint="eastAsia"/>
                <w:szCs w:val="21"/>
              </w:rPr>
              <w:t>P2-6；P10；P12；P14</w:t>
            </w:r>
          </w:p>
        </w:tc>
      </w:tr>
      <w:tr>
        <w:trPr>
          <w:trHeight w:val="340" w:hRule="atLeast"/>
        </w:trPr>
        <w:tc>
          <w:tcPr>
            <w:tcW w:w="810" w:type="dxa"/>
            <w:tcBorders>
              <w:tl2br w:val="nil"/>
              <w:tr2bl w:val="nil"/>
            </w:tcBorders>
            <w:vAlign w:val="center"/>
          </w:tcPr>
          <w:p>
            <w:pPr>
              <w:jc w:val="center"/>
              <w:rPr>
                <w:szCs w:val="21"/>
              </w:rPr>
            </w:pPr>
            <w:r>
              <w:rPr>
                <w:szCs w:val="21"/>
              </w:rPr>
              <w:t>2</w:t>
            </w:r>
          </w:p>
        </w:tc>
        <w:tc>
          <w:tcPr>
            <w:tcW w:w="6288" w:type="dxa"/>
            <w:tcBorders>
              <w:tl2br w:val="nil"/>
              <w:tr2bl w:val="nil"/>
            </w:tcBorders>
            <w:vAlign w:val="center"/>
          </w:tcPr>
          <w:p>
            <w:pPr>
              <w:jc w:val="center"/>
              <w:rPr>
                <w:szCs w:val="21"/>
              </w:rPr>
            </w:pPr>
            <w:r>
              <w:rPr>
                <w:rFonts w:hint="eastAsia"/>
                <w:szCs w:val="21"/>
              </w:rPr>
              <w:t>根据《吉林省生态环境准入清单》的函（吉环函</w:t>
            </w:r>
            <w:r>
              <w:rPr>
                <w:szCs w:val="21"/>
              </w:rPr>
              <w:t>【2024】158号</w:t>
            </w:r>
            <w:r>
              <w:rPr>
                <w:rFonts w:hint="eastAsia"/>
                <w:szCs w:val="21"/>
              </w:rPr>
              <w:t>），完善项目环境准入负面清单内容及“三线一单”等符合性分析内容。</w:t>
            </w:r>
          </w:p>
        </w:tc>
        <w:tc>
          <w:tcPr>
            <w:tcW w:w="1958" w:type="dxa"/>
            <w:tcBorders>
              <w:tl2br w:val="nil"/>
              <w:tr2bl w:val="nil"/>
            </w:tcBorders>
            <w:vAlign w:val="center"/>
          </w:tcPr>
          <w:p>
            <w:pPr>
              <w:jc w:val="center"/>
              <w:rPr>
                <w:szCs w:val="21"/>
              </w:rPr>
            </w:pPr>
            <w:r>
              <w:rPr>
                <w:rFonts w:hint="eastAsia"/>
                <w:szCs w:val="21"/>
              </w:rPr>
              <w:t>P6-11</w:t>
            </w:r>
          </w:p>
        </w:tc>
      </w:tr>
      <w:tr>
        <w:trPr>
          <w:trHeight w:val="340" w:hRule="atLeast"/>
        </w:trPr>
        <w:tc>
          <w:tcPr>
            <w:tcW w:w="810" w:type="dxa"/>
            <w:tcBorders>
              <w:tl2br w:val="nil"/>
              <w:tr2bl w:val="nil"/>
            </w:tcBorders>
            <w:vAlign w:val="center"/>
          </w:tcPr>
          <w:p>
            <w:pPr>
              <w:jc w:val="center"/>
              <w:rPr>
                <w:szCs w:val="21"/>
              </w:rPr>
            </w:pPr>
            <w:r>
              <w:rPr>
                <w:szCs w:val="21"/>
              </w:rPr>
              <w:t>3</w:t>
            </w:r>
          </w:p>
        </w:tc>
        <w:tc>
          <w:tcPr>
            <w:tcW w:w="6288" w:type="dxa"/>
            <w:tcBorders>
              <w:tl2br w:val="nil"/>
              <w:tr2bl w:val="nil"/>
            </w:tcBorders>
            <w:vAlign w:val="center"/>
          </w:tcPr>
          <w:p>
            <w:pPr>
              <w:jc w:val="center"/>
              <w:rPr>
                <w:szCs w:val="21"/>
              </w:rPr>
            </w:pPr>
            <w:r>
              <w:rPr>
                <w:rFonts w:hint="eastAsia"/>
                <w:szCs w:val="21"/>
              </w:rPr>
              <w:t>表10项目工程组成表中补充：锅炉烟囱是利旧还是拆除重建；锅炉房已拆除，燃料堆场和灰渣堆场如何利旧？厂区内现有水井井深、出水量及取水许可证办理情况。</w:t>
            </w:r>
          </w:p>
        </w:tc>
        <w:tc>
          <w:tcPr>
            <w:tcW w:w="1958" w:type="dxa"/>
            <w:tcBorders>
              <w:tl2br w:val="nil"/>
              <w:tr2bl w:val="nil"/>
            </w:tcBorders>
            <w:vAlign w:val="center"/>
          </w:tcPr>
          <w:p>
            <w:pPr>
              <w:jc w:val="center"/>
              <w:rPr>
                <w:szCs w:val="21"/>
              </w:rPr>
            </w:pPr>
            <w:r>
              <w:rPr>
                <w:rFonts w:hint="eastAsia"/>
                <w:szCs w:val="21"/>
              </w:rPr>
              <w:t>P15-16；P17</w:t>
            </w:r>
          </w:p>
        </w:tc>
      </w:tr>
      <w:tr>
        <w:trPr>
          <w:trHeight w:val="340" w:hRule="atLeast"/>
        </w:trPr>
        <w:tc>
          <w:tcPr>
            <w:tcW w:w="810" w:type="dxa"/>
            <w:tcBorders>
              <w:tl2br w:val="nil"/>
              <w:tr2bl w:val="nil"/>
            </w:tcBorders>
            <w:vAlign w:val="center"/>
          </w:tcPr>
          <w:p>
            <w:pPr>
              <w:jc w:val="center"/>
              <w:rPr>
                <w:szCs w:val="21"/>
              </w:rPr>
            </w:pPr>
            <w:r>
              <w:rPr>
                <w:szCs w:val="21"/>
              </w:rPr>
              <w:t>4</w:t>
            </w:r>
          </w:p>
        </w:tc>
        <w:tc>
          <w:tcPr>
            <w:tcW w:w="6288" w:type="dxa"/>
            <w:tcBorders>
              <w:tl2br w:val="nil"/>
              <w:tr2bl w:val="nil"/>
            </w:tcBorders>
            <w:vAlign w:val="center"/>
          </w:tcPr>
          <w:p>
            <w:pPr>
              <w:jc w:val="center"/>
              <w:rPr>
                <w:szCs w:val="21"/>
              </w:rPr>
            </w:pPr>
            <w:r>
              <w:rPr>
                <w:rFonts w:hint="eastAsia"/>
                <w:szCs w:val="21"/>
              </w:rPr>
              <w:t>完善设备一览表，补充引风机、泵等设备。</w:t>
            </w:r>
          </w:p>
        </w:tc>
        <w:tc>
          <w:tcPr>
            <w:tcW w:w="1958" w:type="dxa"/>
            <w:tcBorders>
              <w:tl2br w:val="nil"/>
              <w:tr2bl w:val="nil"/>
            </w:tcBorders>
            <w:vAlign w:val="center"/>
          </w:tcPr>
          <w:p>
            <w:pPr>
              <w:jc w:val="center"/>
              <w:rPr>
                <w:szCs w:val="21"/>
              </w:rPr>
            </w:pPr>
            <w:r>
              <w:rPr>
                <w:rFonts w:hint="eastAsia"/>
                <w:szCs w:val="21"/>
              </w:rPr>
              <w:t>P16</w:t>
            </w:r>
          </w:p>
        </w:tc>
      </w:tr>
      <w:tr>
        <w:trPr>
          <w:trHeight w:val="340" w:hRule="atLeast"/>
        </w:trPr>
        <w:tc>
          <w:tcPr>
            <w:tcW w:w="810" w:type="dxa"/>
            <w:tcBorders>
              <w:tl2br w:val="nil"/>
              <w:tr2bl w:val="nil"/>
            </w:tcBorders>
            <w:vAlign w:val="center"/>
          </w:tcPr>
          <w:p>
            <w:pPr>
              <w:jc w:val="center"/>
              <w:rPr>
                <w:szCs w:val="21"/>
              </w:rPr>
            </w:pPr>
            <w:r>
              <w:rPr>
                <w:szCs w:val="21"/>
              </w:rPr>
              <w:t>5</w:t>
            </w:r>
          </w:p>
        </w:tc>
        <w:tc>
          <w:tcPr>
            <w:tcW w:w="6288" w:type="dxa"/>
            <w:tcBorders>
              <w:tl2br w:val="nil"/>
              <w:tr2bl w:val="nil"/>
            </w:tcBorders>
            <w:vAlign w:val="center"/>
          </w:tcPr>
          <w:p>
            <w:pPr>
              <w:jc w:val="center"/>
              <w:rPr>
                <w:szCs w:val="21"/>
              </w:rPr>
            </w:pPr>
            <w:r>
              <w:rPr>
                <w:rFonts w:hint="eastAsia"/>
                <w:szCs w:val="21"/>
              </w:rPr>
              <w:t>复核生产工况，复核燃料用量。复核用水量及水平衡。</w:t>
            </w:r>
          </w:p>
        </w:tc>
        <w:tc>
          <w:tcPr>
            <w:tcW w:w="1958" w:type="dxa"/>
            <w:tcBorders>
              <w:tl2br w:val="nil"/>
              <w:tr2bl w:val="nil"/>
            </w:tcBorders>
            <w:vAlign w:val="center"/>
          </w:tcPr>
          <w:p>
            <w:pPr>
              <w:jc w:val="center"/>
            </w:pPr>
            <w:r>
              <w:rPr>
                <w:rFonts w:hint="eastAsia"/>
                <w:szCs w:val="21"/>
              </w:rPr>
              <w:t>P17-18</w:t>
            </w:r>
          </w:p>
        </w:tc>
      </w:tr>
      <w:tr>
        <w:trPr>
          <w:trHeight w:val="340" w:hRule="atLeast"/>
        </w:trPr>
        <w:tc>
          <w:tcPr>
            <w:tcW w:w="810" w:type="dxa"/>
            <w:tcBorders>
              <w:tl2br w:val="nil"/>
              <w:tr2bl w:val="nil"/>
            </w:tcBorders>
            <w:vAlign w:val="center"/>
          </w:tcPr>
          <w:p>
            <w:pPr>
              <w:jc w:val="center"/>
              <w:rPr>
                <w:szCs w:val="21"/>
              </w:rPr>
            </w:pPr>
            <w:r>
              <w:rPr>
                <w:szCs w:val="21"/>
              </w:rPr>
              <w:t>6</w:t>
            </w:r>
          </w:p>
        </w:tc>
        <w:tc>
          <w:tcPr>
            <w:tcW w:w="6288" w:type="dxa"/>
            <w:tcBorders>
              <w:tl2br w:val="nil"/>
              <w:tr2bl w:val="nil"/>
            </w:tcBorders>
            <w:vAlign w:val="center"/>
          </w:tcPr>
          <w:p>
            <w:pPr>
              <w:jc w:val="center"/>
              <w:rPr>
                <w:szCs w:val="21"/>
              </w:rPr>
            </w:pPr>
            <w:r>
              <w:rPr>
                <w:rFonts w:hint="eastAsia"/>
                <w:szCs w:val="21"/>
              </w:rPr>
              <w:t>表14产排污环节一览表，复核废水污染因子，复核本项目是否有废机油产生。</w:t>
            </w:r>
          </w:p>
        </w:tc>
        <w:tc>
          <w:tcPr>
            <w:tcW w:w="1958" w:type="dxa"/>
            <w:tcBorders>
              <w:tl2br w:val="nil"/>
              <w:tr2bl w:val="nil"/>
            </w:tcBorders>
            <w:vAlign w:val="center"/>
          </w:tcPr>
          <w:p>
            <w:pPr>
              <w:jc w:val="center"/>
              <w:rPr>
                <w:szCs w:val="21"/>
              </w:rPr>
            </w:pPr>
            <w:r>
              <w:rPr>
                <w:rFonts w:hint="eastAsia"/>
                <w:szCs w:val="21"/>
              </w:rPr>
              <w:t>P21</w:t>
            </w:r>
          </w:p>
        </w:tc>
      </w:tr>
      <w:tr>
        <w:trPr>
          <w:trHeight w:val="340" w:hRule="atLeast"/>
        </w:trPr>
        <w:tc>
          <w:tcPr>
            <w:tcW w:w="810" w:type="dxa"/>
            <w:tcBorders>
              <w:tl2br w:val="nil"/>
              <w:tr2bl w:val="nil"/>
            </w:tcBorders>
            <w:vAlign w:val="center"/>
          </w:tcPr>
          <w:p>
            <w:pPr>
              <w:jc w:val="center"/>
              <w:rPr>
                <w:szCs w:val="21"/>
              </w:rPr>
            </w:pPr>
            <w:r>
              <w:rPr>
                <w:szCs w:val="21"/>
              </w:rPr>
              <w:t>7</w:t>
            </w:r>
          </w:p>
        </w:tc>
        <w:tc>
          <w:tcPr>
            <w:tcW w:w="6288" w:type="dxa"/>
            <w:tcBorders>
              <w:tl2br w:val="nil"/>
              <w:tr2bl w:val="nil"/>
            </w:tcBorders>
            <w:vAlign w:val="center"/>
          </w:tcPr>
          <w:p>
            <w:pPr>
              <w:jc w:val="center"/>
              <w:rPr>
                <w:szCs w:val="21"/>
              </w:rPr>
            </w:pPr>
            <w:r>
              <w:rPr>
                <w:rFonts w:hint="eastAsia"/>
                <w:szCs w:val="21"/>
              </w:rPr>
              <w:t>复核项目是否存在原有环境问题，废水应执行《屠宰及肉类加工工业水污染物排放标准排放标准》（GB13457-2025）标准；补充原有锅炉运行情况、燃料使用情况、总量批复情况等。</w:t>
            </w:r>
          </w:p>
        </w:tc>
        <w:tc>
          <w:tcPr>
            <w:tcW w:w="1958" w:type="dxa"/>
            <w:tcBorders>
              <w:tl2br w:val="nil"/>
              <w:tr2bl w:val="nil"/>
            </w:tcBorders>
            <w:vAlign w:val="center"/>
          </w:tcPr>
          <w:p>
            <w:pPr>
              <w:jc w:val="center"/>
              <w:rPr>
                <w:szCs w:val="21"/>
              </w:rPr>
            </w:pPr>
            <w:r>
              <w:rPr>
                <w:rFonts w:hint="eastAsia"/>
                <w:szCs w:val="21"/>
              </w:rPr>
              <w:t>P26；现有企业2028年1月1日执行新标准；P22</w:t>
            </w:r>
          </w:p>
        </w:tc>
      </w:tr>
      <w:tr>
        <w:trPr>
          <w:trHeight w:val="340" w:hRule="atLeast"/>
        </w:trPr>
        <w:tc>
          <w:tcPr>
            <w:tcW w:w="810" w:type="dxa"/>
            <w:tcBorders>
              <w:tl2br w:val="nil"/>
              <w:tr2bl w:val="nil"/>
            </w:tcBorders>
            <w:vAlign w:val="center"/>
          </w:tcPr>
          <w:p>
            <w:pPr>
              <w:jc w:val="center"/>
              <w:rPr>
                <w:szCs w:val="21"/>
              </w:rPr>
            </w:pPr>
            <w:r>
              <w:rPr>
                <w:szCs w:val="21"/>
              </w:rPr>
              <w:t>8</w:t>
            </w:r>
          </w:p>
        </w:tc>
        <w:tc>
          <w:tcPr>
            <w:tcW w:w="6288" w:type="dxa"/>
            <w:tcBorders>
              <w:tl2br w:val="nil"/>
              <w:tr2bl w:val="nil"/>
            </w:tcBorders>
            <w:vAlign w:val="center"/>
          </w:tcPr>
          <w:p>
            <w:pPr>
              <w:jc w:val="center"/>
              <w:rPr>
                <w:szCs w:val="21"/>
              </w:rPr>
            </w:pPr>
            <w:r>
              <w:rPr>
                <w:rFonts w:hint="eastAsia"/>
                <w:szCs w:val="21"/>
              </w:rPr>
              <w:t>复核施工期污染物排放情况，复核施工人员数量等。</w:t>
            </w:r>
          </w:p>
        </w:tc>
        <w:tc>
          <w:tcPr>
            <w:tcW w:w="1958" w:type="dxa"/>
            <w:tcBorders>
              <w:tl2br w:val="nil"/>
              <w:tr2bl w:val="nil"/>
            </w:tcBorders>
            <w:vAlign w:val="center"/>
          </w:tcPr>
          <w:p>
            <w:pPr>
              <w:jc w:val="center"/>
              <w:rPr>
                <w:szCs w:val="21"/>
              </w:rPr>
            </w:pPr>
            <w:r>
              <w:rPr>
                <w:rFonts w:hint="eastAsia"/>
                <w:szCs w:val="21"/>
              </w:rPr>
              <w:t>P32</w:t>
            </w:r>
          </w:p>
        </w:tc>
      </w:tr>
      <w:tr>
        <w:trPr>
          <w:trHeight w:val="340" w:hRule="atLeast"/>
        </w:trPr>
        <w:tc>
          <w:tcPr>
            <w:tcW w:w="810" w:type="dxa"/>
            <w:tcBorders>
              <w:tl2br w:val="nil"/>
              <w:tr2bl w:val="nil"/>
            </w:tcBorders>
            <w:vAlign w:val="center"/>
          </w:tcPr>
          <w:p>
            <w:pPr>
              <w:jc w:val="center"/>
              <w:rPr>
                <w:szCs w:val="21"/>
              </w:rPr>
            </w:pPr>
            <w:r>
              <w:rPr>
                <w:szCs w:val="21"/>
              </w:rPr>
              <w:t>9</w:t>
            </w:r>
          </w:p>
        </w:tc>
        <w:tc>
          <w:tcPr>
            <w:tcW w:w="6288" w:type="dxa"/>
            <w:tcBorders>
              <w:tl2br w:val="nil"/>
              <w:tr2bl w:val="nil"/>
            </w:tcBorders>
            <w:vAlign w:val="center"/>
          </w:tcPr>
          <w:p>
            <w:pPr>
              <w:jc w:val="center"/>
              <w:rPr>
                <w:szCs w:val="21"/>
              </w:rPr>
            </w:pPr>
            <w:r>
              <w:rPr>
                <w:rFonts w:hint="eastAsia"/>
                <w:szCs w:val="21"/>
              </w:rPr>
              <w:t>复核除尘器除尘效率。复核污染物排放量，复核二氧化硫计算过程。复核固体废物产生量及处理方式。</w:t>
            </w:r>
          </w:p>
        </w:tc>
        <w:tc>
          <w:tcPr>
            <w:tcW w:w="1958" w:type="dxa"/>
            <w:tcBorders>
              <w:tl2br w:val="nil"/>
              <w:tr2bl w:val="nil"/>
            </w:tcBorders>
            <w:vAlign w:val="center"/>
          </w:tcPr>
          <w:p>
            <w:pPr>
              <w:jc w:val="center"/>
              <w:rPr>
                <w:szCs w:val="21"/>
              </w:rPr>
            </w:pPr>
            <w:r>
              <w:rPr>
                <w:rFonts w:hint="eastAsia"/>
                <w:szCs w:val="21"/>
              </w:rPr>
              <w:t>P33-35；P39-40</w:t>
            </w:r>
          </w:p>
        </w:tc>
      </w:tr>
      <w:tr>
        <w:trPr>
          <w:trHeight w:val="340" w:hRule="atLeast"/>
        </w:trPr>
        <w:tc>
          <w:tcPr>
            <w:tcW w:w="810" w:type="dxa"/>
            <w:tcBorders>
              <w:tl2br w:val="nil"/>
              <w:tr2bl w:val="nil"/>
            </w:tcBorders>
            <w:vAlign w:val="center"/>
          </w:tcPr>
          <w:p>
            <w:pPr>
              <w:jc w:val="center"/>
              <w:rPr>
                <w:szCs w:val="21"/>
              </w:rPr>
            </w:pPr>
            <w:r>
              <w:rPr>
                <w:rFonts w:hint="eastAsia"/>
                <w:szCs w:val="21"/>
              </w:rPr>
              <w:t>10</w:t>
            </w:r>
          </w:p>
        </w:tc>
        <w:tc>
          <w:tcPr>
            <w:tcW w:w="6288" w:type="dxa"/>
            <w:tcBorders>
              <w:tl2br w:val="nil"/>
              <w:tr2bl w:val="nil"/>
            </w:tcBorders>
            <w:vAlign w:val="center"/>
          </w:tcPr>
          <w:p>
            <w:pPr>
              <w:jc w:val="center"/>
              <w:rPr>
                <w:szCs w:val="21"/>
              </w:rPr>
            </w:pPr>
            <w:r>
              <w:rPr>
                <w:rFonts w:hint="eastAsia"/>
                <w:szCs w:val="21"/>
              </w:rPr>
              <w:t>复核噪声源强及预测结果，噪声设备表里缺少锅炉等高噪声设备。</w:t>
            </w:r>
          </w:p>
        </w:tc>
        <w:tc>
          <w:tcPr>
            <w:tcW w:w="1958" w:type="dxa"/>
            <w:tcBorders>
              <w:tl2br w:val="nil"/>
              <w:tr2bl w:val="nil"/>
            </w:tcBorders>
            <w:vAlign w:val="center"/>
          </w:tcPr>
          <w:p>
            <w:pPr>
              <w:jc w:val="center"/>
              <w:rPr>
                <w:szCs w:val="21"/>
              </w:rPr>
            </w:pPr>
            <w:r>
              <w:rPr>
                <w:rFonts w:hint="eastAsia"/>
                <w:szCs w:val="21"/>
              </w:rPr>
              <w:t>P37-39</w:t>
            </w:r>
          </w:p>
        </w:tc>
      </w:tr>
      <w:tr>
        <w:trPr>
          <w:trHeight w:val="340" w:hRule="atLeast"/>
        </w:trPr>
        <w:tc>
          <w:tcPr>
            <w:tcW w:w="810" w:type="dxa"/>
            <w:tcBorders>
              <w:tl2br w:val="nil"/>
              <w:tr2bl w:val="nil"/>
            </w:tcBorders>
            <w:vAlign w:val="center"/>
          </w:tcPr>
          <w:p>
            <w:pPr>
              <w:jc w:val="center"/>
              <w:rPr>
                <w:szCs w:val="21"/>
              </w:rPr>
            </w:pPr>
            <w:r>
              <w:rPr>
                <w:rFonts w:hint="eastAsia"/>
                <w:szCs w:val="21"/>
              </w:rPr>
              <w:t>11</w:t>
            </w:r>
          </w:p>
        </w:tc>
        <w:tc>
          <w:tcPr>
            <w:tcW w:w="6288" w:type="dxa"/>
            <w:tcBorders>
              <w:tl2br w:val="nil"/>
              <w:tr2bl w:val="nil"/>
            </w:tcBorders>
            <w:vAlign w:val="center"/>
          </w:tcPr>
          <w:p>
            <w:pPr>
              <w:jc w:val="center"/>
              <w:rPr>
                <w:szCs w:val="21"/>
              </w:rPr>
            </w:pPr>
            <w:r>
              <w:rPr>
                <w:rFonts w:hint="eastAsia"/>
                <w:szCs w:val="21"/>
              </w:rPr>
              <w:t>复核环保投资。复核</w:t>
            </w:r>
            <w:r>
              <w:rPr>
                <w:szCs w:val="21"/>
              </w:rPr>
              <w:t>环境保护措施监督检查清单</w:t>
            </w:r>
            <w:r>
              <w:rPr>
                <w:rFonts w:hint="eastAsia"/>
                <w:szCs w:val="21"/>
              </w:rPr>
              <w:t>。完善附图，附件</w:t>
            </w:r>
          </w:p>
        </w:tc>
        <w:tc>
          <w:tcPr>
            <w:tcW w:w="1958" w:type="dxa"/>
            <w:tcBorders>
              <w:tl2br w:val="nil"/>
              <w:tr2bl w:val="nil"/>
            </w:tcBorders>
            <w:vAlign w:val="center"/>
          </w:tcPr>
          <w:p>
            <w:pPr>
              <w:jc w:val="center"/>
            </w:pPr>
            <w:r>
              <w:rPr>
                <w:rFonts w:hint="eastAsia"/>
                <w:szCs w:val="21"/>
              </w:rPr>
              <w:t>P43-44；P45-47；规范附图附件</w:t>
            </w:r>
          </w:p>
        </w:tc>
      </w:tr>
    </w:tbl>
    <w:p>
      <w:pPr>
        <w:spacing w:line="360" w:lineRule="auto"/>
        <w:jc w:val="center"/>
        <w:rPr>
          <w:b/>
          <w:bCs/>
          <w:sz w:val="24"/>
          <w:szCs w:val="32"/>
        </w:rPr>
      </w:pPr>
    </w:p>
    <w:p>
      <w:pPr>
        <w:rPr>
          <w:sz w:val="36"/>
          <w:szCs w:val="36"/>
        </w:rPr>
      </w:pPr>
    </w:p>
    <w:p>
      <w:pPr>
        <w:widowControl/>
        <w:spacing w:line="288" w:lineRule="auto"/>
        <w:jc w:val="left"/>
        <w:rPr>
          <w:sz w:val="36"/>
          <w:szCs w:val="36"/>
        </w:rPr>
        <w:sectPr>
          <w:pgSz w:w="11906" w:h="16838"/>
          <w:pgMar w:top="1701" w:right="1531" w:bottom="1701" w:left="1531" w:header="851" w:footer="1077" w:gutter="0"/>
          <w:pgNumType w:start="3"/>
          <w:cols w:space="720" w:num="1"/>
        </w:sectPr>
      </w:pPr>
      <w:r>
        <w:rPr>
          <w:rFonts w:hint="eastAsia" w:ascii="Times New Roman" w:hAnsi="Times New Roman" w:eastAsia="宋体" w:cs="Times New Roman"/>
          <w:kern w:val="2"/>
          <w:sz w:val="36"/>
          <w:szCs w:val="36"/>
          <w:lang w:val="en-US" w:eastAsia="zh-CN" w:bidi="ar-SA"/>
        </w:rPr>
        <w:pict>
          <v:shape id="图片框 1025" o:spid="_x0000_s1026" type="#_x0000_t75" style="height:664.65pt;width:443.75pt;rotation:0f;" o:ole="f" fillcolor="#FFFFFF" filled="f" o:preferrelative="t" stroked="f" coordorigin="0,0" coordsize="21600,21600">
            <v:fill on="f" color2="#FFFFFF" focus="0%"/>
            <v:imagedata gain="65536f" blacklevel="0f" gamma="0" o:title="" r:id="rId12"/>
            <o:lock v:ext="edit" position="f" selection="f" grouping="f" rotation="f" cropping="f" text="f" aspectratio="t"/>
            <w10:wrap type="none"/>
            <w10:anchorlock/>
          </v:shape>
        </w:pict>
      </w:r>
    </w:p>
    <w:p>
      <w:pPr>
        <w:pStyle w:val="16"/>
        <w:jc w:val="center"/>
        <w:outlineLvl w:val="0"/>
        <w:rPr>
          <w:rFonts w:ascii="Times New Roman" w:hAnsi="Times New Roman" w:cs="Times New Roman"/>
          <w:snapToGrid w:val="0"/>
          <w:sz w:val="30"/>
          <w:szCs w:val="30"/>
        </w:rPr>
      </w:pPr>
      <w:r>
        <w:rPr>
          <w:rFonts w:ascii="Times New Roman" w:hAnsi="Times New Roman" w:cs="Times New Roman"/>
          <w:snapToGrid w:val="0"/>
          <w:sz w:val="30"/>
          <w:szCs w:val="30"/>
        </w:rPr>
        <w:t>一、建设项目基本情况</w:t>
      </w:r>
    </w:p>
    <w:tbl>
      <w:tblPr>
        <w:tblW w:w="9662"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0" w:type="dxa"/>
          <w:right w:w="0" w:type="dxa"/>
        </w:tblCellMar>
      </w:tblPr>
      <w:tblGrid>
        <w:gridCol w:w="1574"/>
        <w:gridCol w:w="2805"/>
        <w:gridCol w:w="2408"/>
        <w:gridCol w:w="2875"/>
      </w:tblGrid>
      <w:tr>
        <w:trPr>
          <w:trHeight w:val="440" w:hRule="atLeast"/>
          <w:jc w:val="center"/>
        </w:trPr>
        <w:tc>
          <w:tcPr>
            <w:tcW w:w="1574" w:type="dxa"/>
            <w:tcBorders>
              <w:top w:val="single" w:color="auto" w:sz="8" w:space="0"/>
              <w:left w:val="single" w:color="auto" w:sz="8" w:space="0"/>
              <w:bottom w:val="single" w:color="auto" w:sz="4" w:space="0"/>
              <w:right w:val="single" w:color="auto" w:sz="4" w:space="0"/>
            </w:tcBorders>
            <w:tcMar>
              <w:top w:w="16" w:type="dxa"/>
              <w:left w:w="16" w:type="dxa"/>
              <w:bottom w:w="0" w:type="dxa"/>
              <w:right w:w="16" w:type="dxa"/>
            </w:tcMar>
            <w:vAlign w:val="center"/>
          </w:tcPr>
          <w:p>
            <w:pPr>
              <w:adjustRightInd w:val="0"/>
              <w:snapToGrid w:val="0"/>
              <w:jc w:val="center"/>
              <w:rPr>
                <w:szCs w:val="21"/>
              </w:rPr>
            </w:pPr>
            <w:r>
              <w:rPr>
                <w:szCs w:val="21"/>
              </w:rPr>
              <w:t>建设项目名称</w:t>
            </w:r>
          </w:p>
        </w:tc>
        <w:tc>
          <w:tcPr>
            <w:tcW w:w="8088" w:type="dxa"/>
            <w:gridSpan w:val="3"/>
            <w:tcBorders>
              <w:top w:val="single" w:color="auto" w:sz="8" w:space="0"/>
              <w:left w:val="single" w:color="auto" w:sz="4" w:space="0"/>
              <w:bottom w:val="single" w:color="auto" w:sz="4" w:space="0"/>
              <w:right w:val="single" w:color="auto" w:sz="8" w:space="0"/>
            </w:tcBorders>
            <w:vAlign w:val="center"/>
          </w:tcPr>
          <w:p>
            <w:pPr>
              <w:adjustRightInd w:val="0"/>
              <w:snapToGrid w:val="0"/>
              <w:jc w:val="center"/>
              <w:rPr>
                <w:szCs w:val="21"/>
              </w:rPr>
            </w:pPr>
            <w:r>
              <w:rPr>
                <w:rFonts w:hint="eastAsia"/>
                <w:szCs w:val="21"/>
              </w:rPr>
              <w:t>柳河县康华牧业有限责任公司锅炉改造项目</w:t>
            </w:r>
          </w:p>
        </w:tc>
      </w:tr>
      <w:tr>
        <w:trPr>
          <w:trHeight w:val="399" w:hRule="atLeast"/>
          <w:jc w:val="center"/>
        </w:trPr>
        <w:tc>
          <w:tcPr>
            <w:tcW w:w="1574" w:type="dxa"/>
            <w:tcBorders>
              <w:top w:val="single" w:color="auto" w:sz="4" w:space="0"/>
              <w:left w:val="single" w:color="auto" w:sz="8" w:space="0"/>
              <w:bottom w:val="single" w:color="auto" w:sz="4" w:space="0"/>
              <w:right w:val="single" w:color="auto" w:sz="4" w:space="0"/>
            </w:tcBorders>
            <w:tcMar>
              <w:top w:w="16" w:type="dxa"/>
              <w:left w:w="16" w:type="dxa"/>
              <w:bottom w:w="0" w:type="dxa"/>
              <w:right w:w="16" w:type="dxa"/>
            </w:tcMar>
            <w:vAlign w:val="center"/>
          </w:tcPr>
          <w:p>
            <w:pPr>
              <w:adjustRightInd w:val="0"/>
              <w:snapToGrid w:val="0"/>
              <w:jc w:val="center"/>
              <w:rPr>
                <w:szCs w:val="21"/>
              </w:rPr>
            </w:pPr>
            <w:r>
              <w:rPr>
                <w:szCs w:val="21"/>
              </w:rPr>
              <w:t>项目代码</w:t>
            </w:r>
          </w:p>
        </w:tc>
        <w:tc>
          <w:tcPr>
            <w:tcW w:w="8088" w:type="dxa"/>
            <w:gridSpan w:val="3"/>
            <w:tcBorders>
              <w:top w:val="single" w:color="auto" w:sz="4" w:space="0"/>
              <w:left w:val="single" w:color="auto" w:sz="4" w:space="0"/>
              <w:bottom w:val="single" w:color="auto" w:sz="4" w:space="0"/>
              <w:right w:val="single" w:color="auto" w:sz="8" w:space="0"/>
            </w:tcBorders>
            <w:vAlign w:val="center"/>
          </w:tcPr>
          <w:p>
            <w:pPr>
              <w:adjustRightInd w:val="0"/>
              <w:snapToGrid w:val="0"/>
              <w:jc w:val="center"/>
              <w:rPr>
                <w:szCs w:val="21"/>
              </w:rPr>
            </w:pPr>
            <w:r>
              <w:rPr>
                <w:szCs w:val="21"/>
              </w:rPr>
              <w:t>无</w:t>
            </w:r>
          </w:p>
        </w:tc>
      </w:tr>
      <w:tr>
        <w:trPr>
          <w:trHeight w:val="391" w:hRule="atLeast"/>
          <w:jc w:val="center"/>
        </w:trPr>
        <w:tc>
          <w:tcPr>
            <w:tcW w:w="1574" w:type="dxa"/>
            <w:tcBorders>
              <w:top w:val="single" w:color="auto" w:sz="4" w:space="0"/>
              <w:left w:val="single" w:color="auto" w:sz="8" w:space="0"/>
              <w:bottom w:val="single" w:color="auto" w:sz="4" w:space="0"/>
              <w:right w:val="single" w:color="auto" w:sz="4" w:space="0"/>
            </w:tcBorders>
            <w:tcMar>
              <w:top w:w="16" w:type="dxa"/>
              <w:left w:w="16" w:type="dxa"/>
              <w:bottom w:w="0" w:type="dxa"/>
              <w:right w:w="16" w:type="dxa"/>
            </w:tcMar>
            <w:vAlign w:val="center"/>
          </w:tcPr>
          <w:p>
            <w:pPr>
              <w:adjustRightInd w:val="0"/>
              <w:snapToGrid w:val="0"/>
              <w:jc w:val="center"/>
              <w:rPr>
                <w:szCs w:val="21"/>
              </w:rPr>
            </w:pPr>
            <w:r>
              <w:rPr>
                <w:szCs w:val="21"/>
              </w:rPr>
              <w:t>建设单位联系人</w:t>
            </w:r>
          </w:p>
        </w:tc>
        <w:tc>
          <w:tcPr>
            <w:tcW w:w="280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rPr>
            </w:pPr>
            <w:r>
              <w:rPr>
                <w:rFonts w:hint="eastAsia"/>
                <w:szCs w:val="21"/>
              </w:rPr>
              <w:t>于洪艳</w:t>
            </w:r>
          </w:p>
        </w:tc>
        <w:tc>
          <w:tcPr>
            <w:tcW w:w="240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rPr>
            </w:pPr>
            <w:r>
              <w:rPr>
                <w:szCs w:val="21"/>
              </w:rPr>
              <w:t>联系方式</w:t>
            </w:r>
          </w:p>
        </w:tc>
        <w:tc>
          <w:tcPr>
            <w:tcW w:w="2875" w:type="dxa"/>
            <w:tcBorders>
              <w:top w:val="single" w:color="auto" w:sz="4" w:space="0"/>
              <w:left w:val="single" w:color="auto" w:sz="4" w:space="0"/>
              <w:bottom w:val="single" w:color="auto" w:sz="4" w:space="0"/>
              <w:right w:val="single" w:color="auto" w:sz="8" w:space="0"/>
            </w:tcBorders>
            <w:vAlign w:val="center"/>
          </w:tcPr>
          <w:p>
            <w:pPr>
              <w:adjustRightInd w:val="0"/>
              <w:snapToGrid w:val="0"/>
              <w:jc w:val="center"/>
              <w:rPr>
                <w:szCs w:val="21"/>
              </w:rPr>
            </w:pPr>
            <w:r>
              <w:rPr>
                <w:szCs w:val="21"/>
              </w:rPr>
              <w:t>16624354449</w:t>
            </w:r>
          </w:p>
        </w:tc>
      </w:tr>
      <w:tr>
        <w:trPr>
          <w:trHeight w:val="411" w:hRule="atLeast"/>
          <w:jc w:val="center"/>
        </w:trPr>
        <w:tc>
          <w:tcPr>
            <w:tcW w:w="1574" w:type="dxa"/>
            <w:tcBorders>
              <w:top w:val="single" w:color="auto" w:sz="4" w:space="0"/>
              <w:left w:val="single" w:color="auto" w:sz="8" w:space="0"/>
              <w:bottom w:val="single" w:color="auto" w:sz="4" w:space="0"/>
              <w:right w:val="single" w:color="auto" w:sz="4" w:space="0"/>
            </w:tcBorders>
            <w:tcMar>
              <w:top w:w="16" w:type="dxa"/>
              <w:left w:w="16" w:type="dxa"/>
              <w:bottom w:w="0" w:type="dxa"/>
              <w:right w:w="16" w:type="dxa"/>
            </w:tcMar>
            <w:vAlign w:val="center"/>
          </w:tcPr>
          <w:p>
            <w:pPr>
              <w:adjustRightInd w:val="0"/>
              <w:snapToGrid w:val="0"/>
              <w:jc w:val="center"/>
              <w:rPr>
                <w:szCs w:val="21"/>
              </w:rPr>
            </w:pPr>
            <w:r>
              <w:rPr>
                <w:szCs w:val="21"/>
              </w:rPr>
              <w:t>建设地点</w:t>
            </w:r>
          </w:p>
        </w:tc>
        <w:tc>
          <w:tcPr>
            <w:tcW w:w="8088" w:type="dxa"/>
            <w:gridSpan w:val="3"/>
            <w:tcBorders>
              <w:top w:val="single" w:color="auto" w:sz="4" w:space="0"/>
              <w:left w:val="single" w:color="auto" w:sz="4" w:space="0"/>
              <w:bottom w:val="single" w:color="auto" w:sz="4" w:space="0"/>
              <w:right w:val="single" w:color="auto" w:sz="8" w:space="0"/>
            </w:tcBorders>
            <w:vAlign w:val="center"/>
          </w:tcPr>
          <w:p>
            <w:pPr>
              <w:adjustRightInd w:val="0"/>
              <w:snapToGrid w:val="0"/>
              <w:jc w:val="center"/>
              <w:rPr>
                <w:szCs w:val="21"/>
              </w:rPr>
            </w:pPr>
            <w:r>
              <w:rPr>
                <w:rFonts w:hint="eastAsia"/>
                <w:szCs w:val="21"/>
              </w:rPr>
              <w:t>吉林省通化市柳河县钓鱼台村东南侧</w:t>
            </w:r>
          </w:p>
        </w:tc>
      </w:tr>
      <w:tr>
        <w:trPr>
          <w:trHeight w:val="389" w:hRule="atLeast"/>
          <w:jc w:val="center"/>
        </w:trPr>
        <w:tc>
          <w:tcPr>
            <w:tcW w:w="1574" w:type="dxa"/>
            <w:tcBorders>
              <w:top w:val="single" w:color="auto" w:sz="4" w:space="0"/>
              <w:left w:val="single" w:color="auto" w:sz="8" w:space="0"/>
              <w:bottom w:val="single" w:color="auto" w:sz="4" w:space="0"/>
              <w:right w:val="single" w:color="auto" w:sz="4" w:space="0"/>
            </w:tcBorders>
            <w:tcMar>
              <w:top w:w="16" w:type="dxa"/>
              <w:left w:w="16" w:type="dxa"/>
              <w:bottom w:w="0" w:type="dxa"/>
              <w:right w:w="16" w:type="dxa"/>
            </w:tcMar>
            <w:vAlign w:val="center"/>
          </w:tcPr>
          <w:p>
            <w:pPr>
              <w:adjustRightInd w:val="0"/>
              <w:snapToGrid w:val="0"/>
              <w:jc w:val="center"/>
              <w:rPr>
                <w:szCs w:val="21"/>
              </w:rPr>
            </w:pPr>
            <w:r>
              <w:rPr>
                <w:szCs w:val="21"/>
              </w:rPr>
              <w:t>地理坐标</w:t>
            </w:r>
          </w:p>
        </w:tc>
        <w:tc>
          <w:tcPr>
            <w:tcW w:w="8088" w:type="dxa"/>
            <w:gridSpan w:val="3"/>
            <w:tcBorders>
              <w:top w:val="single" w:color="auto" w:sz="4" w:space="0"/>
              <w:left w:val="single" w:color="auto" w:sz="4" w:space="0"/>
              <w:bottom w:val="single" w:color="auto" w:sz="4" w:space="0"/>
              <w:right w:val="single" w:color="auto" w:sz="8" w:space="0"/>
            </w:tcBorders>
            <w:vAlign w:val="center"/>
          </w:tcPr>
          <w:p>
            <w:pPr>
              <w:jc w:val="center"/>
            </w:pPr>
            <w:r>
              <w:rPr>
                <w:szCs w:val="21"/>
              </w:rPr>
              <w:t>12</w:t>
            </w:r>
            <w:r>
              <w:rPr>
                <w:rFonts w:hint="eastAsia"/>
                <w:szCs w:val="21"/>
              </w:rPr>
              <w:t>5</w:t>
            </w:r>
            <w:r>
              <w:rPr>
                <w:szCs w:val="21"/>
              </w:rPr>
              <w:t>度</w:t>
            </w:r>
            <w:r>
              <w:rPr>
                <w:rFonts w:hint="eastAsia"/>
                <w:szCs w:val="21"/>
              </w:rPr>
              <w:t>45</w:t>
            </w:r>
            <w:r>
              <w:rPr>
                <w:szCs w:val="21"/>
              </w:rPr>
              <w:t>分</w:t>
            </w:r>
            <w:r>
              <w:rPr>
                <w:rFonts w:hint="eastAsia"/>
                <w:szCs w:val="21"/>
              </w:rPr>
              <w:t>44.011</w:t>
            </w:r>
            <w:r>
              <w:rPr>
                <w:szCs w:val="21"/>
              </w:rPr>
              <w:t>秒，42度</w:t>
            </w:r>
            <w:r>
              <w:rPr>
                <w:rFonts w:hint="eastAsia"/>
                <w:szCs w:val="21"/>
              </w:rPr>
              <w:t>18</w:t>
            </w:r>
            <w:r>
              <w:rPr>
                <w:szCs w:val="21"/>
              </w:rPr>
              <w:t>分</w:t>
            </w:r>
            <w:r>
              <w:rPr>
                <w:rFonts w:hint="eastAsia"/>
                <w:szCs w:val="21"/>
              </w:rPr>
              <w:t>23.767</w:t>
            </w:r>
            <w:r>
              <w:rPr>
                <w:szCs w:val="21"/>
              </w:rPr>
              <w:t>秒</w:t>
            </w:r>
          </w:p>
        </w:tc>
      </w:tr>
      <w:tr>
        <w:trPr>
          <w:trHeight w:val="73" w:hRule="atLeast"/>
          <w:jc w:val="center"/>
        </w:trPr>
        <w:tc>
          <w:tcPr>
            <w:tcW w:w="1574" w:type="dxa"/>
            <w:tcBorders>
              <w:top w:val="single" w:color="auto" w:sz="4" w:space="0"/>
              <w:left w:val="single" w:color="auto" w:sz="8" w:space="0"/>
              <w:bottom w:val="single" w:color="auto" w:sz="4" w:space="0"/>
              <w:right w:val="single" w:color="auto" w:sz="4" w:space="0"/>
            </w:tcBorders>
            <w:tcMar>
              <w:top w:w="16" w:type="dxa"/>
              <w:left w:w="16" w:type="dxa"/>
              <w:bottom w:w="0" w:type="dxa"/>
              <w:right w:w="16" w:type="dxa"/>
            </w:tcMar>
            <w:vAlign w:val="center"/>
          </w:tcPr>
          <w:p>
            <w:pPr>
              <w:adjustRightInd w:val="0"/>
              <w:snapToGrid w:val="0"/>
              <w:jc w:val="center"/>
              <w:rPr>
                <w:szCs w:val="21"/>
              </w:rPr>
            </w:pPr>
            <w:r>
              <w:rPr>
                <w:szCs w:val="21"/>
              </w:rPr>
              <w:t>国民经济</w:t>
            </w:r>
          </w:p>
          <w:p>
            <w:pPr>
              <w:adjustRightInd w:val="0"/>
              <w:snapToGrid w:val="0"/>
              <w:jc w:val="center"/>
              <w:rPr>
                <w:szCs w:val="21"/>
              </w:rPr>
            </w:pPr>
            <w:r>
              <w:rPr>
                <w:szCs w:val="21"/>
              </w:rPr>
              <w:t>行业类别</w:t>
            </w:r>
          </w:p>
        </w:tc>
        <w:tc>
          <w:tcPr>
            <w:tcW w:w="280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rPr>
            </w:pPr>
            <w:r>
              <w:rPr>
                <w:szCs w:val="21"/>
              </w:rPr>
              <w:t>D4430热力生产和供应</w:t>
            </w:r>
          </w:p>
        </w:tc>
        <w:tc>
          <w:tcPr>
            <w:tcW w:w="240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rPr>
            </w:pPr>
            <w:bookmarkStart w:id="1" w:name="_Hlk49843745"/>
            <w:r>
              <w:rPr>
                <w:szCs w:val="21"/>
              </w:rPr>
              <w:t>建设项目</w:t>
            </w:r>
          </w:p>
          <w:p>
            <w:pPr>
              <w:adjustRightInd w:val="0"/>
              <w:snapToGrid w:val="0"/>
              <w:jc w:val="center"/>
              <w:rPr>
                <w:szCs w:val="21"/>
              </w:rPr>
            </w:pPr>
            <w:r>
              <w:rPr>
                <w:szCs w:val="21"/>
              </w:rPr>
              <w:t>行业类别</w:t>
            </w:r>
            <w:bookmarkEnd w:id="1"/>
          </w:p>
        </w:tc>
        <w:tc>
          <w:tcPr>
            <w:tcW w:w="2875" w:type="dxa"/>
            <w:tcBorders>
              <w:top w:val="single" w:color="auto" w:sz="4" w:space="0"/>
              <w:left w:val="single" w:color="auto" w:sz="4" w:space="0"/>
              <w:bottom w:val="single" w:color="auto" w:sz="4" w:space="0"/>
              <w:right w:val="single" w:color="auto" w:sz="8" w:space="0"/>
            </w:tcBorders>
            <w:vAlign w:val="center"/>
          </w:tcPr>
          <w:p>
            <w:pPr>
              <w:adjustRightInd w:val="0"/>
              <w:snapToGrid w:val="0"/>
              <w:rPr>
                <w:szCs w:val="21"/>
              </w:rPr>
            </w:pPr>
            <w:r>
              <w:rPr>
                <w:szCs w:val="21"/>
              </w:rPr>
              <w:t>四十一、热力生产和供应业；91、热力生产和供应工程</w:t>
            </w:r>
          </w:p>
        </w:tc>
      </w:tr>
      <w:tr>
        <w:trPr>
          <w:trHeight w:val="350" w:hRule="atLeast"/>
          <w:jc w:val="center"/>
        </w:trPr>
        <w:tc>
          <w:tcPr>
            <w:tcW w:w="1574" w:type="dxa"/>
            <w:tcBorders>
              <w:top w:val="single" w:color="auto" w:sz="4" w:space="0"/>
              <w:left w:val="single" w:color="auto" w:sz="8" w:space="0"/>
              <w:bottom w:val="single" w:color="auto" w:sz="4" w:space="0"/>
              <w:right w:val="single" w:color="auto" w:sz="4" w:space="0"/>
            </w:tcBorders>
            <w:tcMar>
              <w:top w:w="16" w:type="dxa"/>
              <w:left w:w="16" w:type="dxa"/>
              <w:bottom w:w="0" w:type="dxa"/>
              <w:right w:w="16" w:type="dxa"/>
            </w:tcMar>
            <w:vAlign w:val="center"/>
          </w:tcPr>
          <w:p>
            <w:pPr>
              <w:adjustRightInd w:val="0"/>
              <w:snapToGrid w:val="0"/>
              <w:jc w:val="center"/>
              <w:rPr>
                <w:szCs w:val="21"/>
              </w:rPr>
            </w:pPr>
            <w:r>
              <w:rPr>
                <w:szCs w:val="21"/>
              </w:rPr>
              <w:t>建设性质</w:t>
            </w:r>
          </w:p>
        </w:tc>
        <w:tc>
          <w:tcPr>
            <w:tcW w:w="2805" w:type="dxa"/>
            <w:tcBorders>
              <w:top w:val="single" w:color="auto" w:sz="4" w:space="0"/>
              <w:left w:val="single" w:color="auto" w:sz="4" w:space="0"/>
              <w:bottom w:val="single" w:color="auto" w:sz="4" w:space="0"/>
              <w:right w:val="single" w:color="auto" w:sz="4" w:space="0"/>
            </w:tcBorders>
            <w:vAlign w:val="center"/>
          </w:tcPr>
          <w:p>
            <w:pPr>
              <w:jc w:val="left"/>
              <w:rPr>
                <w:szCs w:val="21"/>
              </w:rPr>
            </w:pPr>
            <w:r>
              <w:rPr>
                <w:rFonts w:hint="eastAsia"/>
                <w:szCs w:val="21"/>
              </w:rPr>
              <w:t>□</w:t>
            </w:r>
            <w:r>
              <w:rPr>
                <w:szCs w:val="21"/>
              </w:rPr>
              <w:t>新建（迁建）</w:t>
            </w:r>
          </w:p>
          <w:p>
            <w:pPr>
              <w:jc w:val="left"/>
              <w:rPr>
                <w:szCs w:val="21"/>
              </w:rPr>
            </w:pPr>
            <w:r>
              <w:rPr>
                <w:rFonts w:hint="eastAsia"/>
                <w:szCs w:val="21"/>
              </w:rPr>
              <w:t>☑</w:t>
            </w:r>
            <w:r>
              <w:rPr>
                <w:szCs w:val="21"/>
              </w:rPr>
              <w:t>改建</w:t>
            </w:r>
          </w:p>
          <w:p>
            <w:pPr>
              <w:jc w:val="left"/>
              <w:rPr>
                <w:szCs w:val="21"/>
              </w:rPr>
            </w:pPr>
            <w:r>
              <w:rPr>
                <w:rFonts w:hint="eastAsia"/>
                <w:szCs w:val="21"/>
              </w:rPr>
              <w:t>□</w:t>
            </w:r>
            <w:r>
              <w:rPr>
                <w:szCs w:val="21"/>
              </w:rPr>
              <w:t>扩建</w:t>
            </w:r>
          </w:p>
          <w:p>
            <w:pPr>
              <w:jc w:val="left"/>
              <w:rPr>
                <w:szCs w:val="21"/>
              </w:rPr>
            </w:pPr>
            <w:r>
              <w:rPr>
                <w:rFonts w:hint="eastAsia"/>
                <w:szCs w:val="21"/>
              </w:rPr>
              <w:t>□</w:t>
            </w:r>
            <w:r>
              <w:rPr>
                <w:szCs w:val="21"/>
              </w:rPr>
              <w:t>技术改造</w:t>
            </w:r>
          </w:p>
        </w:tc>
        <w:tc>
          <w:tcPr>
            <w:tcW w:w="240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rPr>
            </w:pPr>
            <w:r>
              <w:rPr>
                <w:szCs w:val="21"/>
              </w:rPr>
              <w:t>建设项目</w:t>
            </w:r>
          </w:p>
          <w:p>
            <w:pPr>
              <w:adjustRightInd w:val="0"/>
              <w:snapToGrid w:val="0"/>
              <w:jc w:val="center"/>
              <w:rPr>
                <w:szCs w:val="21"/>
              </w:rPr>
            </w:pPr>
            <w:r>
              <w:rPr>
                <w:szCs w:val="21"/>
              </w:rPr>
              <w:t>申报情形</w:t>
            </w:r>
          </w:p>
        </w:tc>
        <w:tc>
          <w:tcPr>
            <w:tcW w:w="2875" w:type="dxa"/>
            <w:tcBorders>
              <w:top w:val="single" w:color="auto" w:sz="4" w:space="0"/>
              <w:left w:val="single" w:color="auto" w:sz="4" w:space="0"/>
              <w:bottom w:val="single" w:color="auto" w:sz="4" w:space="0"/>
              <w:right w:val="single" w:color="auto" w:sz="8" w:space="0"/>
            </w:tcBorders>
            <w:vAlign w:val="center"/>
          </w:tcPr>
          <w:p>
            <w:pPr>
              <w:jc w:val="left"/>
              <w:rPr>
                <w:szCs w:val="21"/>
              </w:rPr>
            </w:pPr>
            <w:r>
              <w:rPr>
                <w:rFonts w:hint="eastAsia"/>
                <w:szCs w:val="21"/>
              </w:rPr>
              <w:t>☑</w:t>
            </w:r>
            <w:r>
              <w:rPr>
                <w:szCs w:val="21"/>
              </w:rPr>
              <w:t xml:space="preserve">首次申报项目             </w:t>
            </w:r>
          </w:p>
          <w:p>
            <w:pPr>
              <w:jc w:val="left"/>
              <w:rPr>
                <w:szCs w:val="21"/>
              </w:rPr>
            </w:pPr>
            <w:r>
              <w:rPr>
                <w:rFonts w:hint="eastAsia"/>
                <w:szCs w:val="21"/>
              </w:rPr>
              <w:t>□</w:t>
            </w:r>
            <w:r>
              <w:rPr>
                <w:szCs w:val="21"/>
              </w:rPr>
              <w:t>不予批准后再次申报项目</w:t>
            </w:r>
          </w:p>
          <w:p>
            <w:pPr>
              <w:jc w:val="left"/>
              <w:rPr>
                <w:szCs w:val="21"/>
              </w:rPr>
            </w:pPr>
            <w:r>
              <w:rPr>
                <w:rFonts w:hint="eastAsia"/>
                <w:szCs w:val="21"/>
              </w:rPr>
              <w:t>□</w:t>
            </w:r>
            <w:r>
              <w:rPr>
                <w:szCs w:val="21"/>
              </w:rPr>
              <w:t xml:space="preserve">超五年重新审核项目     </w:t>
            </w:r>
          </w:p>
          <w:p>
            <w:pPr>
              <w:jc w:val="left"/>
              <w:rPr>
                <w:szCs w:val="21"/>
              </w:rPr>
            </w:pPr>
            <w:r>
              <w:rPr>
                <w:rFonts w:hint="eastAsia"/>
                <w:szCs w:val="21"/>
              </w:rPr>
              <w:t>□</w:t>
            </w:r>
            <w:r>
              <w:rPr>
                <w:szCs w:val="21"/>
              </w:rPr>
              <w:t>重大变动重新报批项目</w:t>
            </w:r>
          </w:p>
        </w:tc>
      </w:tr>
      <w:tr>
        <w:trPr>
          <w:trHeight w:val="851" w:hRule="atLeast"/>
          <w:jc w:val="center"/>
        </w:trPr>
        <w:tc>
          <w:tcPr>
            <w:tcW w:w="1574" w:type="dxa"/>
            <w:tcBorders>
              <w:top w:val="single" w:color="auto" w:sz="4" w:space="0"/>
              <w:left w:val="single" w:color="auto" w:sz="8" w:space="0"/>
              <w:bottom w:val="single" w:color="auto" w:sz="4" w:space="0"/>
              <w:right w:val="single" w:color="auto" w:sz="4" w:space="0"/>
            </w:tcBorders>
            <w:tcMar>
              <w:top w:w="16" w:type="dxa"/>
              <w:left w:w="16" w:type="dxa"/>
              <w:bottom w:w="0" w:type="dxa"/>
              <w:right w:w="16" w:type="dxa"/>
            </w:tcMar>
            <w:vAlign w:val="center"/>
          </w:tcPr>
          <w:p>
            <w:pPr>
              <w:adjustRightInd w:val="0"/>
              <w:snapToGrid w:val="0"/>
              <w:jc w:val="center"/>
              <w:rPr>
                <w:szCs w:val="21"/>
              </w:rPr>
            </w:pPr>
            <w:r>
              <w:rPr>
                <w:szCs w:val="21"/>
              </w:rPr>
              <w:t>项目审批（核准/</w:t>
            </w:r>
          </w:p>
          <w:p>
            <w:pPr>
              <w:adjustRightInd w:val="0"/>
              <w:snapToGrid w:val="0"/>
              <w:jc w:val="center"/>
              <w:rPr>
                <w:szCs w:val="21"/>
              </w:rPr>
            </w:pPr>
            <w:r>
              <w:rPr>
                <w:szCs w:val="21"/>
              </w:rPr>
              <w:t>备案）部门（选填）</w:t>
            </w:r>
          </w:p>
        </w:tc>
        <w:tc>
          <w:tcPr>
            <w:tcW w:w="280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rPr>
            </w:pPr>
            <w:r>
              <w:rPr>
                <w:szCs w:val="21"/>
              </w:rPr>
              <w:t>/</w:t>
            </w:r>
          </w:p>
        </w:tc>
        <w:tc>
          <w:tcPr>
            <w:tcW w:w="240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rPr>
            </w:pPr>
            <w:r>
              <w:rPr>
                <w:szCs w:val="21"/>
              </w:rPr>
              <w:t>项目审批（核准/</w:t>
            </w:r>
          </w:p>
          <w:p>
            <w:pPr>
              <w:adjustRightInd w:val="0"/>
              <w:snapToGrid w:val="0"/>
              <w:jc w:val="center"/>
              <w:rPr>
                <w:szCs w:val="21"/>
              </w:rPr>
            </w:pPr>
            <w:r>
              <w:rPr>
                <w:szCs w:val="21"/>
              </w:rPr>
              <w:t>备案）文号（选填）</w:t>
            </w:r>
          </w:p>
        </w:tc>
        <w:tc>
          <w:tcPr>
            <w:tcW w:w="2875" w:type="dxa"/>
            <w:tcBorders>
              <w:top w:val="single" w:color="auto" w:sz="4" w:space="0"/>
              <w:left w:val="single" w:color="auto" w:sz="4" w:space="0"/>
              <w:bottom w:val="single" w:color="auto" w:sz="4" w:space="0"/>
              <w:right w:val="single" w:color="auto" w:sz="8" w:space="0"/>
            </w:tcBorders>
            <w:vAlign w:val="center"/>
          </w:tcPr>
          <w:p>
            <w:pPr>
              <w:adjustRightInd w:val="0"/>
              <w:snapToGrid w:val="0"/>
              <w:jc w:val="center"/>
              <w:rPr>
                <w:szCs w:val="21"/>
              </w:rPr>
            </w:pPr>
            <w:r>
              <w:rPr>
                <w:szCs w:val="21"/>
              </w:rPr>
              <w:t>/</w:t>
            </w:r>
          </w:p>
        </w:tc>
      </w:tr>
      <w:tr>
        <w:trPr>
          <w:trHeight w:val="389" w:hRule="atLeast"/>
          <w:jc w:val="center"/>
        </w:trPr>
        <w:tc>
          <w:tcPr>
            <w:tcW w:w="1574" w:type="dxa"/>
            <w:tcBorders>
              <w:top w:val="single" w:color="auto" w:sz="4" w:space="0"/>
              <w:left w:val="single" w:color="auto" w:sz="8" w:space="0"/>
              <w:bottom w:val="single" w:color="auto" w:sz="4" w:space="0"/>
              <w:right w:val="single" w:color="auto" w:sz="4" w:space="0"/>
            </w:tcBorders>
            <w:tcMar>
              <w:top w:w="16" w:type="dxa"/>
              <w:left w:w="16" w:type="dxa"/>
              <w:bottom w:w="0" w:type="dxa"/>
              <w:right w:w="16" w:type="dxa"/>
            </w:tcMar>
            <w:vAlign w:val="center"/>
          </w:tcPr>
          <w:p>
            <w:pPr>
              <w:adjustRightInd w:val="0"/>
              <w:snapToGrid w:val="0"/>
              <w:jc w:val="center"/>
              <w:rPr>
                <w:szCs w:val="21"/>
              </w:rPr>
            </w:pPr>
            <w:r>
              <w:rPr>
                <w:szCs w:val="21"/>
              </w:rPr>
              <w:t>总投资（万元）</w:t>
            </w:r>
          </w:p>
        </w:tc>
        <w:tc>
          <w:tcPr>
            <w:tcW w:w="280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rPr>
            </w:pPr>
            <w:r>
              <w:rPr>
                <w:rFonts w:hint="eastAsia"/>
                <w:szCs w:val="21"/>
              </w:rPr>
              <w:t>49</w:t>
            </w:r>
          </w:p>
        </w:tc>
        <w:tc>
          <w:tcPr>
            <w:tcW w:w="2408"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pPr>
              <w:adjustRightInd w:val="0"/>
              <w:snapToGrid w:val="0"/>
              <w:jc w:val="center"/>
              <w:rPr>
                <w:szCs w:val="21"/>
              </w:rPr>
            </w:pPr>
            <w:r>
              <w:rPr>
                <w:szCs w:val="21"/>
              </w:rPr>
              <w:t>环保投资（万元）</w:t>
            </w:r>
          </w:p>
        </w:tc>
        <w:tc>
          <w:tcPr>
            <w:tcW w:w="2875" w:type="dxa"/>
            <w:tcBorders>
              <w:top w:val="single" w:color="auto" w:sz="4" w:space="0"/>
              <w:left w:val="single" w:color="auto" w:sz="4" w:space="0"/>
              <w:bottom w:val="single" w:color="auto" w:sz="4" w:space="0"/>
              <w:right w:val="single" w:color="auto" w:sz="8" w:space="0"/>
            </w:tcBorders>
            <w:vAlign w:val="center"/>
          </w:tcPr>
          <w:p>
            <w:pPr>
              <w:adjustRightInd w:val="0"/>
              <w:snapToGrid w:val="0"/>
              <w:jc w:val="center"/>
              <w:rPr>
                <w:szCs w:val="21"/>
              </w:rPr>
            </w:pPr>
            <w:r>
              <w:rPr>
                <w:rFonts w:hint="eastAsia"/>
                <w:szCs w:val="21"/>
              </w:rPr>
              <w:t>15</w:t>
            </w:r>
          </w:p>
        </w:tc>
      </w:tr>
      <w:tr>
        <w:trPr>
          <w:trHeight w:val="497" w:hRule="atLeast"/>
          <w:jc w:val="center"/>
        </w:trPr>
        <w:tc>
          <w:tcPr>
            <w:tcW w:w="1574" w:type="dxa"/>
            <w:tcBorders>
              <w:top w:val="single" w:color="auto" w:sz="4" w:space="0"/>
              <w:left w:val="single" w:color="auto" w:sz="8" w:space="0"/>
              <w:bottom w:val="single" w:color="auto" w:sz="4" w:space="0"/>
              <w:right w:val="single" w:color="auto" w:sz="4" w:space="0"/>
            </w:tcBorders>
            <w:tcMar>
              <w:top w:w="16" w:type="dxa"/>
              <w:left w:w="16" w:type="dxa"/>
              <w:bottom w:w="0" w:type="dxa"/>
              <w:right w:w="16" w:type="dxa"/>
            </w:tcMar>
            <w:vAlign w:val="center"/>
          </w:tcPr>
          <w:p>
            <w:pPr>
              <w:adjustRightInd w:val="0"/>
              <w:snapToGrid w:val="0"/>
              <w:jc w:val="center"/>
              <w:rPr>
                <w:szCs w:val="21"/>
              </w:rPr>
            </w:pPr>
            <w:r>
              <w:rPr>
                <w:szCs w:val="21"/>
              </w:rPr>
              <w:t>环保投资占比（%）</w:t>
            </w:r>
          </w:p>
        </w:tc>
        <w:tc>
          <w:tcPr>
            <w:tcW w:w="280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rPr>
            </w:pPr>
            <w:r>
              <w:rPr>
                <w:rFonts w:hint="eastAsia"/>
                <w:szCs w:val="21"/>
              </w:rPr>
              <w:t>30.6</w:t>
            </w:r>
          </w:p>
        </w:tc>
        <w:tc>
          <w:tcPr>
            <w:tcW w:w="2408"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pPr>
              <w:adjustRightInd w:val="0"/>
              <w:snapToGrid w:val="0"/>
              <w:jc w:val="center"/>
              <w:rPr>
                <w:szCs w:val="21"/>
              </w:rPr>
            </w:pPr>
            <w:r>
              <w:rPr>
                <w:szCs w:val="21"/>
              </w:rPr>
              <w:t>施工工期</w:t>
            </w:r>
          </w:p>
        </w:tc>
        <w:tc>
          <w:tcPr>
            <w:tcW w:w="2875" w:type="dxa"/>
            <w:tcBorders>
              <w:top w:val="single" w:color="auto" w:sz="4" w:space="0"/>
              <w:left w:val="single" w:color="auto" w:sz="4" w:space="0"/>
              <w:bottom w:val="single" w:color="auto" w:sz="4" w:space="0"/>
              <w:right w:val="single" w:color="auto" w:sz="8" w:space="0"/>
            </w:tcBorders>
            <w:vAlign w:val="center"/>
          </w:tcPr>
          <w:p>
            <w:pPr>
              <w:adjustRightInd w:val="0"/>
              <w:snapToGrid w:val="0"/>
              <w:jc w:val="center"/>
              <w:rPr>
                <w:szCs w:val="21"/>
              </w:rPr>
            </w:pPr>
            <w:r>
              <w:rPr>
                <w:rFonts w:hint="eastAsia"/>
                <w:szCs w:val="21"/>
              </w:rPr>
              <w:t>1</w:t>
            </w:r>
            <w:r>
              <w:rPr>
                <w:szCs w:val="21"/>
              </w:rPr>
              <w:t>个月</w:t>
            </w:r>
          </w:p>
        </w:tc>
      </w:tr>
      <w:tr>
        <w:trPr>
          <w:trHeight w:val="497" w:hRule="atLeast"/>
          <w:jc w:val="center"/>
        </w:trPr>
        <w:tc>
          <w:tcPr>
            <w:tcW w:w="1574" w:type="dxa"/>
            <w:tcBorders>
              <w:top w:val="single" w:color="auto" w:sz="4" w:space="0"/>
              <w:left w:val="single" w:color="auto" w:sz="8" w:space="0"/>
              <w:bottom w:val="single" w:color="auto" w:sz="4" w:space="0"/>
              <w:right w:val="single" w:color="auto" w:sz="4" w:space="0"/>
            </w:tcBorders>
            <w:tcMar>
              <w:top w:w="16" w:type="dxa"/>
              <w:left w:w="16" w:type="dxa"/>
              <w:bottom w:w="0" w:type="dxa"/>
              <w:right w:w="16" w:type="dxa"/>
            </w:tcMar>
            <w:vAlign w:val="center"/>
          </w:tcPr>
          <w:p>
            <w:pPr>
              <w:adjustRightInd w:val="0"/>
              <w:snapToGrid w:val="0"/>
              <w:jc w:val="center"/>
              <w:rPr>
                <w:szCs w:val="21"/>
              </w:rPr>
            </w:pPr>
            <w:r>
              <w:rPr>
                <w:szCs w:val="21"/>
              </w:rPr>
              <w:t>是否开工建设</w:t>
            </w:r>
          </w:p>
        </w:tc>
        <w:tc>
          <w:tcPr>
            <w:tcW w:w="2805" w:type="dxa"/>
            <w:tcBorders>
              <w:top w:val="single" w:color="auto" w:sz="4" w:space="0"/>
              <w:left w:val="single" w:color="auto" w:sz="4" w:space="0"/>
              <w:bottom w:val="single" w:color="auto" w:sz="4" w:space="0"/>
              <w:right w:val="single" w:color="auto" w:sz="4" w:space="0"/>
            </w:tcBorders>
            <w:vAlign w:val="center"/>
          </w:tcPr>
          <w:p>
            <w:pPr>
              <w:adjustRightInd w:val="0"/>
              <w:snapToGrid w:val="0"/>
              <w:rPr>
                <w:szCs w:val="21"/>
              </w:rPr>
            </w:pPr>
            <w:r>
              <w:rPr>
                <w:sz w:val="30"/>
                <w:szCs w:val="30"/>
              </w:rPr>
              <w:t>■</w:t>
            </w:r>
            <w:r>
              <w:rPr>
                <w:szCs w:val="21"/>
              </w:rPr>
              <w:t>否</w:t>
            </w:r>
          </w:p>
          <w:p>
            <w:pPr>
              <w:adjustRightInd w:val="0"/>
              <w:snapToGrid w:val="0"/>
              <w:rPr>
                <w:szCs w:val="21"/>
              </w:rPr>
            </w:pPr>
            <w:r>
              <w:rPr>
                <w:szCs w:val="21"/>
              </w:rPr>
              <w:sym w:font="Wingdings 2" w:char="00A3"/>
            </w:r>
            <w:r>
              <w:rPr>
                <w:szCs w:val="21"/>
              </w:rPr>
              <w:t>是：</w:t>
            </w:r>
            <w:r>
              <w:rPr>
                <w:szCs w:val="21"/>
                <w:u w:val="single"/>
              </w:rPr>
              <w:t xml:space="preserve">             </w:t>
            </w:r>
          </w:p>
        </w:tc>
        <w:tc>
          <w:tcPr>
            <w:tcW w:w="2408"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pPr>
              <w:adjustRightInd w:val="0"/>
              <w:snapToGrid w:val="0"/>
              <w:jc w:val="center"/>
              <w:rPr>
                <w:spacing w:val="-6"/>
                <w:szCs w:val="21"/>
              </w:rPr>
            </w:pPr>
            <w:r>
              <w:rPr>
                <w:spacing w:val="-6"/>
                <w:szCs w:val="21"/>
              </w:rPr>
              <w:t>用地（用海）</w:t>
            </w:r>
          </w:p>
          <w:p>
            <w:pPr>
              <w:adjustRightInd w:val="0"/>
              <w:snapToGrid w:val="0"/>
              <w:jc w:val="center"/>
              <w:rPr>
                <w:szCs w:val="21"/>
              </w:rPr>
            </w:pPr>
            <w:r>
              <w:rPr>
                <w:spacing w:val="-6"/>
                <w:szCs w:val="21"/>
              </w:rPr>
              <w:t>面积（m</w:t>
            </w:r>
            <w:r>
              <w:rPr>
                <w:spacing w:val="-6"/>
                <w:szCs w:val="21"/>
                <w:vertAlign w:val="superscript"/>
              </w:rPr>
              <w:t>2</w:t>
            </w:r>
            <w:r>
              <w:rPr>
                <w:spacing w:val="-6"/>
                <w:szCs w:val="21"/>
              </w:rPr>
              <w:t>）</w:t>
            </w:r>
          </w:p>
        </w:tc>
        <w:tc>
          <w:tcPr>
            <w:tcW w:w="2875" w:type="dxa"/>
            <w:tcBorders>
              <w:top w:val="single" w:color="auto" w:sz="4" w:space="0"/>
              <w:left w:val="single" w:color="auto" w:sz="4" w:space="0"/>
              <w:bottom w:val="single" w:color="auto" w:sz="4" w:space="0"/>
              <w:right w:val="single" w:color="auto" w:sz="8" w:space="0"/>
            </w:tcBorders>
            <w:vAlign w:val="center"/>
          </w:tcPr>
          <w:p>
            <w:pPr>
              <w:adjustRightInd w:val="0"/>
              <w:snapToGrid w:val="0"/>
              <w:jc w:val="center"/>
              <w:rPr>
                <w:szCs w:val="21"/>
              </w:rPr>
            </w:pPr>
            <w:r>
              <w:rPr>
                <w:rFonts w:hint="eastAsia"/>
                <w:szCs w:val="21"/>
              </w:rPr>
              <w:t>0（原位置拆除重建）</w:t>
            </w:r>
          </w:p>
        </w:tc>
      </w:tr>
      <w:tr>
        <w:trPr>
          <w:trHeight w:val="558" w:hRule="atLeast"/>
          <w:jc w:val="center"/>
        </w:trPr>
        <w:tc>
          <w:tcPr>
            <w:tcW w:w="1574" w:type="dxa"/>
            <w:tcBorders>
              <w:top w:val="single" w:color="auto" w:sz="4" w:space="0"/>
              <w:left w:val="single" w:color="auto" w:sz="8" w:space="0"/>
              <w:bottom w:val="single" w:color="auto" w:sz="4" w:space="0"/>
              <w:right w:val="single" w:color="auto" w:sz="4" w:space="0"/>
            </w:tcBorders>
            <w:tcMar>
              <w:top w:w="0" w:type="dxa"/>
              <w:left w:w="108" w:type="dxa"/>
              <w:bottom w:w="0" w:type="dxa"/>
              <w:right w:w="108" w:type="dxa"/>
            </w:tcMar>
            <w:vAlign w:val="center"/>
          </w:tcPr>
          <w:p>
            <w:pPr>
              <w:autoSpaceDE w:val="0"/>
              <w:autoSpaceDN w:val="0"/>
              <w:adjustRightInd w:val="0"/>
              <w:snapToGrid w:val="0"/>
              <w:jc w:val="center"/>
              <w:rPr>
                <w:kern w:val="0"/>
                <w:szCs w:val="21"/>
              </w:rPr>
            </w:pPr>
            <w:r>
              <w:rPr>
                <w:kern w:val="0"/>
                <w:szCs w:val="21"/>
              </w:rPr>
              <w:t>专项评价设置情况</w:t>
            </w:r>
          </w:p>
        </w:tc>
        <w:tc>
          <w:tcPr>
            <w:tcW w:w="8088" w:type="dxa"/>
            <w:gridSpan w:val="3"/>
            <w:tcBorders>
              <w:top w:val="single" w:color="auto" w:sz="4" w:space="0"/>
              <w:left w:val="single" w:color="auto" w:sz="4" w:space="0"/>
              <w:bottom w:val="single" w:color="auto" w:sz="4" w:space="0"/>
              <w:right w:val="single" w:color="auto" w:sz="8" w:space="0"/>
            </w:tcBorders>
            <w:tcMar>
              <w:top w:w="0" w:type="dxa"/>
              <w:left w:w="108" w:type="dxa"/>
              <w:bottom w:w="0" w:type="dxa"/>
              <w:right w:w="108" w:type="dxa"/>
            </w:tcMar>
            <w:vAlign w:val="center"/>
          </w:tcPr>
          <w:p>
            <w:pPr>
              <w:widowControl/>
              <w:ind w:firstLine="420" w:firstLineChars="200"/>
              <w:rPr>
                <w:color w:val="000000"/>
                <w:kern w:val="0"/>
                <w:szCs w:val="21"/>
              </w:rPr>
            </w:pPr>
            <w:r>
              <w:rPr>
                <w:rFonts w:hint="eastAsia"/>
                <w:color w:val="000000"/>
                <w:kern w:val="0"/>
                <w:szCs w:val="21"/>
              </w:rPr>
              <w:t>根据《建设项目环境影响报告表编制技术指南（污染影响类）》中表1可知：</w:t>
            </w:r>
          </w:p>
          <w:p>
            <w:pPr>
              <w:widowControl/>
              <w:jc w:val="center"/>
              <w:rPr>
                <w:color w:val="000000"/>
                <w:kern w:val="0"/>
                <w:szCs w:val="21"/>
              </w:rPr>
            </w:pPr>
            <w:r>
              <w:rPr>
                <w:rFonts w:hint="eastAsia"/>
                <w:color w:val="000000"/>
                <w:kern w:val="0"/>
                <w:szCs w:val="21"/>
              </w:rPr>
              <w:t>表1  专项评价设置原则表</w:t>
            </w:r>
          </w:p>
          <w:tbl>
            <w:tblPr>
              <w:tblW w:w="7869"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87"/>
              <w:gridCol w:w="3116"/>
              <w:gridCol w:w="2819"/>
              <w:gridCol w:w="847"/>
            </w:tblGrid>
            <w:tr>
              <w:trPr>
                <w:trHeight w:val="340" w:hRule="atLeast"/>
              </w:trPr>
              <w:tc>
                <w:tcPr>
                  <w:tcW w:w="1087"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专项评价的类别</w:t>
                  </w:r>
                </w:p>
              </w:tc>
              <w:tc>
                <w:tcPr>
                  <w:tcW w:w="3116"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设置原则</w:t>
                  </w:r>
                </w:p>
              </w:tc>
              <w:tc>
                <w:tcPr>
                  <w:tcW w:w="2819"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本项目情况</w:t>
                  </w:r>
                </w:p>
              </w:tc>
              <w:tc>
                <w:tcPr>
                  <w:tcW w:w="847"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设置情况</w:t>
                  </w:r>
                </w:p>
              </w:tc>
            </w:tr>
            <w:tr>
              <w:trPr>
                <w:trHeight w:val="340" w:hRule="atLeast"/>
              </w:trPr>
              <w:tc>
                <w:tcPr>
                  <w:tcW w:w="1087"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大气</w:t>
                  </w:r>
                </w:p>
              </w:tc>
              <w:tc>
                <w:tcPr>
                  <w:tcW w:w="3116"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排放废气含有毒有害污染物</w:t>
                  </w:r>
                  <w:r>
                    <w:rPr>
                      <w:rFonts w:eastAsia="宋体"/>
                      <w:color w:val="000000"/>
                      <w:kern w:val="0"/>
                      <w:szCs w:val="21"/>
                      <w:vertAlign w:val="superscript"/>
                    </w:rPr>
                    <w:t>1</w:t>
                  </w:r>
                  <w:r>
                    <w:rPr>
                      <w:rFonts w:eastAsia="宋体"/>
                      <w:color w:val="000000"/>
                      <w:kern w:val="0"/>
                      <w:szCs w:val="21"/>
                    </w:rPr>
                    <w:t>、二噁英、苯并[a]芘、氰化物、氯气且厂界外500米范围内有环境空气保护目标</w:t>
                  </w:r>
                  <w:r>
                    <w:rPr>
                      <w:rFonts w:eastAsia="宋体"/>
                      <w:color w:val="000000"/>
                      <w:kern w:val="0"/>
                      <w:szCs w:val="21"/>
                      <w:vertAlign w:val="superscript"/>
                    </w:rPr>
                    <w:t>2</w:t>
                  </w:r>
                  <w:r>
                    <w:rPr>
                      <w:rFonts w:eastAsia="宋体"/>
                      <w:color w:val="000000"/>
                      <w:kern w:val="0"/>
                      <w:szCs w:val="21"/>
                    </w:rPr>
                    <w:t>的建设项目</w:t>
                  </w:r>
                </w:p>
              </w:tc>
              <w:tc>
                <w:tcPr>
                  <w:tcW w:w="2819" w:type="dxa"/>
                  <w:tcBorders>
                    <w:tl2br w:val="nil"/>
                    <w:tr2bl w:val="nil"/>
                  </w:tcBorders>
                  <w:vAlign w:val="center"/>
                </w:tcPr>
                <w:p>
                  <w:pPr>
                    <w:autoSpaceDE w:val="0"/>
                    <w:autoSpaceDN w:val="0"/>
                    <w:adjustRightInd w:val="0"/>
                    <w:snapToGrid w:val="0"/>
                    <w:jc w:val="center"/>
                    <w:rPr>
                      <w:rFonts w:eastAsia="宋体"/>
                      <w:color w:val="000000"/>
                      <w:kern w:val="0"/>
                      <w:szCs w:val="21"/>
                    </w:rPr>
                  </w:pPr>
                  <w:r>
                    <w:rPr>
                      <w:rFonts w:eastAsia="宋体"/>
                      <w:kern w:val="0"/>
                      <w:szCs w:val="21"/>
                    </w:rPr>
                    <w:t>项目外排废气</w:t>
                  </w:r>
                  <w:r>
                    <w:rPr>
                      <w:rFonts w:hint="eastAsia" w:eastAsia="宋体"/>
                      <w:kern w:val="0"/>
                      <w:szCs w:val="21"/>
                    </w:rPr>
                    <w:t>不涉及</w:t>
                  </w:r>
                  <w:r>
                    <w:rPr>
                      <w:rFonts w:eastAsia="宋体"/>
                      <w:color w:val="000000"/>
                      <w:kern w:val="0"/>
                      <w:szCs w:val="21"/>
                    </w:rPr>
                    <w:t>有毒有害污染物</w:t>
                  </w:r>
                  <w:r>
                    <w:rPr>
                      <w:rFonts w:eastAsia="宋体"/>
                      <w:kern w:val="0"/>
                      <w:szCs w:val="21"/>
                    </w:rPr>
                    <w:t>，</w:t>
                  </w:r>
                  <w:r>
                    <w:rPr>
                      <w:rFonts w:hint="eastAsia" w:eastAsia="宋体"/>
                      <w:kern w:val="0"/>
                      <w:szCs w:val="21"/>
                    </w:rPr>
                    <w:t>项目周围500m范围内不存在环境空气保护目标，无需</w:t>
                  </w:r>
                  <w:r>
                    <w:rPr>
                      <w:rFonts w:eastAsia="宋体"/>
                      <w:kern w:val="0"/>
                      <w:szCs w:val="21"/>
                    </w:rPr>
                    <w:t>设置大气环境专项评价。</w:t>
                  </w:r>
                </w:p>
              </w:tc>
              <w:tc>
                <w:tcPr>
                  <w:tcW w:w="847"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不设置</w:t>
                  </w:r>
                </w:p>
              </w:tc>
            </w:tr>
            <w:tr>
              <w:trPr>
                <w:trHeight w:val="340" w:hRule="atLeast"/>
              </w:trPr>
              <w:tc>
                <w:tcPr>
                  <w:tcW w:w="1087"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地表水</w:t>
                  </w:r>
                </w:p>
              </w:tc>
              <w:tc>
                <w:tcPr>
                  <w:tcW w:w="3116"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新增工业废水直排建设项目(槽罐车外送污水处理厂的除外)；新增废水直排的污水集中处理厂</w:t>
                  </w:r>
                </w:p>
              </w:tc>
              <w:tc>
                <w:tcPr>
                  <w:tcW w:w="2819" w:type="dxa"/>
                  <w:tcBorders>
                    <w:tl2br w:val="nil"/>
                    <w:tr2bl w:val="nil"/>
                  </w:tcBorders>
                  <w:vAlign w:val="center"/>
                </w:tcPr>
                <w:p>
                  <w:pPr>
                    <w:autoSpaceDE w:val="0"/>
                    <w:autoSpaceDN w:val="0"/>
                    <w:adjustRightInd w:val="0"/>
                    <w:snapToGrid w:val="0"/>
                    <w:jc w:val="center"/>
                    <w:rPr>
                      <w:rFonts w:eastAsia="宋体"/>
                      <w:color w:val="000000"/>
                      <w:kern w:val="0"/>
                      <w:szCs w:val="21"/>
                    </w:rPr>
                  </w:pPr>
                  <w:r>
                    <w:rPr>
                      <w:rFonts w:eastAsia="宋体"/>
                      <w:kern w:val="0"/>
                      <w:szCs w:val="21"/>
                    </w:rPr>
                    <w:t>项目正常运营过程中</w:t>
                  </w:r>
                  <w:r>
                    <w:rPr>
                      <w:rFonts w:hint="eastAsia" w:eastAsia="宋体"/>
                      <w:kern w:val="0"/>
                      <w:szCs w:val="21"/>
                    </w:rPr>
                    <w:t>锅炉排污水为清洁下水</w:t>
                  </w:r>
                  <w:r>
                    <w:rPr>
                      <w:rFonts w:eastAsia="宋体"/>
                      <w:kern w:val="0"/>
                      <w:szCs w:val="21"/>
                    </w:rPr>
                    <w:t>，</w:t>
                  </w:r>
                  <w:r>
                    <w:rPr>
                      <w:rFonts w:hint="eastAsia" w:eastAsia="宋体"/>
                      <w:kern w:val="0"/>
                      <w:szCs w:val="21"/>
                    </w:rPr>
                    <w:t>用于厂区洒水降尘。</w:t>
                  </w:r>
                  <w:r>
                    <w:rPr>
                      <w:rFonts w:eastAsia="宋体"/>
                      <w:kern w:val="0"/>
                      <w:szCs w:val="21"/>
                    </w:rPr>
                    <w:t>因此不设置地表水环境专项评价。</w:t>
                  </w:r>
                </w:p>
              </w:tc>
              <w:tc>
                <w:tcPr>
                  <w:tcW w:w="847"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不设置</w:t>
                  </w:r>
                </w:p>
              </w:tc>
            </w:tr>
            <w:tr>
              <w:trPr>
                <w:trHeight w:val="340" w:hRule="atLeast"/>
              </w:trPr>
              <w:tc>
                <w:tcPr>
                  <w:tcW w:w="1087"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环境风险</w:t>
                  </w:r>
                </w:p>
              </w:tc>
              <w:tc>
                <w:tcPr>
                  <w:tcW w:w="3116"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有毒有害和易燃易爆危险物质存储量超过临界量</w:t>
                  </w:r>
                  <w:r>
                    <w:rPr>
                      <w:rFonts w:eastAsia="宋体"/>
                      <w:color w:val="000000"/>
                      <w:kern w:val="0"/>
                      <w:szCs w:val="21"/>
                      <w:vertAlign w:val="superscript"/>
                    </w:rPr>
                    <w:t>3</w:t>
                  </w:r>
                  <w:r>
                    <w:rPr>
                      <w:rFonts w:eastAsia="宋体"/>
                      <w:color w:val="000000"/>
                      <w:kern w:val="0"/>
                      <w:szCs w:val="21"/>
                    </w:rPr>
                    <w:t>的建设项目</w:t>
                  </w:r>
                </w:p>
              </w:tc>
              <w:tc>
                <w:tcPr>
                  <w:tcW w:w="2819" w:type="dxa"/>
                  <w:tcBorders>
                    <w:tl2br w:val="nil"/>
                    <w:tr2bl w:val="nil"/>
                  </w:tcBorders>
                  <w:vAlign w:val="center"/>
                </w:tcPr>
                <w:p>
                  <w:pPr>
                    <w:autoSpaceDE w:val="0"/>
                    <w:autoSpaceDN w:val="0"/>
                    <w:adjustRightInd w:val="0"/>
                    <w:snapToGrid w:val="0"/>
                    <w:jc w:val="center"/>
                    <w:rPr>
                      <w:rFonts w:eastAsia="宋体"/>
                      <w:color w:val="000000"/>
                      <w:kern w:val="0"/>
                      <w:szCs w:val="21"/>
                    </w:rPr>
                  </w:pPr>
                  <w:r>
                    <w:rPr>
                      <w:rFonts w:eastAsia="宋体"/>
                      <w:kern w:val="0"/>
                      <w:szCs w:val="21"/>
                    </w:rPr>
                    <w:t>根据分析，项目</w:t>
                  </w:r>
                  <w:r>
                    <w:rPr>
                      <w:rFonts w:hint="eastAsia" w:eastAsia="宋体"/>
                      <w:kern w:val="0"/>
                      <w:szCs w:val="21"/>
                    </w:rPr>
                    <w:t>不涉及</w:t>
                  </w:r>
                  <w:r>
                    <w:rPr>
                      <w:rFonts w:eastAsia="宋体"/>
                      <w:kern w:val="0"/>
                      <w:szCs w:val="21"/>
                    </w:rPr>
                    <w:t>有毒有害和易燃易爆危险物质，因此</w:t>
                  </w:r>
                  <w:r>
                    <w:rPr>
                      <w:rFonts w:hint="eastAsia" w:eastAsia="宋体"/>
                      <w:kern w:val="0"/>
                      <w:szCs w:val="21"/>
                    </w:rPr>
                    <w:t>无</w:t>
                  </w:r>
                  <w:r>
                    <w:rPr>
                      <w:rFonts w:eastAsia="宋体"/>
                      <w:kern w:val="0"/>
                      <w:szCs w:val="21"/>
                    </w:rPr>
                    <w:t>需设置环境风险专项评价。</w:t>
                  </w:r>
                </w:p>
              </w:tc>
              <w:tc>
                <w:tcPr>
                  <w:tcW w:w="847"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不设置</w:t>
                  </w:r>
                </w:p>
              </w:tc>
            </w:tr>
            <w:tr>
              <w:trPr>
                <w:trHeight w:val="340" w:hRule="atLeast"/>
              </w:trPr>
              <w:tc>
                <w:tcPr>
                  <w:tcW w:w="1087"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生态</w:t>
                  </w:r>
                </w:p>
              </w:tc>
              <w:tc>
                <w:tcPr>
                  <w:tcW w:w="3116"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取水口下游500米范围内有重要水生生物的自然产卵场、索饵场、越冬场和洄游通道的新增河道取水的污染类建设项目</w:t>
                  </w:r>
                </w:p>
              </w:tc>
              <w:tc>
                <w:tcPr>
                  <w:tcW w:w="2819" w:type="dxa"/>
                  <w:tcBorders>
                    <w:tl2br w:val="nil"/>
                    <w:tr2bl w:val="nil"/>
                  </w:tcBorders>
                  <w:vAlign w:val="center"/>
                </w:tcPr>
                <w:p>
                  <w:pPr>
                    <w:autoSpaceDE w:val="0"/>
                    <w:autoSpaceDN w:val="0"/>
                    <w:adjustRightInd w:val="0"/>
                    <w:snapToGrid w:val="0"/>
                    <w:jc w:val="center"/>
                    <w:rPr>
                      <w:rFonts w:eastAsia="宋体"/>
                      <w:color w:val="000000"/>
                      <w:kern w:val="0"/>
                      <w:szCs w:val="21"/>
                    </w:rPr>
                  </w:pPr>
                  <w:r>
                    <w:rPr>
                      <w:rFonts w:eastAsia="宋体"/>
                      <w:kern w:val="0"/>
                      <w:szCs w:val="21"/>
                    </w:rPr>
                    <w:t>本项目运营期不涉及</w:t>
                  </w:r>
                  <w:r>
                    <w:rPr>
                      <w:rFonts w:hint="eastAsia" w:eastAsia="宋体"/>
                      <w:kern w:val="0"/>
                      <w:szCs w:val="21"/>
                    </w:rPr>
                    <w:t>河道取水</w:t>
                  </w:r>
                  <w:r>
                    <w:rPr>
                      <w:rFonts w:eastAsia="宋体"/>
                      <w:kern w:val="0"/>
                      <w:szCs w:val="21"/>
                    </w:rPr>
                    <w:t>，因此不设置生态环境专项评价。</w:t>
                  </w:r>
                </w:p>
              </w:tc>
              <w:tc>
                <w:tcPr>
                  <w:tcW w:w="847"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不设置</w:t>
                  </w:r>
                </w:p>
              </w:tc>
            </w:tr>
            <w:tr>
              <w:trPr>
                <w:trHeight w:val="340" w:hRule="atLeast"/>
              </w:trPr>
              <w:tc>
                <w:tcPr>
                  <w:tcW w:w="1087"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海洋</w:t>
                  </w:r>
                </w:p>
              </w:tc>
              <w:tc>
                <w:tcPr>
                  <w:tcW w:w="3116"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直接向海排放污染物的海洋工程建设项目</w:t>
                  </w:r>
                </w:p>
              </w:tc>
              <w:tc>
                <w:tcPr>
                  <w:tcW w:w="2819"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不涉及</w:t>
                  </w:r>
                </w:p>
              </w:tc>
              <w:tc>
                <w:tcPr>
                  <w:tcW w:w="847" w:type="dxa"/>
                  <w:tcBorders>
                    <w:tl2br w:val="nil"/>
                    <w:tr2bl w:val="nil"/>
                  </w:tcBorders>
                  <w:vAlign w:val="center"/>
                </w:tcPr>
                <w:p>
                  <w:pPr>
                    <w:widowControl/>
                    <w:jc w:val="center"/>
                    <w:rPr>
                      <w:rFonts w:eastAsia="宋体"/>
                      <w:color w:val="000000"/>
                      <w:kern w:val="0"/>
                      <w:szCs w:val="21"/>
                    </w:rPr>
                  </w:pPr>
                  <w:r>
                    <w:rPr>
                      <w:rFonts w:eastAsia="宋体"/>
                      <w:color w:val="000000"/>
                      <w:kern w:val="0"/>
                      <w:szCs w:val="21"/>
                    </w:rPr>
                    <w:t>不设置</w:t>
                  </w:r>
                </w:p>
              </w:tc>
            </w:tr>
            <w:tr>
              <w:trPr>
                <w:trHeight w:val="340" w:hRule="atLeast"/>
              </w:trPr>
              <w:tc>
                <w:tcPr>
                  <w:tcW w:w="7869" w:type="dxa"/>
                  <w:gridSpan w:val="4"/>
                  <w:tcBorders>
                    <w:tl2br w:val="nil"/>
                    <w:tr2bl w:val="nil"/>
                  </w:tcBorders>
                  <w:vAlign w:val="center"/>
                </w:tcPr>
                <w:p>
                  <w:pPr>
                    <w:widowControl/>
                    <w:rPr>
                      <w:rFonts w:eastAsia="宋体"/>
                      <w:color w:val="000000"/>
                      <w:kern w:val="0"/>
                      <w:szCs w:val="21"/>
                    </w:rPr>
                  </w:pPr>
                  <w:r>
                    <w:rPr>
                      <w:rFonts w:eastAsia="宋体"/>
                      <w:color w:val="000000"/>
                      <w:kern w:val="0"/>
                      <w:szCs w:val="21"/>
                    </w:rPr>
                    <w:t>注：1.废气中有毒有害污染物指纳入《有毒有害大气污染物名录》的污染物(不包括无排放标准的污染物)。2.环境空气保护目标指自然保护区、风景名胜区、居住区、文化区和农村地区中人群较集中的区域。3.临界量及其计算方法可参考《建设项目环境风险评价技术导则》(HJ169)附录B、附录C。</w:t>
                  </w:r>
                </w:p>
              </w:tc>
            </w:tr>
          </w:tbl>
          <w:p>
            <w:pPr>
              <w:ind w:firstLine="420" w:firstLineChars="200"/>
            </w:pPr>
            <w:r>
              <w:rPr>
                <w:rFonts w:hint="eastAsia"/>
                <w:color w:val="000000"/>
                <w:kern w:val="0"/>
                <w:szCs w:val="21"/>
              </w:rPr>
              <w:t>依据上述规定，本项目不需要设置专项评价。</w:t>
            </w:r>
          </w:p>
        </w:tc>
      </w:tr>
      <w:tr>
        <w:trPr>
          <w:trHeight w:val="557" w:hRule="atLeast"/>
          <w:jc w:val="center"/>
        </w:trPr>
        <w:tc>
          <w:tcPr>
            <w:tcW w:w="1574" w:type="dxa"/>
            <w:tcBorders>
              <w:top w:val="single" w:color="auto" w:sz="4" w:space="0"/>
              <w:left w:val="single" w:color="auto" w:sz="8" w:space="0"/>
              <w:bottom w:val="single" w:color="auto" w:sz="4" w:space="0"/>
              <w:right w:val="single" w:color="auto" w:sz="4" w:space="0"/>
            </w:tcBorders>
            <w:tcMar>
              <w:top w:w="0" w:type="dxa"/>
              <w:left w:w="108" w:type="dxa"/>
              <w:bottom w:w="0" w:type="dxa"/>
              <w:right w:w="108" w:type="dxa"/>
            </w:tcMar>
            <w:vAlign w:val="center"/>
          </w:tcPr>
          <w:p>
            <w:pPr>
              <w:autoSpaceDE w:val="0"/>
              <w:autoSpaceDN w:val="0"/>
              <w:adjustRightInd w:val="0"/>
              <w:snapToGrid w:val="0"/>
              <w:jc w:val="center"/>
              <w:rPr>
                <w:kern w:val="0"/>
                <w:szCs w:val="21"/>
              </w:rPr>
            </w:pPr>
            <w:r>
              <w:rPr>
                <w:szCs w:val="21"/>
              </w:rPr>
              <w:t>规划情况</w:t>
            </w:r>
          </w:p>
        </w:tc>
        <w:tc>
          <w:tcPr>
            <w:tcW w:w="8088" w:type="dxa"/>
            <w:gridSpan w:val="3"/>
            <w:tcBorders>
              <w:top w:val="single" w:color="auto" w:sz="4" w:space="0"/>
              <w:left w:val="single" w:color="auto" w:sz="4" w:space="0"/>
              <w:bottom w:val="single" w:color="auto" w:sz="4" w:space="0"/>
              <w:right w:val="single" w:color="auto" w:sz="8" w:space="0"/>
            </w:tcBorders>
            <w:tcMar>
              <w:top w:w="0" w:type="dxa"/>
              <w:left w:w="108" w:type="dxa"/>
              <w:bottom w:w="0" w:type="dxa"/>
              <w:right w:w="108" w:type="dxa"/>
            </w:tcMar>
            <w:vAlign w:val="center"/>
          </w:tcPr>
          <w:p>
            <w:pPr>
              <w:pStyle w:val="9"/>
              <w:ind w:firstLine="480"/>
              <w:rPr>
                <w:rFonts w:cs="Times New Roman"/>
              </w:rPr>
            </w:pPr>
            <w:r>
              <w:rPr>
                <w:rFonts w:hint="eastAsia" w:cs="Times New Roman"/>
              </w:rPr>
              <w:t>柳河工业集中区是吉林省政府开发办于2005年设立的省级工业集中区，由吉林省吉规城市建筑设计有限责任公司编制《柳河工业集中区总体规划（2017-2030）》。</w:t>
            </w:r>
          </w:p>
          <w:p>
            <w:pPr>
              <w:pStyle w:val="9"/>
              <w:ind w:firstLine="480"/>
              <w:rPr>
                <w:szCs w:val="21"/>
              </w:rPr>
            </w:pPr>
            <w:r>
              <w:rPr>
                <w:rFonts w:hint="eastAsia" w:cs="Times New Roman"/>
              </w:rPr>
              <w:t>2020年7月14日，吉林省人民政府同意将柳河工业集中区晋升为省级开发区，晋升后开发区名称为吉林柳河经济开发区。</w:t>
            </w:r>
          </w:p>
        </w:tc>
      </w:tr>
      <w:tr>
        <w:trPr>
          <w:trHeight w:val="560" w:hRule="atLeast"/>
          <w:jc w:val="center"/>
        </w:trPr>
        <w:tc>
          <w:tcPr>
            <w:tcW w:w="1574" w:type="dxa"/>
            <w:tcBorders>
              <w:top w:val="single" w:color="auto" w:sz="4" w:space="0"/>
              <w:left w:val="single" w:color="auto" w:sz="8" w:space="0"/>
              <w:bottom w:val="single" w:color="auto" w:sz="4" w:space="0"/>
              <w:right w:val="single" w:color="auto" w:sz="4" w:space="0"/>
            </w:tcBorders>
            <w:tcMar>
              <w:top w:w="0" w:type="dxa"/>
              <w:left w:w="108" w:type="dxa"/>
              <w:bottom w:w="0" w:type="dxa"/>
              <w:right w:w="108" w:type="dxa"/>
            </w:tcMar>
            <w:vAlign w:val="center"/>
          </w:tcPr>
          <w:p>
            <w:pPr>
              <w:adjustRightInd w:val="0"/>
              <w:snapToGrid w:val="0"/>
              <w:jc w:val="center"/>
              <w:rPr>
                <w:szCs w:val="21"/>
              </w:rPr>
            </w:pPr>
            <w:r>
              <w:rPr>
                <w:szCs w:val="21"/>
              </w:rPr>
              <w:t>规划环境影响</w:t>
            </w:r>
          </w:p>
          <w:p>
            <w:pPr>
              <w:adjustRightInd w:val="0"/>
              <w:snapToGrid w:val="0"/>
              <w:jc w:val="center"/>
              <w:rPr>
                <w:kern w:val="0"/>
                <w:szCs w:val="21"/>
              </w:rPr>
            </w:pPr>
            <w:r>
              <w:rPr>
                <w:szCs w:val="21"/>
              </w:rPr>
              <w:t>评价情况</w:t>
            </w:r>
          </w:p>
        </w:tc>
        <w:tc>
          <w:tcPr>
            <w:tcW w:w="8088" w:type="dxa"/>
            <w:gridSpan w:val="3"/>
            <w:tcBorders>
              <w:top w:val="single" w:color="auto" w:sz="4" w:space="0"/>
              <w:left w:val="single" w:color="auto" w:sz="4" w:space="0"/>
              <w:bottom w:val="single" w:color="auto" w:sz="4" w:space="0"/>
              <w:right w:val="single" w:color="auto" w:sz="8" w:space="0"/>
            </w:tcBorders>
            <w:tcMar>
              <w:top w:w="0" w:type="dxa"/>
              <w:left w:w="108" w:type="dxa"/>
              <w:bottom w:w="0" w:type="dxa"/>
              <w:right w:w="108" w:type="dxa"/>
            </w:tcMar>
            <w:vAlign w:val="center"/>
          </w:tcPr>
          <w:p>
            <w:pPr>
              <w:pStyle w:val="9"/>
              <w:ind w:firstLine="480"/>
              <w:rPr>
                <w:rFonts w:cs="Times New Roman"/>
              </w:rPr>
            </w:pPr>
            <w:r>
              <w:rPr>
                <w:rFonts w:hint="eastAsia" w:cs="Times New Roman"/>
              </w:rPr>
              <w:t>由于晋升为省级开发区吉林柳河经济开发区未进行规划环评的编制，故本次对现有规划环评进行分析。</w:t>
            </w:r>
          </w:p>
          <w:p>
            <w:pPr>
              <w:pStyle w:val="9"/>
              <w:ind w:firstLine="480"/>
              <w:rPr>
                <w:rFonts w:cs="Times New Roman"/>
              </w:rPr>
            </w:pPr>
            <w:r>
              <w:rPr>
                <w:rFonts w:hint="eastAsia" w:cs="Times New Roman"/>
              </w:rPr>
              <w:t>1、规划环境影响评价文件：《柳河工业集中区总体规划（2017-2030）环境影响评价报告书》</w:t>
            </w:r>
          </w:p>
          <w:p>
            <w:pPr>
              <w:pStyle w:val="9"/>
              <w:ind w:firstLine="480"/>
              <w:rPr>
                <w:rFonts w:cs="Times New Roman"/>
              </w:rPr>
            </w:pPr>
            <w:r>
              <w:rPr>
                <w:rFonts w:hint="eastAsia" w:cs="Times New Roman"/>
              </w:rPr>
              <w:t>2、审查机关：吉林省生态环境厅</w:t>
            </w:r>
          </w:p>
          <w:p>
            <w:pPr>
              <w:pStyle w:val="9"/>
              <w:ind w:firstLine="480"/>
              <w:rPr>
                <w:szCs w:val="21"/>
              </w:rPr>
            </w:pPr>
            <w:r>
              <w:rPr>
                <w:rFonts w:hint="eastAsia" w:cs="Times New Roman"/>
              </w:rPr>
              <w:t>3、审查文件名称及文号：吉林省生态环境厅关于审查《柳河工业集中区总体规划（2017-2030）环境影响评价报告书》的意见。文号：2021年4月14日，吉环环评字〔2021〕15号。</w:t>
            </w:r>
          </w:p>
        </w:tc>
      </w:tr>
      <w:tr>
        <w:trPr>
          <w:trHeight w:val="2184" w:hRule="atLeast"/>
          <w:jc w:val="center"/>
        </w:trPr>
        <w:tc>
          <w:tcPr>
            <w:tcW w:w="1574" w:type="dxa"/>
            <w:tcBorders>
              <w:top w:val="single" w:color="auto" w:sz="4" w:space="0"/>
              <w:left w:val="single" w:color="auto" w:sz="8" w:space="0"/>
              <w:bottom w:val="single" w:color="auto" w:sz="4" w:space="0"/>
              <w:right w:val="single" w:color="auto" w:sz="4" w:space="0"/>
            </w:tcBorders>
            <w:tcMar>
              <w:top w:w="0" w:type="dxa"/>
              <w:left w:w="108" w:type="dxa"/>
              <w:bottom w:w="0" w:type="dxa"/>
              <w:right w:w="108" w:type="dxa"/>
            </w:tcMar>
            <w:vAlign w:val="center"/>
          </w:tcPr>
          <w:p>
            <w:pPr>
              <w:autoSpaceDE w:val="0"/>
              <w:autoSpaceDN w:val="0"/>
              <w:adjustRightInd w:val="0"/>
              <w:snapToGrid w:val="0"/>
              <w:jc w:val="center"/>
              <w:rPr>
                <w:kern w:val="0"/>
                <w:szCs w:val="21"/>
              </w:rPr>
            </w:pPr>
            <w:r>
              <w:rPr>
                <w:kern w:val="0"/>
                <w:szCs w:val="21"/>
              </w:rPr>
              <w:t>规划及规划环境影响评价符合性分析</w:t>
            </w:r>
          </w:p>
        </w:tc>
        <w:tc>
          <w:tcPr>
            <w:tcW w:w="8088" w:type="dxa"/>
            <w:gridSpan w:val="3"/>
            <w:tcBorders>
              <w:top w:val="single" w:color="auto" w:sz="4" w:space="0"/>
              <w:left w:val="single" w:color="auto" w:sz="4" w:space="0"/>
              <w:bottom w:val="single" w:color="auto" w:sz="4" w:space="0"/>
              <w:right w:val="single" w:color="auto" w:sz="8" w:space="0"/>
            </w:tcBorders>
            <w:tcMar>
              <w:top w:w="0" w:type="dxa"/>
              <w:left w:w="108" w:type="dxa"/>
              <w:bottom w:w="0" w:type="dxa"/>
              <w:right w:w="108" w:type="dxa"/>
            </w:tcMar>
            <w:vAlign w:val="center"/>
          </w:tcPr>
          <w:p>
            <w:pPr>
              <w:pStyle w:val="9"/>
              <w:ind w:firstLine="480"/>
              <w:rPr>
                <w:rFonts w:cs="Times New Roman"/>
                <w:u w:val="single"/>
              </w:rPr>
            </w:pPr>
            <w:r>
              <w:rPr>
                <w:rFonts w:hint="eastAsia" w:cs="Times New Roman"/>
                <w:u w:val="single"/>
              </w:rPr>
              <w:t>一</w:t>
            </w:r>
            <w:r>
              <w:rPr>
                <w:rFonts w:cs="Times New Roman"/>
                <w:u w:val="single"/>
              </w:rPr>
              <w:t>、规划</w:t>
            </w:r>
            <w:r>
              <w:rPr>
                <w:rFonts w:hint="eastAsia" w:cs="Times New Roman"/>
                <w:u w:val="single"/>
              </w:rPr>
              <w:t>符合性</w:t>
            </w:r>
          </w:p>
          <w:p>
            <w:pPr>
              <w:pStyle w:val="9"/>
              <w:ind w:firstLine="480"/>
              <w:rPr>
                <w:rFonts w:cs="Times New Roman"/>
                <w:u w:val="single"/>
              </w:rPr>
            </w:pPr>
            <w:r>
              <w:rPr>
                <w:rFonts w:hint="eastAsia" w:cs="Times New Roman"/>
                <w:u w:val="single"/>
              </w:rPr>
              <w:t>根据《柳河工业集中区总体规划（2017-2030）》用地布局规划图，项目建设地点用地性质属于一类工业用地。本</w:t>
            </w:r>
            <w:r>
              <w:rPr>
                <w:rFonts w:cs="Times New Roman"/>
                <w:u w:val="single"/>
              </w:rPr>
              <w:t>项目选址位于</w:t>
            </w:r>
            <w:r>
              <w:rPr>
                <w:rFonts w:hint="eastAsia" w:cs="Times New Roman"/>
                <w:u w:val="single"/>
              </w:rPr>
              <w:t>大健康综合</w:t>
            </w:r>
            <w:r>
              <w:rPr>
                <w:rFonts w:cs="Times New Roman"/>
                <w:u w:val="single"/>
              </w:rPr>
              <w:t>产业园</w:t>
            </w:r>
            <w:r>
              <w:rPr>
                <w:rFonts w:hint="eastAsia" w:cs="Times New Roman"/>
                <w:u w:val="single"/>
              </w:rPr>
              <w:t>，该区产业定位主要发展食品加工、农副产品加工、中药、生物制药、化妆品制造等为主，企业为屠宰企业，属于农副食品加工类项目。符合园区土地利用规划要求，符合园区产业发展划分，符合园区的产业定位。本项目与吉林柳河经济开发区相对位置详见附图1。</w:t>
            </w:r>
          </w:p>
          <w:p>
            <w:pPr>
              <w:pStyle w:val="9"/>
              <w:ind w:firstLine="480"/>
              <w:rPr>
                <w:rFonts w:cs="Times New Roman"/>
                <w:u w:val="single"/>
              </w:rPr>
            </w:pPr>
            <w:r>
              <w:rPr>
                <w:rFonts w:hint="eastAsia" w:cs="Times New Roman"/>
                <w:u w:val="single"/>
              </w:rPr>
              <w:t>二、规划环境影响评价符合性</w:t>
            </w:r>
          </w:p>
          <w:p>
            <w:pPr>
              <w:pStyle w:val="9"/>
              <w:ind w:firstLine="480"/>
              <w:rPr>
                <w:rFonts w:cs="Times New Roman"/>
                <w:u w:val="single"/>
              </w:rPr>
            </w:pPr>
            <w:r>
              <w:rPr>
                <w:rFonts w:hint="eastAsia" w:cs="Times New Roman"/>
                <w:u w:val="single"/>
              </w:rPr>
              <w:t>根据</w:t>
            </w:r>
            <w:r>
              <w:rPr>
                <w:rFonts w:cs="Times New Roman"/>
                <w:u w:val="single"/>
              </w:rPr>
              <w:t>《柳河工业集中区总体规划（2017-2030）环境影响报告书》审查意见（吉环环评字</w:t>
            </w:r>
            <w:r>
              <w:rPr>
                <w:rFonts w:hint="eastAsia" w:cs="Times New Roman"/>
                <w:u w:val="single"/>
              </w:rPr>
              <w:t>〔</w:t>
            </w:r>
            <w:r>
              <w:rPr>
                <w:rFonts w:cs="Times New Roman"/>
                <w:u w:val="single"/>
              </w:rPr>
              <w:t>2021</w:t>
            </w:r>
            <w:r>
              <w:rPr>
                <w:rFonts w:hint="eastAsia" w:cs="Times New Roman"/>
                <w:u w:val="single"/>
              </w:rPr>
              <w:t>〕</w:t>
            </w:r>
            <w:r>
              <w:rPr>
                <w:rFonts w:cs="Times New Roman"/>
                <w:u w:val="single"/>
              </w:rPr>
              <w:t>15号）</w:t>
            </w:r>
            <w:r>
              <w:rPr>
                <w:rFonts w:hint="eastAsia" w:cs="Times New Roman"/>
                <w:u w:val="single"/>
              </w:rPr>
              <w:t>，</w:t>
            </w:r>
            <w:r>
              <w:rPr>
                <w:rFonts w:cs="Times New Roman"/>
                <w:u w:val="single"/>
              </w:rPr>
              <w:t>工业集中区四至范围为东至集双高速公路柳河北出口、南至通梅公路小五道路口处、西起柳河镇长青路、北起柳梅分界岭，占地面积12km</w:t>
            </w:r>
            <w:r>
              <w:rPr>
                <w:rFonts w:cs="Times New Roman"/>
                <w:u w:val="single"/>
                <w:vertAlign w:val="superscript"/>
              </w:rPr>
              <w:t>2</w:t>
            </w:r>
            <w:r>
              <w:rPr>
                <w:rFonts w:cs="Times New Roman"/>
                <w:u w:val="single"/>
              </w:rPr>
              <w:t>。</w:t>
            </w:r>
          </w:p>
          <w:p>
            <w:pPr>
              <w:pStyle w:val="9"/>
              <w:ind w:firstLine="480"/>
              <w:rPr>
                <w:rFonts w:cs="Times New Roman"/>
                <w:u w:val="single"/>
              </w:rPr>
            </w:pPr>
            <w:r>
              <w:rPr>
                <w:rFonts w:hint="eastAsia" w:cs="Times New Roman"/>
                <w:u w:val="single"/>
              </w:rPr>
              <w:t>功能分区和产业定位包括金融创新中心（功能定位主要为金融、商贸办公等）大健康综合产业园（主要发展食品加工、农副产品加工、中药、生物制药、化妆品制造等）、新材料新装备产业园（主要发展石墨电极、大理石加工、水泥预制件和秸秆加工等）、科技转化产业园（主要发展药品研发、新能源生物质研发和葡萄酒研发等）和综合产业园（主要发展葡萄酒加工及物流配送）。</w:t>
            </w:r>
          </w:p>
          <w:p>
            <w:pPr>
              <w:pStyle w:val="9"/>
              <w:ind w:firstLine="480"/>
              <w:rPr>
                <w:rFonts w:cs="Times New Roman"/>
                <w:u w:val="single"/>
              </w:rPr>
            </w:pPr>
            <w:r>
              <w:rPr>
                <w:rFonts w:hint="eastAsia" w:cs="Times New Roman"/>
                <w:u w:val="single"/>
              </w:rPr>
              <w:t>本</w:t>
            </w:r>
            <w:r>
              <w:rPr>
                <w:rFonts w:cs="Times New Roman"/>
                <w:u w:val="single"/>
              </w:rPr>
              <w:t>项目选址位于</w:t>
            </w:r>
            <w:r>
              <w:rPr>
                <w:rFonts w:hint="eastAsia" w:cs="Times New Roman"/>
                <w:u w:val="single"/>
              </w:rPr>
              <w:t>大健康综合</w:t>
            </w:r>
            <w:r>
              <w:rPr>
                <w:rFonts w:cs="Times New Roman"/>
                <w:u w:val="single"/>
              </w:rPr>
              <w:t>产业园</w:t>
            </w:r>
            <w:r>
              <w:rPr>
                <w:rFonts w:hint="eastAsia" w:cs="Times New Roman"/>
                <w:u w:val="single"/>
              </w:rPr>
              <w:t>，该区产业定位主要发展食品加工、农副产品加工、中药、生物制药、化妆品制造等为主。企业为屠宰企业，属于农副食品加工类项目，本项目为企业配套供热项目，符合规划及规划环评的相关要求。</w:t>
            </w:r>
          </w:p>
          <w:p>
            <w:pPr>
              <w:pStyle w:val="9"/>
              <w:ind w:firstLine="480"/>
              <w:rPr>
                <w:rFonts w:cs="Times New Roman"/>
                <w:u w:val="single"/>
              </w:rPr>
            </w:pPr>
            <w:r>
              <w:rPr>
                <w:rFonts w:hint="eastAsia" w:cs="Times New Roman"/>
                <w:u w:val="single"/>
              </w:rPr>
              <w:t>本项目与规划环评审查意见（吉环环评字〔2021〕15号）的符合性分析详见下表。</w:t>
            </w:r>
          </w:p>
          <w:p>
            <w:pPr>
              <w:pStyle w:val="9"/>
              <w:spacing w:line="240" w:lineRule="auto"/>
              <w:ind w:firstLine="0" w:firstLineChars="0"/>
              <w:jc w:val="center"/>
              <w:rPr>
                <w:rFonts w:cs="Times New Roman"/>
                <w:u w:val="single"/>
              </w:rPr>
            </w:pPr>
            <w:r>
              <w:rPr>
                <w:rFonts w:hint="eastAsia" w:cs="Times New Roman"/>
                <w:u w:val="single"/>
              </w:rPr>
              <w:t>表2  与审查意见（吉环环评字〔2021〕15号）符合性分析</w:t>
            </w:r>
          </w:p>
          <w:tbl>
            <w:tblPr>
              <w:tblW w:w="7872"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710"/>
              <w:gridCol w:w="3958"/>
              <w:gridCol w:w="2374"/>
              <w:gridCol w:w="830"/>
            </w:tblGrid>
            <w:tr>
              <w:trPr>
                <w:trHeight w:val="284" w:hRule="atLeast"/>
              </w:trPr>
              <w:tc>
                <w:tcPr>
                  <w:tcW w:w="710" w:type="dxa"/>
                  <w:vAlign w:val="center"/>
                </w:tcPr>
                <w:p>
                  <w:pPr>
                    <w:widowControl/>
                    <w:jc w:val="center"/>
                    <w:rPr>
                      <w:kern w:val="0"/>
                      <w:szCs w:val="21"/>
                      <w:u w:val="single"/>
                    </w:rPr>
                  </w:pPr>
                  <w:r>
                    <w:rPr>
                      <w:rFonts w:hint="eastAsia"/>
                      <w:kern w:val="0"/>
                      <w:szCs w:val="21"/>
                      <w:u w:val="single"/>
                    </w:rPr>
                    <w:t>序号</w:t>
                  </w:r>
                </w:p>
              </w:tc>
              <w:tc>
                <w:tcPr>
                  <w:tcW w:w="3958" w:type="dxa"/>
                  <w:vAlign w:val="center"/>
                </w:tcPr>
                <w:p>
                  <w:pPr>
                    <w:widowControl/>
                    <w:jc w:val="center"/>
                    <w:rPr>
                      <w:kern w:val="0"/>
                      <w:szCs w:val="21"/>
                      <w:u w:val="single"/>
                    </w:rPr>
                  </w:pPr>
                  <w:r>
                    <w:rPr>
                      <w:rFonts w:hint="eastAsia"/>
                      <w:kern w:val="0"/>
                      <w:szCs w:val="21"/>
                      <w:u w:val="single"/>
                    </w:rPr>
                    <w:t>规划环评审查意见</w:t>
                  </w:r>
                </w:p>
              </w:tc>
              <w:tc>
                <w:tcPr>
                  <w:tcW w:w="2374" w:type="dxa"/>
                  <w:vAlign w:val="center"/>
                </w:tcPr>
                <w:p>
                  <w:pPr>
                    <w:widowControl/>
                    <w:jc w:val="center"/>
                    <w:rPr>
                      <w:kern w:val="0"/>
                      <w:szCs w:val="21"/>
                      <w:u w:val="single"/>
                    </w:rPr>
                  </w:pPr>
                  <w:r>
                    <w:rPr>
                      <w:rFonts w:hint="eastAsia"/>
                      <w:kern w:val="0"/>
                      <w:szCs w:val="21"/>
                      <w:u w:val="single"/>
                    </w:rPr>
                    <w:t>本项目情况</w:t>
                  </w:r>
                </w:p>
              </w:tc>
              <w:tc>
                <w:tcPr>
                  <w:tcW w:w="830" w:type="dxa"/>
                  <w:vAlign w:val="center"/>
                </w:tcPr>
                <w:p>
                  <w:pPr>
                    <w:widowControl/>
                    <w:jc w:val="center"/>
                    <w:rPr>
                      <w:kern w:val="0"/>
                      <w:szCs w:val="21"/>
                      <w:u w:val="single"/>
                    </w:rPr>
                  </w:pPr>
                  <w:r>
                    <w:rPr>
                      <w:rFonts w:hint="eastAsia"/>
                      <w:kern w:val="0"/>
                      <w:szCs w:val="21"/>
                      <w:u w:val="single"/>
                    </w:rPr>
                    <w:t>相符性</w:t>
                  </w:r>
                </w:p>
              </w:tc>
            </w:tr>
            <w:tr>
              <w:trPr>
                <w:trHeight w:val="284" w:hRule="atLeast"/>
              </w:trPr>
              <w:tc>
                <w:tcPr>
                  <w:tcW w:w="710" w:type="dxa"/>
                  <w:vAlign w:val="center"/>
                </w:tcPr>
                <w:p>
                  <w:pPr>
                    <w:widowControl/>
                    <w:jc w:val="center"/>
                    <w:rPr>
                      <w:kern w:val="0"/>
                      <w:szCs w:val="21"/>
                      <w:u w:val="single"/>
                    </w:rPr>
                  </w:pPr>
                  <w:r>
                    <w:rPr>
                      <w:rFonts w:hint="eastAsia"/>
                      <w:kern w:val="0"/>
                      <w:szCs w:val="21"/>
                      <w:u w:val="single"/>
                    </w:rPr>
                    <w:t>1</w:t>
                  </w:r>
                </w:p>
              </w:tc>
              <w:tc>
                <w:tcPr>
                  <w:tcW w:w="3958" w:type="dxa"/>
                  <w:vAlign w:val="center"/>
                </w:tcPr>
                <w:p>
                  <w:pPr>
                    <w:widowControl/>
                    <w:jc w:val="center"/>
                    <w:rPr>
                      <w:kern w:val="0"/>
                      <w:szCs w:val="21"/>
                      <w:u w:val="single"/>
                    </w:rPr>
                  </w:pPr>
                  <w:r>
                    <w:rPr>
                      <w:rFonts w:hint="eastAsia"/>
                      <w:kern w:val="0"/>
                      <w:szCs w:val="21"/>
                      <w:u w:val="single"/>
                    </w:rPr>
                    <w:t>功能分区和产业定位包括金融创新中心（功能定位主要为金融、商贸办公等）大健康综合产业园（主要发展食品加工、农副产品加工、中药、生物制药、化妆品制造等）、新材料新装备产业园（主要发展石墨电极、大理石加工、水泥预制件和秸秆加工等）、科技转化产业园（主要发展药品研发、新能源生物质研发和葡萄酒研发等）和综合产业园（主要发展葡萄酒加工及物流配送）。</w:t>
                  </w:r>
                </w:p>
              </w:tc>
              <w:tc>
                <w:tcPr>
                  <w:tcW w:w="2374" w:type="dxa"/>
                  <w:vAlign w:val="center"/>
                </w:tcPr>
                <w:p>
                  <w:pPr>
                    <w:widowControl/>
                    <w:jc w:val="center"/>
                    <w:rPr>
                      <w:kern w:val="0"/>
                      <w:szCs w:val="21"/>
                      <w:u w:val="single"/>
                    </w:rPr>
                  </w:pPr>
                  <w:r>
                    <w:rPr>
                      <w:rFonts w:hint="eastAsia"/>
                      <w:kern w:val="0"/>
                      <w:szCs w:val="21"/>
                      <w:u w:val="single"/>
                    </w:rPr>
                    <w:t>本项目选址位于大健康综合产业园，该区产业定位主要发展食品加工、农副产品加工、中药、生物制药、化妆品制造等为主。企业为屠宰企业，属于农副食品加工类项目，本项目为配套供热项目，符合规划及规划环评的相关要求。</w:t>
                  </w:r>
                </w:p>
              </w:tc>
              <w:tc>
                <w:tcPr>
                  <w:tcW w:w="830" w:type="dxa"/>
                  <w:vAlign w:val="center"/>
                </w:tcPr>
                <w:p>
                  <w:pPr>
                    <w:widowControl/>
                    <w:jc w:val="center"/>
                    <w:rPr>
                      <w:kern w:val="0"/>
                      <w:szCs w:val="21"/>
                      <w:u w:val="single"/>
                    </w:rPr>
                  </w:pPr>
                  <w:r>
                    <w:rPr>
                      <w:rFonts w:hint="eastAsia"/>
                      <w:kern w:val="0"/>
                      <w:szCs w:val="21"/>
                      <w:u w:val="single"/>
                    </w:rPr>
                    <w:t>符合</w:t>
                  </w:r>
                </w:p>
              </w:tc>
            </w:tr>
            <w:tr>
              <w:trPr>
                <w:trHeight w:val="284" w:hRule="atLeast"/>
              </w:trPr>
              <w:tc>
                <w:tcPr>
                  <w:tcW w:w="710" w:type="dxa"/>
                  <w:vAlign w:val="center"/>
                </w:tcPr>
                <w:p>
                  <w:pPr>
                    <w:widowControl/>
                    <w:jc w:val="center"/>
                    <w:rPr>
                      <w:kern w:val="0"/>
                      <w:szCs w:val="21"/>
                      <w:u w:val="single"/>
                    </w:rPr>
                  </w:pPr>
                  <w:r>
                    <w:rPr>
                      <w:rFonts w:hint="eastAsia"/>
                      <w:kern w:val="0"/>
                      <w:szCs w:val="21"/>
                      <w:u w:val="single"/>
                    </w:rPr>
                    <w:t>2</w:t>
                  </w:r>
                </w:p>
              </w:tc>
              <w:tc>
                <w:tcPr>
                  <w:tcW w:w="3958" w:type="dxa"/>
                  <w:vAlign w:val="center"/>
                </w:tcPr>
                <w:p>
                  <w:pPr>
                    <w:widowControl/>
                    <w:jc w:val="center"/>
                    <w:rPr>
                      <w:kern w:val="0"/>
                      <w:szCs w:val="21"/>
                      <w:u w:val="single"/>
                    </w:rPr>
                  </w:pPr>
                  <w:r>
                    <w:rPr>
                      <w:rFonts w:hint="eastAsia"/>
                      <w:kern w:val="0"/>
                      <w:szCs w:val="21"/>
                      <w:u w:val="single"/>
                    </w:rPr>
                    <w:t>鉴于工业集中区部分用地未纳入《柳河县城市总体规划（2008-2020年）》，部分用地规划与《柳河县城市总体规划（2008-2020年）》不一致，你单位应尽快与柳河县人民政府沟通协调，确保柳河县国土空间规划与工业集中区规划协调一致。同时，结合国土空间规划、衔接“三线一单”成果，细化生态环境准入清单。</w:t>
                  </w:r>
                </w:p>
              </w:tc>
              <w:tc>
                <w:tcPr>
                  <w:tcW w:w="2374" w:type="dxa"/>
                  <w:vAlign w:val="center"/>
                </w:tcPr>
                <w:p>
                  <w:pPr>
                    <w:widowControl/>
                    <w:jc w:val="center"/>
                    <w:rPr>
                      <w:kern w:val="0"/>
                      <w:szCs w:val="21"/>
                      <w:u w:val="single"/>
                    </w:rPr>
                  </w:pPr>
                  <w:r>
                    <w:rPr>
                      <w:rFonts w:hint="eastAsia"/>
                      <w:kern w:val="0"/>
                      <w:szCs w:val="21"/>
                      <w:u w:val="single"/>
                    </w:rPr>
                    <w:t>不涉及</w:t>
                  </w:r>
                </w:p>
              </w:tc>
              <w:tc>
                <w:tcPr>
                  <w:tcW w:w="830" w:type="dxa"/>
                  <w:vAlign w:val="center"/>
                </w:tcPr>
                <w:p>
                  <w:pPr>
                    <w:widowControl/>
                    <w:jc w:val="center"/>
                    <w:rPr>
                      <w:kern w:val="0"/>
                      <w:szCs w:val="21"/>
                      <w:u w:val="single"/>
                    </w:rPr>
                  </w:pPr>
                  <w:r>
                    <w:rPr>
                      <w:rFonts w:hint="eastAsia"/>
                      <w:kern w:val="0"/>
                      <w:szCs w:val="21"/>
                      <w:u w:val="single"/>
                    </w:rPr>
                    <w:t>/</w:t>
                  </w:r>
                </w:p>
              </w:tc>
            </w:tr>
            <w:tr>
              <w:trPr>
                <w:trHeight w:val="284" w:hRule="atLeast"/>
              </w:trPr>
              <w:tc>
                <w:tcPr>
                  <w:tcW w:w="710" w:type="dxa"/>
                  <w:vAlign w:val="center"/>
                </w:tcPr>
                <w:p>
                  <w:pPr>
                    <w:widowControl/>
                    <w:jc w:val="center"/>
                    <w:rPr>
                      <w:kern w:val="0"/>
                      <w:szCs w:val="21"/>
                      <w:u w:val="single"/>
                    </w:rPr>
                  </w:pPr>
                  <w:r>
                    <w:rPr>
                      <w:rFonts w:hint="eastAsia"/>
                      <w:kern w:val="0"/>
                      <w:szCs w:val="21"/>
                      <w:u w:val="single"/>
                    </w:rPr>
                    <w:t>3</w:t>
                  </w:r>
                </w:p>
              </w:tc>
              <w:tc>
                <w:tcPr>
                  <w:tcW w:w="3958" w:type="dxa"/>
                  <w:vAlign w:val="center"/>
                </w:tcPr>
                <w:p>
                  <w:pPr>
                    <w:widowControl/>
                    <w:jc w:val="center"/>
                    <w:rPr>
                      <w:kern w:val="0"/>
                      <w:szCs w:val="21"/>
                      <w:u w:val="single"/>
                    </w:rPr>
                  </w:pPr>
                  <w:r>
                    <w:rPr>
                      <w:rFonts w:hint="eastAsia"/>
                      <w:kern w:val="0"/>
                      <w:szCs w:val="21"/>
                      <w:u w:val="single"/>
                    </w:rPr>
                    <w:t>按照规划时限完成集中供热热源及管网建设，拆除集中供热以外的分散供热锅炉。在实现工业集中区集中供热之前，应采用清洁能源作为过渡热源。</w:t>
                  </w:r>
                </w:p>
              </w:tc>
              <w:tc>
                <w:tcPr>
                  <w:tcW w:w="2374" w:type="dxa"/>
                  <w:vAlign w:val="center"/>
                </w:tcPr>
                <w:p>
                  <w:pPr>
                    <w:widowControl/>
                    <w:jc w:val="center"/>
                    <w:rPr>
                      <w:rFonts w:eastAsia="宋体"/>
                      <w:kern w:val="0"/>
                      <w:szCs w:val="21"/>
                      <w:u w:val="single"/>
                    </w:rPr>
                  </w:pPr>
                  <w:r>
                    <w:rPr>
                      <w:rFonts w:hint="eastAsia" w:eastAsia="宋体"/>
                      <w:kern w:val="0"/>
                      <w:szCs w:val="21"/>
                      <w:u w:val="single"/>
                    </w:rPr>
                    <w:t>本项目改造的锅炉为生产供暖共用。</w:t>
                  </w:r>
                </w:p>
              </w:tc>
              <w:tc>
                <w:tcPr>
                  <w:tcW w:w="830" w:type="dxa"/>
                  <w:vAlign w:val="center"/>
                </w:tcPr>
                <w:p>
                  <w:pPr>
                    <w:widowControl/>
                    <w:jc w:val="center"/>
                    <w:rPr>
                      <w:rFonts w:eastAsia="宋体"/>
                      <w:kern w:val="0"/>
                      <w:szCs w:val="21"/>
                      <w:u w:val="single"/>
                    </w:rPr>
                  </w:pPr>
                  <w:r>
                    <w:rPr>
                      <w:rFonts w:hint="eastAsia" w:eastAsia="宋体"/>
                      <w:kern w:val="0"/>
                      <w:szCs w:val="21"/>
                      <w:u w:val="single"/>
                    </w:rPr>
                    <w:t>符合</w:t>
                  </w:r>
                </w:p>
              </w:tc>
            </w:tr>
            <w:tr>
              <w:trPr>
                <w:trHeight w:val="284" w:hRule="atLeast"/>
              </w:trPr>
              <w:tc>
                <w:tcPr>
                  <w:tcW w:w="710" w:type="dxa"/>
                  <w:vAlign w:val="center"/>
                </w:tcPr>
                <w:p>
                  <w:pPr>
                    <w:widowControl/>
                    <w:jc w:val="center"/>
                    <w:rPr>
                      <w:kern w:val="0"/>
                      <w:szCs w:val="21"/>
                      <w:u w:val="single"/>
                    </w:rPr>
                  </w:pPr>
                  <w:r>
                    <w:rPr>
                      <w:rFonts w:hint="eastAsia"/>
                      <w:kern w:val="0"/>
                      <w:szCs w:val="21"/>
                      <w:u w:val="single"/>
                    </w:rPr>
                    <w:t>4</w:t>
                  </w:r>
                </w:p>
              </w:tc>
              <w:tc>
                <w:tcPr>
                  <w:tcW w:w="3958" w:type="dxa"/>
                  <w:vAlign w:val="center"/>
                </w:tcPr>
                <w:p>
                  <w:pPr>
                    <w:widowControl/>
                    <w:jc w:val="center"/>
                    <w:rPr>
                      <w:kern w:val="0"/>
                      <w:szCs w:val="21"/>
                      <w:u w:val="single"/>
                    </w:rPr>
                  </w:pPr>
                  <w:r>
                    <w:rPr>
                      <w:rFonts w:hint="eastAsia"/>
                      <w:kern w:val="0"/>
                      <w:szCs w:val="21"/>
                      <w:u w:val="single"/>
                    </w:rPr>
                    <w:t>禁止对吉林省红石石棉制品有限公司和柳河木王家具制造有限公司进行扩建。对不符合产业定位的企业制定限期淘汰或逐步搬迁计划，确保产业发展与区域生态环境保护、人居环境质量保障相协调。</w:t>
                  </w:r>
                </w:p>
              </w:tc>
              <w:tc>
                <w:tcPr>
                  <w:tcW w:w="2374" w:type="dxa"/>
                  <w:vAlign w:val="center"/>
                </w:tcPr>
                <w:p>
                  <w:pPr>
                    <w:widowControl/>
                    <w:jc w:val="center"/>
                    <w:rPr>
                      <w:kern w:val="0"/>
                      <w:szCs w:val="21"/>
                      <w:u w:val="single"/>
                    </w:rPr>
                  </w:pPr>
                  <w:r>
                    <w:rPr>
                      <w:rFonts w:hint="eastAsia"/>
                      <w:kern w:val="0"/>
                      <w:szCs w:val="21"/>
                      <w:u w:val="single"/>
                    </w:rPr>
                    <w:t>不涉及</w:t>
                  </w:r>
                </w:p>
              </w:tc>
              <w:tc>
                <w:tcPr>
                  <w:tcW w:w="830" w:type="dxa"/>
                  <w:vAlign w:val="center"/>
                </w:tcPr>
                <w:p>
                  <w:pPr>
                    <w:widowControl/>
                    <w:jc w:val="center"/>
                    <w:rPr>
                      <w:kern w:val="0"/>
                      <w:szCs w:val="21"/>
                      <w:u w:val="single"/>
                    </w:rPr>
                  </w:pPr>
                  <w:r>
                    <w:rPr>
                      <w:rFonts w:hint="eastAsia"/>
                      <w:kern w:val="0"/>
                      <w:szCs w:val="21"/>
                      <w:u w:val="single"/>
                    </w:rPr>
                    <w:t>/</w:t>
                  </w:r>
                </w:p>
              </w:tc>
            </w:tr>
            <w:tr>
              <w:trPr>
                <w:trHeight w:val="284" w:hRule="atLeast"/>
              </w:trPr>
              <w:tc>
                <w:tcPr>
                  <w:tcW w:w="710" w:type="dxa"/>
                  <w:vAlign w:val="center"/>
                </w:tcPr>
                <w:p>
                  <w:pPr>
                    <w:widowControl/>
                    <w:jc w:val="center"/>
                    <w:rPr>
                      <w:kern w:val="0"/>
                      <w:szCs w:val="21"/>
                      <w:u w:val="single"/>
                    </w:rPr>
                  </w:pPr>
                  <w:r>
                    <w:rPr>
                      <w:rFonts w:hint="eastAsia"/>
                      <w:kern w:val="0"/>
                      <w:szCs w:val="21"/>
                      <w:u w:val="single"/>
                    </w:rPr>
                    <w:t>5</w:t>
                  </w:r>
                </w:p>
              </w:tc>
              <w:tc>
                <w:tcPr>
                  <w:tcW w:w="3958" w:type="dxa"/>
                  <w:vAlign w:val="center"/>
                </w:tcPr>
                <w:p>
                  <w:pPr>
                    <w:widowControl/>
                    <w:jc w:val="center"/>
                    <w:rPr>
                      <w:kern w:val="0"/>
                      <w:szCs w:val="21"/>
                      <w:u w:val="single"/>
                    </w:rPr>
                  </w:pPr>
                  <w:r>
                    <w:rPr>
                      <w:rFonts w:hint="eastAsia"/>
                      <w:kern w:val="0"/>
                      <w:szCs w:val="21"/>
                      <w:u w:val="single"/>
                    </w:rPr>
                    <w:t>根据《重点行业挥发性有机物综合治理方案》（环大气〔2019〕53号），核查区域VOCs排放重点企业清单，加强对VOCs排放重点行业监管，强化源头控制，推进建设适宜高效的治污设施，并将VOCs纳入总量控制要求。</w:t>
                  </w:r>
                </w:p>
              </w:tc>
              <w:tc>
                <w:tcPr>
                  <w:tcW w:w="2374" w:type="dxa"/>
                  <w:vAlign w:val="center"/>
                </w:tcPr>
                <w:p>
                  <w:pPr>
                    <w:widowControl/>
                    <w:jc w:val="center"/>
                    <w:rPr>
                      <w:kern w:val="0"/>
                      <w:szCs w:val="21"/>
                      <w:u w:val="single"/>
                    </w:rPr>
                  </w:pPr>
                  <w:r>
                    <w:rPr>
                      <w:rFonts w:hint="eastAsia"/>
                      <w:kern w:val="0"/>
                      <w:szCs w:val="21"/>
                      <w:u w:val="single"/>
                    </w:rPr>
                    <w:t>本项目不属于上述重点行业，项目不涉及VOCs排放。</w:t>
                  </w:r>
                </w:p>
              </w:tc>
              <w:tc>
                <w:tcPr>
                  <w:tcW w:w="830" w:type="dxa"/>
                  <w:vAlign w:val="center"/>
                </w:tcPr>
                <w:p>
                  <w:pPr>
                    <w:widowControl/>
                    <w:jc w:val="center"/>
                    <w:rPr>
                      <w:kern w:val="0"/>
                      <w:szCs w:val="21"/>
                      <w:u w:val="single"/>
                    </w:rPr>
                  </w:pPr>
                  <w:r>
                    <w:rPr>
                      <w:rFonts w:hint="eastAsia"/>
                      <w:kern w:val="0"/>
                      <w:szCs w:val="21"/>
                      <w:u w:val="single"/>
                    </w:rPr>
                    <w:t>符合</w:t>
                  </w:r>
                </w:p>
              </w:tc>
            </w:tr>
            <w:tr>
              <w:trPr>
                <w:trHeight w:val="284" w:hRule="atLeast"/>
              </w:trPr>
              <w:tc>
                <w:tcPr>
                  <w:tcW w:w="710" w:type="dxa"/>
                  <w:vAlign w:val="center"/>
                </w:tcPr>
                <w:p>
                  <w:pPr>
                    <w:widowControl/>
                    <w:jc w:val="center"/>
                    <w:rPr>
                      <w:kern w:val="0"/>
                      <w:szCs w:val="21"/>
                      <w:u w:val="single"/>
                    </w:rPr>
                  </w:pPr>
                  <w:r>
                    <w:rPr>
                      <w:rFonts w:hint="eastAsia"/>
                      <w:kern w:val="0"/>
                      <w:szCs w:val="21"/>
                      <w:u w:val="single"/>
                    </w:rPr>
                    <w:t>6</w:t>
                  </w:r>
                </w:p>
              </w:tc>
              <w:tc>
                <w:tcPr>
                  <w:tcW w:w="3958" w:type="dxa"/>
                  <w:vAlign w:val="center"/>
                </w:tcPr>
                <w:p>
                  <w:pPr>
                    <w:widowControl/>
                    <w:jc w:val="center"/>
                    <w:rPr>
                      <w:kern w:val="0"/>
                      <w:szCs w:val="21"/>
                      <w:u w:val="single"/>
                    </w:rPr>
                  </w:pPr>
                  <w:r>
                    <w:rPr>
                      <w:rFonts w:hint="eastAsia"/>
                      <w:kern w:val="0"/>
                      <w:szCs w:val="21"/>
                      <w:u w:val="single"/>
                    </w:rPr>
                    <w:t>按照《关于规划环境影响评价加强空间管制、总量管控和环境准入的指导意见（试行）》（环办环评〔2016〕14号）中严格总量管控的相关要求，确定主要控制污染物因子总量管控限值。开发区主要污染物排放总量应纳入柳河县主要污染物排放总量管理体系内并严格控制，做到科学调剂，合理使用。</w:t>
                  </w:r>
                </w:p>
              </w:tc>
              <w:tc>
                <w:tcPr>
                  <w:tcW w:w="2374" w:type="dxa"/>
                  <w:vAlign w:val="center"/>
                </w:tcPr>
                <w:p>
                  <w:pPr>
                    <w:widowControl/>
                    <w:jc w:val="center"/>
                    <w:rPr>
                      <w:kern w:val="0"/>
                      <w:szCs w:val="21"/>
                      <w:u w:val="single"/>
                    </w:rPr>
                  </w:pPr>
                  <w:r>
                    <w:rPr>
                      <w:rFonts w:hint="eastAsia"/>
                      <w:kern w:val="0"/>
                      <w:szCs w:val="21"/>
                      <w:u w:val="single"/>
                    </w:rPr>
                    <w:t>不涉及</w:t>
                  </w:r>
                </w:p>
              </w:tc>
              <w:tc>
                <w:tcPr>
                  <w:tcW w:w="830" w:type="dxa"/>
                  <w:vAlign w:val="center"/>
                </w:tcPr>
                <w:p>
                  <w:pPr>
                    <w:widowControl/>
                    <w:jc w:val="center"/>
                    <w:rPr>
                      <w:kern w:val="0"/>
                      <w:szCs w:val="21"/>
                      <w:u w:val="single"/>
                    </w:rPr>
                  </w:pPr>
                  <w:r>
                    <w:rPr>
                      <w:rFonts w:hint="eastAsia"/>
                      <w:kern w:val="0"/>
                      <w:szCs w:val="21"/>
                      <w:u w:val="single"/>
                    </w:rPr>
                    <w:t>/</w:t>
                  </w:r>
                </w:p>
              </w:tc>
            </w:tr>
            <w:tr>
              <w:trPr>
                <w:trHeight w:val="284" w:hRule="atLeast"/>
              </w:trPr>
              <w:tc>
                <w:tcPr>
                  <w:tcW w:w="710" w:type="dxa"/>
                  <w:vAlign w:val="center"/>
                </w:tcPr>
                <w:p>
                  <w:pPr>
                    <w:widowControl/>
                    <w:jc w:val="center"/>
                    <w:rPr>
                      <w:kern w:val="0"/>
                      <w:szCs w:val="21"/>
                      <w:u w:val="single"/>
                    </w:rPr>
                  </w:pPr>
                  <w:r>
                    <w:rPr>
                      <w:rFonts w:hint="eastAsia"/>
                      <w:kern w:val="0"/>
                      <w:szCs w:val="21"/>
                      <w:u w:val="single"/>
                    </w:rPr>
                    <w:t>7</w:t>
                  </w:r>
                </w:p>
              </w:tc>
              <w:tc>
                <w:tcPr>
                  <w:tcW w:w="3958" w:type="dxa"/>
                  <w:vAlign w:val="center"/>
                </w:tcPr>
                <w:p>
                  <w:pPr>
                    <w:widowControl/>
                    <w:jc w:val="center"/>
                    <w:rPr>
                      <w:kern w:val="0"/>
                      <w:szCs w:val="21"/>
                      <w:u w:val="single"/>
                    </w:rPr>
                  </w:pPr>
                  <w:r>
                    <w:rPr>
                      <w:rFonts w:hint="eastAsia"/>
                      <w:kern w:val="0"/>
                      <w:szCs w:val="21"/>
                      <w:u w:val="single"/>
                    </w:rPr>
                    <w:t>应结合区内产业类型及布局分析潜在的环境风险，尽快编制开发区环境风险应急预案，建立完善的开发区环境风险防控体系，按照环境风险应急预案落实相关风险防范措施，建立企业、工业集中区及政府环境风险防范体系联动机制，实现有效衔接。环境风险应急预案应到生态环境部门和有关部门备案，并开展经常性演练，防止环境风险事故发生。</w:t>
                  </w:r>
                </w:p>
              </w:tc>
              <w:tc>
                <w:tcPr>
                  <w:tcW w:w="2374" w:type="dxa"/>
                  <w:vAlign w:val="center"/>
                </w:tcPr>
                <w:p>
                  <w:pPr>
                    <w:widowControl/>
                    <w:jc w:val="center"/>
                    <w:rPr>
                      <w:kern w:val="0"/>
                      <w:szCs w:val="21"/>
                      <w:u w:val="single"/>
                    </w:rPr>
                  </w:pPr>
                  <w:r>
                    <w:rPr>
                      <w:rFonts w:hint="eastAsia"/>
                      <w:kern w:val="0"/>
                      <w:szCs w:val="21"/>
                      <w:u w:val="single"/>
                    </w:rPr>
                    <w:t>不涉及</w:t>
                  </w:r>
                </w:p>
              </w:tc>
              <w:tc>
                <w:tcPr>
                  <w:tcW w:w="830" w:type="dxa"/>
                  <w:vAlign w:val="center"/>
                </w:tcPr>
                <w:p>
                  <w:pPr>
                    <w:widowControl/>
                    <w:jc w:val="center"/>
                    <w:rPr>
                      <w:kern w:val="0"/>
                      <w:szCs w:val="21"/>
                      <w:u w:val="single"/>
                    </w:rPr>
                  </w:pPr>
                  <w:r>
                    <w:rPr>
                      <w:rFonts w:hint="eastAsia"/>
                      <w:kern w:val="0"/>
                      <w:szCs w:val="21"/>
                      <w:u w:val="single"/>
                    </w:rPr>
                    <w:t>/</w:t>
                  </w:r>
                </w:p>
              </w:tc>
            </w:tr>
            <w:tr>
              <w:trPr>
                <w:trHeight w:val="284" w:hRule="atLeast"/>
              </w:trPr>
              <w:tc>
                <w:tcPr>
                  <w:tcW w:w="710" w:type="dxa"/>
                  <w:vAlign w:val="center"/>
                </w:tcPr>
                <w:p>
                  <w:pPr>
                    <w:widowControl/>
                    <w:jc w:val="center"/>
                    <w:rPr>
                      <w:kern w:val="0"/>
                      <w:szCs w:val="21"/>
                      <w:u w:val="single"/>
                    </w:rPr>
                  </w:pPr>
                  <w:r>
                    <w:rPr>
                      <w:rFonts w:hint="eastAsia"/>
                      <w:kern w:val="0"/>
                      <w:szCs w:val="21"/>
                      <w:u w:val="single"/>
                    </w:rPr>
                    <w:t>8</w:t>
                  </w:r>
                </w:p>
              </w:tc>
              <w:tc>
                <w:tcPr>
                  <w:tcW w:w="3958" w:type="dxa"/>
                  <w:vAlign w:val="center"/>
                </w:tcPr>
                <w:p>
                  <w:pPr>
                    <w:widowControl/>
                    <w:jc w:val="center"/>
                    <w:rPr>
                      <w:kern w:val="0"/>
                      <w:szCs w:val="21"/>
                      <w:u w:val="single"/>
                    </w:rPr>
                  </w:pPr>
                  <w:r>
                    <w:rPr>
                      <w:rFonts w:hint="eastAsia"/>
                      <w:kern w:val="0"/>
                      <w:szCs w:val="21"/>
                      <w:u w:val="single"/>
                    </w:rPr>
                    <w:t>进一步强化环境管理制度，按照相关要求落实区内环境质量和污染源监测计划；督促企业开展清洁生产审核、落实竣工环保验收等环境管理工作。</w:t>
                  </w:r>
                </w:p>
              </w:tc>
              <w:tc>
                <w:tcPr>
                  <w:tcW w:w="2374" w:type="dxa"/>
                  <w:vAlign w:val="center"/>
                </w:tcPr>
                <w:p>
                  <w:pPr>
                    <w:widowControl/>
                    <w:jc w:val="center"/>
                    <w:rPr>
                      <w:kern w:val="0"/>
                      <w:szCs w:val="21"/>
                      <w:u w:val="single"/>
                    </w:rPr>
                  </w:pPr>
                  <w:r>
                    <w:rPr>
                      <w:rFonts w:hint="eastAsia"/>
                      <w:kern w:val="0"/>
                      <w:szCs w:val="21"/>
                      <w:u w:val="single"/>
                    </w:rPr>
                    <w:t>本项目竣工后及时落实排污许可、竣工环保验收等环境管理工作。</w:t>
                  </w:r>
                </w:p>
              </w:tc>
              <w:tc>
                <w:tcPr>
                  <w:tcW w:w="830" w:type="dxa"/>
                  <w:vAlign w:val="center"/>
                </w:tcPr>
                <w:p>
                  <w:pPr>
                    <w:widowControl/>
                    <w:jc w:val="center"/>
                    <w:rPr>
                      <w:kern w:val="0"/>
                      <w:szCs w:val="21"/>
                      <w:u w:val="single"/>
                    </w:rPr>
                  </w:pPr>
                  <w:r>
                    <w:rPr>
                      <w:rFonts w:hint="eastAsia"/>
                      <w:kern w:val="0"/>
                      <w:szCs w:val="21"/>
                      <w:u w:val="single"/>
                    </w:rPr>
                    <w:t>符合</w:t>
                  </w:r>
                </w:p>
              </w:tc>
            </w:tr>
          </w:tbl>
          <w:p>
            <w:pPr>
              <w:pStyle w:val="9"/>
              <w:ind w:firstLine="480"/>
              <w:rPr>
                <w:rFonts w:cs="Times New Roman"/>
                <w:u w:val="single"/>
              </w:rPr>
            </w:pPr>
            <w:r>
              <w:rPr>
                <w:rFonts w:hint="eastAsia" w:cs="Times New Roman"/>
                <w:u w:val="single"/>
              </w:rPr>
              <w:t>本项目与规划环评审查意见（吉环环评字〔2021〕15号）的符合性分析详见下表。</w:t>
            </w:r>
          </w:p>
          <w:p>
            <w:pPr>
              <w:pStyle w:val="9"/>
              <w:spacing w:line="240" w:lineRule="auto"/>
              <w:ind w:firstLine="0" w:firstLineChars="0"/>
              <w:jc w:val="center"/>
              <w:rPr>
                <w:rFonts w:cs="Times New Roman"/>
                <w:u w:val="single"/>
              </w:rPr>
            </w:pPr>
            <w:r>
              <w:rPr>
                <w:rFonts w:hint="eastAsia" w:cs="Times New Roman"/>
                <w:u w:val="single"/>
              </w:rPr>
              <w:t>表3  与柳河工业集中区规划产业禁止及限制准入负面清单符合性分析</w:t>
            </w:r>
          </w:p>
          <w:tbl>
            <w:tblPr>
              <w:tblW w:w="7869" w:type="dxa"/>
              <w:jc w:val="center"/>
              <w:tblBorders>
                <w:top w:val="single" w:color="auto" w:sz="12" w:space="0"/>
                <w:left w:val="none" w:color="auto" w:sz="6" w:space="0"/>
                <w:bottom w:val="single" w:color="auto" w:sz="12" w:space="0"/>
                <w:right w:val="none" w:color="auto" w:sz="6" w:space="0"/>
                <w:insideH w:val="single" w:color="auto" w:sz="4" w:space="0"/>
                <w:insideV w:val="single" w:color="auto" w:sz="4" w:space="0"/>
              </w:tblBorders>
              <w:tblLayout w:type="fixed"/>
              <w:tblCellMar>
                <w:left w:w="57" w:type="dxa"/>
                <w:right w:w="57" w:type="dxa"/>
              </w:tblCellMar>
            </w:tblPr>
            <w:tblGrid>
              <w:gridCol w:w="536"/>
              <w:gridCol w:w="568"/>
              <w:gridCol w:w="5389"/>
              <w:gridCol w:w="1376"/>
            </w:tblGrid>
            <w:tr>
              <w:trPr>
                <w:trHeight w:val="340" w:hRule="atLeast"/>
                <w:tblHeader/>
                <w:jc w:val="center"/>
              </w:trPr>
              <w:tc>
                <w:tcPr>
                  <w:tcW w:w="1104" w:type="dxa"/>
                  <w:gridSpan w:val="2"/>
                  <w:tcBorders>
                    <w:top w:val="single" w:color="auto" w:sz="12" w:space="0"/>
                    <w:left w:val="nil"/>
                    <w:bottom w:val="single" w:color="auto" w:sz="4" w:space="0"/>
                    <w:right w:val="single" w:color="auto" w:sz="4" w:space="0"/>
                  </w:tcBorders>
                  <w:vAlign w:val="center"/>
                </w:tcPr>
                <w:p>
                  <w:pPr>
                    <w:widowControl/>
                    <w:jc w:val="center"/>
                    <w:rPr>
                      <w:kern w:val="0"/>
                      <w:szCs w:val="21"/>
                      <w:u w:val="single"/>
                    </w:rPr>
                  </w:pPr>
                  <w:r>
                    <w:rPr>
                      <w:kern w:val="0"/>
                      <w:szCs w:val="21"/>
                      <w:u w:val="single"/>
                    </w:rPr>
                    <w:t>产业类别</w:t>
                  </w:r>
                </w:p>
              </w:tc>
              <w:tc>
                <w:tcPr>
                  <w:tcW w:w="5389" w:type="dxa"/>
                  <w:tcBorders>
                    <w:top w:val="single" w:color="auto" w:sz="12" w:space="0"/>
                    <w:left w:val="single" w:color="auto" w:sz="4" w:space="0"/>
                    <w:bottom w:val="single" w:color="auto" w:sz="4" w:space="0"/>
                    <w:right w:val="nil"/>
                  </w:tcBorders>
                  <w:vAlign w:val="center"/>
                </w:tcPr>
                <w:p>
                  <w:pPr>
                    <w:widowControl/>
                    <w:jc w:val="center"/>
                    <w:rPr>
                      <w:kern w:val="0"/>
                      <w:szCs w:val="21"/>
                      <w:u w:val="single"/>
                    </w:rPr>
                  </w:pPr>
                  <w:r>
                    <w:rPr>
                      <w:kern w:val="0"/>
                      <w:szCs w:val="21"/>
                      <w:u w:val="single"/>
                    </w:rPr>
                    <w:t>项目类别</w:t>
                  </w:r>
                </w:p>
              </w:tc>
              <w:tc>
                <w:tcPr>
                  <w:tcW w:w="1376" w:type="dxa"/>
                  <w:tcBorders>
                    <w:top w:val="single" w:color="auto" w:sz="12" w:space="0"/>
                    <w:left w:val="single" w:color="auto" w:sz="4" w:space="0"/>
                    <w:bottom w:val="single" w:color="auto" w:sz="4" w:space="0"/>
                    <w:right w:val="nil"/>
                  </w:tcBorders>
                  <w:vAlign w:val="center"/>
                </w:tcPr>
                <w:p>
                  <w:pPr>
                    <w:widowControl/>
                    <w:jc w:val="center"/>
                    <w:rPr>
                      <w:kern w:val="0"/>
                      <w:szCs w:val="21"/>
                      <w:u w:val="single"/>
                    </w:rPr>
                  </w:pPr>
                  <w:r>
                    <w:rPr>
                      <w:kern w:val="0"/>
                      <w:szCs w:val="21"/>
                      <w:u w:val="single"/>
                    </w:rPr>
                    <w:t>符合情况</w:t>
                  </w:r>
                </w:p>
              </w:tc>
            </w:tr>
            <w:tr>
              <w:trPr>
                <w:trHeight w:val="340" w:hRule="atLeast"/>
                <w:jc w:val="center"/>
              </w:trPr>
              <w:tc>
                <w:tcPr>
                  <w:tcW w:w="536" w:type="dxa"/>
                  <w:tcBorders>
                    <w:top w:val="single" w:color="auto" w:sz="4" w:space="0"/>
                    <w:left w:val="nil"/>
                    <w:right w:val="single" w:color="auto" w:sz="4" w:space="0"/>
                  </w:tcBorders>
                  <w:vAlign w:val="center"/>
                </w:tcPr>
                <w:p>
                  <w:pPr>
                    <w:widowControl/>
                    <w:jc w:val="center"/>
                    <w:rPr>
                      <w:kern w:val="0"/>
                      <w:szCs w:val="21"/>
                      <w:u w:val="single"/>
                    </w:rPr>
                  </w:pPr>
                  <w:r>
                    <w:rPr>
                      <w:kern w:val="0"/>
                      <w:szCs w:val="21"/>
                      <w:u w:val="single"/>
                    </w:rPr>
                    <w:t>限制入区项目类别</w:t>
                  </w:r>
                </w:p>
              </w:tc>
              <w:tc>
                <w:tcPr>
                  <w:tcW w:w="568" w:type="dxa"/>
                  <w:tcBorders>
                    <w:top w:val="single" w:color="auto" w:sz="4" w:space="0"/>
                    <w:left w:val="single" w:color="auto" w:sz="4" w:space="0"/>
                    <w:bottom w:val="single" w:color="auto" w:sz="4" w:space="0"/>
                    <w:right w:val="single" w:color="auto" w:sz="4" w:space="0"/>
                  </w:tcBorders>
                  <w:vAlign w:val="center"/>
                </w:tcPr>
                <w:p>
                  <w:pPr>
                    <w:widowControl/>
                    <w:jc w:val="center"/>
                    <w:rPr>
                      <w:kern w:val="0"/>
                      <w:szCs w:val="21"/>
                      <w:u w:val="single"/>
                    </w:rPr>
                  </w:pPr>
                  <w:r>
                    <w:rPr>
                      <w:kern w:val="0"/>
                      <w:szCs w:val="21"/>
                      <w:u w:val="single"/>
                    </w:rPr>
                    <w:t>建材</w:t>
                  </w:r>
                </w:p>
              </w:tc>
              <w:tc>
                <w:tcPr>
                  <w:tcW w:w="5389" w:type="dxa"/>
                  <w:tcBorders>
                    <w:top w:val="single" w:color="auto" w:sz="4" w:space="0"/>
                    <w:left w:val="single" w:color="auto" w:sz="4" w:space="0"/>
                    <w:bottom w:val="single" w:color="auto" w:sz="4" w:space="0"/>
                    <w:right w:val="nil"/>
                  </w:tcBorders>
                  <w:vAlign w:val="center"/>
                </w:tcPr>
                <w:p>
                  <w:pPr>
                    <w:widowControl/>
                    <w:jc w:val="center"/>
                    <w:rPr>
                      <w:kern w:val="0"/>
                      <w:szCs w:val="21"/>
                      <w:u w:val="single"/>
                    </w:rPr>
                  </w:pPr>
                  <w:r>
                    <w:rPr>
                      <w:kern w:val="0"/>
                      <w:szCs w:val="21"/>
                      <w:u w:val="single"/>
                    </w:rPr>
                    <w:t>1、2000吨/日（不含）以下新型干法水泥熟料生产线（特种水泥生产线除外），60万吨/年（不含）以下水泥粉磨站</w:t>
                  </w:r>
                </w:p>
                <w:p>
                  <w:pPr>
                    <w:widowControl/>
                    <w:jc w:val="center"/>
                    <w:rPr>
                      <w:kern w:val="0"/>
                      <w:szCs w:val="21"/>
                      <w:u w:val="single"/>
                    </w:rPr>
                  </w:pPr>
                  <w:r>
                    <w:rPr>
                      <w:kern w:val="0"/>
                      <w:szCs w:val="21"/>
                      <w:u w:val="single"/>
                    </w:rPr>
                    <w:t>2、150万平方米/年及以下的建筑陶瓷（不包括建筑琉璃制品）生产线</w:t>
                  </w:r>
                </w:p>
                <w:p>
                  <w:pPr>
                    <w:widowControl/>
                    <w:jc w:val="center"/>
                    <w:rPr>
                      <w:kern w:val="0"/>
                      <w:szCs w:val="21"/>
                      <w:u w:val="single"/>
                    </w:rPr>
                  </w:pPr>
                  <w:r>
                    <w:rPr>
                      <w:kern w:val="0"/>
                      <w:szCs w:val="21"/>
                      <w:u w:val="single"/>
                    </w:rPr>
                    <w:t>3、60万件/年（不含）以下的隧道窑卫生陶瓷生产线</w:t>
                  </w:r>
                </w:p>
                <w:p>
                  <w:pPr>
                    <w:widowControl/>
                    <w:jc w:val="center"/>
                    <w:rPr>
                      <w:kern w:val="0"/>
                      <w:szCs w:val="21"/>
                      <w:u w:val="single"/>
                    </w:rPr>
                  </w:pPr>
                  <w:r>
                    <w:rPr>
                      <w:kern w:val="0"/>
                      <w:szCs w:val="21"/>
                      <w:u w:val="single"/>
                    </w:rPr>
                    <w:t>4、3000万平方米/年（不含）以下的纸面石膏板生产线（西藏除外）</w:t>
                  </w:r>
                </w:p>
                <w:p>
                  <w:pPr>
                    <w:widowControl/>
                    <w:jc w:val="center"/>
                    <w:rPr>
                      <w:kern w:val="0"/>
                      <w:szCs w:val="21"/>
                      <w:u w:val="single"/>
                    </w:rPr>
                  </w:pPr>
                  <w:r>
                    <w:rPr>
                      <w:kern w:val="0"/>
                      <w:szCs w:val="21"/>
                      <w:u w:val="single"/>
                    </w:rPr>
                    <w:t>5、中碱玻璃纤维池窑法拉丝生产线；单窑规模小于8万吨/年（不含）的无碱玻璃纤维粗纱池窑拉丝生产线；中碱、无碱、耐碱玻璃球窑生产线；中碱、无碱玻璃纤维代铂坩埚拉丝生产线</w:t>
                  </w:r>
                </w:p>
                <w:p>
                  <w:pPr>
                    <w:widowControl/>
                    <w:jc w:val="center"/>
                    <w:rPr>
                      <w:kern w:val="0"/>
                      <w:szCs w:val="21"/>
                      <w:u w:val="single"/>
                    </w:rPr>
                  </w:pPr>
                  <w:r>
                    <w:rPr>
                      <w:kern w:val="0"/>
                      <w:szCs w:val="21"/>
                      <w:u w:val="single"/>
                    </w:rPr>
                    <w:t>6、粘土空心砖生产线（陕西、青海、甘肃、新疆、西藏、宁夏除外）</w:t>
                  </w:r>
                </w:p>
                <w:p>
                  <w:pPr>
                    <w:widowControl/>
                    <w:jc w:val="center"/>
                    <w:rPr>
                      <w:kern w:val="0"/>
                      <w:szCs w:val="21"/>
                      <w:u w:val="single"/>
                    </w:rPr>
                  </w:pPr>
                  <w:r>
                    <w:rPr>
                      <w:kern w:val="0"/>
                      <w:szCs w:val="21"/>
                      <w:u w:val="single"/>
                    </w:rPr>
                    <w:t>7、15万平方米/年（不含）以下的石膏（空心）砌块生产线、单班5万立方米/年（不含）以下的混凝土小型空心砌块以及单班15万平方米/年（不含）以下的混凝土铺地砖固定式生产线、5万立方米/年（不含）以下的人造轻集料（陶粒）生产线</w:t>
                  </w:r>
                </w:p>
                <w:p>
                  <w:pPr>
                    <w:widowControl/>
                    <w:jc w:val="center"/>
                    <w:rPr>
                      <w:kern w:val="0"/>
                      <w:szCs w:val="21"/>
                      <w:u w:val="single"/>
                    </w:rPr>
                  </w:pPr>
                  <w:r>
                    <w:rPr>
                      <w:kern w:val="0"/>
                      <w:szCs w:val="21"/>
                      <w:u w:val="single"/>
                    </w:rPr>
                    <w:t>8、15万立方米/年（不含）以下的加气混凝土生产线</w:t>
                  </w:r>
                </w:p>
                <w:p>
                  <w:pPr>
                    <w:widowControl/>
                    <w:jc w:val="center"/>
                    <w:rPr>
                      <w:kern w:val="0"/>
                      <w:szCs w:val="21"/>
                      <w:u w:val="single"/>
                    </w:rPr>
                  </w:pPr>
                  <w:r>
                    <w:rPr>
                      <w:kern w:val="0"/>
                      <w:szCs w:val="21"/>
                      <w:u w:val="single"/>
                    </w:rPr>
                    <w:t>9、6000万标砖/年（不含）以下的烧结砖及烧结空心砌块生产线</w:t>
                  </w:r>
                </w:p>
                <w:p>
                  <w:pPr>
                    <w:widowControl/>
                    <w:jc w:val="center"/>
                    <w:rPr>
                      <w:kern w:val="0"/>
                      <w:szCs w:val="21"/>
                      <w:u w:val="single"/>
                    </w:rPr>
                  </w:pPr>
                  <w:r>
                    <w:rPr>
                      <w:kern w:val="0"/>
                      <w:szCs w:val="21"/>
                      <w:u w:val="single"/>
                    </w:rPr>
                    <w:t>10、30000吨/年以下岩（矿）棉制品生产线和8000吨/年以下玻璃棉制品生产线</w:t>
                  </w:r>
                </w:p>
                <w:p>
                  <w:pPr>
                    <w:widowControl/>
                    <w:jc w:val="center"/>
                    <w:rPr>
                      <w:kern w:val="0"/>
                      <w:szCs w:val="21"/>
                      <w:u w:val="single"/>
                    </w:rPr>
                  </w:pPr>
                  <w:r>
                    <w:rPr>
                      <w:kern w:val="0"/>
                      <w:szCs w:val="21"/>
                      <w:u w:val="single"/>
                    </w:rPr>
                    <w:t>11、100万米/年及以下预应力高强混凝土离心桩生产线</w:t>
                  </w:r>
                </w:p>
                <w:p>
                  <w:pPr>
                    <w:widowControl/>
                    <w:jc w:val="center"/>
                    <w:rPr>
                      <w:kern w:val="0"/>
                      <w:szCs w:val="21"/>
                      <w:u w:val="single"/>
                    </w:rPr>
                  </w:pPr>
                  <w:r>
                    <w:rPr>
                      <w:kern w:val="0"/>
                      <w:szCs w:val="21"/>
                      <w:u w:val="single"/>
                    </w:rPr>
                    <w:t>12、预应力钢筒混凝土管（简称PCCP管）生产线：PCCP-L型：年设计生产能力≤50千米，PCCP-E型：年设计生产能力≤30千米</w:t>
                  </w:r>
                </w:p>
              </w:tc>
              <w:tc>
                <w:tcPr>
                  <w:tcW w:w="1376" w:type="dxa"/>
                  <w:tcBorders>
                    <w:top w:val="single" w:color="auto" w:sz="4" w:space="0"/>
                    <w:left w:val="single" w:color="auto" w:sz="4" w:space="0"/>
                    <w:bottom w:val="single" w:color="auto" w:sz="4" w:space="0"/>
                    <w:right w:val="nil"/>
                  </w:tcBorders>
                  <w:vAlign w:val="center"/>
                </w:tcPr>
                <w:p>
                  <w:pPr>
                    <w:widowControl/>
                    <w:jc w:val="center"/>
                    <w:rPr>
                      <w:kern w:val="0"/>
                      <w:szCs w:val="21"/>
                      <w:u w:val="single"/>
                    </w:rPr>
                  </w:pPr>
                  <w:r>
                    <w:rPr>
                      <w:rFonts w:hint="eastAsia"/>
                      <w:u w:val="single"/>
                    </w:rPr>
                    <w:t>企业为屠宰企业，属于农副食品加工类项目，本项目为配套供热项目，符合规划及规划环评的相关要求。</w:t>
                  </w:r>
                </w:p>
              </w:tc>
            </w:tr>
            <w:tr>
              <w:trPr>
                <w:trHeight w:val="340" w:hRule="atLeast"/>
                <w:jc w:val="center"/>
              </w:trPr>
              <w:tc>
                <w:tcPr>
                  <w:tcW w:w="536" w:type="dxa"/>
                  <w:vMerge w:val="restart"/>
                  <w:tcBorders>
                    <w:top w:val="single" w:color="auto" w:sz="4" w:space="0"/>
                    <w:left w:val="nil"/>
                    <w:bottom w:val="single" w:color="auto" w:sz="12" w:space="0"/>
                    <w:right w:val="single" w:color="auto" w:sz="4" w:space="0"/>
                  </w:tcBorders>
                  <w:vAlign w:val="center"/>
                </w:tcPr>
                <w:p>
                  <w:pPr>
                    <w:widowControl/>
                    <w:jc w:val="center"/>
                    <w:rPr>
                      <w:kern w:val="0"/>
                      <w:szCs w:val="21"/>
                      <w:u w:val="single"/>
                    </w:rPr>
                  </w:pPr>
                  <w:r>
                    <w:rPr>
                      <w:kern w:val="0"/>
                      <w:szCs w:val="21"/>
                      <w:u w:val="single"/>
                    </w:rPr>
                    <w:t>禁止入区项目类别</w:t>
                  </w:r>
                </w:p>
              </w:tc>
              <w:tc>
                <w:tcPr>
                  <w:tcW w:w="568" w:type="dxa"/>
                  <w:tcBorders>
                    <w:top w:val="single" w:color="auto" w:sz="4" w:space="0"/>
                    <w:left w:val="single" w:color="auto" w:sz="4" w:space="0"/>
                    <w:bottom w:val="single" w:color="auto" w:sz="4" w:space="0"/>
                    <w:right w:val="single" w:color="auto" w:sz="4" w:space="0"/>
                  </w:tcBorders>
                  <w:vAlign w:val="center"/>
                </w:tcPr>
                <w:p>
                  <w:pPr>
                    <w:widowControl/>
                    <w:jc w:val="center"/>
                    <w:rPr>
                      <w:kern w:val="0"/>
                      <w:szCs w:val="21"/>
                      <w:u w:val="single"/>
                    </w:rPr>
                  </w:pPr>
                  <w:r>
                    <w:rPr>
                      <w:kern w:val="0"/>
                      <w:szCs w:val="21"/>
                      <w:u w:val="single"/>
                    </w:rPr>
                    <w:t>建材</w:t>
                  </w:r>
                </w:p>
              </w:tc>
              <w:tc>
                <w:tcPr>
                  <w:tcW w:w="5389" w:type="dxa"/>
                  <w:tcBorders>
                    <w:top w:val="single" w:color="auto" w:sz="4" w:space="0"/>
                    <w:left w:val="single" w:color="auto" w:sz="4" w:space="0"/>
                    <w:bottom w:val="single" w:color="auto" w:sz="4" w:space="0"/>
                    <w:right w:val="nil"/>
                  </w:tcBorders>
                  <w:vAlign w:val="center"/>
                </w:tcPr>
                <w:p>
                  <w:pPr>
                    <w:widowControl/>
                    <w:jc w:val="center"/>
                    <w:rPr>
                      <w:kern w:val="0"/>
                      <w:szCs w:val="21"/>
                      <w:u w:val="single"/>
                    </w:rPr>
                  </w:pPr>
                  <w:r>
                    <w:rPr>
                      <w:kern w:val="0"/>
                      <w:szCs w:val="21"/>
                      <w:u w:val="single"/>
                    </w:rPr>
                    <w:t>1、干法中空窑（生产铝酸盐水泥等特种水泥除外），水泥机立窑，立波尔窑、湿法窑</w:t>
                  </w:r>
                </w:p>
                <w:p>
                  <w:pPr>
                    <w:widowControl/>
                    <w:jc w:val="center"/>
                    <w:rPr>
                      <w:kern w:val="0"/>
                      <w:szCs w:val="21"/>
                      <w:u w:val="single"/>
                    </w:rPr>
                  </w:pPr>
                  <w:r>
                    <w:rPr>
                      <w:kern w:val="0"/>
                      <w:szCs w:val="21"/>
                      <w:u w:val="single"/>
                    </w:rPr>
                    <w:t>2、直径3米（不含）以下水泥粉磨设备（生产特种水泥除外）</w:t>
                  </w:r>
                </w:p>
                <w:p>
                  <w:pPr>
                    <w:widowControl/>
                    <w:jc w:val="center"/>
                    <w:rPr>
                      <w:kern w:val="0"/>
                      <w:szCs w:val="21"/>
                      <w:u w:val="single"/>
                    </w:rPr>
                  </w:pPr>
                  <w:r>
                    <w:rPr>
                      <w:kern w:val="0"/>
                      <w:szCs w:val="21"/>
                      <w:u w:val="single"/>
                    </w:rPr>
                    <w:t>3、无覆膜塑编水泥包装袋生产线</w:t>
                  </w:r>
                </w:p>
                <w:p>
                  <w:pPr>
                    <w:widowControl/>
                    <w:jc w:val="center"/>
                    <w:rPr>
                      <w:kern w:val="0"/>
                      <w:szCs w:val="21"/>
                      <w:u w:val="single"/>
                    </w:rPr>
                  </w:pPr>
                  <w:r>
                    <w:rPr>
                      <w:kern w:val="0"/>
                      <w:szCs w:val="21"/>
                      <w:u w:val="single"/>
                    </w:rPr>
                    <w:t>4、平拉工艺平板玻璃生产线（含格法）</w:t>
                  </w:r>
                </w:p>
                <w:p>
                  <w:pPr>
                    <w:widowControl/>
                    <w:jc w:val="center"/>
                    <w:rPr>
                      <w:kern w:val="0"/>
                      <w:szCs w:val="21"/>
                      <w:u w:val="single"/>
                    </w:rPr>
                  </w:pPr>
                  <w:r>
                    <w:rPr>
                      <w:kern w:val="0"/>
                      <w:szCs w:val="21"/>
                      <w:u w:val="single"/>
                    </w:rPr>
                    <w:t>5、100万平方米/年（不含）以下的建筑陶瓷砖、20万件/年（不含）以下卫生陶瓷生产线</w:t>
                  </w:r>
                </w:p>
                <w:p>
                  <w:pPr>
                    <w:widowControl/>
                    <w:jc w:val="center"/>
                    <w:rPr>
                      <w:kern w:val="0"/>
                      <w:szCs w:val="21"/>
                      <w:u w:val="single"/>
                    </w:rPr>
                  </w:pPr>
                  <w:r>
                    <w:rPr>
                      <w:kern w:val="0"/>
                      <w:szCs w:val="21"/>
                      <w:u w:val="single"/>
                    </w:rPr>
                    <w:t>6、建筑卫生陶瓷（不包括建筑琉璃制品）土窑、倒焰窑、多孔窑、煤烧明焰隧道窑、隔焰隧道窑、匣钵装卫生陶瓷隧道窑</w:t>
                  </w:r>
                </w:p>
                <w:p>
                  <w:pPr>
                    <w:widowControl/>
                    <w:jc w:val="center"/>
                    <w:rPr>
                      <w:kern w:val="0"/>
                      <w:szCs w:val="21"/>
                      <w:u w:val="single"/>
                    </w:rPr>
                  </w:pPr>
                  <w:r>
                    <w:rPr>
                      <w:kern w:val="0"/>
                      <w:szCs w:val="21"/>
                      <w:u w:val="single"/>
                    </w:rPr>
                    <w:t>7、建筑陶瓷砖成型用的摩擦压砖机</w:t>
                  </w:r>
                </w:p>
                <w:p>
                  <w:pPr>
                    <w:widowControl/>
                    <w:jc w:val="center"/>
                    <w:rPr>
                      <w:kern w:val="0"/>
                      <w:szCs w:val="21"/>
                      <w:u w:val="single"/>
                    </w:rPr>
                  </w:pPr>
                  <w:r>
                    <w:rPr>
                      <w:kern w:val="0"/>
                      <w:szCs w:val="21"/>
                      <w:u w:val="single"/>
                    </w:rPr>
                    <w:t>8、玻璃纤维陶土坩埚拉丝生产工艺与装备</w:t>
                  </w:r>
                </w:p>
                <w:p>
                  <w:pPr>
                    <w:widowControl/>
                    <w:jc w:val="center"/>
                    <w:rPr>
                      <w:kern w:val="0"/>
                      <w:szCs w:val="21"/>
                      <w:u w:val="single"/>
                    </w:rPr>
                  </w:pPr>
                  <w:r>
                    <w:rPr>
                      <w:kern w:val="0"/>
                      <w:szCs w:val="21"/>
                      <w:u w:val="single"/>
                    </w:rPr>
                    <w:t>9、1000万平方米/年（不含）以下的纸面石膏板生产线</w:t>
                  </w:r>
                </w:p>
                <w:p>
                  <w:pPr>
                    <w:widowControl/>
                    <w:jc w:val="center"/>
                    <w:rPr>
                      <w:kern w:val="0"/>
                      <w:szCs w:val="21"/>
                      <w:u w:val="single"/>
                    </w:rPr>
                  </w:pPr>
                  <w:r>
                    <w:rPr>
                      <w:kern w:val="0"/>
                      <w:szCs w:val="21"/>
                      <w:u w:val="single"/>
                    </w:rPr>
                    <w:t>10、500万平方米/年（不含）以下的改性沥青类防水卷材生产线；500万平方米/年（不含）以下沥青复合胎柔性防水卷材生产线；100万卷/年（不含）以下沥青纸胎油毡生产线</w:t>
                  </w:r>
                </w:p>
                <w:p>
                  <w:pPr>
                    <w:widowControl/>
                    <w:jc w:val="center"/>
                    <w:rPr>
                      <w:kern w:val="0"/>
                      <w:szCs w:val="21"/>
                      <w:u w:val="single"/>
                    </w:rPr>
                  </w:pPr>
                  <w:r>
                    <w:rPr>
                      <w:kern w:val="0"/>
                      <w:szCs w:val="21"/>
                      <w:u w:val="single"/>
                    </w:rPr>
                    <w:t>11、石灰土立窑</w:t>
                  </w:r>
                </w:p>
                <w:p>
                  <w:pPr>
                    <w:widowControl/>
                    <w:jc w:val="center"/>
                    <w:rPr>
                      <w:kern w:val="0"/>
                      <w:szCs w:val="21"/>
                      <w:u w:val="single"/>
                    </w:rPr>
                  </w:pPr>
                  <w:r>
                    <w:rPr>
                      <w:kern w:val="0"/>
                      <w:szCs w:val="21"/>
                      <w:u w:val="single"/>
                    </w:rPr>
                    <w:t>12、砖瓦轮窑（2020年12月31日）以及立窑、无顶轮窑、马蹄窑等土窑</w:t>
                  </w:r>
                </w:p>
                <w:p>
                  <w:pPr>
                    <w:widowControl/>
                    <w:jc w:val="center"/>
                    <w:rPr>
                      <w:kern w:val="0"/>
                      <w:szCs w:val="21"/>
                      <w:u w:val="single"/>
                    </w:rPr>
                  </w:pPr>
                  <w:r>
                    <w:rPr>
                      <w:kern w:val="0"/>
                      <w:szCs w:val="21"/>
                      <w:u w:val="single"/>
                    </w:rPr>
                    <w:t>13、普通挤砖机</w:t>
                  </w:r>
                </w:p>
                <w:p>
                  <w:pPr>
                    <w:widowControl/>
                    <w:jc w:val="center"/>
                    <w:rPr>
                      <w:kern w:val="0"/>
                      <w:szCs w:val="21"/>
                      <w:u w:val="single"/>
                    </w:rPr>
                  </w:pPr>
                  <w:r>
                    <w:rPr>
                      <w:kern w:val="0"/>
                      <w:szCs w:val="21"/>
                      <w:u w:val="single"/>
                    </w:rPr>
                    <w:t>14、SJ1580-3000双轴、单轴制砖搅拌机</w:t>
                  </w:r>
                </w:p>
                <w:p>
                  <w:pPr>
                    <w:widowControl/>
                    <w:jc w:val="center"/>
                    <w:rPr>
                      <w:kern w:val="0"/>
                      <w:szCs w:val="21"/>
                      <w:u w:val="single"/>
                    </w:rPr>
                  </w:pPr>
                  <w:r>
                    <w:rPr>
                      <w:kern w:val="0"/>
                      <w:szCs w:val="21"/>
                      <w:u w:val="single"/>
                    </w:rPr>
                    <w:t>15、SQP400500-700500双辊破碎机</w:t>
                  </w:r>
                </w:p>
                <w:p>
                  <w:pPr>
                    <w:widowControl/>
                    <w:jc w:val="center"/>
                    <w:rPr>
                      <w:kern w:val="0"/>
                      <w:szCs w:val="21"/>
                      <w:u w:val="single"/>
                    </w:rPr>
                  </w:pPr>
                  <w:r>
                    <w:rPr>
                      <w:kern w:val="0"/>
                      <w:szCs w:val="21"/>
                      <w:u w:val="single"/>
                    </w:rPr>
                    <w:t>16、1000型普通切条机</w:t>
                  </w:r>
                </w:p>
                <w:p>
                  <w:pPr>
                    <w:widowControl/>
                    <w:jc w:val="center"/>
                    <w:rPr>
                      <w:kern w:val="0"/>
                      <w:szCs w:val="21"/>
                      <w:u w:val="single"/>
                    </w:rPr>
                  </w:pPr>
                  <w:r>
                    <w:rPr>
                      <w:kern w:val="0"/>
                      <w:szCs w:val="21"/>
                      <w:u w:val="single"/>
                    </w:rPr>
                    <w:t>17、100吨以下盘转式压砖机</w:t>
                  </w:r>
                </w:p>
                <w:p>
                  <w:pPr>
                    <w:widowControl/>
                    <w:jc w:val="center"/>
                    <w:rPr>
                      <w:kern w:val="0"/>
                      <w:szCs w:val="21"/>
                      <w:u w:val="single"/>
                    </w:rPr>
                  </w:pPr>
                  <w:r>
                    <w:rPr>
                      <w:kern w:val="0"/>
                      <w:szCs w:val="21"/>
                      <w:u w:val="single"/>
                    </w:rPr>
                    <w:t>18、手工制作墙板生产线</w:t>
                  </w:r>
                </w:p>
                <w:p>
                  <w:pPr>
                    <w:widowControl/>
                    <w:jc w:val="center"/>
                    <w:rPr>
                      <w:kern w:val="0"/>
                      <w:szCs w:val="21"/>
                      <w:u w:val="single"/>
                    </w:rPr>
                  </w:pPr>
                  <w:r>
                    <w:rPr>
                      <w:kern w:val="0"/>
                      <w:szCs w:val="21"/>
                      <w:u w:val="single"/>
                    </w:rPr>
                    <w:t>19、简易移动式砼砌块成型机、附着式振动成型台</w:t>
                  </w:r>
                </w:p>
                <w:p>
                  <w:pPr>
                    <w:widowControl/>
                    <w:jc w:val="center"/>
                    <w:rPr>
                      <w:kern w:val="0"/>
                      <w:szCs w:val="21"/>
                      <w:u w:val="single"/>
                    </w:rPr>
                  </w:pPr>
                  <w:r>
                    <w:rPr>
                      <w:kern w:val="0"/>
                      <w:szCs w:val="21"/>
                      <w:u w:val="single"/>
                    </w:rPr>
                    <w:t>20、单班1万立方米/年以下的混凝土砌块固定式成型机、单班10万平方米/年以下的混凝土铺地砖固定式成型机</w:t>
                  </w:r>
                </w:p>
                <w:p>
                  <w:pPr>
                    <w:widowControl/>
                    <w:jc w:val="center"/>
                    <w:rPr>
                      <w:kern w:val="0"/>
                      <w:szCs w:val="21"/>
                      <w:u w:val="single"/>
                    </w:rPr>
                  </w:pPr>
                  <w:r>
                    <w:rPr>
                      <w:kern w:val="0"/>
                      <w:szCs w:val="21"/>
                      <w:u w:val="single"/>
                    </w:rPr>
                    <w:t>21、人工浇筑、非机械成型的石膏（空心）砌块生产工艺</w:t>
                  </w:r>
                </w:p>
                <w:p>
                  <w:pPr>
                    <w:widowControl/>
                    <w:jc w:val="center"/>
                    <w:rPr>
                      <w:kern w:val="0"/>
                      <w:szCs w:val="21"/>
                      <w:u w:val="single"/>
                    </w:rPr>
                  </w:pPr>
                  <w:r>
                    <w:rPr>
                      <w:kern w:val="0"/>
                      <w:szCs w:val="21"/>
                      <w:u w:val="single"/>
                    </w:rPr>
                    <w:t>22、真空加压法和气炼一步法石英玻璃生产工艺装备</w:t>
                  </w:r>
                </w:p>
                <w:p>
                  <w:pPr>
                    <w:widowControl/>
                    <w:jc w:val="center"/>
                    <w:rPr>
                      <w:kern w:val="0"/>
                      <w:szCs w:val="21"/>
                      <w:u w:val="single"/>
                    </w:rPr>
                  </w:pPr>
                  <w:r>
                    <w:rPr>
                      <w:kern w:val="0"/>
                      <w:szCs w:val="21"/>
                      <w:u w:val="single"/>
                    </w:rPr>
                    <w:t>23、生产人造金刚石用6×6兆牛顿六面顶小型压机</w:t>
                  </w:r>
                </w:p>
                <w:p>
                  <w:pPr>
                    <w:widowControl/>
                    <w:jc w:val="center"/>
                    <w:rPr>
                      <w:kern w:val="0"/>
                      <w:szCs w:val="21"/>
                      <w:u w:val="single"/>
                    </w:rPr>
                  </w:pPr>
                  <w:r>
                    <w:rPr>
                      <w:kern w:val="0"/>
                      <w:szCs w:val="21"/>
                      <w:u w:val="single"/>
                    </w:rPr>
                    <w:t>24、手工切割加气混凝土生产线、非蒸压养护加气混凝土生产109线</w:t>
                  </w:r>
                </w:p>
                <w:p>
                  <w:pPr>
                    <w:widowControl/>
                    <w:jc w:val="center"/>
                    <w:rPr>
                      <w:kern w:val="0"/>
                      <w:szCs w:val="21"/>
                      <w:u w:val="single"/>
                    </w:rPr>
                  </w:pPr>
                  <w:r>
                    <w:rPr>
                      <w:kern w:val="0"/>
                      <w:szCs w:val="21"/>
                      <w:u w:val="single"/>
                    </w:rPr>
                    <w:t>25、非烧结、非蒸压粉煤灰砖生产线</w:t>
                  </w:r>
                </w:p>
                <w:p>
                  <w:pPr>
                    <w:widowControl/>
                    <w:jc w:val="center"/>
                    <w:rPr>
                      <w:kern w:val="0"/>
                      <w:szCs w:val="21"/>
                      <w:u w:val="single"/>
                    </w:rPr>
                  </w:pPr>
                  <w:r>
                    <w:rPr>
                      <w:kern w:val="0"/>
                      <w:szCs w:val="21"/>
                      <w:u w:val="single"/>
                    </w:rPr>
                    <w:t>26、装饰石材矿山硐室爆破开采技术、吊索式大理石土拉锯、移动式小型圆盘锯</w:t>
                  </w:r>
                </w:p>
              </w:tc>
              <w:tc>
                <w:tcPr>
                  <w:tcW w:w="1376" w:type="dxa"/>
                  <w:tcBorders>
                    <w:top w:val="single" w:color="auto" w:sz="4" w:space="0"/>
                    <w:left w:val="single" w:color="auto" w:sz="4" w:space="0"/>
                    <w:bottom w:val="single" w:color="auto" w:sz="4" w:space="0"/>
                    <w:right w:val="nil"/>
                  </w:tcBorders>
                  <w:vAlign w:val="center"/>
                </w:tcPr>
                <w:p>
                  <w:pPr>
                    <w:widowControl/>
                    <w:jc w:val="center"/>
                    <w:rPr>
                      <w:kern w:val="0"/>
                      <w:szCs w:val="21"/>
                      <w:u w:val="single"/>
                    </w:rPr>
                  </w:pPr>
                  <w:r>
                    <w:rPr>
                      <w:rFonts w:hint="eastAsia"/>
                      <w:u w:val="single"/>
                    </w:rPr>
                    <w:t>企业为屠宰企业，属于农副食品加工类项目，本项目为配套供热项目，符合规划及规划环评的相关要求。</w:t>
                  </w:r>
                </w:p>
              </w:tc>
            </w:tr>
            <w:tr>
              <w:trPr>
                <w:trHeight w:val="340" w:hRule="atLeast"/>
                <w:jc w:val="center"/>
              </w:trPr>
              <w:tc>
                <w:tcPr>
                  <w:tcW w:w="536" w:type="dxa"/>
                  <w:vMerge w:val="continue"/>
                  <w:tcBorders>
                    <w:top w:val="single" w:color="auto" w:sz="4" w:space="0"/>
                    <w:left w:val="nil"/>
                    <w:bottom w:val="single" w:color="auto" w:sz="12" w:space="0"/>
                    <w:right w:val="single" w:color="auto" w:sz="4" w:space="0"/>
                  </w:tcBorders>
                  <w:vAlign w:val="center"/>
                </w:tcPr>
                <w:p>
                  <w:pPr>
                    <w:widowControl/>
                    <w:jc w:val="center"/>
                    <w:rPr>
                      <w:kern w:val="0"/>
                      <w:szCs w:val="21"/>
                      <w:u w:val="single"/>
                    </w:rPr>
                  </w:pPr>
                </w:p>
              </w:tc>
              <w:tc>
                <w:tcPr>
                  <w:tcW w:w="5957" w:type="dxa"/>
                  <w:gridSpan w:val="2"/>
                  <w:tcBorders>
                    <w:top w:val="single" w:color="auto" w:sz="4" w:space="0"/>
                    <w:left w:val="single" w:color="auto" w:sz="4" w:space="0"/>
                    <w:bottom w:val="single" w:color="auto" w:sz="4" w:space="0"/>
                    <w:right w:val="nil"/>
                  </w:tcBorders>
                  <w:vAlign w:val="center"/>
                </w:tcPr>
                <w:p>
                  <w:pPr>
                    <w:widowControl/>
                    <w:jc w:val="center"/>
                    <w:rPr>
                      <w:kern w:val="0"/>
                      <w:szCs w:val="21"/>
                      <w:u w:val="single"/>
                    </w:rPr>
                  </w:pPr>
                  <w:r>
                    <w:rPr>
                      <w:kern w:val="0"/>
                      <w:szCs w:val="21"/>
                      <w:u w:val="single"/>
                    </w:rPr>
                    <w:t>其他不符合国家产业结构调整指导目录（2019年本）要求的项目类别</w:t>
                  </w:r>
                </w:p>
              </w:tc>
              <w:tc>
                <w:tcPr>
                  <w:tcW w:w="1376" w:type="dxa"/>
                  <w:tcBorders>
                    <w:top w:val="single" w:color="auto" w:sz="4" w:space="0"/>
                    <w:left w:val="single" w:color="auto" w:sz="4" w:space="0"/>
                    <w:bottom w:val="single" w:color="auto" w:sz="4" w:space="0"/>
                    <w:right w:val="nil"/>
                  </w:tcBorders>
                  <w:vAlign w:val="center"/>
                </w:tcPr>
                <w:p>
                  <w:pPr>
                    <w:widowControl/>
                    <w:jc w:val="center"/>
                    <w:rPr>
                      <w:kern w:val="0"/>
                      <w:szCs w:val="21"/>
                      <w:u w:val="single"/>
                    </w:rPr>
                  </w:pPr>
                  <w:r>
                    <w:rPr>
                      <w:rFonts w:hint="eastAsia"/>
                      <w:kern w:val="0"/>
                      <w:szCs w:val="21"/>
                      <w:u w:val="single"/>
                    </w:rPr>
                    <w:t>不涉及</w:t>
                  </w:r>
                </w:p>
              </w:tc>
            </w:tr>
            <w:tr>
              <w:trPr>
                <w:trHeight w:val="340" w:hRule="atLeast"/>
                <w:jc w:val="center"/>
              </w:trPr>
              <w:tc>
                <w:tcPr>
                  <w:tcW w:w="536" w:type="dxa"/>
                  <w:vMerge w:val="continue"/>
                  <w:tcBorders>
                    <w:top w:val="single" w:color="auto" w:sz="4" w:space="0"/>
                    <w:left w:val="nil"/>
                    <w:bottom w:val="single" w:color="auto" w:sz="12" w:space="0"/>
                    <w:right w:val="single" w:color="auto" w:sz="4" w:space="0"/>
                  </w:tcBorders>
                  <w:vAlign w:val="center"/>
                </w:tcPr>
                <w:p>
                  <w:pPr>
                    <w:widowControl/>
                    <w:jc w:val="center"/>
                    <w:rPr>
                      <w:kern w:val="0"/>
                      <w:szCs w:val="21"/>
                      <w:u w:val="single"/>
                    </w:rPr>
                  </w:pPr>
                </w:p>
              </w:tc>
              <w:tc>
                <w:tcPr>
                  <w:tcW w:w="5957" w:type="dxa"/>
                  <w:gridSpan w:val="2"/>
                  <w:tcBorders>
                    <w:top w:val="single" w:color="auto" w:sz="4" w:space="0"/>
                    <w:left w:val="single" w:color="auto" w:sz="4" w:space="0"/>
                    <w:bottom w:val="single" w:color="auto" w:sz="4" w:space="0"/>
                    <w:right w:val="nil"/>
                  </w:tcBorders>
                  <w:vAlign w:val="center"/>
                </w:tcPr>
                <w:p>
                  <w:pPr>
                    <w:widowControl/>
                    <w:jc w:val="center"/>
                    <w:rPr>
                      <w:kern w:val="0"/>
                      <w:szCs w:val="21"/>
                      <w:u w:val="single"/>
                    </w:rPr>
                  </w:pPr>
                  <w:r>
                    <w:rPr>
                      <w:kern w:val="0"/>
                      <w:szCs w:val="21"/>
                      <w:u w:val="single"/>
                    </w:rPr>
                    <w:t>生产或使用国家产业结构调整指导目录（2019年本）中淘汰类产品的项目</w:t>
                  </w:r>
                </w:p>
              </w:tc>
              <w:tc>
                <w:tcPr>
                  <w:tcW w:w="1376" w:type="dxa"/>
                  <w:tcBorders>
                    <w:top w:val="single" w:color="auto" w:sz="4" w:space="0"/>
                    <w:left w:val="single" w:color="auto" w:sz="4" w:space="0"/>
                    <w:bottom w:val="single" w:color="auto" w:sz="4" w:space="0"/>
                    <w:right w:val="nil"/>
                  </w:tcBorders>
                  <w:vAlign w:val="center"/>
                </w:tcPr>
                <w:p>
                  <w:pPr>
                    <w:widowControl/>
                    <w:jc w:val="center"/>
                    <w:rPr>
                      <w:kern w:val="0"/>
                      <w:szCs w:val="21"/>
                      <w:u w:val="single"/>
                    </w:rPr>
                  </w:pPr>
                  <w:r>
                    <w:rPr>
                      <w:rFonts w:hint="eastAsia"/>
                      <w:kern w:val="0"/>
                      <w:szCs w:val="21"/>
                      <w:u w:val="single"/>
                    </w:rPr>
                    <w:t>不涉及</w:t>
                  </w:r>
                </w:p>
              </w:tc>
            </w:tr>
            <w:tr>
              <w:trPr>
                <w:trHeight w:val="340" w:hRule="atLeast"/>
                <w:jc w:val="center"/>
              </w:trPr>
              <w:tc>
                <w:tcPr>
                  <w:tcW w:w="536" w:type="dxa"/>
                  <w:vMerge w:val="continue"/>
                  <w:tcBorders>
                    <w:top w:val="single" w:color="auto" w:sz="4" w:space="0"/>
                    <w:left w:val="nil"/>
                    <w:bottom w:val="single" w:color="auto" w:sz="4" w:space="0"/>
                    <w:right w:val="single" w:color="auto" w:sz="4" w:space="0"/>
                  </w:tcBorders>
                  <w:vAlign w:val="center"/>
                </w:tcPr>
                <w:p>
                  <w:pPr>
                    <w:widowControl/>
                    <w:jc w:val="center"/>
                    <w:rPr>
                      <w:kern w:val="0"/>
                      <w:szCs w:val="21"/>
                      <w:u w:val="single"/>
                    </w:rPr>
                  </w:pPr>
                </w:p>
              </w:tc>
              <w:tc>
                <w:tcPr>
                  <w:tcW w:w="5957" w:type="dxa"/>
                  <w:gridSpan w:val="2"/>
                  <w:tcBorders>
                    <w:top w:val="single" w:color="auto" w:sz="4" w:space="0"/>
                    <w:left w:val="single" w:color="auto" w:sz="4" w:space="0"/>
                    <w:bottom w:val="single" w:color="auto" w:sz="4" w:space="0"/>
                    <w:right w:val="nil"/>
                  </w:tcBorders>
                  <w:vAlign w:val="center"/>
                </w:tcPr>
                <w:p>
                  <w:pPr>
                    <w:widowControl/>
                    <w:jc w:val="center"/>
                    <w:rPr>
                      <w:kern w:val="0"/>
                      <w:szCs w:val="21"/>
                      <w:u w:val="single"/>
                    </w:rPr>
                  </w:pPr>
                  <w:r>
                    <w:rPr>
                      <w:kern w:val="0"/>
                      <w:szCs w:val="21"/>
                      <w:u w:val="single"/>
                    </w:rPr>
                    <w:t>不符合园区总体规划或产业规划的项目</w:t>
                  </w:r>
                </w:p>
              </w:tc>
              <w:tc>
                <w:tcPr>
                  <w:tcW w:w="1376" w:type="dxa"/>
                  <w:tcBorders>
                    <w:top w:val="single" w:color="auto" w:sz="4" w:space="0"/>
                    <w:left w:val="single" w:color="auto" w:sz="4" w:space="0"/>
                    <w:bottom w:val="single" w:color="auto" w:sz="4" w:space="0"/>
                    <w:right w:val="nil"/>
                  </w:tcBorders>
                  <w:vAlign w:val="center"/>
                </w:tcPr>
                <w:p>
                  <w:pPr>
                    <w:widowControl/>
                    <w:jc w:val="center"/>
                    <w:rPr>
                      <w:kern w:val="0"/>
                      <w:szCs w:val="21"/>
                      <w:u w:val="single"/>
                    </w:rPr>
                  </w:pPr>
                  <w:r>
                    <w:rPr>
                      <w:rFonts w:hint="eastAsia"/>
                      <w:u w:val="single"/>
                    </w:rPr>
                    <w:t>企业为屠宰企业，属于农副食品加工类项目。本项目为配套供热项目，符合规划及规划环评的相关要求。</w:t>
                  </w:r>
                </w:p>
              </w:tc>
            </w:tr>
            <w:tr>
              <w:trPr>
                <w:trHeight w:val="340" w:hRule="atLeast"/>
                <w:jc w:val="center"/>
              </w:trPr>
              <w:tc>
                <w:tcPr>
                  <w:tcW w:w="7869" w:type="dxa"/>
                  <w:gridSpan w:val="4"/>
                  <w:tcBorders>
                    <w:top w:val="single" w:color="auto" w:sz="4" w:space="0"/>
                    <w:left w:val="nil"/>
                    <w:bottom w:val="single" w:color="auto" w:sz="12" w:space="0"/>
                    <w:right w:val="nil"/>
                  </w:tcBorders>
                  <w:vAlign w:val="center"/>
                </w:tcPr>
                <w:p>
                  <w:pPr>
                    <w:widowControl/>
                    <w:rPr>
                      <w:kern w:val="0"/>
                      <w:szCs w:val="21"/>
                      <w:u w:val="single"/>
                    </w:rPr>
                  </w:pPr>
                  <w:r>
                    <w:rPr>
                      <w:kern w:val="0"/>
                      <w:szCs w:val="21"/>
                      <w:u w:val="single"/>
                    </w:rPr>
                    <w:t>说明：除鼓励类、限制类、淘汰类外，在《产业结构调整指导目录》中没有全部列出来的产业（项目），全部归为允许类。</w:t>
                  </w:r>
                </w:p>
              </w:tc>
            </w:tr>
          </w:tbl>
          <w:p>
            <w:pPr>
              <w:pStyle w:val="9"/>
              <w:ind w:firstLine="480"/>
              <w:rPr>
                <w:rFonts w:cs="Times New Roman"/>
                <w:u w:val="single"/>
              </w:rPr>
            </w:pPr>
            <w:r>
              <w:rPr>
                <w:rFonts w:hint="eastAsia" w:cs="Times New Roman"/>
                <w:u w:val="single"/>
              </w:rPr>
              <w:t>目前柳河工业集中区内集中供热尚未全面覆盖，入区企业生产和生活用热多数由企业自建锅炉房供给。本项目建设的生物质锅炉为过渡性供热方案，企业承诺待区域集中供热运行并覆盖本项目后，将无条件予以拆除，全面接入集中供热。而且，本项目改建为生物质锅炉，燃料为生物质成型燃料，锅炉烟气采取高效除尘措施，烟尘、二氧化硫和氮氧化物等污染物排放浓度较低，符合清洁能源利用的政策要求，因此，本项目建设能够满足审批意见要求。</w:t>
            </w:r>
          </w:p>
          <w:p>
            <w:pPr>
              <w:widowControl/>
              <w:spacing w:line="360" w:lineRule="auto"/>
              <w:ind w:firstLine="420" w:firstLineChars="200"/>
              <w:jc w:val="left"/>
              <w:rPr>
                <w:kern w:val="0"/>
                <w:szCs w:val="21"/>
              </w:rPr>
            </w:pPr>
          </w:p>
        </w:tc>
      </w:tr>
      <w:tr>
        <w:trPr>
          <w:trHeight w:val="1021" w:hRule="atLeast"/>
          <w:jc w:val="center"/>
        </w:trPr>
        <w:tc>
          <w:tcPr>
            <w:tcW w:w="1574" w:type="dxa"/>
            <w:tcBorders>
              <w:top w:val="single" w:color="auto" w:sz="4" w:space="0"/>
              <w:left w:val="single" w:color="auto" w:sz="8" w:space="0"/>
              <w:bottom w:val="single" w:color="auto" w:sz="8" w:space="0"/>
              <w:right w:val="single" w:color="auto" w:sz="4" w:space="0"/>
            </w:tcBorders>
            <w:tcMar>
              <w:top w:w="0" w:type="dxa"/>
              <w:left w:w="108" w:type="dxa"/>
              <w:bottom w:w="0" w:type="dxa"/>
              <w:right w:w="108" w:type="dxa"/>
            </w:tcMar>
            <w:vAlign w:val="center"/>
          </w:tcPr>
          <w:p>
            <w:pPr>
              <w:autoSpaceDE w:val="0"/>
              <w:autoSpaceDN w:val="0"/>
              <w:adjustRightInd w:val="0"/>
              <w:snapToGrid w:val="0"/>
              <w:jc w:val="center"/>
              <w:rPr>
                <w:kern w:val="0"/>
                <w:szCs w:val="21"/>
              </w:rPr>
            </w:pPr>
            <w:r>
              <w:rPr>
                <w:kern w:val="0"/>
                <w:szCs w:val="21"/>
              </w:rPr>
              <w:t>其他符合性分析</w:t>
            </w:r>
          </w:p>
        </w:tc>
        <w:tc>
          <w:tcPr>
            <w:tcW w:w="8088" w:type="dxa"/>
            <w:gridSpan w:val="3"/>
            <w:tcBorders>
              <w:top w:val="single" w:color="auto" w:sz="4" w:space="0"/>
              <w:left w:val="single" w:color="auto" w:sz="4" w:space="0"/>
              <w:bottom w:val="single" w:color="auto" w:sz="8" w:space="0"/>
              <w:right w:val="single" w:color="auto" w:sz="8" w:space="0"/>
            </w:tcBorders>
            <w:tcMar>
              <w:top w:w="0" w:type="dxa"/>
              <w:left w:w="108" w:type="dxa"/>
              <w:bottom w:w="0" w:type="dxa"/>
              <w:right w:w="108" w:type="dxa"/>
            </w:tcMar>
            <w:vAlign w:val="top"/>
          </w:tcPr>
          <w:p>
            <w:pPr>
              <w:pStyle w:val="9"/>
              <w:ind w:firstLine="482"/>
              <w:rPr>
                <w:rFonts w:cs="Times New Roman"/>
                <w:b/>
                <w:bCs/>
              </w:rPr>
            </w:pPr>
            <w:r>
              <w:rPr>
                <w:rFonts w:hint="eastAsia" w:cs="Times New Roman"/>
                <w:b/>
                <w:bCs/>
              </w:rPr>
              <w:t>1</w:t>
            </w:r>
            <w:r>
              <w:rPr>
                <w:rFonts w:cs="Times New Roman"/>
                <w:b/>
                <w:bCs/>
              </w:rPr>
              <w:t>、产业政策符合性分析</w:t>
            </w:r>
          </w:p>
          <w:p>
            <w:pPr>
              <w:pStyle w:val="9"/>
              <w:ind w:firstLine="480"/>
              <w:rPr>
                <w:rFonts w:cs="Times New Roman"/>
              </w:rPr>
            </w:pPr>
            <w:r>
              <w:rPr>
                <w:rFonts w:cs="Times New Roman"/>
              </w:rPr>
              <w:t>根据2023年12月27日中华人民共和国国家发展和改革委员会第7号令《产业结构调整指导目录（2024年本）》中规定，本项目建设</w:t>
            </w:r>
            <w:r>
              <w:rPr>
                <w:rFonts w:hint="eastAsia" w:cs="Times New Roman"/>
              </w:rPr>
              <w:t>4.0t/h</w:t>
            </w:r>
            <w:r>
              <w:rPr>
                <w:rFonts w:cs="Times New Roman"/>
              </w:rPr>
              <w:t>生物质锅炉，</w:t>
            </w:r>
            <w:bookmarkStart w:id="2" w:name="_Hlk193035462"/>
            <w:r>
              <w:rPr>
                <w:rFonts w:cs="Times New Roman"/>
              </w:rPr>
              <w:t>锅炉炉排为</w:t>
            </w:r>
            <w:r>
              <w:rPr>
                <w:rFonts w:ascii="宋体" w:hAnsi="宋体" w:cs="宋体"/>
              </w:rPr>
              <w:t>单锅筒纵置式链条炉排锅炉</w:t>
            </w:r>
            <w:r>
              <w:rPr>
                <w:rFonts w:cs="Times New Roman"/>
              </w:rPr>
              <w:t>，</w:t>
            </w:r>
            <w:bookmarkStart w:id="3" w:name="_Hlk193035467"/>
            <w:bookmarkEnd w:id="2"/>
            <w:r>
              <w:rPr>
                <w:rFonts w:cs="Times New Roman"/>
              </w:rPr>
              <w:t>不属于固定炉排式，</w:t>
            </w:r>
            <w:bookmarkEnd w:id="3"/>
            <w:r>
              <w:rPr>
                <w:rFonts w:cs="Times New Roman"/>
              </w:rPr>
              <w:t>不属于限制类中</w:t>
            </w:r>
            <w:r>
              <w:rPr>
                <w:rFonts w:hint="eastAsia" w:cs="Times New Roman"/>
              </w:rPr>
              <w:t>“</w:t>
            </w:r>
            <w:r>
              <w:rPr>
                <w:rFonts w:cs="Times New Roman"/>
              </w:rPr>
              <w:t>每小时35蒸吨及以下固定炉排式生物质锅炉</w:t>
            </w:r>
            <w:r>
              <w:rPr>
                <w:rFonts w:hint="eastAsia" w:cs="Times New Roman"/>
              </w:rPr>
              <w:t>”</w:t>
            </w:r>
            <w:r>
              <w:rPr>
                <w:rFonts w:cs="Times New Roman"/>
              </w:rPr>
              <w:t>及淘汰类中</w:t>
            </w:r>
            <w:r>
              <w:rPr>
                <w:rFonts w:hint="eastAsia" w:cs="Times New Roman"/>
              </w:rPr>
              <w:t>“</w:t>
            </w:r>
            <w:r>
              <w:rPr>
                <w:rFonts w:cs="Times New Roman"/>
              </w:rPr>
              <w:t>每小时2蒸吨及以下生物质锅炉</w:t>
            </w:r>
            <w:r>
              <w:rPr>
                <w:rFonts w:hint="eastAsia" w:cs="Times New Roman"/>
              </w:rPr>
              <w:t>”</w:t>
            </w:r>
            <w:r>
              <w:rPr>
                <w:rFonts w:cs="Times New Roman"/>
              </w:rPr>
              <w:t>，因此符合国家产业政策。</w:t>
            </w:r>
          </w:p>
          <w:p>
            <w:pPr>
              <w:autoSpaceDE w:val="0"/>
              <w:autoSpaceDN w:val="0"/>
              <w:adjustRightInd w:val="0"/>
              <w:snapToGrid w:val="0"/>
              <w:spacing w:line="360" w:lineRule="auto"/>
              <w:ind w:firstLine="482" w:firstLineChars="200"/>
              <w:jc w:val="left"/>
              <w:rPr>
                <w:b/>
                <w:bCs/>
                <w:kern w:val="0"/>
                <w:sz w:val="24"/>
                <w:u w:val="single"/>
              </w:rPr>
            </w:pPr>
            <w:r>
              <w:rPr>
                <w:rFonts w:hint="eastAsia"/>
                <w:b/>
                <w:bCs/>
                <w:kern w:val="0"/>
                <w:sz w:val="24"/>
                <w:u w:val="single"/>
              </w:rPr>
              <w:t>2</w:t>
            </w:r>
            <w:r>
              <w:rPr>
                <w:b/>
                <w:bCs/>
                <w:kern w:val="0"/>
                <w:sz w:val="24"/>
                <w:u w:val="single"/>
              </w:rPr>
              <w:t>、</w:t>
            </w:r>
            <w:r>
              <w:rPr>
                <w:b/>
                <w:bCs/>
                <w:kern w:val="0"/>
                <w:sz w:val="24"/>
                <w:u w:val="single"/>
                <w:lang w:val="zh-CN"/>
              </w:rPr>
              <w:t>吉林省生态环境分区管控措施</w:t>
            </w:r>
            <w:r>
              <w:rPr>
                <w:b/>
                <w:bCs/>
                <w:kern w:val="0"/>
                <w:sz w:val="24"/>
                <w:u w:val="single"/>
              </w:rPr>
              <w:t>符合性分析</w:t>
            </w:r>
          </w:p>
          <w:p>
            <w:pPr>
              <w:widowControl/>
              <w:spacing w:line="360" w:lineRule="auto"/>
              <w:ind w:firstLine="480" w:firstLineChars="200"/>
              <w:jc w:val="left"/>
              <w:rPr>
                <w:color w:val="000000"/>
                <w:kern w:val="0"/>
                <w:sz w:val="24"/>
                <w:u w:val="single"/>
              </w:rPr>
            </w:pPr>
            <w:r>
              <w:rPr>
                <w:color w:val="000000"/>
                <w:kern w:val="0"/>
                <w:sz w:val="24"/>
                <w:u w:val="single"/>
              </w:rPr>
              <w:t>（1）生态保护红线</w:t>
            </w:r>
          </w:p>
          <w:p>
            <w:pPr>
              <w:widowControl/>
              <w:spacing w:line="360" w:lineRule="auto"/>
              <w:ind w:firstLine="480" w:firstLineChars="200"/>
              <w:jc w:val="left"/>
              <w:rPr>
                <w:color w:val="000000"/>
                <w:kern w:val="0"/>
                <w:sz w:val="24"/>
                <w:u w:val="single"/>
              </w:rPr>
            </w:pPr>
            <w:r>
              <w:rPr>
                <w:rFonts w:hint="eastAsia" w:eastAsia="宋体"/>
                <w:color w:val="000000"/>
                <w:sz w:val="24"/>
                <w:u w:val="single"/>
              </w:rPr>
              <w:t>吉林省生态环境厅于2024年8月6日印发了《关于印发〈吉林省生态环境准入清单〉的函》（吉环函〔2024〕158号），通化市</w:t>
            </w:r>
            <w:r>
              <w:rPr>
                <w:rFonts w:eastAsia="宋体"/>
                <w:color w:val="000000"/>
                <w:sz w:val="24"/>
                <w:u w:val="single"/>
              </w:rPr>
              <w:t>人民政府于2024年12月</w:t>
            </w:r>
            <w:r>
              <w:rPr>
                <w:rFonts w:hint="eastAsia" w:eastAsia="宋体"/>
                <w:color w:val="000000"/>
                <w:sz w:val="24"/>
                <w:u w:val="single"/>
              </w:rPr>
              <w:t>20</w:t>
            </w:r>
            <w:r>
              <w:rPr>
                <w:rFonts w:eastAsia="宋体"/>
                <w:color w:val="000000"/>
                <w:sz w:val="24"/>
                <w:u w:val="single"/>
              </w:rPr>
              <w:t>日印发了</w:t>
            </w:r>
            <w:r>
              <w:rPr>
                <w:bCs/>
                <w:sz w:val="24"/>
                <w:u w:val="single"/>
              </w:rPr>
              <w:t>《</w:t>
            </w:r>
            <w:r>
              <w:rPr>
                <w:rFonts w:hint="eastAsia"/>
                <w:bCs/>
                <w:sz w:val="24"/>
                <w:u w:val="single"/>
              </w:rPr>
              <w:t>通化市生态环境分区管控实施方案</w:t>
            </w:r>
            <w:r>
              <w:rPr>
                <w:bCs/>
                <w:sz w:val="24"/>
                <w:u w:val="single"/>
              </w:rPr>
              <w:t>》（</w:t>
            </w:r>
            <w:r>
              <w:rPr>
                <w:rFonts w:hint="eastAsia"/>
                <w:bCs/>
                <w:sz w:val="24"/>
                <w:u w:val="single"/>
              </w:rPr>
              <w:t>通市政办发〔2024〕4号</w:t>
            </w:r>
            <w:r>
              <w:rPr>
                <w:bCs/>
                <w:sz w:val="24"/>
                <w:u w:val="single"/>
              </w:rPr>
              <w:t>）</w:t>
            </w:r>
            <w:r>
              <w:rPr>
                <w:rFonts w:eastAsia="宋体"/>
                <w:color w:val="000000"/>
                <w:sz w:val="24"/>
                <w:u w:val="single"/>
              </w:rPr>
              <w:t>，</w:t>
            </w:r>
            <w:r>
              <w:rPr>
                <w:rFonts w:hint="eastAsia" w:eastAsia="宋体"/>
                <w:color w:val="000000"/>
                <w:kern w:val="0"/>
                <w:sz w:val="24"/>
                <w:u w:val="single"/>
              </w:rPr>
              <w:t>通化市</w:t>
            </w:r>
            <w:r>
              <w:rPr>
                <w:color w:val="000000"/>
                <w:kern w:val="0"/>
                <w:sz w:val="24"/>
                <w:u w:val="single"/>
              </w:rPr>
              <w:t>环境管控单位分为优先保护单元、重点管控单元和一般管控单元</w:t>
            </w:r>
            <w:r>
              <w:rPr>
                <w:rFonts w:hint="eastAsia"/>
                <w:color w:val="000000"/>
                <w:kern w:val="0"/>
                <w:sz w:val="24"/>
                <w:u w:val="single"/>
              </w:rPr>
              <w:t>。</w:t>
            </w:r>
            <w:r>
              <w:rPr>
                <w:color w:val="000000"/>
                <w:kern w:val="0"/>
                <w:sz w:val="24"/>
                <w:u w:val="single"/>
              </w:rPr>
              <w:t>本项目位于</w:t>
            </w:r>
            <w:r>
              <w:rPr>
                <w:rFonts w:hint="eastAsia"/>
                <w:color w:val="000000"/>
                <w:kern w:val="0"/>
                <w:sz w:val="24"/>
                <w:u w:val="single"/>
              </w:rPr>
              <w:t>重点管控区域，</w:t>
            </w:r>
            <w:r>
              <w:rPr>
                <w:color w:val="000000"/>
                <w:kern w:val="0"/>
                <w:sz w:val="24"/>
                <w:u w:val="single"/>
              </w:rPr>
              <w:t>项目厂址所在环境管控单元名称：</w:t>
            </w:r>
            <w:r>
              <w:rPr>
                <w:rFonts w:hint="eastAsia"/>
                <w:color w:val="000000"/>
                <w:kern w:val="0"/>
                <w:sz w:val="24"/>
                <w:u w:val="single"/>
              </w:rPr>
              <w:t>吉林柳河经济开发区</w:t>
            </w:r>
            <w:r>
              <w:rPr>
                <w:color w:val="000000"/>
                <w:kern w:val="0"/>
                <w:sz w:val="24"/>
                <w:u w:val="single"/>
              </w:rPr>
              <w:t>，管控单元编号：</w:t>
            </w:r>
            <w:r>
              <w:rPr>
                <w:rFonts w:hint="eastAsia"/>
                <w:color w:val="000000"/>
                <w:kern w:val="0"/>
                <w:sz w:val="24"/>
                <w:u w:val="single"/>
              </w:rPr>
              <w:t>ZH22052420001</w:t>
            </w:r>
            <w:r>
              <w:rPr>
                <w:color w:val="000000"/>
                <w:kern w:val="0"/>
                <w:sz w:val="24"/>
                <w:u w:val="single"/>
              </w:rPr>
              <w:t>，管控单元分类：重点管控单元，本项目所在区域不涉及生态红线。</w:t>
            </w:r>
            <w:r>
              <w:rPr>
                <w:rFonts w:hint="eastAsia"/>
                <w:color w:val="000000"/>
                <w:kern w:val="0"/>
                <w:sz w:val="24"/>
                <w:u w:val="single"/>
              </w:rPr>
              <w:t>相对关系</w:t>
            </w:r>
            <w:r>
              <w:rPr>
                <w:color w:val="000000"/>
                <w:kern w:val="0"/>
                <w:sz w:val="24"/>
                <w:u w:val="single"/>
              </w:rPr>
              <w:t>详见</w:t>
            </w:r>
            <w:r>
              <w:rPr>
                <w:rFonts w:hint="eastAsia"/>
                <w:color w:val="000000"/>
                <w:kern w:val="0"/>
                <w:sz w:val="24"/>
                <w:u w:val="single"/>
              </w:rPr>
              <w:t>附</w:t>
            </w:r>
            <w:r>
              <w:rPr>
                <w:color w:val="000000"/>
                <w:kern w:val="0"/>
                <w:sz w:val="24"/>
                <w:u w:val="single"/>
              </w:rPr>
              <w:t>图</w:t>
            </w:r>
            <w:r>
              <w:rPr>
                <w:rFonts w:hint="eastAsia"/>
                <w:color w:val="000000"/>
                <w:kern w:val="0"/>
                <w:sz w:val="24"/>
                <w:u w:val="single"/>
              </w:rPr>
              <w:t>2</w:t>
            </w:r>
            <w:r>
              <w:rPr>
                <w:color w:val="000000"/>
                <w:kern w:val="0"/>
                <w:sz w:val="24"/>
                <w:u w:val="single"/>
              </w:rPr>
              <w:t>。</w:t>
            </w:r>
          </w:p>
          <w:p>
            <w:pPr>
              <w:widowControl/>
              <w:spacing w:line="360" w:lineRule="auto"/>
              <w:ind w:firstLine="480" w:firstLineChars="200"/>
              <w:jc w:val="left"/>
              <w:rPr>
                <w:color w:val="000000"/>
                <w:kern w:val="0"/>
                <w:sz w:val="24"/>
                <w:u w:val="single"/>
              </w:rPr>
            </w:pPr>
            <w:r>
              <w:rPr>
                <w:color w:val="000000"/>
                <w:kern w:val="0"/>
                <w:sz w:val="24"/>
                <w:u w:val="single"/>
              </w:rPr>
              <w:t>（2）环境质量底线</w:t>
            </w:r>
          </w:p>
          <w:p>
            <w:pPr>
              <w:widowControl/>
              <w:spacing w:line="360" w:lineRule="auto"/>
              <w:ind w:firstLine="480" w:firstLineChars="200"/>
              <w:jc w:val="left"/>
              <w:rPr>
                <w:color w:val="000000"/>
                <w:kern w:val="0"/>
                <w:sz w:val="24"/>
                <w:u w:val="single"/>
              </w:rPr>
            </w:pPr>
            <w:r>
              <w:rPr>
                <w:rFonts w:hint="eastAsia"/>
                <w:color w:val="000000"/>
                <w:kern w:val="0"/>
                <w:sz w:val="24"/>
                <w:u w:val="single"/>
              </w:rPr>
              <w:t>项目建设位置为工业集中区，</w:t>
            </w:r>
            <w:r>
              <w:rPr>
                <w:color w:val="000000"/>
                <w:kern w:val="0"/>
                <w:sz w:val="24"/>
                <w:u w:val="single"/>
              </w:rPr>
              <w:t>项目所在区域环境空气</w:t>
            </w:r>
            <w:r>
              <w:rPr>
                <w:rFonts w:hint="eastAsia"/>
                <w:color w:val="000000"/>
                <w:kern w:val="0"/>
                <w:sz w:val="24"/>
                <w:u w:val="single"/>
              </w:rPr>
              <w:t>执行</w:t>
            </w:r>
            <w:r>
              <w:rPr>
                <w:color w:val="000000"/>
                <w:kern w:val="0"/>
                <w:sz w:val="24"/>
                <w:u w:val="single"/>
              </w:rPr>
              <w:t>《环境空气质量标准》（GB3095-20</w:t>
            </w:r>
            <w:r>
              <w:rPr>
                <w:rFonts w:hint="eastAsia"/>
                <w:color w:val="000000"/>
                <w:kern w:val="0"/>
                <w:sz w:val="24"/>
                <w:u w:val="single"/>
              </w:rPr>
              <w:t>26</w:t>
            </w:r>
            <w:r>
              <w:rPr>
                <w:color w:val="000000"/>
                <w:kern w:val="0"/>
                <w:sz w:val="24"/>
                <w:u w:val="single"/>
              </w:rPr>
              <w:t>）中二类区</w:t>
            </w:r>
            <w:r>
              <w:rPr>
                <w:rFonts w:hint="eastAsia"/>
                <w:color w:val="000000"/>
                <w:kern w:val="0"/>
                <w:sz w:val="24"/>
                <w:u w:val="single"/>
              </w:rPr>
              <w:t>标准</w:t>
            </w:r>
            <w:r>
              <w:rPr>
                <w:color w:val="000000"/>
                <w:kern w:val="0"/>
                <w:sz w:val="24"/>
                <w:u w:val="single"/>
              </w:rPr>
              <w:t>，地表水</w:t>
            </w:r>
            <w:r>
              <w:rPr>
                <w:rFonts w:hint="eastAsia"/>
                <w:color w:val="000000"/>
                <w:kern w:val="0"/>
                <w:sz w:val="24"/>
                <w:u w:val="single"/>
              </w:rPr>
              <w:t>执行</w:t>
            </w:r>
            <w:r>
              <w:rPr>
                <w:color w:val="000000"/>
                <w:kern w:val="0"/>
                <w:sz w:val="24"/>
                <w:u w:val="single"/>
              </w:rPr>
              <w:t>《地表水环境质量标准》（GB3838-2002）中Ⅲ类</w:t>
            </w:r>
            <w:r>
              <w:rPr>
                <w:rFonts w:hint="eastAsia"/>
                <w:color w:val="000000"/>
                <w:kern w:val="0"/>
                <w:sz w:val="24"/>
                <w:u w:val="single"/>
              </w:rPr>
              <w:t>标准</w:t>
            </w:r>
            <w:r>
              <w:rPr>
                <w:color w:val="000000"/>
                <w:kern w:val="0"/>
                <w:sz w:val="24"/>
                <w:u w:val="single"/>
              </w:rPr>
              <w:t>，声环境</w:t>
            </w:r>
            <w:r>
              <w:rPr>
                <w:rFonts w:hint="eastAsia"/>
                <w:color w:val="000000"/>
                <w:kern w:val="0"/>
                <w:sz w:val="24"/>
                <w:u w:val="single"/>
              </w:rPr>
              <w:t>执行</w:t>
            </w:r>
            <w:r>
              <w:rPr>
                <w:color w:val="000000"/>
                <w:kern w:val="0"/>
                <w:sz w:val="24"/>
                <w:u w:val="single"/>
              </w:rPr>
              <w:t>《声环境质量标准》（GB3096-2008）中</w:t>
            </w:r>
            <w:r>
              <w:rPr>
                <w:rFonts w:hint="eastAsia"/>
                <w:color w:val="000000"/>
                <w:kern w:val="0"/>
                <w:sz w:val="24"/>
                <w:u w:val="single"/>
              </w:rPr>
              <w:t>3</w:t>
            </w:r>
            <w:r>
              <w:rPr>
                <w:color w:val="000000"/>
                <w:kern w:val="0"/>
                <w:sz w:val="24"/>
                <w:u w:val="single"/>
              </w:rPr>
              <w:t>类区</w:t>
            </w:r>
            <w:r>
              <w:rPr>
                <w:rFonts w:hint="eastAsia"/>
                <w:color w:val="000000"/>
                <w:kern w:val="0"/>
                <w:sz w:val="24"/>
                <w:u w:val="single"/>
              </w:rPr>
              <w:t>标准</w:t>
            </w:r>
            <w:r>
              <w:rPr>
                <w:color w:val="000000"/>
                <w:kern w:val="0"/>
                <w:sz w:val="24"/>
                <w:u w:val="single"/>
              </w:rPr>
              <w:t>。</w:t>
            </w:r>
          </w:p>
          <w:p>
            <w:pPr>
              <w:widowControl/>
              <w:spacing w:line="360" w:lineRule="auto"/>
              <w:ind w:firstLine="480" w:firstLineChars="200"/>
              <w:jc w:val="left"/>
              <w:rPr>
                <w:color w:val="000000"/>
                <w:kern w:val="0"/>
                <w:sz w:val="24"/>
                <w:u w:val="single"/>
              </w:rPr>
            </w:pPr>
            <w:r>
              <w:rPr>
                <w:color w:val="000000"/>
                <w:kern w:val="0"/>
                <w:sz w:val="24"/>
                <w:u w:val="single"/>
              </w:rPr>
              <w:t>根据《吉林省202</w:t>
            </w:r>
            <w:r>
              <w:rPr>
                <w:rFonts w:hint="eastAsia"/>
                <w:color w:val="000000"/>
                <w:kern w:val="0"/>
                <w:sz w:val="24"/>
                <w:u w:val="single"/>
              </w:rPr>
              <w:t>5</w:t>
            </w:r>
            <w:r>
              <w:rPr>
                <w:color w:val="000000"/>
                <w:kern w:val="0"/>
                <w:sz w:val="24"/>
                <w:u w:val="single"/>
              </w:rPr>
              <w:t>年生态环境状况公报》，</w:t>
            </w:r>
            <w:r>
              <w:rPr>
                <w:rFonts w:hint="eastAsia" w:eastAsia="宋体"/>
                <w:color w:val="000000"/>
                <w:sz w:val="24"/>
                <w:u w:val="single"/>
              </w:rPr>
              <w:t>通化市</w:t>
            </w:r>
            <w:r>
              <w:rPr>
                <w:rFonts w:hint="eastAsia"/>
                <w:color w:val="000000"/>
                <w:kern w:val="0"/>
                <w:sz w:val="24"/>
                <w:u w:val="single"/>
              </w:rPr>
              <w:t>2025年</w:t>
            </w:r>
            <w:r>
              <w:rPr>
                <w:color w:val="000000"/>
                <w:kern w:val="0"/>
                <w:sz w:val="24"/>
                <w:u w:val="single"/>
              </w:rPr>
              <w:t>为环境空气达标区，评价区环境空气质量较好，本项目施工期及运营期产生的废气</w:t>
            </w:r>
            <w:r>
              <w:rPr>
                <w:rFonts w:hint="eastAsia"/>
                <w:color w:val="000000"/>
                <w:kern w:val="0"/>
                <w:sz w:val="24"/>
                <w:u w:val="single"/>
              </w:rPr>
              <w:t>经治理措施后均能达标排放</w:t>
            </w:r>
            <w:r>
              <w:rPr>
                <w:color w:val="000000"/>
                <w:kern w:val="0"/>
                <w:sz w:val="24"/>
                <w:u w:val="single"/>
              </w:rPr>
              <w:t>，不会对大气环境造成</w:t>
            </w:r>
            <w:r>
              <w:rPr>
                <w:rFonts w:hint="eastAsia"/>
                <w:color w:val="000000"/>
                <w:kern w:val="0"/>
                <w:sz w:val="24"/>
                <w:u w:val="single"/>
              </w:rPr>
              <w:t>明显</w:t>
            </w:r>
            <w:r>
              <w:rPr>
                <w:color w:val="000000"/>
                <w:kern w:val="0"/>
                <w:sz w:val="24"/>
                <w:u w:val="single"/>
              </w:rPr>
              <w:t>影响；本项目</w:t>
            </w:r>
            <w:r>
              <w:rPr>
                <w:rFonts w:hint="eastAsia"/>
                <w:color w:val="000000"/>
                <w:kern w:val="0"/>
                <w:sz w:val="24"/>
                <w:u w:val="single"/>
              </w:rPr>
              <w:t>产生的废水为锅炉排污水，为清洁下水用于厂区地面洒水降尘，</w:t>
            </w:r>
            <w:r>
              <w:rPr>
                <w:color w:val="000000"/>
                <w:kern w:val="0"/>
                <w:sz w:val="24"/>
                <w:u w:val="single"/>
              </w:rPr>
              <w:t>因此本项目不会对周边水环境造成</w:t>
            </w:r>
            <w:r>
              <w:rPr>
                <w:rFonts w:hint="eastAsia"/>
                <w:color w:val="000000"/>
                <w:kern w:val="0"/>
                <w:sz w:val="24"/>
                <w:u w:val="single"/>
              </w:rPr>
              <w:t>明显</w:t>
            </w:r>
            <w:r>
              <w:rPr>
                <w:color w:val="000000"/>
                <w:kern w:val="0"/>
                <w:sz w:val="24"/>
                <w:u w:val="single"/>
              </w:rPr>
              <w:t>影响；项目施工期及运营期均能做到厂界噪声达标；项目产生的固体废物全部妥善处置。因此，本项目</w:t>
            </w:r>
            <w:r>
              <w:rPr>
                <w:rFonts w:hint="eastAsia"/>
                <w:color w:val="000000"/>
                <w:kern w:val="0"/>
                <w:sz w:val="24"/>
                <w:u w:val="single"/>
              </w:rPr>
              <w:t>“</w:t>
            </w:r>
            <w:r>
              <w:rPr>
                <w:color w:val="000000"/>
                <w:kern w:val="0"/>
                <w:sz w:val="24"/>
                <w:u w:val="single"/>
              </w:rPr>
              <w:t>三废</w:t>
            </w:r>
            <w:r>
              <w:rPr>
                <w:rFonts w:hint="eastAsia"/>
                <w:color w:val="000000"/>
                <w:kern w:val="0"/>
                <w:sz w:val="24"/>
                <w:u w:val="single"/>
              </w:rPr>
              <w:t>”</w:t>
            </w:r>
            <w:r>
              <w:rPr>
                <w:color w:val="000000"/>
                <w:kern w:val="0"/>
                <w:sz w:val="24"/>
                <w:u w:val="single"/>
              </w:rPr>
              <w:t>及噪声均能得到有效处理，基本不会降低区域环境质量。</w:t>
            </w:r>
          </w:p>
          <w:p>
            <w:pPr>
              <w:widowControl/>
              <w:spacing w:line="360" w:lineRule="auto"/>
              <w:ind w:firstLine="480" w:firstLineChars="200"/>
              <w:jc w:val="left"/>
              <w:rPr>
                <w:color w:val="000000"/>
                <w:kern w:val="0"/>
                <w:sz w:val="24"/>
                <w:u w:val="single"/>
              </w:rPr>
            </w:pPr>
            <w:r>
              <w:rPr>
                <w:color w:val="000000"/>
                <w:kern w:val="0"/>
                <w:sz w:val="24"/>
                <w:u w:val="single"/>
              </w:rPr>
              <w:t>（3）资源利用上线</w:t>
            </w:r>
          </w:p>
          <w:p>
            <w:pPr>
              <w:widowControl/>
              <w:spacing w:line="360" w:lineRule="auto"/>
              <w:ind w:firstLine="480" w:firstLineChars="200"/>
              <w:jc w:val="left"/>
              <w:rPr>
                <w:color w:val="000000"/>
                <w:kern w:val="0"/>
                <w:sz w:val="24"/>
                <w:u w:val="single"/>
              </w:rPr>
            </w:pPr>
            <w:r>
              <w:rPr>
                <w:rFonts w:hint="eastAsia"/>
                <w:color w:val="000000"/>
                <w:kern w:val="0"/>
                <w:sz w:val="24"/>
                <w:u w:val="single"/>
              </w:rPr>
              <w:t>本项目为生物质锅炉改建项目</w:t>
            </w:r>
            <w:r>
              <w:rPr>
                <w:color w:val="000000"/>
                <w:kern w:val="0"/>
                <w:sz w:val="24"/>
                <w:u w:val="single"/>
              </w:rPr>
              <w:t>，在施工及运营过程中原辅材料及能源消耗量较小，均能合理分配，因此本项目不触及资源利用上线。</w:t>
            </w:r>
          </w:p>
          <w:p>
            <w:pPr>
              <w:widowControl/>
              <w:spacing w:line="360" w:lineRule="auto"/>
              <w:ind w:firstLine="480" w:firstLineChars="200"/>
              <w:jc w:val="left"/>
              <w:rPr>
                <w:color w:val="000000"/>
                <w:kern w:val="0"/>
                <w:sz w:val="24"/>
                <w:u w:val="single"/>
              </w:rPr>
            </w:pPr>
            <w:r>
              <w:rPr>
                <w:color w:val="000000"/>
                <w:kern w:val="0"/>
                <w:sz w:val="24"/>
                <w:u w:val="single"/>
              </w:rPr>
              <w:t>（4）环境准入清单</w:t>
            </w:r>
          </w:p>
          <w:p>
            <w:pPr>
              <w:widowControl/>
              <w:spacing w:line="360" w:lineRule="auto"/>
              <w:ind w:firstLine="480" w:firstLineChars="200"/>
              <w:jc w:val="left"/>
              <w:rPr>
                <w:color w:val="000000"/>
                <w:kern w:val="0"/>
                <w:sz w:val="24"/>
                <w:u w:val="single"/>
              </w:rPr>
            </w:pPr>
            <w:r>
              <w:rPr>
                <w:color w:val="000000"/>
                <w:sz w:val="24"/>
                <w:u w:val="single"/>
              </w:rPr>
              <w:t>项目建设与《吉林省生态环境准入清单》的相符性分析详见下表。</w:t>
            </w:r>
          </w:p>
          <w:p>
            <w:pPr>
              <w:pStyle w:val="25"/>
              <w:numPr>
                <w:ilvl w:val="0"/>
                <w:numId w:val="0"/>
              </w:numPr>
              <w:ind w:firstLine="284"/>
              <w:rPr>
                <w:rFonts w:ascii="Times New Roman" w:hAnsi="Times New Roman"/>
                <w:b w:val="0"/>
                <w:bCs/>
                <w:u w:val="single"/>
              </w:rPr>
            </w:pPr>
            <w:r>
              <w:rPr>
                <w:rFonts w:ascii="Times New Roman" w:hAnsi="Times New Roman"/>
                <w:b w:val="0"/>
                <w:bCs/>
                <w:u w:val="single"/>
              </w:rPr>
              <w:t>表</w:t>
            </w:r>
            <w:r>
              <w:rPr>
                <w:rFonts w:hint="eastAsia" w:ascii="Times New Roman" w:hAnsi="Times New Roman"/>
                <w:b w:val="0"/>
                <w:bCs/>
                <w:u w:val="single"/>
              </w:rPr>
              <w:t xml:space="preserve">4  </w:t>
            </w:r>
            <w:r>
              <w:rPr>
                <w:rFonts w:ascii="Times New Roman" w:hAnsi="Times New Roman"/>
                <w:b w:val="0"/>
                <w:bCs/>
                <w:u w:val="single"/>
              </w:rPr>
              <w:t>本项目与吉林省生态环境准入清单相符性分析</w:t>
            </w:r>
          </w:p>
          <w:tbl>
            <w:tblPr>
              <w:tblW w:w="7872"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left w:w="108" w:type="dxa"/>
                <w:right w:w="108" w:type="dxa"/>
              </w:tblCellMar>
            </w:tblPr>
            <w:tblGrid>
              <w:gridCol w:w="682"/>
              <w:gridCol w:w="4992"/>
              <w:gridCol w:w="1623"/>
              <w:gridCol w:w="575"/>
            </w:tblGrid>
            <w:tr>
              <w:trPr>
                <w:trHeight w:val="340" w:hRule="atLeast"/>
              </w:trPr>
              <w:tc>
                <w:tcPr>
                  <w:tcW w:w="682" w:type="dxa"/>
                  <w:vAlign w:val="center"/>
                </w:tcPr>
                <w:p>
                  <w:pPr>
                    <w:pStyle w:val="22"/>
                    <w:rPr>
                      <w:u w:val="single"/>
                    </w:rPr>
                  </w:pPr>
                  <w:r>
                    <w:rPr>
                      <w:u w:val="single"/>
                    </w:rPr>
                    <w:t>管控领域</w:t>
                  </w:r>
                </w:p>
              </w:tc>
              <w:tc>
                <w:tcPr>
                  <w:tcW w:w="4992" w:type="dxa"/>
                  <w:vAlign w:val="center"/>
                </w:tcPr>
                <w:p>
                  <w:pPr>
                    <w:pStyle w:val="22"/>
                    <w:rPr>
                      <w:u w:val="single"/>
                    </w:rPr>
                  </w:pPr>
                  <w:r>
                    <w:rPr>
                      <w:u w:val="single"/>
                    </w:rPr>
                    <w:t>管控要求</w:t>
                  </w:r>
                </w:p>
              </w:tc>
              <w:tc>
                <w:tcPr>
                  <w:tcW w:w="1623" w:type="dxa"/>
                  <w:vAlign w:val="center"/>
                </w:tcPr>
                <w:p>
                  <w:pPr>
                    <w:pStyle w:val="22"/>
                    <w:rPr>
                      <w:u w:val="single"/>
                    </w:rPr>
                  </w:pPr>
                  <w:r>
                    <w:rPr>
                      <w:u w:val="single"/>
                    </w:rPr>
                    <w:t>本项目情况</w:t>
                  </w:r>
                </w:p>
              </w:tc>
              <w:tc>
                <w:tcPr>
                  <w:tcW w:w="575" w:type="dxa"/>
                  <w:vAlign w:val="center"/>
                </w:tcPr>
                <w:p>
                  <w:pPr>
                    <w:pStyle w:val="22"/>
                    <w:rPr>
                      <w:u w:val="single"/>
                    </w:rPr>
                  </w:pPr>
                  <w:r>
                    <w:rPr>
                      <w:u w:val="single"/>
                    </w:rPr>
                    <w:t>相符性</w:t>
                  </w:r>
                </w:p>
              </w:tc>
            </w:tr>
            <w:tr>
              <w:trPr>
                <w:trHeight w:val="340" w:hRule="atLeast"/>
              </w:trPr>
              <w:tc>
                <w:tcPr>
                  <w:tcW w:w="682" w:type="dxa"/>
                  <w:vMerge w:val="restart"/>
                  <w:vAlign w:val="center"/>
                </w:tcPr>
                <w:p>
                  <w:pPr>
                    <w:pStyle w:val="22"/>
                    <w:rPr>
                      <w:u w:val="single"/>
                    </w:rPr>
                  </w:pPr>
                  <w:r>
                    <w:rPr>
                      <w:iCs/>
                      <w:u w:val="single"/>
                    </w:rPr>
                    <w:t>空间布局约束</w:t>
                  </w:r>
                </w:p>
              </w:tc>
              <w:tc>
                <w:tcPr>
                  <w:tcW w:w="4992" w:type="dxa"/>
                  <w:vAlign w:val="center"/>
                </w:tcPr>
                <w:p>
                  <w:pPr>
                    <w:pStyle w:val="21"/>
                    <w:spacing w:before="24" w:afterLines="10" w:line="240" w:lineRule="auto"/>
                    <w:rPr>
                      <w:rFonts w:ascii="Times New Roman" w:hAnsi="Times New Roman" w:cs="Times New Roman"/>
                      <w:szCs w:val="21"/>
                      <w:u w:val="single"/>
                    </w:rPr>
                  </w:pPr>
                  <w:r>
                    <w:rPr>
                      <w:rFonts w:ascii="Times New Roman" w:hAnsi="Times New Roman" w:cs="Times New Roman"/>
                      <w:szCs w:val="21"/>
                      <w:u w:val="single"/>
                    </w:rPr>
                    <w:t>禁止新建、扩建《产业结构调整指导</w:t>
                  </w:r>
                  <w:r>
                    <w:rPr>
                      <w:rFonts w:hint="eastAsia" w:ascii="Times New Roman" w:hAnsi="Times New Roman" w:cs="Times New Roman"/>
                      <w:szCs w:val="21"/>
                      <w:u w:val="single"/>
                    </w:rPr>
                    <w:t>目录</w:t>
                  </w:r>
                  <w:r>
                    <w:rPr>
                      <w:rFonts w:ascii="Times New Roman" w:hAnsi="Times New Roman" w:cs="Times New Roman"/>
                      <w:szCs w:val="21"/>
                      <w:u w:val="single"/>
                    </w:rPr>
                    <w:t>》（现行）明确的淘汰类项目和引入《市场准入负面清单》（现行）禁止准入类事项，引入项目应符合园区规划、规划环境影响评价和区域产业准入负面清单要求。</w:t>
                  </w:r>
                </w:p>
                <w:p>
                  <w:pPr>
                    <w:pStyle w:val="21"/>
                    <w:spacing w:before="24" w:afterLines="10" w:line="240" w:lineRule="auto"/>
                    <w:rPr>
                      <w:rFonts w:ascii="Times New Roman" w:hAnsi="Times New Roman" w:cs="Times New Roman"/>
                      <w:szCs w:val="21"/>
                      <w:u w:val="single"/>
                    </w:rPr>
                  </w:pPr>
                  <w:r>
                    <w:rPr>
                      <w:rFonts w:ascii="Times New Roman" w:hAnsi="Times New Roman" w:cs="Times New Roman"/>
                      <w:szCs w:val="21"/>
                      <w:u w:val="single"/>
                    </w:rPr>
                    <w:t>列入《产业结构调整指导目录》淘汰类的现状企业，应制定调整计划。生态环境治理措施不符合现行生态环境保护要求、资源能源消耗高、涉及大量排放区域超标污染物的现有企业，应制定整治计划。在调整、整治过渡期内，应严格控制相关企业生产规模，禁止新增产生环境污染的产能和产品。</w:t>
                  </w:r>
                </w:p>
              </w:tc>
              <w:tc>
                <w:tcPr>
                  <w:tcW w:w="1623" w:type="dxa"/>
                  <w:vAlign w:val="center"/>
                </w:tcPr>
                <w:p>
                  <w:pPr>
                    <w:pStyle w:val="22"/>
                    <w:rPr>
                      <w:u w:val="single"/>
                    </w:rPr>
                  </w:pPr>
                  <w:r>
                    <w:rPr>
                      <w:u w:val="single"/>
                    </w:rPr>
                    <w:t>本项目属于《产业结构调整指导目录（2024年）》</w:t>
                  </w:r>
                  <w:r>
                    <w:rPr>
                      <w:rFonts w:hint="eastAsia"/>
                      <w:u w:val="single"/>
                    </w:rPr>
                    <w:t>允许</w:t>
                  </w:r>
                  <w:r>
                    <w:rPr>
                      <w:u w:val="single"/>
                    </w:rPr>
                    <w:t>类项目，符合国家和吉林省的产业政策和发展规划。</w:t>
                  </w:r>
                </w:p>
              </w:tc>
              <w:tc>
                <w:tcPr>
                  <w:tcW w:w="575" w:type="dxa"/>
                  <w:vAlign w:val="center"/>
                </w:tcPr>
                <w:p>
                  <w:pPr>
                    <w:pStyle w:val="22"/>
                    <w:rPr>
                      <w:u w:val="single"/>
                    </w:rPr>
                  </w:pPr>
                  <w:r>
                    <w:rPr>
                      <w:u w:val="single"/>
                    </w:rPr>
                    <w:t>符合</w:t>
                  </w:r>
                </w:p>
              </w:tc>
            </w:tr>
            <w:tr>
              <w:trPr>
                <w:trHeight w:val="340" w:hRule="atLeast"/>
              </w:trPr>
              <w:tc>
                <w:tcPr>
                  <w:tcW w:w="682" w:type="dxa"/>
                  <w:vMerge w:val="continue"/>
                  <w:vAlign w:val="center"/>
                </w:tcPr>
                <w:p>
                  <w:pPr>
                    <w:pStyle w:val="22"/>
                    <w:rPr>
                      <w:u w:val="single"/>
                    </w:rPr>
                  </w:pPr>
                </w:p>
              </w:tc>
              <w:tc>
                <w:tcPr>
                  <w:tcW w:w="4992" w:type="dxa"/>
                  <w:vAlign w:val="center"/>
                </w:tcPr>
                <w:p>
                  <w:pPr>
                    <w:pStyle w:val="22"/>
                    <w:rPr>
                      <w:u w:val="single"/>
                    </w:rPr>
                  </w:pPr>
                  <w:r>
                    <w:rPr>
                      <w:u w:val="single"/>
                    </w:rPr>
                    <w:t>强化产业政策在产业转移过程中的引导和约束作用，严格控制在生态脆弱或环境敏感地区建设“两高”行业项目。严格高能耗、高物耗、高水耗和产能过剩、低水平重复建设项目，以及涉及危险化学品、重金属和其他具有重大环境风险建设项目的审批和备案。老工业城市和资源型城市在防止污染转移的基础上，应积极承接有利于延伸产业链、提高技术水平、促进资源综合利用、充分吸纳就业的产业，因地制宜发展优势特色产业。</w:t>
                  </w:r>
                </w:p>
                <w:p>
                  <w:pPr>
                    <w:pStyle w:val="22"/>
                    <w:rPr>
                      <w:u w:val="single"/>
                    </w:rPr>
                  </w:pPr>
                  <w:r>
                    <w:rPr>
                      <w:u w:val="single"/>
                    </w:rPr>
                    <w:t>严格控制钢铁、焦化、电解铝、水泥和平板玻璃等行业新增产能，列入去产能的钢铁企业退出时须一并退出配套的烧结、球团、焦炉、高炉等设备。严格控制尿素、磷铵、电石、烧碱、聚氯乙烯、纯碱、黄磷等过剩行业新增产能，符合政策要求的先进工艺改造提升项目应实行等量或减量置换。</w:t>
                  </w:r>
                </w:p>
                <w:p>
                  <w:pPr>
                    <w:pStyle w:val="22"/>
                    <w:rPr>
                      <w:u w:val="single"/>
                    </w:rPr>
                  </w:pPr>
                  <w:r>
                    <w:rPr>
                      <w:u w:val="single"/>
                    </w:rPr>
                    <w:t>严控新建燃煤锅炉，县级以上城市建成区原则上不再新建每小时35蒸吨以下燃煤锅炉。</w:t>
                  </w:r>
                </w:p>
              </w:tc>
              <w:tc>
                <w:tcPr>
                  <w:tcW w:w="1623" w:type="dxa"/>
                  <w:vAlign w:val="center"/>
                </w:tcPr>
                <w:p>
                  <w:pPr>
                    <w:pStyle w:val="22"/>
                    <w:rPr>
                      <w:u w:val="single"/>
                    </w:rPr>
                  </w:pPr>
                  <w:r>
                    <w:rPr>
                      <w:bCs/>
                      <w:u w:val="single"/>
                    </w:rPr>
                    <w:t>本项目不属于“两高”项目。</w:t>
                  </w:r>
                </w:p>
              </w:tc>
              <w:tc>
                <w:tcPr>
                  <w:tcW w:w="575" w:type="dxa"/>
                  <w:vAlign w:val="center"/>
                </w:tcPr>
                <w:p>
                  <w:pPr>
                    <w:pStyle w:val="22"/>
                    <w:rPr>
                      <w:u w:val="single"/>
                    </w:rPr>
                  </w:pPr>
                  <w:r>
                    <w:rPr>
                      <w:u w:val="single"/>
                    </w:rPr>
                    <w:t>符合</w:t>
                  </w:r>
                </w:p>
              </w:tc>
            </w:tr>
            <w:tr>
              <w:trPr>
                <w:trHeight w:val="340" w:hRule="atLeast"/>
              </w:trPr>
              <w:tc>
                <w:tcPr>
                  <w:tcW w:w="682" w:type="dxa"/>
                  <w:vMerge w:val="continue"/>
                  <w:vAlign w:val="center"/>
                </w:tcPr>
                <w:p>
                  <w:pPr>
                    <w:pStyle w:val="22"/>
                    <w:rPr>
                      <w:u w:val="single"/>
                    </w:rPr>
                  </w:pPr>
                </w:p>
              </w:tc>
              <w:tc>
                <w:tcPr>
                  <w:tcW w:w="4992" w:type="dxa"/>
                  <w:vAlign w:val="center"/>
                </w:tcPr>
                <w:p>
                  <w:pPr>
                    <w:pStyle w:val="22"/>
                    <w:rPr>
                      <w:iCs/>
                      <w:u w:val="single"/>
                    </w:rPr>
                  </w:pPr>
                  <w:r>
                    <w:rPr>
                      <w:iCs/>
                      <w:u w:val="single"/>
                    </w:rPr>
                    <w:t>重大项目原则上应布局在优化开发区和重点开发区，并符合国土空间总体规划。</w:t>
                  </w:r>
                </w:p>
                <w:p>
                  <w:pPr>
                    <w:pStyle w:val="22"/>
                    <w:rPr>
                      <w:iCs/>
                      <w:u w:val="single"/>
                    </w:rPr>
                  </w:pPr>
                  <w:r>
                    <w:rPr>
                      <w:iCs/>
                      <w:u w:val="single"/>
                    </w:rPr>
                    <w:t>化工石化、有色冶炼、制浆造纸等可能引发环境风险的项目，以及涉及石化、化工、工业涂装等重点行业高VOCs排放的建设项目，在符合国家产业政策和清洁生产水平要求、满足污染物排放标准以及污染物排放总量控制指标前提下，应当在依法设立、基础设施齐全并具备有效规划、规划环境影响评价的产业园区内布设。</w:t>
                  </w:r>
                </w:p>
                <w:p>
                  <w:pPr>
                    <w:pStyle w:val="22"/>
                    <w:rPr>
                      <w:u w:val="single"/>
                    </w:rPr>
                  </w:pPr>
                  <w:r>
                    <w:rPr>
                      <w:iCs/>
                      <w:u w:val="single"/>
                    </w:rPr>
                    <w:t>严格落实规划环评及其批复文件环境准入条件，空气质量未达标地区制定更严格的产业准入门槛。</w:t>
                  </w:r>
                </w:p>
              </w:tc>
              <w:tc>
                <w:tcPr>
                  <w:tcW w:w="1623" w:type="dxa"/>
                  <w:vAlign w:val="center"/>
                </w:tcPr>
                <w:p>
                  <w:pPr>
                    <w:pStyle w:val="22"/>
                    <w:rPr>
                      <w:u w:val="single"/>
                    </w:rPr>
                  </w:pPr>
                  <w:r>
                    <w:rPr>
                      <w:u w:val="single"/>
                    </w:rPr>
                    <w:t>不涉及。</w:t>
                  </w:r>
                </w:p>
              </w:tc>
              <w:tc>
                <w:tcPr>
                  <w:tcW w:w="575" w:type="dxa"/>
                  <w:vAlign w:val="center"/>
                </w:tcPr>
                <w:p>
                  <w:pPr>
                    <w:pStyle w:val="22"/>
                    <w:rPr>
                      <w:u w:val="single"/>
                    </w:rPr>
                  </w:pPr>
                  <w:r>
                    <w:rPr>
                      <w:u w:val="single"/>
                    </w:rPr>
                    <w:t>/</w:t>
                  </w:r>
                </w:p>
              </w:tc>
            </w:tr>
            <w:tr>
              <w:trPr>
                <w:trHeight w:val="340" w:hRule="atLeast"/>
              </w:trPr>
              <w:tc>
                <w:tcPr>
                  <w:tcW w:w="682" w:type="dxa"/>
                  <w:vMerge w:val="continue"/>
                  <w:vAlign w:val="center"/>
                </w:tcPr>
                <w:p>
                  <w:pPr>
                    <w:pStyle w:val="22"/>
                    <w:rPr>
                      <w:u w:val="single"/>
                    </w:rPr>
                  </w:pPr>
                </w:p>
              </w:tc>
              <w:tc>
                <w:tcPr>
                  <w:tcW w:w="4992" w:type="dxa"/>
                  <w:vAlign w:val="center"/>
                </w:tcPr>
                <w:p>
                  <w:pPr>
                    <w:pStyle w:val="22"/>
                    <w:rPr>
                      <w:iCs/>
                      <w:u w:val="single"/>
                    </w:rPr>
                  </w:pPr>
                  <w:r>
                    <w:rPr>
                      <w:iCs/>
                      <w:u w:val="single"/>
                    </w:rPr>
                    <w:t>进一步优化全省化工产业布局，提高化工行业本质安全和绿色发展水平，引领化工园区从规范化发展到高质量发展、促进化工产业转型升级。</w:t>
                  </w:r>
                </w:p>
              </w:tc>
              <w:tc>
                <w:tcPr>
                  <w:tcW w:w="1623" w:type="dxa"/>
                  <w:vAlign w:val="center"/>
                </w:tcPr>
                <w:p>
                  <w:pPr>
                    <w:pStyle w:val="22"/>
                    <w:rPr>
                      <w:u w:val="single"/>
                    </w:rPr>
                  </w:pPr>
                  <w:r>
                    <w:rPr>
                      <w:u w:val="single"/>
                    </w:rPr>
                    <w:t>不涉及。</w:t>
                  </w:r>
                </w:p>
              </w:tc>
              <w:tc>
                <w:tcPr>
                  <w:tcW w:w="575" w:type="dxa"/>
                  <w:vAlign w:val="center"/>
                </w:tcPr>
                <w:p>
                  <w:pPr>
                    <w:pStyle w:val="22"/>
                    <w:rPr>
                      <w:u w:val="single"/>
                    </w:rPr>
                  </w:pPr>
                  <w:r>
                    <w:rPr>
                      <w:u w:val="single"/>
                    </w:rPr>
                    <w:t>/</w:t>
                  </w:r>
                </w:p>
              </w:tc>
            </w:tr>
            <w:tr>
              <w:trPr>
                <w:trHeight w:val="340" w:hRule="atLeast"/>
              </w:trPr>
              <w:tc>
                <w:tcPr>
                  <w:tcW w:w="682" w:type="dxa"/>
                  <w:vMerge w:val="restart"/>
                  <w:vAlign w:val="center"/>
                </w:tcPr>
                <w:p>
                  <w:pPr>
                    <w:pStyle w:val="22"/>
                    <w:rPr>
                      <w:u w:val="single"/>
                    </w:rPr>
                  </w:pPr>
                  <w:r>
                    <w:rPr>
                      <w:iCs/>
                      <w:u w:val="single"/>
                    </w:rPr>
                    <w:t>污染物排放管控</w:t>
                  </w:r>
                </w:p>
              </w:tc>
              <w:tc>
                <w:tcPr>
                  <w:tcW w:w="4992" w:type="dxa"/>
                  <w:vAlign w:val="center"/>
                </w:tcPr>
                <w:p>
                  <w:pPr>
                    <w:pStyle w:val="22"/>
                    <w:rPr>
                      <w:iCs/>
                      <w:u w:val="single"/>
                    </w:rPr>
                  </w:pPr>
                  <w:r>
                    <w:rPr>
                      <w:iCs/>
                      <w:u w:val="single"/>
                    </w:rPr>
                    <w:t>落实主要污染物总量控制和排污许可制度。新建、改建、扩建重点行业建设项目实行主要污染物排放等量或倍量削减替代。严格涉VOCs建设项目环境影响评价，逐步推进区域内VOCs排放等量或倍量削减替代。</w:t>
                  </w:r>
                </w:p>
              </w:tc>
              <w:tc>
                <w:tcPr>
                  <w:tcW w:w="1623" w:type="dxa"/>
                  <w:vAlign w:val="center"/>
                </w:tcPr>
                <w:p>
                  <w:pPr>
                    <w:pStyle w:val="22"/>
                    <w:rPr>
                      <w:u w:val="single"/>
                    </w:rPr>
                  </w:pPr>
                  <w:r>
                    <w:rPr>
                      <w:bCs/>
                      <w:u w:val="single"/>
                    </w:rPr>
                    <w:t>本项目不属于重点行业。</w:t>
                  </w:r>
                </w:p>
              </w:tc>
              <w:tc>
                <w:tcPr>
                  <w:tcW w:w="575" w:type="dxa"/>
                  <w:vAlign w:val="center"/>
                </w:tcPr>
                <w:p>
                  <w:pPr>
                    <w:pStyle w:val="22"/>
                    <w:rPr>
                      <w:u w:val="single"/>
                    </w:rPr>
                  </w:pPr>
                  <w:r>
                    <w:rPr>
                      <w:u w:val="single"/>
                    </w:rPr>
                    <w:t>符合</w:t>
                  </w:r>
                </w:p>
              </w:tc>
            </w:tr>
            <w:tr>
              <w:trPr>
                <w:trHeight w:val="340" w:hRule="atLeast"/>
              </w:trPr>
              <w:tc>
                <w:tcPr>
                  <w:tcW w:w="682" w:type="dxa"/>
                  <w:vMerge w:val="continue"/>
                  <w:vAlign w:val="center"/>
                </w:tcPr>
                <w:p>
                  <w:pPr>
                    <w:pStyle w:val="22"/>
                    <w:rPr>
                      <w:u w:val="single"/>
                    </w:rPr>
                  </w:pPr>
                </w:p>
              </w:tc>
              <w:tc>
                <w:tcPr>
                  <w:tcW w:w="4992" w:type="dxa"/>
                  <w:vAlign w:val="center"/>
                </w:tcPr>
                <w:p>
                  <w:pPr>
                    <w:pStyle w:val="22"/>
                    <w:rPr>
                      <w:iCs/>
                      <w:u w:val="single"/>
                    </w:rPr>
                  </w:pPr>
                  <w:r>
                    <w:rPr>
                      <w:u w:val="single"/>
                    </w:rPr>
                    <w:t>空气质量未达标地区新建项目涉及的二氧化硫、氮氧化物、颗粒物、挥发性有机物（VOCs）排放全面执行大气污染物特别排放限值。</w:t>
                  </w:r>
                </w:p>
              </w:tc>
              <w:tc>
                <w:tcPr>
                  <w:tcW w:w="1623" w:type="dxa"/>
                  <w:vAlign w:val="center"/>
                </w:tcPr>
                <w:p>
                  <w:pPr>
                    <w:pStyle w:val="22"/>
                    <w:rPr>
                      <w:u w:val="single"/>
                    </w:rPr>
                  </w:pPr>
                  <w:r>
                    <w:rPr>
                      <w:rFonts w:hint="eastAsia"/>
                      <w:u w:val="single"/>
                    </w:rPr>
                    <w:t>通化市</w:t>
                  </w:r>
                  <w:r>
                    <w:rPr>
                      <w:u w:val="single"/>
                    </w:rPr>
                    <w:t>环境空气属于达标区。</w:t>
                  </w:r>
                </w:p>
              </w:tc>
              <w:tc>
                <w:tcPr>
                  <w:tcW w:w="575" w:type="dxa"/>
                  <w:vAlign w:val="center"/>
                </w:tcPr>
                <w:p>
                  <w:pPr>
                    <w:pStyle w:val="22"/>
                    <w:rPr>
                      <w:u w:val="single"/>
                    </w:rPr>
                  </w:pPr>
                  <w:r>
                    <w:rPr>
                      <w:u w:val="single"/>
                    </w:rPr>
                    <w:t>/</w:t>
                  </w:r>
                </w:p>
              </w:tc>
            </w:tr>
            <w:tr>
              <w:trPr>
                <w:trHeight w:val="340" w:hRule="atLeast"/>
              </w:trPr>
              <w:tc>
                <w:tcPr>
                  <w:tcW w:w="682" w:type="dxa"/>
                  <w:vMerge w:val="continue"/>
                  <w:vAlign w:val="center"/>
                </w:tcPr>
                <w:p>
                  <w:pPr>
                    <w:pStyle w:val="22"/>
                    <w:rPr>
                      <w:u w:val="single"/>
                    </w:rPr>
                  </w:pPr>
                </w:p>
              </w:tc>
              <w:tc>
                <w:tcPr>
                  <w:tcW w:w="4992" w:type="dxa"/>
                  <w:vAlign w:val="center"/>
                </w:tcPr>
                <w:p>
                  <w:pPr>
                    <w:pStyle w:val="22"/>
                    <w:rPr>
                      <w:iCs/>
                      <w:u w:val="single"/>
                    </w:rPr>
                  </w:pPr>
                  <w:r>
                    <w:rPr>
                      <w:u w:val="single"/>
                    </w:rPr>
                    <w:t>推行秸秆全量化处置，持续推进秸秆肥料化、饲料化、能源化、基料化和原料化，逐步形成秸秆综合利用的长效机制。</w:t>
                  </w:r>
                </w:p>
              </w:tc>
              <w:tc>
                <w:tcPr>
                  <w:tcW w:w="1623" w:type="dxa"/>
                  <w:vAlign w:val="center"/>
                </w:tcPr>
                <w:p>
                  <w:pPr>
                    <w:pStyle w:val="22"/>
                    <w:rPr>
                      <w:u w:val="single"/>
                    </w:rPr>
                  </w:pPr>
                  <w:r>
                    <w:rPr>
                      <w:u w:val="single"/>
                    </w:rPr>
                    <w:t>不涉及。</w:t>
                  </w:r>
                </w:p>
              </w:tc>
              <w:tc>
                <w:tcPr>
                  <w:tcW w:w="575" w:type="dxa"/>
                  <w:vAlign w:val="center"/>
                </w:tcPr>
                <w:p>
                  <w:pPr>
                    <w:pStyle w:val="22"/>
                    <w:rPr>
                      <w:u w:val="single"/>
                    </w:rPr>
                  </w:pPr>
                  <w:r>
                    <w:rPr>
                      <w:u w:val="single"/>
                    </w:rPr>
                    <w:t>/</w:t>
                  </w:r>
                </w:p>
              </w:tc>
            </w:tr>
            <w:tr>
              <w:trPr>
                <w:trHeight w:val="340" w:hRule="atLeast"/>
              </w:trPr>
              <w:tc>
                <w:tcPr>
                  <w:tcW w:w="682" w:type="dxa"/>
                  <w:vMerge w:val="continue"/>
                  <w:vAlign w:val="center"/>
                </w:tcPr>
                <w:p>
                  <w:pPr>
                    <w:pStyle w:val="22"/>
                    <w:rPr>
                      <w:u w:val="single"/>
                    </w:rPr>
                  </w:pPr>
                </w:p>
              </w:tc>
              <w:tc>
                <w:tcPr>
                  <w:tcW w:w="4992" w:type="dxa"/>
                  <w:vAlign w:val="center"/>
                </w:tcPr>
                <w:p>
                  <w:pPr>
                    <w:pStyle w:val="22"/>
                    <w:rPr>
                      <w:iCs/>
                      <w:u w:val="single"/>
                    </w:rPr>
                  </w:pPr>
                  <w:r>
                    <w:rPr>
                      <w:u w:val="single"/>
                    </w:rPr>
                    <w:t>推动城镇污水处理厂扩容工程和提标改造。超负荷、满负荷运行的污水处理厂要及时实施扩容，出水排入超标水域的污水处理厂要因地制宜提高出水标准。</w:t>
                  </w:r>
                </w:p>
              </w:tc>
              <w:tc>
                <w:tcPr>
                  <w:tcW w:w="1623" w:type="dxa"/>
                  <w:vAlign w:val="center"/>
                </w:tcPr>
                <w:p>
                  <w:pPr>
                    <w:pStyle w:val="22"/>
                    <w:rPr>
                      <w:u w:val="single"/>
                    </w:rPr>
                  </w:pPr>
                  <w:r>
                    <w:rPr>
                      <w:u w:val="single"/>
                    </w:rPr>
                    <w:t>不涉及。</w:t>
                  </w:r>
                </w:p>
              </w:tc>
              <w:tc>
                <w:tcPr>
                  <w:tcW w:w="575" w:type="dxa"/>
                  <w:vAlign w:val="center"/>
                </w:tcPr>
                <w:p>
                  <w:pPr>
                    <w:pStyle w:val="22"/>
                    <w:rPr>
                      <w:u w:val="single"/>
                    </w:rPr>
                  </w:pPr>
                  <w:r>
                    <w:rPr>
                      <w:u w:val="single"/>
                    </w:rPr>
                    <w:t>/</w:t>
                  </w:r>
                </w:p>
              </w:tc>
            </w:tr>
            <w:tr>
              <w:trPr>
                <w:trHeight w:val="340" w:hRule="atLeast"/>
              </w:trPr>
              <w:tc>
                <w:tcPr>
                  <w:tcW w:w="682" w:type="dxa"/>
                  <w:vMerge w:val="continue"/>
                  <w:vAlign w:val="center"/>
                </w:tcPr>
                <w:p>
                  <w:pPr>
                    <w:pStyle w:val="22"/>
                    <w:rPr>
                      <w:u w:val="single"/>
                    </w:rPr>
                  </w:pPr>
                </w:p>
              </w:tc>
              <w:tc>
                <w:tcPr>
                  <w:tcW w:w="4992" w:type="dxa"/>
                  <w:vAlign w:val="center"/>
                </w:tcPr>
                <w:p>
                  <w:pPr>
                    <w:pStyle w:val="22"/>
                    <w:rPr>
                      <w:iCs/>
                      <w:u w:val="single"/>
                    </w:rPr>
                  </w:pPr>
                  <w:r>
                    <w:rPr>
                      <w:u w:val="single"/>
                    </w:rPr>
                    <w:t>规模化畜禽养殖场（小区）应当保证畜禽粪污无害化处理和资源化利用设施的正常运转。</w:t>
                  </w:r>
                </w:p>
              </w:tc>
              <w:tc>
                <w:tcPr>
                  <w:tcW w:w="1623" w:type="dxa"/>
                  <w:vAlign w:val="center"/>
                </w:tcPr>
                <w:p>
                  <w:pPr>
                    <w:pStyle w:val="22"/>
                    <w:rPr>
                      <w:u w:val="single"/>
                    </w:rPr>
                  </w:pPr>
                  <w:r>
                    <w:rPr>
                      <w:u w:val="single"/>
                    </w:rPr>
                    <w:t>不涉及。</w:t>
                  </w:r>
                </w:p>
              </w:tc>
              <w:tc>
                <w:tcPr>
                  <w:tcW w:w="575" w:type="dxa"/>
                  <w:vAlign w:val="center"/>
                </w:tcPr>
                <w:p>
                  <w:pPr>
                    <w:pStyle w:val="22"/>
                    <w:rPr>
                      <w:u w:val="single"/>
                    </w:rPr>
                  </w:pPr>
                  <w:r>
                    <w:rPr>
                      <w:u w:val="single"/>
                    </w:rPr>
                    <w:t>/</w:t>
                  </w:r>
                </w:p>
              </w:tc>
            </w:tr>
            <w:tr>
              <w:trPr>
                <w:trHeight w:val="340" w:hRule="atLeast"/>
              </w:trPr>
              <w:tc>
                <w:tcPr>
                  <w:tcW w:w="682" w:type="dxa"/>
                  <w:vMerge w:val="restart"/>
                  <w:vAlign w:val="center"/>
                </w:tcPr>
                <w:p>
                  <w:pPr>
                    <w:pStyle w:val="22"/>
                    <w:rPr>
                      <w:u w:val="single"/>
                    </w:rPr>
                  </w:pPr>
                  <w:r>
                    <w:rPr>
                      <w:iCs/>
                      <w:u w:val="single"/>
                    </w:rPr>
                    <w:t>环境风险防控</w:t>
                  </w:r>
                </w:p>
              </w:tc>
              <w:tc>
                <w:tcPr>
                  <w:tcW w:w="4992" w:type="dxa"/>
                  <w:vAlign w:val="center"/>
                </w:tcPr>
                <w:p>
                  <w:pPr>
                    <w:pStyle w:val="22"/>
                    <w:rPr>
                      <w:iCs/>
                      <w:u w:val="single"/>
                    </w:rPr>
                  </w:pPr>
                  <w:r>
                    <w:rPr>
                      <w:u w:val="single"/>
                    </w:rPr>
                    <w:t>到2025年，城镇人口密集区现有不符合防护距离要求的危险化学品生产企业应就地改造达标、搬迁进入规范化工园区或关闭退出，企业安全和环境风险大幅降低。</w:t>
                  </w:r>
                </w:p>
              </w:tc>
              <w:tc>
                <w:tcPr>
                  <w:tcW w:w="1623" w:type="dxa"/>
                  <w:vAlign w:val="center"/>
                </w:tcPr>
                <w:p>
                  <w:pPr>
                    <w:pStyle w:val="22"/>
                    <w:rPr>
                      <w:u w:val="single"/>
                    </w:rPr>
                  </w:pPr>
                  <w:r>
                    <w:rPr>
                      <w:u w:val="single"/>
                    </w:rPr>
                    <w:t>不涉及。</w:t>
                  </w:r>
                </w:p>
              </w:tc>
              <w:tc>
                <w:tcPr>
                  <w:tcW w:w="575" w:type="dxa"/>
                  <w:vAlign w:val="center"/>
                </w:tcPr>
                <w:p>
                  <w:pPr>
                    <w:pStyle w:val="22"/>
                    <w:rPr>
                      <w:u w:val="single"/>
                    </w:rPr>
                  </w:pPr>
                  <w:r>
                    <w:rPr>
                      <w:u w:val="single"/>
                    </w:rPr>
                    <w:t>/</w:t>
                  </w:r>
                </w:p>
              </w:tc>
            </w:tr>
            <w:tr>
              <w:trPr>
                <w:trHeight w:val="340" w:hRule="atLeast"/>
              </w:trPr>
              <w:tc>
                <w:tcPr>
                  <w:tcW w:w="682" w:type="dxa"/>
                  <w:vMerge w:val="continue"/>
                  <w:vAlign w:val="center"/>
                </w:tcPr>
                <w:p>
                  <w:pPr>
                    <w:pStyle w:val="22"/>
                    <w:rPr>
                      <w:u w:val="single"/>
                    </w:rPr>
                  </w:pPr>
                </w:p>
              </w:tc>
              <w:tc>
                <w:tcPr>
                  <w:tcW w:w="4992" w:type="dxa"/>
                  <w:vAlign w:val="center"/>
                </w:tcPr>
                <w:p>
                  <w:pPr>
                    <w:pStyle w:val="22"/>
                    <w:rPr>
                      <w:iCs/>
                      <w:u w:val="single"/>
                    </w:rPr>
                  </w:pPr>
                  <w:r>
                    <w:rPr>
                      <w:u w:val="single"/>
                    </w:rPr>
                    <w:t>巩固城市饮用水水源保护与治理成果，加强饮用水水源地规范化建设，完善风险防控与应急能力建设和相关管理措施，保证饮用水水源水质达标和水源安全。</w:t>
                  </w:r>
                </w:p>
              </w:tc>
              <w:tc>
                <w:tcPr>
                  <w:tcW w:w="1623" w:type="dxa"/>
                  <w:vAlign w:val="center"/>
                </w:tcPr>
                <w:p>
                  <w:pPr>
                    <w:pStyle w:val="22"/>
                    <w:rPr>
                      <w:u w:val="single"/>
                    </w:rPr>
                  </w:pPr>
                  <w:r>
                    <w:rPr>
                      <w:u w:val="single"/>
                    </w:rPr>
                    <w:t>不涉及。</w:t>
                  </w:r>
                </w:p>
              </w:tc>
              <w:tc>
                <w:tcPr>
                  <w:tcW w:w="575" w:type="dxa"/>
                  <w:vAlign w:val="center"/>
                </w:tcPr>
                <w:p>
                  <w:pPr>
                    <w:pStyle w:val="22"/>
                    <w:rPr>
                      <w:u w:val="single"/>
                    </w:rPr>
                  </w:pPr>
                  <w:r>
                    <w:rPr>
                      <w:u w:val="single"/>
                    </w:rPr>
                    <w:t>/</w:t>
                  </w:r>
                </w:p>
              </w:tc>
            </w:tr>
            <w:tr>
              <w:trPr>
                <w:trHeight w:val="340" w:hRule="atLeast"/>
              </w:trPr>
              <w:tc>
                <w:tcPr>
                  <w:tcW w:w="682" w:type="dxa"/>
                  <w:vMerge w:val="restart"/>
                  <w:vAlign w:val="center"/>
                </w:tcPr>
                <w:p>
                  <w:pPr>
                    <w:pStyle w:val="22"/>
                    <w:rPr>
                      <w:u w:val="single"/>
                    </w:rPr>
                  </w:pPr>
                  <w:r>
                    <w:rPr>
                      <w:iCs/>
                      <w:u w:val="single"/>
                    </w:rPr>
                    <w:t>资源利用要求</w:t>
                  </w:r>
                </w:p>
              </w:tc>
              <w:tc>
                <w:tcPr>
                  <w:tcW w:w="4992" w:type="dxa"/>
                  <w:vAlign w:val="center"/>
                </w:tcPr>
                <w:p>
                  <w:pPr>
                    <w:pStyle w:val="22"/>
                    <w:rPr>
                      <w:iCs/>
                      <w:u w:val="single"/>
                    </w:rPr>
                  </w:pPr>
                  <w:r>
                    <w:rPr>
                      <w:u w:val="single"/>
                    </w:rPr>
                    <w:t>推动园区串联用水，分质用水、一水多用和循环利用，提高水资源利用率，建设节水型园区。火电、钢铁、造纸、化工、粮食深加工等重点行业应推广实施节水改造和污水深度处理。鼓励钢铁、火电、纺织印染、造纸、石油石化、化工、制革等高耗水企业废水深度处理回用。</w:t>
                  </w:r>
                </w:p>
              </w:tc>
              <w:tc>
                <w:tcPr>
                  <w:tcW w:w="1623" w:type="dxa"/>
                  <w:vAlign w:val="center"/>
                </w:tcPr>
                <w:p>
                  <w:pPr>
                    <w:pStyle w:val="22"/>
                    <w:rPr>
                      <w:u w:val="single"/>
                    </w:rPr>
                  </w:pPr>
                  <w:r>
                    <w:rPr>
                      <w:u w:val="single"/>
                    </w:rPr>
                    <w:t>不涉及。</w:t>
                  </w:r>
                </w:p>
              </w:tc>
              <w:tc>
                <w:tcPr>
                  <w:tcW w:w="575" w:type="dxa"/>
                  <w:vAlign w:val="center"/>
                </w:tcPr>
                <w:p>
                  <w:pPr>
                    <w:pStyle w:val="22"/>
                    <w:rPr>
                      <w:u w:val="single"/>
                    </w:rPr>
                  </w:pPr>
                  <w:r>
                    <w:rPr>
                      <w:u w:val="single"/>
                    </w:rPr>
                    <w:t>/</w:t>
                  </w:r>
                </w:p>
              </w:tc>
            </w:tr>
            <w:tr>
              <w:trPr>
                <w:trHeight w:val="340" w:hRule="atLeast"/>
              </w:trPr>
              <w:tc>
                <w:tcPr>
                  <w:tcW w:w="682" w:type="dxa"/>
                  <w:vMerge w:val="continue"/>
                  <w:vAlign w:val="center"/>
                </w:tcPr>
                <w:p>
                  <w:pPr>
                    <w:pStyle w:val="22"/>
                    <w:rPr>
                      <w:u w:val="single"/>
                    </w:rPr>
                  </w:pPr>
                </w:p>
              </w:tc>
              <w:tc>
                <w:tcPr>
                  <w:tcW w:w="4992" w:type="dxa"/>
                  <w:vAlign w:val="center"/>
                </w:tcPr>
                <w:p>
                  <w:pPr>
                    <w:pStyle w:val="22"/>
                    <w:rPr>
                      <w:iCs/>
                      <w:u w:val="single"/>
                    </w:rPr>
                  </w:pPr>
                  <w:r>
                    <w:rPr>
                      <w:u w:val="single"/>
                    </w:rPr>
                    <w:t>按照《中华人民共和国黑土地保护法》《吉林省黑土地保护条例》实施黑土地保护，加大黑土区水土流失治理力度，发展保护性耕作，促进黑土地可持续发展。</w:t>
                  </w:r>
                </w:p>
              </w:tc>
              <w:tc>
                <w:tcPr>
                  <w:tcW w:w="1623" w:type="dxa"/>
                  <w:vAlign w:val="center"/>
                </w:tcPr>
                <w:p>
                  <w:pPr>
                    <w:pStyle w:val="22"/>
                    <w:rPr>
                      <w:u w:val="single"/>
                    </w:rPr>
                  </w:pPr>
                  <w:r>
                    <w:rPr>
                      <w:u w:val="single"/>
                    </w:rPr>
                    <w:t>不涉及。</w:t>
                  </w:r>
                </w:p>
              </w:tc>
              <w:tc>
                <w:tcPr>
                  <w:tcW w:w="575" w:type="dxa"/>
                  <w:vAlign w:val="center"/>
                </w:tcPr>
                <w:p>
                  <w:pPr>
                    <w:pStyle w:val="22"/>
                    <w:rPr>
                      <w:u w:val="single"/>
                    </w:rPr>
                  </w:pPr>
                  <w:r>
                    <w:rPr>
                      <w:u w:val="single"/>
                    </w:rPr>
                    <w:t>/</w:t>
                  </w:r>
                </w:p>
              </w:tc>
            </w:tr>
            <w:tr>
              <w:trPr>
                <w:trHeight w:val="340" w:hRule="atLeast"/>
              </w:trPr>
              <w:tc>
                <w:tcPr>
                  <w:tcW w:w="682" w:type="dxa"/>
                  <w:vMerge w:val="continue"/>
                  <w:vAlign w:val="center"/>
                </w:tcPr>
                <w:p>
                  <w:pPr>
                    <w:pStyle w:val="22"/>
                    <w:rPr>
                      <w:u w:val="single"/>
                    </w:rPr>
                  </w:pPr>
                </w:p>
              </w:tc>
              <w:tc>
                <w:tcPr>
                  <w:tcW w:w="4992" w:type="dxa"/>
                  <w:vAlign w:val="center"/>
                </w:tcPr>
                <w:p>
                  <w:pPr>
                    <w:pStyle w:val="22"/>
                    <w:rPr>
                      <w:iCs/>
                      <w:u w:val="single"/>
                    </w:rPr>
                  </w:pPr>
                  <w:r>
                    <w:rPr>
                      <w:u w:val="single"/>
                    </w:rPr>
                    <w:t>严格控制煤炭消费。制定煤炭消费总量控制目标，规范实行煤炭消费控制目标管理和减量（等量）替代管理。</w:t>
                  </w:r>
                </w:p>
              </w:tc>
              <w:tc>
                <w:tcPr>
                  <w:tcW w:w="1623" w:type="dxa"/>
                  <w:vAlign w:val="center"/>
                </w:tcPr>
                <w:p>
                  <w:pPr>
                    <w:pStyle w:val="22"/>
                    <w:rPr>
                      <w:u w:val="single"/>
                    </w:rPr>
                  </w:pPr>
                  <w:r>
                    <w:rPr>
                      <w:u w:val="single"/>
                    </w:rPr>
                    <w:t>不涉及。</w:t>
                  </w:r>
                </w:p>
              </w:tc>
              <w:tc>
                <w:tcPr>
                  <w:tcW w:w="575" w:type="dxa"/>
                  <w:vAlign w:val="center"/>
                </w:tcPr>
                <w:p>
                  <w:pPr>
                    <w:pStyle w:val="22"/>
                    <w:rPr>
                      <w:u w:val="single"/>
                    </w:rPr>
                  </w:pPr>
                  <w:r>
                    <w:rPr>
                      <w:u w:val="single"/>
                    </w:rPr>
                    <w:t>/</w:t>
                  </w:r>
                </w:p>
              </w:tc>
            </w:tr>
            <w:tr>
              <w:trPr>
                <w:trHeight w:val="340" w:hRule="atLeast"/>
              </w:trPr>
              <w:tc>
                <w:tcPr>
                  <w:tcW w:w="682" w:type="dxa"/>
                  <w:vMerge w:val="continue"/>
                  <w:vAlign w:val="center"/>
                </w:tcPr>
                <w:p>
                  <w:pPr>
                    <w:pStyle w:val="22"/>
                    <w:rPr>
                      <w:u w:val="single"/>
                    </w:rPr>
                  </w:pPr>
                </w:p>
              </w:tc>
              <w:tc>
                <w:tcPr>
                  <w:tcW w:w="4992" w:type="dxa"/>
                  <w:vAlign w:val="center"/>
                </w:tcPr>
                <w:p>
                  <w:pPr>
                    <w:pStyle w:val="22"/>
                    <w:rPr>
                      <w:iCs/>
                      <w:u w:val="single"/>
                    </w:rPr>
                  </w:pPr>
                  <w:r>
                    <w:rPr>
                      <w:u w:val="single"/>
                    </w:rPr>
                    <w:t>高污染燃料禁燃区内，禁止销售、燃用高污染燃料；禁止新建、扩建燃用高污染燃料的设施。</w:t>
                  </w:r>
                </w:p>
              </w:tc>
              <w:tc>
                <w:tcPr>
                  <w:tcW w:w="1623" w:type="dxa"/>
                  <w:vAlign w:val="center"/>
                </w:tcPr>
                <w:p>
                  <w:pPr>
                    <w:pStyle w:val="22"/>
                    <w:rPr>
                      <w:u w:val="single"/>
                    </w:rPr>
                  </w:pPr>
                  <w:r>
                    <w:rPr>
                      <w:u w:val="single"/>
                    </w:rPr>
                    <w:t>不涉及。</w:t>
                  </w:r>
                </w:p>
              </w:tc>
              <w:tc>
                <w:tcPr>
                  <w:tcW w:w="575" w:type="dxa"/>
                  <w:vAlign w:val="center"/>
                </w:tcPr>
                <w:p>
                  <w:pPr>
                    <w:pStyle w:val="22"/>
                    <w:rPr>
                      <w:u w:val="single"/>
                    </w:rPr>
                  </w:pPr>
                  <w:r>
                    <w:rPr>
                      <w:u w:val="single"/>
                    </w:rPr>
                    <w:t>/</w:t>
                  </w:r>
                </w:p>
              </w:tc>
            </w:tr>
          </w:tbl>
          <w:p>
            <w:pPr>
              <w:pStyle w:val="25"/>
              <w:numPr>
                <w:ilvl w:val="0"/>
                <w:numId w:val="0"/>
              </w:numPr>
              <w:ind w:firstLine="284"/>
              <w:rPr>
                <w:rFonts w:ascii="Times New Roman" w:hAnsi="Times New Roman"/>
                <w:b w:val="0"/>
                <w:bCs/>
                <w:u w:val="single"/>
              </w:rPr>
            </w:pPr>
          </w:p>
          <w:p>
            <w:pPr>
              <w:pStyle w:val="25"/>
              <w:numPr>
                <w:ilvl w:val="0"/>
                <w:numId w:val="0"/>
              </w:numPr>
              <w:ind w:firstLine="284"/>
              <w:rPr>
                <w:rFonts w:ascii="Times New Roman" w:hAnsi="Times New Roman"/>
                <w:b w:val="0"/>
                <w:bCs/>
                <w:u w:val="single"/>
              </w:rPr>
            </w:pPr>
            <w:r>
              <w:rPr>
                <w:rFonts w:ascii="Times New Roman" w:hAnsi="Times New Roman"/>
                <w:b w:val="0"/>
                <w:bCs/>
                <w:u w:val="single"/>
              </w:rPr>
              <w:t>表</w:t>
            </w:r>
            <w:r>
              <w:rPr>
                <w:rFonts w:hint="eastAsia" w:ascii="Times New Roman" w:hAnsi="Times New Roman"/>
                <w:b w:val="0"/>
                <w:bCs/>
                <w:u w:val="single"/>
              </w:rPr>
              <w:t xml:space="preserve">5  </w:t>
            </w:r>
            <w:r>
              <w:rPr>
                <w:rFonts w:ascii="Times New Roman" w:hAnsi="Times New Roman"/>
                <w:b w:val="0"/>
                <w:bCs/>
                <w:u w:val="single"/>
              </w:rPr>
              <w:t>本项目与</w:t>
            </w:r>
            <w:r>
              <w:rPr>
                <w:rFonts w:hint="eastAsia" w:ascii="Times New Roman" w:hAnsi="Times New Roman"/>
                <w:b w:val="0"/>
                <w:bCs/>
                <w:u w:val="single"/>
              </w:rPr>
              <w:t>通化市生态环境分区管控实施方案</w:t>
            </w:r>
            <w:r>
              <w:rPr>
                <w:rFonts w:ascii="Times New Roman" w:hAnsi="Times New Roman"/>
                <w:b w:val="0"/>
                <w:bCs/>
                <w:u w:val="single"/>
              </w:rPr>
              <w:t>相符性分析</w:t>
            </w:r>
          </w:p>
          <w:tbl>
            <w:tblPr>
              <w:tblW w:w="7872"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480"/>
              <w:gridCol w:w="510"/>
              <w:gridCol w:w="3649"/>
              <w:gridCol w:w="2388"/>
              <w:gridCol w:w="845"/>
            </w:tblGrid>
            <w:tr>
              <w:trPr>
                <w:trHeight w:val="340" w:hRule="atLeast"/>
                <w:tblHeader/>
              </w:trPr>
              <w:tc>
                <w:tcPr>
                  <w:tcW w:w="480" w:type="dxa"/>
                  <w:vAlign w:val="center"/>
                </w:tcPr>
                <w:p>
                  <w:pPr>
                    <w:widowControl/>
                    <w:jc w:val="center"/>
                    <w:rPr>
                      <w:kern w:val="0"/>
                      <w:szCs w:val="21"/>
                      <w:u w:val="single"/>
                    </w:rPr>
                  </w:pPr>
                  <w:r>
                    <w:rPr>
                      <w:kern w:val="0"/>
                      <w:szCs w:val="21"/>
                      <w:u w:val="single"/>
                    </w:rPr>
                    <w:t>管控领域</w:t>
                  </w:r>
                </w:p>
              </w:tc>
              <w:tc>
                <w:tcPr>
                  <w:tcW w:w="4159" w:type="dxa"/>
                  <w:gridSpan w:val="2"/>
                  <w:vAlign w:val="center"/>
                </w:tcPr>
                <w:p>
                  <w:pPr>
                    <w:widowControl/>
                    <w:jc w:val="center"/>
                    <w:rPr>
                      <w:kern w:val="0"/>
                      <w:szCs w:val="21"/>
                      <w:u w:val="single"/>
                    </w:rPr>
                  </w:pPr>
                  <w:r>
                    <w:rPr>
                      <w:kern w:val="0"/>
                      <w:szCs w:val="21"/>
                      <w:u w:val="single"/>
                    </w:rPr>
                    <w:t>管控要求</w:t>
                  </w:r>
                </w:p>
              </w:tc>
              <w:tc>
                <w:tcPr>
                  <w:tcW w:w="2388" w:type="dxa"/>
                  <w:vAlign w:val="center"/>
                </w:tcPr>
                <w:p>
                  <w:pPr>
                    <w:widowControl/>
                    <w:jc w:val="center"/>
                    <w:rPr>
                      <w:kern w:val="0"/>
                      <w:szCs w:val="21"/>
                      <w:u w:val="single"/>
                    </w:rPr>
                  </w:pPr>
                  <w:r>
                    <w:rPr>
                      <w:kern w:val="0"/>
                      <w:szCs w:val="21"/>
                      <w:u w:val="single"/>
                    </w:rPr>
                    <w:t>本项目情况</w:t>
                  </w:r>
                </w:p>
              </w:tc>
              <w:tc>
                <w:tcPr>
                  <w:tcW w:w="845" w:type="dxa"/>
                  <w:vAlign w:val="center"/>
                </w:tcPr>
                <w:p>
                  <w:pPr>
                    <w:widowControl/>
                    <w:jc w:val="center"/>
                    <w:rPr>
                      <w:kern w:val="0"/>
                      <w:szCs w:val="21"/>
                      <w:u w:val="single"/>
                    </w:rPr>
                  </w:pPr>
                  <w:r>
                    <w:rPr>
                      <w:kern w:val="0"/>
                      <w:szCs w:val="21"/>
                      <w:u w:val="single"/>
                    </w:rPr>
                    <w:t>相符性</w:t>
                  </w:r>
                </w:p>
              </w:tc>
            </w:tr>
            <w:tr>
              <w:trPr>
                <w:trHeight w:val="340" w:hRule="atLeast"/>
                <w:tblHeader/>
              </w:trPr>
              <w:tc>
                <w:tcPr>
                  <w:tcW w:w="480" w:type="dxa"/>
                  <w:vMerge w:val="restart"/>
                  <w:vAlign w:val="center"/>
                </w:tcPr>
                <w:p>
                  <w:pPr>
                    <w:pStyle w:val="22"/>
                    <w:rPr>
                      <w:u w:val="single"/>
                    </w:rPr>
                  </w:pPr>
                  <w:r>
                    <w:rPr>
                      <w:u w:val="single"/>
                    </w:rPr>
                    <w:t>空间布局约束</w:t>
                  </w:r>
                </w:p>
              </w:tc>
              <w:tc>
                <w:tcPr>
                  <w:tcW w:w="4159" w:type="dxa"/>
                  <w:gridSpan w:val="2"/>
                  <w:vAlign w:val="center"/>
                </w:tcPr>
                <w:p>
                  <w:pPr>
                    <w:widowControl/>
                    <w:jc w:val="center"/>
                    <w:rPr>
                      <w:kern w:val="0"/>
                      <w:szCs w:val="21"/>
                      <w:u w:val="single"/>
                    </w:rPr>
                  </w:pPr>
                  <w:r>
                    <w:rPr>
                      <w:rFonts w:hint="eastAsia"/>
                      <w:u w:val="single"/>
                    </w:rPr>
                    <w:t>加快推进城镇人口密集区和环境敏感区域的危险化学品生产企业搬迁入园或转产关闭工作。</w:t>
                  </w:r>
                </w:p>
              </w:tc>
              <w:tc>
                <w:tcPr>
                  <w:tcW w:w="2388" w:type="dxa"/>
                  <w:vAlign w:val="center"/>
                </w:tcPr>
                <w:p>
                  <w:pPr>
                    <w:pStyle w:val="22"/>
                    <w:rPr>
                      <w:kern w:val="0"/>
                      <w:u w:val="single"/>
                    </w:rPr>
                  </w:pPr>
                  <w:r>
                    <w:rPr>
                      <w:u w:val="single"/>
                    </w:rPr>
                    <w:t>不涉及</w:t>
                  </w:r>
                  <w:r>
                    <w:rPr>
                      <w:rFonts w:hint="eastAsia"/>
                      <w:u w:val="single"/>
                    </w:rPr>
                    <w:t>。</w:t>
                  </w:r>
                </w:p>
              </w:tc>
              <w:tc>
                <w:tcPr>
                  <w:tcW w:w="845" w:type="dxa"/>
                  <w:vAlign w:val="center"/>
                </w:tcPr>
                <w:p>
                  <w:pPr>
                    <w:widowControl/>
                    <w:jc w:val="center"/>
                    <w:rPr>
                      <w:kern w:val="0"/>
                      <w:szCs w:val="21"/>
                      <w:u w:val="single"/>
                    </w:rPr>
                  </w:pPr>
                  <w:r>
                    <w:rPr>
                      <w:bCs/>
                      <w:szCs w:val="21"/>
                      <w:u w:val="single"/>
                    </w:rPr>
                    <w:t>符合</w:t>
                  </w:r>
                </w:p>
              </w:tc>
            </w:tr>
            <w:tr>
              <w:trPr>
                <w:trHeight w:val="340" w:hRule="atLeast"/>
              </w:trPr>
              <w:tc>
                <w:tcPr>
                  <w:tcW w:w="480" w:type="dxa"/>
                  <w:vMerge w:val="continue"/>
                  <w:vAlign w:val="center"/>
                </w:tcPr>
                <w:p>
                  <w:pPr>
                    <w:pStyle w:val="22"/>
                    <w:rPr>
                      <w:u w:val="single"/>
                    </w:rPr>
                  </w:pPr>
                </w:p>
              </w:tc>
              <w:tc>
                <w:tcPr>
                  <w:tcW w:w="4159" w:type="dxa"/>
                  <w:gridSpan w:val="2"/>
                  <w:vAlign w:val="center"/>
                </w:tcPr>
                <w:p>
                  <w:pPr>
                    <w:pStyle w:val="22"/>
                    <w:rPr>
                      <w:u w:val="single"/>
                    </w:rPr>
                  </w:pPr>
                  <w:r>
                    <w:rPr>
                      <w:u w:val="single"/>
                    </w:rPr>
                    <w:t>禁止在下列林地的采伐迹地种植人参：（1</w:t>
                  </w:r>
                  <w:r>
                    <w:rPr>
                      <w:rFonts w:hint="eastAsia"/>
                      <w:u w:val="single"/>
                    </w:rPr>
                    <w:t>）自然保护区、森林公园、景区及其附近林地；（</w:t>
                  </w:r>
                  <w:r>
                    <w:rPr>
                      <w:u w:val="single"/>
                    </w:rPr>
                    <w:t>2</w:t>
                  </w:r>
                  <w:r>
                    <w:rPr>
                      <w:rFonts w:hint="eastAsia"/>
                      <w:u w:val="single"/>
                    </w:rPr>
                    <w:t>）江河源头和两岸林地；（</w:t>
                  </w:r>
                  <w:r>
                    <w:rPr>
                      <w:u w:val="single"/>
                    </w:rPr>
                    <w:t>3</w:t>
                  </w:r>
                  <w:r>
                    <w:rPr>
                      <w:rFonts w:hint="eastAsia"/>
                      <w:u w:val="single"/>
                    </w:rPr>
                    <w:t>）水库、湖泊周围等生态重要区位林地；（</w:t>
                  </w:r>
                  <w:r>
                    <w:rPr>
                      <w:u w:val="single"/>
                    </w:rPr>
                    <w:t>4</w:t>
                  </w:r>
                  <w:r>
                    <w:rPr>
                      <w:rFonts w:hint="eastAsia"/>
                      <w:u w:val="single"/>
                    </w:rPr>
                    <w:t>）国道、省道、县道两侧第一层山脊内林地；（</w:t>
                  </w:r>
                  <w:r>
                    <w:rPr>
                      <w:u w:val="single"/>
                    </w:rPr>
                    <w:t>5</w:t>
                  </w:r>
                  <w:r>
                    <w:rPr>
                      <w:rFonts w:hint="eastAsia"/>
                      <w:u w:val="single"/>
                    </w:rPr>
                    <w:t>）坡度在</w:t>
                  </w:r>
                  <w:r>
                    <w:rPr>
                      <w:u w:val="single"/>
                    </w:rPr>
                    <w:t>25</w:t>
                  </w:r>
                  <w:r>
                    <w:rPr>
                      <w:rFonts w:hint="eastAsia"/>
                      <w:u w:val="single"/>
                    </w:rPr>
                    <w:t>度以上的林地；（</w:t>
                  </w:r>
                  <w:r>
                    <w:rPr>
                      <w:u w:val="single"/>
                    </w:rPr>
                    <w:t>6</w:t>
                  </w:r>
                  <w:r>
                    <w:rPr>
                      <w:rFonts w:hint="eastAsia"/>
                      <w:u w:val="single"/>
                    </w:rPr>
                    <w:t>）山脊、沟壑等林地；（</w:t>
                  </w:r>
                  <w:r>
                    <w:rPr>
                      <w:u w:val="single"/>
                    </w:rPr>
                    <w:t>7</w:t>
                  </w:r>
                  <w:r>
                    <w:rPr>
                      <w:rFonts w:hint="eastAsia"/>
                      <w:u w:val="single"/>
                    </w:rPr>
                    <w:t>）不符合人参种植标准和要求的其他林地。</w:t>
                  </w:r>
                </w:p>
              </w:tc>
              <w:tc>
                <w:tcPr>
                  <w:tcW w:w="2388" w:type="dxa"/>
                  <w:vAlign w:val="center"/>
                </w:tcPr>
                <w:p>
                  <w:pPr>
                    <w:pStyle w:val="22"/>
                    <w:rPr>
                      <w:u w:val="single"/>
                    </w:rPr>
                  </w:pPr>
                  <w:r>
                    <w:rPr>
                      <w:u w:val="single"/>
                    </w:rPr>
                    <w:t>不涉及</w:t>
                  </w:r>
                  <w:r>
                    <w:rPr>
                      <w:rFonts w:hint="eastAsia"/>
                      <w:u w:val="single"/>
                    </w:rPr>
                    <w:t>。</w:t>
                  </w:r>
                </w:p>
              </w:tc>
              <w:tc>
                <w:tcPr>
                  <w:tcW w:w="845" w:type="dxa"/>
                  <w:vAlign w:val="center"/>
                </w:tcPr>
                <w:p>
                  <w:pPr>
                    <w:widowControl/>
                    <w:jc w:val="center"/>
                    <w:rPr>
                      <w:bCs/>
                      <w:szCs w:val="21"/>
                      <w:u w:val="single"/>
                    </w:rPr>
                  </w:pPr>
                  <w:r>
                    <w:rPr>
                      <w:bCs/>
                      <w:szCs w:val="21"/>
                      <w:u w:val="single"/>
                    </w:rPr>
                    <w:t>符合</w:t>
                  </w:r>
                </w:p>
              </w:tc>
            </w:tr>
            <w:tr>
              <w:trPr>
                <w:trHeight w:val="340" w:hRule="atLeast"/>
              </w:trPr>
              <w:tc>
                <w:tcPr>
                  <w:tcW w:w="480" w:type="dxa"/>
                  <w:vMerge w:val="restart"/>
                  <w:vAlign w:val="center"/>
                </w:tcPr>
                <w:p>
                  <w:pPr>
                    <w:pStyle w:val="22"/>
                    <w:rPr>
                      <w:u w:val="single"/>
                    </w:rPr>
                  </w:pPr>
                  <w:r>
                    <w:rPr>
                      <w:u w:val="single"/>
                    </w:rPr>
                    <w:t>污染物排放管控</w:t>
                  </w:r>
                </w:p>
              </w:tc>
              <w:tc>
                <w:tcPr>
                  <w:tcW w:w="510" w:type="dxa"/>
                  <w:vMerge w:val="restart"/>
                  <w:vAlign w:val="center"/>
                </w:tcPr>
                <w:p>
                  <w:pPr>
                    <w:pStyle w:val="22"/>
                    <w:rPr>
                      <w:u w:val="single"/>
                    </w:rPr>
                  </w:pPr>
                  <w:r>
                    <w:rPr>
                      <w:u w:val="single"/>
                    </w:rPr>
                    <w:t>环境质量目标</w:t>
                  </w:r>
                </w:p>
              </w:tc>
              <w:tc>
                <w:tcPr>
                  <w:tcW w:w="3649" w:type="dxa"/>
                  <w:vAlign w:val="center"/>
                </w:tcPr>
                <w:p>
                  <w:pPr>
                    <w:widowControl/>
                    <w:jc w:val="center"/>
                    <w:rPr>
                      <w:kern w:val="0"/>
                      <w:szCs w:val="21"/>
                      <w:u w:val="single"/>
                    </w:rPr>
                  </w:pPr>
                  <w:r>
                    <w:rPr>
                      <w:rFonts w:hint="eastAsia"/>
                      <w:kern w:val="0"/>
                      <w:szCs w:val="21"/>
                      <w:u w:val="single"/>
                    </w:rPr>
                    <w:t>大气环境质量持续改善。</w:t>
                  </w:r>
                  <w:r>
                    <w:rPr>
                      <w:kern w:val="0"/>
                      <w:szCs w:val="21"/>
                      <w:u w:val="single"/>
                    </w:rPr>
                    <w:t>2025</w:t>
                  </w:r>
                  <w:r>
                    <w:rPr>
                      <w:rFonts w:hint="eastAsia"/>
                      <w:kern w:val="0"/>
                      <w:szCs w:val="21"/>
                      <w:u w:val="single"/>
                    </w:rPr>
                    <w:t>年全市</w:t>
                  </w:r>
                  <w:r>
                    <w:rPr>
                      <w:kern w:val="0"/>
                      <w:szCs w:val="21"/>
                      <w:u w:val="single"/>
                    </w:rPr>
                    <w:t>PM</w:t>
                  </w:r>
                  <w:r>
                    <w:rPr>
                      <w:kern w:val="0"/>
                      <w:szCs w:val="21"/>
                      <w:u w:val="single"/>
                      <w:vertAlign w:val="subscript"/>
                    </w:rPr>
                    <w:t>2.5</w:t>
                  </w:r>
                  <w:r>
                    <w:rPr>
                      <w:rFonts w:hint="eastAsia"/>
                      <w:kern w:val="0"/>
                      <w:szCs w:val="21"/>
                      <w:u w:val="single"/>
                    </w:rPr>
                    <w:t>年均浓度达到</w:t>
                  </w:r>
                  <w:r>
                    <w:rPr>
                      <w:kern w:val="0"/>
                      <w:szCs w:val="21"/>
                      <w:u w:val="single"/>
                    </w:rPr>
                    <w:t>25</w:t>
                  </w:r>
                  <w:r>
                    <w:rPr>
                      <w:rFonts w:hint="eastAsia"/>
                      <w:kern w:val="0"/>
                      <w:szCs w:val="21"/>
                      <w:u w:val="single"/>
                    </w:rPr>
                    <w:t>微克</w:t>
                  </w:r>
                  <w:r>
                    <w:rPr>
                      <w:kern w:val="0"/>
                      <w:szCs w:val="21"/>
                      <w:u w:val="single"/>
                    </w:rPr>
                    <w:t>/</w:t>
                  </w:r>
                  <w:r>
                    <w:rPr>
                      <w:rFonts w:hint="eastAsia"/>
                      <w:kern w:val="0"/>
                      <w:szCs w:val="21"/>
                      <w:u w:val="single"/>
                    </w:rPr>
                    <w:t>立方米，优良天数比例达到</w:t>
                  </w:r>
                  <w:r>
                    <w:rPr>
                      <w:kern w:val="0"/>
                      <w:szCs w:val="21"/>
                      <w:u w:val="single"/>
                    </w:rPr>
                    <w:t>97%</w:t>
                  </w:r>
                  <w:r>
                    <w:rPr>
                      <w:rFonts w:hint="eastAsia"/>
                      <w:kern w:val="0"/>
                      <w:szCs w:val="21"/>
                      <w:u w:val="single"/>
                    </w:rPr>
                    <w:t>；</w:t>
                  </w:r>
                  <w:r>
                    <w:rPr>
                      <w:kern w:val="0"/>
                      <w:szCs w:val="21"/>
                      <w:u w:val="single"/>
                    </w:rPr>
                    <w:t>2035</w:t>
                  </w:r>
                  <w:r>
                    <w:rPr>
                      <w:rFonts w:hint="eastAsia"/>
                      <w:kern w:val="0"/>
                      <w:szCs w:val="21"/>
                      <w:u w:val="single"/>
                    </w:rPr>
                    <w:t>年允许波动，不能恶化（沙尘影响不计入）。</w:t>
                  </w:r>
                </w:p>
              </w:tc>
              <w:tc>
                <w:tcPr>
                  <w:tcW w:w="2388" w:type="dxa"/>
                  <w:vAlign w:val="center"/>
                </w:tcPr>
                <w:p>
                  <w:pPr>
                    <w:widowControl/>
                    <w:jc w:val="center"/>
                    <w:rPr>
                      <w:kern w:val="0"/>
                      <w:szCs w:val="21"/>
                      <w:u w:val="single"/>
                    </w:rPr>
                  </w:pPr>
                  <w:r>
                    <w:rPr>
                      <w:rFonts w:hint="eastAsia"/>
                      <w:kern w:val="0"/>
                      <w:szCs w:val="21"/>
                      <w:u w:val="single"/>
                    </w:rPr>
                    <w:t>2025年，通化地区属于达标区，PM</w:t>
                  </w:r>
                  <w:r>
                    <w:rPr>
                      <w:rFonts w:hint="eastAsia"/>
                      <w:kern w:val="0"/>
                      <w:szCs w:val="21"/>
                      <w:u w:val="single"/>
                      <w:vertAlign w:val="subscript"/>
                    </w:rPr>
                    <w:t>2.5</w:t>
                  </w:r>
                  <w:r>
                    <w:rPr>
                      <w:rFonts w:hint="eastAsia"/>
                      <w:kern w:val="0"/>
                      <w:szCs w:val="21"/>
                      <w:u w:val="single"/>
                    </w:rPr>
                    <w:t>浓度达为21.8微克/立方米，满足管控要求。项目产生的废气各项污染物均可达标排放，对环境影响可接受。</w:t>
                  </w:r>
                </w:p>
              </w:tc>
              <w:tc>
                <w:tcPr>
                  <w:tcW w:w="845" w:type="dxa"/>
                  <w:vAlign w:val="center"/>
                </w:tcPr>
                <w:p>
                  <w:pPr>
                    <w:widowControl/>
                    <w:jc w:val="center"/>
                    <w:rPr>
                      <w:kern w:val="0"/>
                      <w:szCs w:val="21"/>
                      <w:u w:val="single"/>
                    </w:rPr>
                  </w:pPr>
                  <w:r>
                    <w:rPr>
                      <w:bCs/>
                      <w:szCs w:val="21"/>
                      <w:u w:val="single"/>
                    </w:rPr>
                    <w:t>符合</w:t>
                  </w:r>
                </w:p>
              </w:tc>
            </w:tr>
            <w:tr>
              <w:trPr>
                <w:trHeight w:val="340" w:hRule="atLeast"/>
              </w:trPr>
              <w:tc>
                <w:tcPr>
                  <w:tcW w:w="480" w:type="dxa"/>
                  <w:vMerge w:val="continue"/>
                  <w:vAlign w:val="center"/>
                </w:tcPr>
                <w:p>
                  <w:pPr>
                    <w:pStyle w:val="22"/>
                    <w:rPr>
                      <w:u w:val="single"/>
                    </w:rPr>
                  </w:pPr>
                </w:p>
              </w:tc>
              <w:tc>
                <w:tcPr>
                  <w:tcW w:w="510" w:type="dxa"/>
                  <w:vMerge w:val="continue"/>
                  <w:vAlign w:val="center"/>
                </w:tcPr>
                <w:p>
                  <w:pPr>
                    <w:pStyle w:val="22"/>
                    <w:rPr>
                      <w:u w:val="single"/>
                    </w:rPr>
                  </w:pPr>
                </w:p>
              </w:tc>
              <w:tc>
                <w:tcPr>
                  <w:tcW w:w="3649" w:type="dxa"/>
                  <w:vAlign w:val="center"/>
                </w:tcPr>
                <w:p>
                  <w:pPr>
                    <w:widowControl/>
                    <w:jc w:val="center"/>
                    <w:rPr>
                      <w:kern w:val="0"/>
                      <w:szCs w:val="21"/>
                      <w:u w:val="single"/>
                    </w:rPr>
                  </w:pPr>
                  <w:r>
                    <w:rPr>
                      <w:rFonts w:hint="eastAsia"/>
                      <w:kern w:val="0"/>
                      <w:szCs w:val="21"/>
                      <w:u w:val="single"/>
                    </w:rPr>
                    <w:t>水环境质量持续改善。</w:t>
                  </w:r>
                  <w:r>
                    <w:rPr>
                      <w:kern w:val="0"/>
                      <w:szCs w:val="21"/>
                      <w:u w:val="single"/>
                    </w:rPr>
                    <w:t>2025</w:t>
                  </w:r>
                  <w:r>
                    <w:rPr>
                      <w:rFonts w:hint="eastAsia"/>
                      <w:kern w:val="0"/>
                      <w:szCs w:val="21"/>
                      <w:u w:val="single"/>
                    </w:rPr>
                    <w:t>年，国控断面水质达到或优于</w:t>
                  </w:r>
                  <w:r>
                    <w:rPr>
                      <w:kern w:val="0"/>
                      <w:szCs w:val="21"/>
                      <w:u w:val="single"/>
                    </w:rPr>
                    <w:t>III</w:t>
                  </w:r>
                  <w:r>
                    <w:rPr>
                      <w:rFonts w:hint="eastAsia"/>
                      <w:kern w:val="0"/>
                      <w:szCs w:val="21"/>
                      <w:u w:val="single"/>
                    </w:rPr>
                    <w:t>类比例达到100.0%，全面消除劣Ⅴ类水，全市集中式饮用水水源地水质达到或优于Ⅲ类水质比例保持</w:t>
                  </w:r>
                  <w:r>
                    <w:rPr>
                      <w:kern w:val="0"/>
                      <w:szCs w:val="21"/>
                      <w:u w:val="single"/>
                    </w:rPr>
                    <w:t>100%</w:t>
                  </w:r>
                  <w:r>
                    <w:rPr>
                      <w:rFonts w:hint="eastAsia"/>
                      <w:kern w:val="0"/>
                      <w:szCs w:val="21"/>
                      <w:u w:val="single"/>
                    </w:rPr>
                    <w:t>。</w:t>
                  </w:r>
                </w:p>
              </w:tc>
              <w:tc>
                <w:tcPr>
                  <w:tcW w:w="2388" w:type="dxa"/>
                  <w:vAlign w:val="center"/>
                </w:tcPr>
                <w:p>
                  <w:pPr>
                    <w:widowControl/>
                    <w:jc w:val="center"/>
                    <w:rPr>
                      <w:kern w:val="0"/>
                      <w:szCs w:val="21"/>
                      <w:u w:val="single"/>
                    </w:rPr>
                  </w:pPr>
                  <w:r>
                    <w:rPr>
                      <w:rFonts w:hint="eastAsia"/>
                      <w:kern w:val="0"/>
                      <w:szCs w:val="21"/>
                      <w:u w:val="single"/>
                    </w:rPr>
                    <w:t>本项目废水不外排，不涉及。</w:t>
                  </w:r>
                </w:p>
              </w:tc>
              <w:tc>
                <w:tcPr>
                  <w:tcW w:w="845" w:type="dxa"/>
                  <w:vAlign w:val="center"/>
                </w:tcPr>
                <w:p>
                  <w:pPr>
                    <w:jc w:val="center"/>
                    <w:rPr>
                      <w:kern w:val="0"/>
                      <w:szCs w:val="21"/>
                      <w:u w:val="single"/>
                    </w:rPr>
                  </w:pPr>
                  <w:r>
                    <w:rPr>
                      <w:bCs/>
                      <w:szCs w:val="21"/>
                      <w:u w:val="single"/>
                    </w:rPr>
                    <w:t>符合</w:t>
                  </w:r>
                </w:p>
              </w:tc>
            </w:tr>
            <w:tr>
              <w:trPr>
                <w:trHeight w:val="340" w:hRule="atLeast"/>
              </w:trPr>
              <w:tc>
                <w:tcPr>
                  <w:tcW w:w="480" w:type="dxa"/>
                  <w:vMerge w:val="restart"/>
                  <w:vAlign w:val="center"/>
                </w:tcPr>
                <w:p>
                  <w:pPr>
                    <w:pStyle w:val="22"/>
                    <w:rPr>
                      <w:u w:val="single"/>
                    </w:rPr>
                  </w:pPr>
                  <w:r>
                    <w:rPr>
                      <w:u w:val="single"/>
                    </w:rPr>
                    <w:t>资源利用要求</w:t>
                  </w:r>
                </w:p>
              </w:tc>
              <w:tc>
                <w:tcPr>
                  <w:tcW w:w="510" w:type="dxa"/>
                  <w:vAlign w:val="center"/>
                </w:tcPr>
                <w:p>
                  <w:pPr>
                    <w:pStyle w:val="22"/>
                    <w:rPr>
                      <w:u w:val="single"/>
                    </w:rPr>
                  </w:pPr>
                  <w:r>
                    <w:rPr>
                      <w:u w:val="single"/>
                    </w:rPr>
                    <w:t>水资源</w:t>
                  </w:r>
                </w:p>
              </w:tc>
              <w:tc>
                <w:tcPr>
                  <w:tcW w:w="3649" w:type="dxa"/>
                  <w:vAlign w:val="center"/>
                </w:tcPr>
                <w:p>
                  <w:pPr>
                    <w:widowControl/>
                    <w:jc w:val="center"/>
                    <w:rPr>
                      <w:kern w:val="0"/>
                      <w:szCs w:val="21"/>
                      <w:u w:val="single"/>
                    </w:rPr>
                  </w:pPr>
                  <w:r>
                    <w:rPr>
                      <w:kern w:val="0"/>
                      <w:szCs w:val="21"/>
                      <w:u w:val="single"/>
                    </w:rPr>
                    <w:t>2025</w:t>
                  </w:r>
                  <w:r>
                    <w:rPr>
                      <w:rFonts w:hint="eastAsia"/>
                      <w:kern w:val="0"/>
                      <w:szCs w:val="21"/>
                      <w:u w:val="single"/>
                    </w:rPr>
                    <w:t>年用水量控制在</w:t>
                  </w:r>
                  <w:r>
                    <w:rPr>
                      <w:kern w:val="0"/>
                      <w:szCs w:val="21"/>
                      <w:u w:val="single"/>
                    </w:rPr>
                    <w:t>7.75</w:t>
                  </w:r>
                  <w:r>
                    <w:rPr>
                      <w:rFonts w:hint="eastAsia"/>
                      <w:kern w:val="0"/>
                      <w:szCs w:val="21"/>
                      <w:u w:val="single"/>
                    </w:rPr>
                    <w:t>亿立方米，</w:t>
                  </w:r>
                  <w:r>
                    <w:rPr>
                      <w:kern w:val="0"/>
                      <w:szCs w:val="21"/>
                      <w:u w:val="single"/>
                    </w:rPr>
                    <w:t>2035</w:t>
                  </w:r>
                  <w:r>
                    <w:rPr>
                      <w:rFonts w:hint="eastAsia"/>
                      <w:kern w:val="0"/>
                      <w:szCs w:val="21"/>
                      <w:u w:val="single"/>
                    </w:rPr>
                    <w:t>年用水量控制在</w:t>
                  </w:r>
                  <w:r>
                    <w:rPr>
                      <w:kern w:val="0"/>
                      <w:szCs w:val="21"/>
                      <w:u w:val="single"/>
                    </w:rPr>
                    <w:t>10.2</w:t>
                  </w:r>
                  <w:r>
                    <w:rPr>
                      <w:rFonts w:hint="eastAsia"/>
                      <w:kern w:val="0"/>
                      <w:szCs w:val="21"/>
                      <w:u w:val="single"/>
                    </w:rPr>
                    <w:t>亿立方米。</w:t>
                  </w:r>
                </w:p>
              </w:tc>
              <w:tc>
                <w:tcPr>
                  <w:tcW w:w="2388" w:type="dxa"/>
                  <w:vAlign w:val="center"/>
                </w:tcPr>
                <w:p>
                  <w:pPr>
                    <w:widowControl/>
                    <w:jc w:val="center"/>
                    <w:rPr>
                      <w:kern w:val="0"/>
                      <w:szCs w:val="21"/>
                      <w:u w:val="single"/>
                    </w:rPr>
                  </w:pPr>
                  <w:r>
                    <w:rPr>
                      <w:rFonts w:hint="eastAsia"/>
                      <w:kern w:val="0"/>
                      <w:szCs w:val="21"/>
                      <w:u w:val="single"/>
                    </w:rPr>
                    <w:t>本项目使用的水资源极少，不涉及。</w:t>
                  </w:r>
                </w:p>
              </w:tc>
              <w:tc>
                <w:tcPr>
                  <w:tcW w:w="845" w:type="dxa"/>
                  <w:vAlign w:val="center"/>
                </w:tcPr>
                <w:p>
                  <w:pPr>
                    <w:widowControl/>
                    <w:jc w:val="center"/>
                    <w:rPr>
                      <w:kern w:val="0"/>
                      <w:szCs w:val="21"/>
                      <w:u w:val="single"/>
                    </w:rPr>
                  </w:pPr>
                  <w:r>
                    <w:rPr>
                      <w:bCs/>
                      <w:szCs w:val="21"/>
                      <w:u w:val="single"/>
                    </w:rPr>
                    <w:t>符合</w:t>
                  </w:r>
                </w:p>
              </w:tc>
            </w:tr>
            <w:tr>
              <w:trPr>
                <w:trHeight w:val="340" w:hRule="atLeast"/>
              </w:trPr>
              <w:tc>
                <w:tcPr>
                  <w:tcW w:w="480" w:type="dxa"/>
                  <w:vMerge w:val="continue"/>
                  <w:vAlign w:val="center"/>
                </w:tcPr>
                <w:p>
                  <w:pPr>
                    <w:pStyle w:val="22"/>
                    <w:rPr>
                      <w:u w:val="single"/>
                    </w:rPr>
                  </w:pPr>
                </w:p>
              </w:tc>
              <w:tc>
                <w:tcPr>
                  <w:tcW w:w="510" w:type="dxa"/>
                  <w:vAlign w:val="center"/>
                </w:tcPr>
                <w:p>
                  <w:pPr>
                    <w:pStyle w:val="22"/>
                    <w:rPr>
                      <w:u w:val="single"/>
                    </w:rPr>
                  </w:pPr>
                  <w:r>
                    <w:rPr>
                      <w:u w:val="single"/>
                    </w:rPr>
                    <w:t>土地资源</w:t>
                  </w:r>
                </w:p>
              </w:tc>
              <w:tc>
                <w:tcPr>
                  <w:tcW w:w="3649" w:type="dxa"/>
                  <w:vAlign w:val="center"/>
                </w:tcPr>
                <w:p>
                  <w:pPr>
                    <w:widowControl/>
                    <w:jc w:val="center"/>
                    <w:rPr>
                      <w:kern w:val="0"/>
                      <w:szCs w:val="21"/>
                      <w:u w:val="single"/>
                    </w:rPr>
                  </w:pPr>
                  <w:r>
                    <w:rPr>
                      <w:kern w:val="0"/>
                      <w:szCs w:val="21"/>
                      <w:u w:val="single"/>
                    </w:rPr>
                    <w:t>2025</w:t>
                  </w:r>
                  <w:r>
                    <w:rPr>
                      <w:rFonts w:hint="eastAsia"/>
                      <w:kern w:val="0"/>
                      <w:szCs w:val="21"/>
                      <w:u w:val="single"/>
                    </w:rPr>
                    <w:t>年耕地保有量不低于</w:t>
                  </w:r>
                  <w:r>
                    <w:rPr>
                      <w:kern w:val="0"/>
                      <w:szCs w:val="21"/>
                      <w:u w:val="single"/>
                    </w:rPr>
                    <w:t>2732.93</w:t>
                  </w:r>
                  <w:r>
                    <w:rPr>
                      <w:rFonts w:hint="eastAsia"/>
                      <w:kern w:val="0"/>
                      <w:szCs w:val="21"/>
                      <w:u w:val="single"/>
                    </w:rPr>
                    <w:t>平方千米；永久基本农田保护面积不低于</w:t>
                  </w:r>
                  <w:r>
                    <w:rPr>
                      <w:kern w:val="0"/>
                      <w:szCs w:val="21"/>
                      <w:u w:val="single"/>
                    </w:rPr>
                    <w:t>1787.17</w:t>
                  </w:r>
                  <w:r>
                    <w:rPr>
                      <w:rFonts w:hint="eastAsia"/>
                      <w:kern w:val="0"/>
                      <w:szCs w:val="21"/>
                      <w:u w:val="single"/>
                    </w:rPr>
                    <w:t>平方千米；城镇开发边界控制在</w:t>
                  </w:r>
                  <w:r>
                    <w:rPr>
                      <w:kern w:val="0"/>
                      <w:szCs w:val="21"/>
                      <w:u w:val="single"/>
                    </w:rPr>
                    <w:t>177.60</w:t>
                  </w:r>
                  <w:r>
                    <w:rPr>
                      <w:rFonts w:hint="eastAsia"/>
                      <w:kern w:val="0"/>
                      <w:szCs w:val="21"/>
                      <w:u w:val="single"/>
                    </w:rPr>
                    <w:t>平方千米以内。</w:t>
                  </w:r>
                </w:p>
              </w:tc>
              <w:tc>
                <w:tcPr>
                  <w:tcW w:w="2388" w:type="dxa"/>
                  <w:vAlign w:val="center"/>
                </w:tcPr>
                <w:p>
                  <w:pPr>
                    <w:widowControl/>
                    <w:jc w:val="center"/>
                    <w:rPr>
                      <w:kern w:val="0"/>
                      <w:szCs w:val="21"/>
                      <w:u w:val="single"/>
                    </w:rPr>
                  </w:pPr>
                  <w:r>
                    <w:rPr>
                      <w:rFonts w:hint="eastAsia"/>
                      <w:kern w:val="0"/>
                      <w:szCs w:val="21"/>
                      <w:u w:val="single"/>
                    </w:rPr>
                    <w:t>本项目位于现有占地范围内，无新增占地，不涉及。</w:t>
                  </w:r>
                </w:p>
              </w:tc>
              <w:tc>
                <w:tcPr>
                  <w:tcW w:w="845" w:type="dxa"/>
                  <w:vAlign w:val="center"/>
                </w:tcPr>
                <w:p>
                  <w:pPr>
                    <w:widowControl/>
                    <w:jc w:val="center"/>
                    <w:rPr>
                      <w:kern w:val="0"/>
                      <w:szCs w:val="21"/>
                      <w:u w:val="single"/>
                    </w:rPr>
                  </w:pPr>
                  <w:r>
                    <w:rPr>
                      <w:bCs/>
                      <w:szCs w:val="21"/>
                      <w:u w:val="single"/>
                    </w:rPr>
                    <w:t>符合</w:t>
                  </w:r>
                </w:p>
              </w:tc>
            </w:tr>
            <w:tr>
              <w:trPr>
                <w:trHeight w:val="340" w:hRule="atLeast"/>
              </w:trPr>
              <w:tc>
                <w:tcPr>
                  <w:tcW w:w="480" w:type="dxa"/>
                  <w:vMerge w:val="continue"/>
                  <w:vAlign w:val="center"/>
                </w:tcPr>
                <w:p>
                  <w:pPr>
                    <w:pStyle w:val="22"/>
                    <w:rPr>
                      <w:u w:val="single"/>
                    </w:rPr>
                  </w:pPr>
                </w:p>
              </w:tc>
              <w:tc>
                <w:tcPr>
                  <w:tcW w:w="510" w:type="dxa"/>
                  <w:vAlign w:val="center"/>
                </w:tcPr>
                <w:p>
                  <w:pPr>
                    <w:pStyle w:val="22"/>
                    <w:rPr>
                      <w:u w:val="single"/>
                    </w:rPr>
                  </w:pPr>
                  <w:r>
                    <w:rPr>
                      <w:u w:val="single"/>
                    </w:rPr>
                    <w:t>能源</w:t>
                  </w:r>
                </w:p>
              </w:tc>
              <w:tc>
                <w:tcPr>
                  <w:tcW w:w="3649" w:type="dxa"/>
                  <w:vAlign w:val="center"/>
                </w:tcPr>
                <w:p>
                  <w:pPr>
                    <w:widowControl/>
                    <w:jc w:val="center"/>
                    <w:rPr>
                      <w:kern w:val="0"/>
                      <w:szCs w:val="21"/>
                      <w:u w:val="single"/>
                    </w:rPr>
                  </w:pPr>
                  <w:r>
                    <w:rPr>
                      <w:kern w:val="0"/>
                      <w:szCs w:val="21"/>
                      <w:u w:val="single"/>
                    </w:rPr>
                    <w:t>2025</w:t>
                  </w:r>
                  <w:r>
                    <w:rPr>
                      <w:rFonts w:hint="eastAsia"/>
                      <w:kern w:val="0"/>
                      <w:szCs w:val="21"/>
                      <w:u w:val="single"/>
                    </w:rPr>
                    <w:t>年，煤炭消费总量控制在</w:t>
                  </w:r>
                  <w:r>
                    <w:rPr>
                      <w:kern w:val="0"/>
                      <w:szCs w:val="21"/>
                      <w:u w:val="single"/>
                    </w:rPr>
                    <w:t>565.60</w:t>
                  </w:r>
                  <w:r>
                    <w:rPr>
                      <w:rFonts w:hint="eastAsia"/>
                      <w:kern w:val="0"/>
                      <w:szCs w:val="21"/>
                      <w:u w:val="single"/>
                    </w:rPr>
                    <w:t>万吨以内，非化石能源消费比重达到</w:t>
                  </w:r>
                  <w:r>
                    <w:rPr>
                      <w:kern w:val="0"/>
                      <w:szCs w:val="21"/>
                      <w:u w:val="single"/>
                    </w:rPr>
                    <w:t>16%</w:t>
                  </w:r>
                  <w:r>
                    <w:rPr>
                      <w:rFonts w:hint="eastAsia"/>
                      <w:kern w:val="0"/>
                      <w:szCs w:val="21"/>
                      <w:u w:val="single"/>
                    </w:rPr>
                    <w:t>。</w:t>
                  </w:r>
                </w:p>
              </w:tc>
              <w:tc>
                <w:tcPr>
                  <w:tcW w:w="2388" w:type="dxa"/>
                  <w:vAlign w:val="center"/>
                </w:tcPr>
                <w:p>
                  <w:pPr>
                    <w:widowControl/>
                    <w:jc w:val="center"/>
                    <w:rPr>
                      <w:kern w:val="0"/>
                      <w:szCs w:val="21"/>
                      <w:u w:val="single"/>
                    </w:rPr>
                  </w:pPr>
                  <w:r>
                    <w:rPr>
                      <w:rFonts w:hint="eastAsia"/>
                      <w:kern w:val="0"/>
                      <w:szCs w:val="21"/>
                      <w:u w:val="single"/>
                    </w:rPr>
                    <w:t>本项目为生物质燃料锅炉改建项目，能源消耗水平较低。</w:t>
                  </w:r>
                </w:p>
              </w:tc>
              <w:tc>
                <w:tcPr>
                  <w:tcW w:w="845" w:type="dxa"/>
                  <w:vAlign w:val="center"/>
                </w:tcPr>
                <w:p>
                  <w:pPr>
                    <w:widowControl/>
                    <w:jc w:val="center"/>
                    <w:rPr>
                      <w:kern w:val="0"/>
                      <w:szCs w:val="21"/>
                      <w:u w:val="single"/>
                    </w:rPr>
                  </w:pPr>
                  <w:r>
                    <w:rPr>
                      <w:bCs/>
                      <w:szCs w:val="21"/>
                      <w:u w:val="single"/>
                    </w:rPr>
                    <w:t>符合</w:t>
                  </w:r>
                </w:p>
              </w:tc>
            </w:tr>
          </w:tbl>
          <w:p>
            <w:pPr>
              <w:pStyle w:val="25"/>
              <w:numPr>
                <w:ilvl w:val="0"/>
                <w:numId w:val="0"/>
              </w:numPr>
              <w:ind w:firstLine="284"/>
              <w:rPr>
                <w:rFonts w:ascii="Times New Roman" w:hAnsi="Times New Roman"/>
                <w:b w:val="0"/>
                <w:bCs/>
                <w:u w:val="single"/>
              </w:rPr>
            </w:pPr>
          </w:p>
          <w:p>
            <w:pPr>
              <w:pStyle w:val="25"/>
              <w:numPr>
                <w:ilvl w:val="0"/>
                <w:numId w:val="0"/>
              </w:numPr>
              <w:ind w:firstLine="284"/>
              <w:rPr>
                <w:rFonts w:ascii="Times New Roman" w:hAnsi="Times New Roman"/>
                <w:b w:val="0"/>
                <w:bCs/>
                <w:u w:val="single"/>
              </w:rPr>
            </w:pPr>
            <w:r>
              <w:rPr>
                <w:rFonts w:ascii="Times New Roman" w:hAnsi="Times New Roman"/>
                <w:b w:val="0"/>
                <w:bCs/>
                <w:u w:val="single"/>
              </w:rPr>
              <w:t>表</w:t>
            </w:r>
            <w:r>
              <w:rPr>
                <w:rFonts w:hint="eastAsia" w:ascii="Times New Roman" w:hAnsi="Times New Roman"/>
                <w:b w:val="0"/>
                <w:bCs/>
                <w:u w:val="single"/>
              </w:rPr>
              <w:t>6  本项目与所在管控单元</w:t>
            </w:r>
            <w:r>
              <w:rPr>
                <w:rFonts w:ascii="Times New Roman" w:hAnsi="Times New Roman"/>
                <w:b w:val="0"/>
                <w:bCs/>
                <w:u w:val="single"/>
              </w:rPr>
              <w:t>生态环境准入清单</w:t>
            </w:r>
            <w:r>
              <w:rPr>
                <w:rFonts w:hint="eastAsia" w:ascii="Times New Roman" w:hAnsi="Times New Roman"/>
                <w:b w:val="0"/>
                <w:bCs/>
                <w:u w:val="single"/>
              </w:rPr>
              <w:t>相符性分析</w:t>
            </w:r>
          </w:p>
          <w:tbl>
            <w:tblPr>
              <w:tblW w:w="7869"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88"/>
              <w:gridCol w:w="971"/>
              <w:gridCol w:w="940"/>
              <w:gridCol w:w="573"/>
              <w:gridCol w:w="3107"/>
              <w:gridCol w:w="1590"/>
            </w:tblGrid>
            <w:tr>
              <w:trPr>
                <w:trHeight w:val="510" w:hRule="atLeast"/>
                <w:jc w:val="center"/>
              </w:trPr>
              <w:tc>
                <w:tcPr>
                  <w:tcW w:w="688" w:type="dxa"/>
                  <w:vAlign w:val="center"/>
                </w:tcPr>
                <w:p>
                  <w:pPr>
                    <w:pStyle w:val="22"/>
                    <w:rPr>
                      <w:u w:val="single"/>
                    </w:rPr>
                  </w:pPr>
                  <w:r>
                    <w:rPr>
                      <w:u w:val="single"/>
                    </w:rPr>
                    <w:t>环境管控单元编码</w:t>
                  </w:r>
                </w:p>
              </w:tc>
              <w:tc>
                <w:tcPr>
                  <w:tcW w:w="971" w:type="dxa"/>
                  <w:vAlign w:val="center"/>
                </w:tcPr>
                <w:p>
                  <w:pPr>
                    <w:pStyle w:val="22"/>
                    <w:rPr>
                      <w:u w:val="single"/>
                    </w:rPr>
                  </w:pPr>
                  <w:r>
                    <w:rPr>
                      <w:u w:val="single"/>
                    </w:rPr>
                    <w:t>环境管控单元名称</w:t>
                  </w:r>
                </w:p>
              </w:tc>
              <w:tc>
                <w:tcPr>
                  <w:tcW w:w="940" w:type="dxa"/>
                  <w:vAlign w:val="center"/>
                </w:tcPr>
                <w:p>
                  <w:pPr>
                    <w:pStyle w:val="22"/>
                    <w:rPr>
                      <w:u w:val="single"/>
                    </w:rPr>
                  </w:pPr>
                  <w:r>
                    <w:rPr>
                      <w:u w:val="single"/>
                    </w:rPr>
                    <w:t>管控单元分类</w:t>
                  </w:r>
                </w:p>
              </w:tc>
              <w:tc>
                <w:tcPr>
                  <w:tcW w:w="573" w:type="dxa"/>
                  <w:vAlign w:val="center"/>
                </w:tcPr>
                <w:p>
                  <w:pPr>
                    <w:pStyle w:val="22"/>
                    <w:rPr>
                      <w:u w:val="single"/>
                    </w:rPr>
                  </w:pPr>
                  <w:r>
                    <w:rPr>
                      <w:u w:val="single"/>
                    </w:rPr>
                    <w:t>管控类型</w:t>
                  </w:r>
                </w:p>
              </w:tc>
              <w:tc>
                <w:tcPr>
                  <w:tcW w:w="3107" w:type="dxa"/>
                  <w:vAlign w:val="center"/>
                </w:tcPr>
                <w:p>
                  <w:pPr>
                    <w:pStyle w:val="22"/>
                    <w:rPr>
                      <w:u w:val="single"/>
                    </w:rPr>
                  </w:pPr>
                  <w:r>
                    <w:rPr>
                      <w:rFonts w:hint="eastAsia"/>
                      <w:u w:val="single"/>
                    </w:rPr>
                    <w:t>管控要求</w:t>
                  </w:r>
                </w:p>
              </w:tc>
              <w:tc>
                <w:tcPr>
                  <w:tcW w:w="1590" w:type="dxa"/>
                  <w:vAlign w:val="center"/>
                </w:tcPr>
                <w:p>
                  <w:pPr>
                    <w:pStyle w:val="22"/>
                    <w:rPr>
                      <w:u w:val="single"/>
                    </w:rPr>
                  </w:pPr>
                  <w:r>
                    <w:rPr>
                      <w:u w:val="single"/>
                    </w:rPr>
                    <w:t>本项目符合性</w:t>
                  </w:r>
                </w:p>
              </w:tc>
            </w:tr>
            <w:tr>
              <w:trPr>
                <w:trHeight w:val="510" w:hRule="atLeast"/>
                <w:jc w:val="center"/>
              </w:trPr>
              <w:tc>
                <w:tcPr>
                  <w:tcW w:w="688" w:type="dxa"/>
                  <w:vMerge w:val="restart"/>
                  <w:vAlign w:val="center"/>
                </w:tcPr>
                <w:p>
                  <w:pPr>
                    <w:pStyle w:val="22"/>
                    <w:rPr>
                      <w:u w:val="single"/>
                    </w:rPr>
                  </w:pPr>
                  <w:r>
                    <w:rPr>
                      <w:u w:val="single"/>
                    </w:rPr>
                    <w:t>ZH22052420001</w:t>
                  </w:r>
                </w:p>
              </w:tc>
              <w:tc>
                <w:tcPr>
                  <w:tcW w:w="971" w:type="dxa"/>
                  <w:vMerge w:val="restart"/>
                  <w:vAlign w:val="center"/>
                </w:tcPr>
                <w:p>
                  <w:pPr>
                    <w:pStyle w:val="22"/>
                    <w:rPr>
                      <w:u w:val="single"/>
                    </w:rPr>
                  </w:pPr>
                  <w:r>
                    <w:rPr>
                      <w:rFonts w:hint="eastAsia"/>
                      <w:u w:val="single"/>
                    </w:rPr>
                    <w:t>吉林柳河经济开发区</w:t>
                  </w:r>
                </w:p>
              </w:tc>
              <w:tc>
                <w:tcPr>
                  <w:tcW w:w="940" w:type="dxa"/>
                  <w:vMerge w:val="restart"/>
                  <w:vAlign w:val="center"/>
                </w:tcPr>
                <w:p>
                  <w:pPr>
                    <w:widowControl/>
                    <w:adjustRightInd w:val="0"/>
                    <w:snapToGrid w:val="0"/>
                    <w:jc w:val="center"/>
                    <w:rPr>
                      <w:kern w:val="0"/>
                      <w:szCs w:val="21"/>
                      <w:u w:val="single"/>
                    </w:rPr>
                  </w:pPr>
                  <w:r>
                    <w:rPr>
                      <w:kern w:val="0"/>
                      <w:szCs w:val="21"/>
                      <w:u w:val="single"/>
                    </w:rPr>
                    <w:t>2-重点管控</w:t>
                  </w:r>
                </w:p>
              </w:tc>
              <w:tc>
                <w:tcPr>
                  <w:tcW w:w="573" w:type="dxa"/>
                  <w:vAlign w:val="center"/>
                </w:tcPr>
                <w:p>
                  <w:pPr>
                    <w:widowControl/>
                    <w:adjustRightInd w:val="0"/>
                    <w:snapToGrid w:val="0"/>
                    <w:jc w:val="center"/>
                    <w:rPr>
                      <w:kern w:val="0"/>
                      <w:szCs w:val="21"/>
                      <w:u w:val="single"/>
                    </w:rPr>
                  </w:pPr>
                  <w:r>
                    <w:rPr>
                      <w:rFonts w:hint="eastAsia"/>
                      <w:kern w:val="0"/>
                      <w:szCs w:val="21"/>
                      <w:u w:val="single"/>
                    </w:rPr>
                    <w:t>空间布局约束</w:t>
                  </w:r>
                </w:p>
              </w:tc>
              <w:tc>
                <w:tcPr>
                  <w:tcW w:w="3107" w:type="dxa"/>
                  <w:vAlign w:val="center"/>
                </w:tcPr>
                <w:p>
                  <w:pPr>
                    <w:widowControl/>
                    <w:adjustRightInd w:val="0"/>
                    <w:snapToGrid w:val="0"/>
                    <w:jc w:val="center"/>
                    <w:rPr>
                      <w:kern w:val="0"/>
                      <w:szCs w:val="21"/>
                      <w:u w:val="single"/>
                    </w:rPr>
                  </w:pPr>
                  <w:r>
                    <w:rPr>
                      <w:kern w:val="0"/>
                      <w:szCs w:val="21"/>
                      <w:u w:val="single"/>
                    </w:rPr>
                    <w:t>1严格控制高耗水、高污染行业发展。</w:t>
                  </w:r>
                </w:p>
                <w:p>
                  <w:pPr>
                    <w:widowControl/>
                    <w:adjustRightInd w:val="0"/>
                    <w:snapToGrid w:val="0"/>
                    <w:jc w:val="center"/>
                    <w:rPr>
                      <w:kern w:val="0"/>
                      <w:szCs w:val="21"/>
                      <w:u w:val="single"/>
                    </w:rPr>
                  </w:pPr>
                  <w:r>
                    <w:rPr>
                      <w:kern w:val="0"/>
                      <w:szCs w:val="21"/>
                      <w:u w:val="single"/>
                    </w:rPr>
                    <w:t>2</w:t>
                  </w:r>
                  <w:r>
                    <w:rPr>
                      <w:rFonts w:hint="eastAsia"/>
                      <w:kern w:val="0"/>
                      <w:szCs w:val="21"/>
                      <w:u w:val="single"/>
                    </w:rPr>
                    <w:t>入区企业必须符合片区产业定位，不允许不符合片区产业定位的企业入区。禁止不符合国家产业政策及完全不符合片区产业发展方向的项目入区。</w:t>
                  </w:r>
                </w:p>
                <w:p>
                  <w:pPr>
                    <w:widowControl/>
                    <w:adjustRightInd w:val="0"/>
                    <w:snapToGrid w:val="0"/>
                    <w:jc w:val="center"/>
                    <w:rPr>
                      <w:kern w:val="0"/>
                      <w:szCs w:val="21"/>
                      <w:u w:val="single"/>
                    </w:rPr>
                  </w:pPr>
                  <w:r>
                    <w:rPr>
                      <w:kern w:val="0"/>
                      <w:szCs w:val="21"/>
                      <w:u w:val="single"/>
                    </w:rPr>
                    <w:t>3</w:t>
                  </w:r>
                  <w:r>
                    <w:rPr>
                      <w:rFonts w:hint="eastAsia"/>
                      <w:kern w:val="0"/>
                      <w:szCs w:val="21"/>
                      <w:u w:val="single"/>
                    </w:rPr>
                    <w:t>禁止排放汞、镉、六价铬重金属或持久性有机污染物的项目入区。</w:t>
                  </w:r>
                </w:p>
                <w:p>
                  <w:pPr>
                    <w:widowControl/>
                    <w:adjustRightInd w:val="0"/>
                    <w:snapToGrid w:val="0"/>
                    <w:jc w:val="center"/>
                    <w:rPr>
                      <w:kern w:val="0"/>
                      <w:szCs w:val="21"/>
                      <w:u w:val="single"/>
                    </w:rPr>
                  </w:pPr>
                  <w:r>
                    <w:rPr>
                      <w:kern w:val="0"/>
                      <w:szCs w:val="21"/>
                      <w:u w:val="single"/>
                    </w:rPr>
                    <w:t>4</w:t>
                  </w:r>
                  <w:r>
                    <w:rPr>
                      <w:rFonts w:hint="eastAsia"/>
                      <w:kern w:val="0"/>
                      <w:szCs w:val="21"/>
                      <w:u w:val="single"/>
                    </w:rPr>
                    <w:t>禁止片区从事危险化学品及其他有毒、有害物质的物流项目。</w:t>
                  </w:r>
                </w:p>
              </w:tc>
              <w:tc>
                <w:tcPr>
                  <w:tcW w:w="1590" w:type="dxa"/>
                  <w:vAlign w:val="center"/>
                </w:tcPr>
                <w:p>
                  <w:pPr>
                    <w:widowControl/>
                    <w:adjustRightInd w:val="0"/>
                    <w:snapToGrid w:val="0"/>
                    <w:jc w:val="center"/>
                    <w:rPr>
                      <w:kern w:val="0"/>
                      <w:szCs w:val="21"/>
                      <w:u w:val="single"/>
                    </w:rPr>
                  </w:pPr>
                  <w:r>
                    <w:rPr>
                      <w:kern w:val="0"/>
                      <w:szCs w:val="21"/>
                      <w:u w:val="single"/>
                    </w:rPr>
                    <w:t>符合。</w:t>
                  </w:r>
                  <w:r>
                    <w:rPr>
                      <w:rFonts w:hint="eastAsia"/>
                      <w:kern w:val="0"/>
                      <w:szCs w:val="21"/>
                      <w:u w:val="single"/>
                    </w:rPr>
                    <w:t>本项目不属于高耗水、高污染项目；</w:t>
                  </w:r>
                </w:p>
                <w:p>
                  <w:pPr>
                    <w:widowControl/>
                    <w:adjustRightInd w:val="0"/>
                    <w:snapToGrid w:val="0"/>
                    <w:jc w:val="center"/>
                    <w:rPr>
                      <w:u w:val="single"/>
                    </w:rPr>
                  </w:pPr>
                  <w:r>
                    <w:rPr>
                      <w:rFonts w:hint="eastAsia"/>
                      <w:u w:val="single"/>
                    </w:rPr>
                    <w:t>企业为屠宰企业，属于农副食品加工类项目。本项目为配套供热项目，符合规划及规划环评的相关要求。</w:t>
                  </w:r>
                </w:p>
                <w:p>
                  <w:pPr>
                    <w:widowControl/>
                    <w:adjustRightInd w:val="0"/>
                    <w:snapToGrid w:val="0"/>
                    <w:jc w:val="center"/>
                    <w:rPr>
                      <w:kern w:val="0"/>
                      <w:szCs w:val="21"/>
                      <w:u w:val="single"/>
                    </w:rPr>
                  </w:pPr>
                  <w:r>
                    <w:rPr>
                      <w:rFonts w:hint="eastAsia"/>
                      <w:u w:val="single"/>
                    </w:rPr>
                    <w:t>项目不涉及排放</w:t>
                  </w:r>
                  <w:r>
                    <w:rPr>
                      <w:rFonts w:hint="eastAsia"/>
                      <w:kern w:val="0"/>
                      <w:szCs w:val="21"/>
                      <w:u w:val="single"/>
                    </w:rPr>
                    <w:t>汞、镉、六价铬重金属和持久性有机污染物；不涉及危险化学品、有毒有害。</w:t>
                  </w:r>
                </w:p>
              </w:tc>
            </w:tr>
            <w:tr>
              <w:trPr>
                <w:trHeight w:val="510" w:hRule="atLeast"/>
                <w:jc w:val="center"/>
              </w:trPr>
              <w:tc>
                <w:tcPr>
                  <w:tcW w:w="688" w:type="dxa"/>
                  <w:vMerge w:val="continue"/>
                  <w:vAlign w:val="center"/>
                </w:tcPr>
                <w:p>
                  <w:pPr>
                    <w:pStyle w:val="22"/>
                    <w:rPr>
                      <w:u w:val="single"/>
                    </w:rPr>
                  </w:pPr>
                </w:p>
              </w:tc>
              <w:tc>
                <w:tcPr>
                  <w:tcW w:w="971" w:type="dxa"/>
                  <w:vMerge w:val="continue"/>
                  <w:vAlign w:val="center"/>
                </w:tcPr>
                <w:p>
                  <w:pPr>
                    <w:pStyle w:val="22"/>
                    <w:rPr>
                      <w:u w:val="single"/>
                    </w:rPr>
                  </w:pPr>
                </w:p>
              </w:tc>
              <w:tc>
                <w:tcPr>
                  <w:tcW w:w="940" w:type="dxa"/>
                  <w:vMerge w:val="continue"/>
                  <w:vAlign w:val="center"/>
                </w:tcPr>
                <w:p>
                  <w:pPr>
                    <w:widowControl/>
                    <w:adjustRightInd w:val="0"/>
                    <w:snapToGrid w:val="0"/>
                    <w:jc w:val="center"/>
                    <w:rPr>
                      <w:kern w:val="0"/>
                      <w:szCs w:val="21"/>
                      <w:u w:val="single"/>
                    </w:rPr>
                  </w:pPr>
                </w:p>
              </w:tc>
              <w:tc>
                <w:tcPr>
                  <w:tcW w:w="573" w:type="dxa"/>
                  <w:vAlign w:val="center"/>
                </w:tcPr>
                <w:p>
                  <w:pPr>
                    <w:widowControl/>
                    <w:adjustRightInd w:val="0"/>
                    <w:snapToGrid w:val="0"/>
                    <w:jc w:val="center"/>
                    <w:rPr>
                      <w:kern w:val="0"/>
                      <w:szCs w:val="21"/>
                      <w:u w:val="single"/>
                    </w:rPr>
                  </w:pPr>
                  <w:r>
                    <w:rPr>
                      <w:rFonts w:hint="eastAsia"/>
                      <w:kern w:val="0"/>
                      <w:szCs w:val="21"/>
                      <w:u w:val="single"/>
                    </w:rPr>
                    <w:t>污染物排放管控</w:t>
                  </w:r>
                </w:p>
              </w:tc>
              <w:tc>
                <w:tcPr>
                  <w:tcW w:w="3107" w:type="dxa"/>
                  <w:vAlign w:val="center"/>
                </w:tcPr>
                <w:p>
                  <w:pPr>
                    <w:widowControl/>
                    <w:adjustRightInd w:val="0"/>
                    <w:snapToGrid w:val="0"/>
                    <w:jc w:val="center"/>
                    <w:rPr>
                      <w:kern w:val="0"/>
                      <w:szCs w:val="21"/>
                      <w:u w:val="single"/>
                    </w:rPr>
                  </w:pPr>
                  <w:r>
                    <w:rPr>
                      <w:kern w:val="0"/>
                      <w:szCs w:val="21"/>
                      <w:u w:val="single"/>
                    </w:rPr>
                    <w:t>1工业涂装等涉及挥发性有机物排放的行业企业属于控制重点，应推广使用低（无）挥发性有机物含量的</w:t>
                  </w:r>
                  <w:r>
                    <w:rPr>
                      <w:rFonts w:hint="eastAsia"/>
                      <w:kern w:val="0"/>
                      <w:szCs w:val="21"/>
                      <w:u w:val="single"/>
                    </w:rPr>
                    <w:t>原辅材料，安装高效集气装置等措施，提升工艺废气、尾气收集处置率。</w:t>
                  </w:r>
                </w:p>
                <w:p>
                  <w:pPr>
                    <w:widowControl/>
                    <w:adjustRightInd w:val="0"/>
                    <w:snapToGrid w:val="0"/>
                    <w:jc w:val="center"/>
                    <w:rPr>
                      <w:kern w:val="0"/>
                      <w:szCs w:val="21"/>
                      <w:u w:val="single"/>
                    </w:rPr>
                  </w:pPr>
                  <w:r>
                    <w:rPr>
                      <w:kern w:val="0"/>
                      <w:szCs w:val="21"/>
                      <w:u w:val="single"/>
                    </w:rPr>
                    <w:t>2</w:t>
                  </w:r>
                  <w:r>
                    <w:rPr>
                      <w:rFonts w:hint="eastAsia"/>
                      <w:kern w:val="0"/>
                      <w:szCs w:val="21"/>
                      <w:u w:val="single"/>
                    </w:rPr>
                    <w:t>重点行业污染治理升级改造，推进各类园区循环化改造；强化堆场扬尘控制。</w:t>
                  </w:r>
                </w:p>
                <w:p>
                  <w:pPr>
                    <w:widowControl/>
                    <w:adjustRightInd w:val="0"/>
                    <w:snapToGrid w:val="0"/>
                    <w:jc w:val="center"/>
                    <w:rPr>
                      <w:kern w:val="0"/>
                      <w:szCs w:val="21"/>
                      <w:u w:val="single"/>
                    </w:rPr>
                  </w:pPr>
                  <w:r>
                    <w:rPr>
                      <w:kern w:val="0"/>
                      <w:szCs w:val="21"/>
                      <w:u w:val="single"/>
                    </w:rPr>
                    <w:t>3</w:t>
                  </w:r>
                  <w:r>
                    <w:rPr>
                      <w:rFonts w:hint="eastAsia"/>
                      <w:kern w:val="0"/>
                      <w:szCs w:val="21"/>
                      <w:u w:val="single"/>
                    </w:rPr>
                    <w:t>一体推进重点行业大气污染深度治理与节能降碳，推动大型燃煤锅炉、钢铁、水泥等行业超低排放改造，推动重点行业、重点领域氮氧化物减排，探索开展大气污染物与温室气体排放协同控制改造提升工程试点。</w:t>
                  </w:r>
                </w:p>
              </w:tc>
              <w:tc>
                <w:tcPr>
                  <w:tcW w:w="1590" w:type="dxa"/>
                  <w:vAlign w:val="center"/>
                </w:tcPr>
                <w:p>
                  <w:pPr>
                    <w:widowControl/>
                    <w:adjustRightInd w:val="0"/>
                    <w:snapToGrid w:val="0"/>
                    <w:jc w:val="center"/>
                    <w:rPr>
                      <w:kern w:val="0"/>
                      <w:szCs w:val="21"/>
                      <w:u w:val="single"/>
                    </w:rPr>
                  </w:pPr>
                  <w:r>
                    <w:rPr>
                      <w:rFonts w:hint="eastAsia"/>
                      <w:kern w:val="0"/>
                      <w:szCs w:val="21"/>
                      <w:u w:val="single"/>
                    </w:rPr>
                    <w:t>不涉及</w:t>
                  </w:r>
                </w:p>
              </w:tc>
            </w:tr>
            <w:tr>
              <w:trPr>
                <w:trHeight w:val="510" w:hRule="atLeast"/>
                <w:jc w:val="center"/>
              </w:trPr>
              <w:tc>
                <w:tcPr>
                  <w:tcW w:w="688" w:type="dxa"/>
                  <w:vMerge w:val="continue"/>
                  <w:vAlign w:val="center"/>
                </w:tcPr>
                <w:p>
                  <w:pPr>
                    <w:pStyle w:val="22"/>
                    <w:rPr>
                      <w:u w:val="single"/>
                    </w:rPr>
                  </w:pPr>
                </w:p>
              </w:tc>
              <w:tc>
                <w:tcPr>
                  <w:tcW w:w="971" w:type="dxa"/>
                  <w:vMerge w:val="continue"/>
                  <w:vAlign w:val="center"/>
                </w:tcPr>
                <w:p>
                  <w:pPr>
                    <w:pStyle w:val="22"/>
                    <w:rPr>
                      <w:u w:val="single"/>
                    </w:rPr>
                  </w:pPr>
                </w:p>
              </w:tc>
              <w:tc>
                <w:tcPr>
                  <w:tcW w:w="940" w:type="dxa"/>
                  <w:vMerge w:val="continue"/>
                  <w:vAlign w:val="center"/>
                </w:tcPr>
                <w:p>
                  <w:pPr>
                    <w:widowControl/>
                    <w:adjustRightInd w:val="0"/>
                    <w:snapToGrid w:val="0"/>
                    <w:jc w:val="center"/>
                    <w:rPr>
                      <w:kern w:val="0"/>
                      <w:szCs w:val="21"/>
                      <w:u w:val="single"/>
                    </w:rPr>
                  </w:pPr>
                </w:p>
              </w:tc>
              <w:tc>
                <w:tcPr>
                  <w:tcW w:w="573" w:type="dxa"/>
                  <w:vAlign w:val="center"/>
                </w:tcPr>
                <w:p>
                  <w:pPr>
                    <w:widowControl/>
                    <w:adjustRightInd w:val="0"/>
                    <w:snapToGrid w:val="0"/>
                    <w:jc w:val="center"/>
                    <w:rPr>
                      <w:kern w:val="0"/>
                      <w:szCs w:val="21"/>
                      <w:u w:val="single"/>
                    </w:rPr>
                  </w:pPr>
                  <w:r>
                    <w:rPr>
                      <w:rFonts w:hint="eastAsia"/>
                      <w:kern w:val="0"/>
                      <w:szCs w:val="21"/>
                      <w:u w:val="single"/>
                    </w:rPr>
                    <w:t>环境风险防控</w:t>
                  </w:r>
                </w:p>
              </w:tc>
              <w:tc>
                <w:tcPr>
                  <w:tcW w:w="3107" w:type="dxa"/>
                  <w:vAlign w:val="center"/>
                </w:tcPr>
                <w:p>
                  <w:pPr>
                    <w:widowControl/>
                    <w:adjustRightInd w:val="0"/>
                    <w:snapToGrid w:val="0"/>
                    <w:jc w:val="center"/>
                    <w:rPr>
                      <w:kern w:val="0"/>
                      <w:szCs w:val="21"/>
                      <w:u w:val="single"/>
                    </w:rPr>
                  </w:pPr>
                  <w:r>
                    <w:rPr>
                      <w:kern w:val="0"/>
                      <w:szCs w:val="21"/>
                      <w:u w:val="single"/>
                    </w:rPr>
                    <w:t>1开发区应制定环境风险应急预案，成立应急组织机构，定期开展应急演练，提高区域环境风险防范能力。</w:t>
                  </w:r>
                </w:p>
                <w:p>
                  <w:pPr>
                    <w:widowControl/>
                    <w:adjustRightInd w:val="0"/>
                    <w:snapToGrid w:val="0"/>
                    <w:jc w:val="center"/>
                    <w:rPr>
                      <w:kern w:val="0"/>
                      <w:szCs w:val="21"/>
                      <w:u w:val="single"/>
                    </w:rPr>
                  </w:pPr>
                  <w:r>
                    <w:rPr>
                      <w:kern w:val="0"/>
                      <w:szCs w:val="21"/>
                      <w:u w:val="single"/>
                    </w:rPr>
                    <w:t>2</w:t>
                  </w:r>
                  <w:r>
                    <w:rPr>
                      <w:rFonts w:hint="eastAsia"/>
                      <w:kern w:val="0"/>
                      <w:szCs w:val="21"/>
                      <w:u w:val="single"/>
                    </w:rPr>
                    <w:t>严格管理涉及易导致环境风险的有毒有害和易燃易爆物质的生产、使用、贮运等新建、改扩建项目。</w:t>
                  </w:r>
                </w:p>
              </w:tc>
              <w:tc>
                <w:tcPr>
                  <w:tcW w:w="1590" w:type="dxa"/>
                  <w:vAlign w:val="center"/>
                </w:tcPr>
                <w:p>
                  <w:pPr>
                    <w:widowControl/>
                    <w:adjustRightInd w:val="0"/>
                    <w:snapToGrid w:val="0"/>
                    <w:jc w:val="center"/>
                    <w:rPr>
                      <w:kern w:val="0"/>
                      <w:szCs w:val="21"/>
                      <w:u w:val="single"/>
                    </w:rPr>
                  </w:pPr>
                  <w:r>
                    <w:rPr>
                      <w:rFonts w:hint="eastAsia"/>
                      <w:kern w:val="0"/>
                      <w:szCs w:val="21"/>
                      <w:u w:val="single"/>
                    </w:rPr>
                    <w:t>不涉及</w:t>
                  </w:r>
                </w:p>
              </w:tc>
            </w:tr>
            <w:tr>
              <w:trPr>
                <w:trHeight w:val="510" w:hRule="atLeast"/>
                <w:jc w:val="center"/>
              </w:trPr>
              <w:tc>
                <w:tcPr>
                  <w:tcW w:w="688" w:type="dxa"/>
                  <w:vMerge w:val="continue"/>
                  <w:vAlign w:val="center"/>
                </w:tcPr>
                <w:p>
                  <w:pPr>
                    <w:pStyle w:val="22"/>
                    <w:rPr>
                      <w:u w:val="single"/>
                    </w:rPr>
                  </w:pPr>
                </w:p>
              </w:tc>
              <w:tc>
                <w:tcPr>
                  <w:tcW w:w="971" w:type="dxa"/>
                  <w:vMerge w:val="continue"/>
                  <w:vAlign w:val="center"/>
                </w:tcPr>
                <w:p>
                  <w:pPr>
                    <w:pStyle w:val="22"/>
                    <w:rPr>
                      <w:u w:val="single"/>
                    </w:rPr>
                  </w:pPr>
                </w:p>
              </w:tc>
              <w:tc>
                <w:tcPr>
                  <w:tcW w:w="940" w:type="dxa"/>
                  <w:vMerge w:val="continue"/>
                  <w:vAlign w:val="center"/>
                </w:tcPr>
                <w:p>
                  <w:pPr>
                    <w:widowControl/>
                    <w:adjustRightInd w:val="0"/>
                    <w:snapToGrid w:val="0"/>
                    <w:jc w:val="center"/>
                    <w:rPr>
                      <w:kern w:val="0"/>
                      <w:szCs w:val="21"/>
                      <w:u w:val="single"/>
                    </w:rPr>
                  </w:pPr>
                </w:p>
              </w:tc>
              <w:tc>
                <w:tcPr>
                  <w:tcW w:w="573" w:type="dxa"/>
                  <w:vAlign w:val="center"/>
                </w:tcPr>
                <w:p>
                  <w:pPr>
                    <w:widowControl/>
                    <w:adjustRightInd w:val="0"/>
                    <w:snapToGrid w:val="0"/>
                    <w:jc w:val="center"/>
                    <w:rPr>
                      <w:kern w:val="0"/>
                      <w:szCs w:val="21"/>
                      <w:u w:val="single"/>
                    </w:rPr>
                  </w:pPr>
                  <w:r>
                    <w:rPr>
                      <w:rFonts w:hint="eastAsia"/>
                      <w:kern w:val="0"/>
                      <w:szCs w:val="21"/>
                      <w:u w:val="single"/>
                    </w:rPr>
                    <w:t>资源开发效率</w:t>
                  </w:r>
                </w:p>
              </w:tc>
              <w:tc>
                <w:tcPr>
                  <w:tcW w:w="3107" w:type="dxa"/>
                  <w:vAlign w:val="center"/>
                </w:tcPr>
                <w:p>
                  <w:pPr>
                    <w:widowControl/>
                    <w:adjustRightInd w:val="0"/>
                    <w:snapToGrid w:val="0"/>
                    <w:jc w:val="center"/>
                    <w:rPr>
                      <w:kern w:val="0"/>
                      <w:szCs w:val="21"/>
                      <w:u w:val="single"/>
                    </w:rPr>
                  </w:pPr>
                  <w:r>
                    <w:rPr>
                      <w:kern w:val="0"/>
                      <w:szCs w:val="21"/>
                      <w:u w:val="single"/>
                    </w:rPr>
                    <w:t>1推广园区集中供热，园区新建供热设施须执行排放浓度限值。</w:t>
                  </w:r>
                </w:p>
                <w:p>
                  <w:pPr>
                    <w:widowControl/>
                    <w:adjustRightInd w:val="0"/>
                    <w:snapToGrid w:val="0"/>
                    <w:jc w:val="center"/>
                    <w:rPr>
                      <w:kern w:val="0"/>
                      <w:szCs w:val="21"/>
                      <w:u w:val="single"/>
                    </w:rPr>
                  </w:pPr>
                  <w:r>
                    <w:rPr>
                      <w:kern w:val="0"/>
                      <w:szCs w:val="21"/>
                      <w:u w:val="single"/>
                    </w:rPr>
                    <w:t>2</w:t>
                  </w:r>
                  <w:r>
                    <w:rPr>
                      <w:rFonts w:hint="eastAsia"/>
                      <w:kern w:val="0"/>
                      <w:szCs w:val="21"/>
                      <w:u w:val="single"/>
                    </w:rPr>
                    <w:t>在造纸、化工、粮食深加工等重点行业推广实施节水改造和污水深度处理。鼓励钢铁、纺织印染、造纸、石油石化、化工、制革等高耗水企业废水深度处理回用。</w:t>
                  </w:r>
                </w:p>
                <w:p>
                  <w:pPr>
                    <w:widowControl/>
                    <w:adjustRightInd w:val="0"/>
                    <w:snapToGrid w:val="0"/>
                    <w:jc w:val="center"/>
                    <w:rPr>
                      <w:kern w:val="0"/>
                      <w:szCs w:val="21"/>
                      <w:u w:val="single"/>
                    </w:rPr>
                  </w:pPr>
                  <w:r>
                    <w:rPr>
                      <w:kern w:val="0"/>
                      <w:szCs w:val="21"/>
                      <w:u w:val="single"/>
                    </w:rPr>
                    <w:t>3</w:t>
                  </w:r>
                  <w:r>
                    <w:rPr>
                      <w:rFonts w:hint="eastAsia"/>
                      <w:kern w:val="0"/>
                      <w:szCs w:val="21"/>
                      <w:u w:val="single"/>
                    </w:rPr>
                    <w:t>促进再生水的利用。</w:t>
                  </w:r>
                </w:p>
                <w:p>
                  <w:pPr>
                    <w:widowControl/>
                    <w:adjustRightInd w:val="0"/>
                    <w:snapToGrid w:val="0"/>
                    <w:jc w:val="center"/>
                    <w:rPr>
                      <w:kern w:val="0"/>
                      <w:szCs w:val="21"/>
                      <w:u w:val="single"/>
                    </w:rPr>
                  </w:pPr>
                  <w:r>
                    <w:rPr>
                      <w:kern w:val="0"/>
                      <w:szCs w:val="21"/>
                      <w:u w:val="single"/>
                    </w:rPr>
                    <w:t>4</w:t>
                  </w:r>
                  <w:r>
                    <w:rPr>
                      <w:rFonts w:hint="eastAsia"/>
                      <w:kern w:val="0"/>
                      <w:szCs w:val="21"/>
                      <w:u w:val="single"/>
                    </w:rPr>
                    <w:t>完成吉林省下达的产能置换要求。各产业执行对应的清洁生产标准。</w:t>
                  </w:r>
                </w:p>
              </w:tc>
              <w:tc>
                <w:tcPr>
                  <w:tcW w:w="1590" w:type="dxa"/>
                  <w:vAlign w:val="center"/>
                </w:tcPr>
                <w:p>
                  <w:pPr>
                    <w:widowControl/>
                    <w:adjustRightInd w:val="0"/>
                    <w:snapToGrid w:val="0"/>
                    <w:jc w:val="center"/>
                    <w:rPr>
                      <w:kern w:val="0"/>
                      <w:szCs w:val="21"/>
                      <w:u w:val="single"/>
                    </w:rPr>
                  </w:pPr>
                  <w:r>
                    <w:rPr>
                      <w:rFonts w:hint="eastAsia" w:eastAsia="宋体"/>
                      <w:kern w:val="0"/>
                      <w:szCs w:val="21"/>
                      <w:u w:val="single"/>
                    </w:rPr>
                    <w:t>本项目改造的锅炉为生产供暖共用。</w:t>
                  </w:r>
                  <w:r>
                    <w:rPr>
                      <w:rFonts w:hint="eastAsia"/>
                      <w:u w:val="single"/>
                    </w:rPr>
                    <w:t>本项目为配套供热项目，符合规划及规划环评的相关要求。</w:t>
                  </w:r>
                </w:p>
              </w:tc>
            </w:tr>
          </w:tbl>
          <w:p>
            <w:pPr>
              <w:pStyle w:val="9"/>
              <w:ind w:firstLine="482"/>
              <w:rPr>
                <w:rFonts w:cs="Times New Roman"/>
                <w:b/>
                <w:bCs/>
              </w:rPr>
            </w:pPr>
            <w:r>
              <w:rPr>
                <w:rFonts w:hint="eastAsia" w:cs="Times New Roman"/>
                <w:b/>
                <w:bCs/>
              </w:rPr>
              <w:t>3</w:t>
            </w:r>
            <w:r>
              <w:rPr>
                <w:rFonts w:cs="Times New Roman"/>
                <w:b/>
                <w:bCs/>
              </w:rPr>
              <w:t>、《空气质量持续改善行动计划》符合性分析</w:t>
            </w:r>
          </w:p>
          <w:p>
            <w:pPr>
              <w:adjustRightInd w:val="0"/>
              <w:snapToGrid w:val="0"/>
              <w:spacing w:line="360" w:lineRule="auto"/>
              <w:ind w:firstLine="480" w:firstLineChars="200"/>
              <w:rPr>
                <w:sz w:val="24"/>
              </w:rPr>
            </w:pPr>
            <w:r>
              <w:rPr>
                <w:sz w:val="24"/>
              </w:rPr>
              <w:t>根据国发〔2023〕24号《国务院关于印发〈空气质量持续改善行动计划〉的通知》，符合性分析如下：</w:t>
            </w:r>
          </w:p>
          <w:p>
            <w:pPr>
              <w:pStyle w:val="25"/>
              <w:numPr>
                <w:ilvl w:val="0"/>
                <w:numId w:val="0"/>
              </w:numPr>
              <w:ind w:firstLine="284"/>
              <w:rPr>
                <w:rFonts w:ascii="Times New Roman" w:hAnsi="Times New Roman"/>
                <w:b w:val="0"/>
                <w:bCs/>
              </w:rPr>
            </w:pPr>
            <w:r>
              <w:rPr>
                <w:rFonts w:ascii="Times New Roman" w:hAnsi="Times New Roman"/>
                <w:b w:val="0"/>
                <w:bCs/>
              </w:rPr>
              <w:t>表</w:t>
            </w:r>
            <w:r>
              <w:rPr>
                <w:rFonts w:hint="eastAsia" w:ascii="Times New Roman" w:hAnsi="Times New Roman"/>
                <w:b w:val="0"/>
                <w:bCs/>
              </w:rPr>
              <w:t xml:space="preserve">7  </w:t>
            </w:r>
            <w:r>
              <w:rPr>
                <w:rFonts w:ascii="Times New Roman" w:hAnsi="Times New Roman"/>
                <w:b w:val="0"/>
                <w:bCs/>
              </w:rPr>
              <w:t>与《空气质量持续改善行动计划》符合性</w:t>
            </w:r>
          </w:p>
          <w:tbl>
            <w:tblPr>
              <w:tblW w:w="7870"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6183"/>
              <w:gridCol w:w="1687"/>
            </w:tblGrid>
            <w:tr>
              <w:trPr>
                <w:trHeight w:val="340" w:hRule="atLeast"/>
                <w:jc w:val="center"/>
              </w:trPr>
              <w:tc>
                <w:tcPr>
                  <w:tcW w:w="6183" w:type="dxa"/>
                  <w:vAlign w:val="center"/>
                </w:tcPr>
                <w:p>
                  <w:pPr>
                    <w:pStyle w:val="22"/>
                  </w:pPr>
                  <w:r>
                    <w:t>《空气质量持续改善行动计划》</w:t>
                  </w:r>
                </w:p>
              </w:tc>
              <w:tc>
                <w:tcPr>
                  <w:tcW w:w="1687" w:type="dxa"/>
                  <w:vAlign w:val="center"/>
                </w:tcPr>
                <w:p>
                  <w:pPr>
                    <w:pStyle w:val="22"/>
                  </w:pPr>
                  <w:r>
                    <w:t>符合性分析</w:t>
                  </w:r>
                </w:p>
              </w:tc>
            </w:tr>
            <w:tr>
              <w:trPr>
                <w:trHeight w:val="340" w:hRule="atLeast"/>
                <w:jc w:val="center"/>
              </w:trPr>
              <w:tc>
                <w:tcPr>
                  <w:tcW w:w="6183" w:type="dxa"/>
                  <w:vAlign w:val="center"/>
                </w:tcPr>
                <w:p>
                  <w:pPr>
                    <w:pStyle w:val="22"/>
                  </w:pPr>
                  <w:r>
                    <w:t>修订《产业结构调整指导目录》，研究将污染物或温室气体排放明显高出行业平均水平、能效和清洁生产水平低的工艺和装备纳入淘汰类和限制类名单。重点区域进一步提高落后产能能耗、环保、质量、安全、技术等要求，逐步退出限制类涉气行业工艺和装备；逐步淘汰步进式烧结机和球团竖炉以及半封闭式硅锰合金、镍铁、高碳铬铁、高碳锰铁电炉。引导重点区域钢铁、焦化、电解铝等产业有序调整优化。</w:t>
                  </w:r>
                </w:p>
              </w:tc>
              <w:tc>
                <w:tcPr>
                  <w:tcW w:w="1687" w:type="dxa"/>
                  <w:vAlign w:val="center"/>
                </w:tcPr>
                <w:p>
                  <w:pPr>
                    <w:pStyle w:val="22"/>
                  </w:pPr>
                  <w:r>
                    <w:t>符合。本项目及使用设备不</w:t>
                  </w:r>
                  <w:r>
                    <w:rPr>
                      <w:rFonts w:hint="eastAsia"/>
                    </w:rPr>
                    <w:t>属于</w:t>
                  </w:r>
                  <w:r>
                    <w:t>《产业结构调整指导目录》（2024年本）淘汰类</w:t>
                  </w:r>
                  <w:r>
                    <w:rPr>
                      <w:rFonts w:hint="eastAsia"/>
                    </w:rPr>
                    <w:t>。</w:t>
                  </w:r>
                </w:p>
              </w:tc>
            </w:tr>
            <w:tr>
              <w:trPr>
                <w:trHeight w:val="340" w:hRule="atLeast"/>
                <w:jc w:val="center"/>
              </w:trPr>
              <w:tc>
                <w:tcPr>
                  <w:tcW w:w="6183" w:type="dxa"/>
                  <w:vAlign w:val="center"/>
                </w:tcPr>
                <w:p>
                  <w:pPr>
                    <w:pStyle w:val="22"/>
                  </w:pPr>
                  <w:r>
                    <w:t>各地要将燃煤供热锅炉替代项目纳入城镇供热规划。县级及以上城市建成区原则上不再新建35蒸吨/小时及以下燃煤锅炉，重点区域原则上不再新建除集中供暖外的燃煤锅炉。加快热力管网建设，依托电厂、大型工业企业开展远距离供热示范，淘汰管网覆盖范围内的燃煤锅炉和散煤。到2025年，PM</w:t>
                  </w:r>
                  <w:r>
                    <w:rPr>
                      <w:vertAlign w:val="subscript"/>
                    </w:rPr>
                    <w:t>2.5</w:t>
                  </w:r>
                  <w:r>
                    <w:t>未达标城市基本淘汰10蒸吨/小时及以下燃煤锅炉；重点区域基本淘汰35蒸吨/小时及以下燃煤锅炉及茶水炉、经营性炉灶、储粮烘干设备、农产品加工等燃煤设施，充分发挥30万千瓦及以上热电联产电厂的供热能力，对其供热半径30公里范围内的燃煤锅炉和落后燃煤小热电机组（含自备电厂）进行关停或整合。</w:t>
                  </w:r>
                </w:p>
              </w:tc>
              <w:tc>
                <w:tcPr>
                  <w:tcW w:w="1687" w:type="dxa"/>
                  <w:vAlign w:val="center"/>
                </w:tcPr>
                <w:p>
                  <w:pPr>
                    <w:pStyle w:val="22"/>
                  </w:pPr>
                  <w:r>
                    <w:t>符合。本项目建设生物质锅炉，使用生物质成型燃料，不属于燃煤供热锅炉</w:t>
                  </w:r>
                  <w:r>
                    <w:rPr>
                      <w:rFonts w:hint="eastAsia"/>
                    </w:rPr>
                    <w:t>。</w:t>
                  </w:r>
                </w:p>
              </w:tc>
            </w:tr>
            <w:tr>
              <w:trPr>
                <w:trHeight w:val="340" w:hRule="atLeast"/>
                <w:jc w:val="center"/>
              </w:trPr>
              <w:tc>
                <w:tcPr>
                  <w:tcW w:w="6183" w:type="dxa"/>
                  <w:vAlign w:val="center"/>
                </w:tcPr>
                <w:p>
                  <w:pPr>
                    <w:pStyle w:val="22"/>
                  </w:pPr>
                  <w:r>
                    <w:t>有序推进以电代煤，积极稳妥推进以气代煤。重点区域不再新增燃料类煤气发生炉，新改扩建加热炉、热处理炉、干燥炉、熔化炉原则上采用清洁低碳能源；安全稳妥推进使用高污染燃料的工业炉窑改用工业余热、电能、天然气等；燃料类煤气发生炉实行清洁能源替代，或因地制宜采取园区（集群）集中供气、分散使用方式；逐步淘汰固定床间歇式煤气发生炉。</w:t>
                  </w:r>
                </w:p>
              </w:tc>
              <w:tc>
                <w:tcPr>
                  <w:tcW w:w="1687" w:type="dxa"/>
                  <w:vAlign w:val="center"/>
                </w:tcPr>
                <w:p>
                  <w:pPr>
                    <w:pStyle w:val="22"/>
                  </w:pPr>
                  <w:r>
                    <w:t>符合。本项目使用生物质成型燃料</w:t>
                  </w:r>
                  <w:r>
                    <w:rPr>
                      <w:rFonts w:hint="eastAsia"/>
                    </w:rPr>
                    <w:t>。</w:t>
                  </w:r>
                </w:p>
              </w:tc>
            </w:tr>
          </w:tbl>
          <w:p>
            <w:pPr>
              <w:autoSpaceDE w:val="0"/>
              <w:autoSpaceDN w:val="0"/>
              <w:adjustRightInd w:val="0"/>
              <w:snapToGrid w:val="0"/>
              <w:spacing w:line="360" w:lineRule="auto"/>
              <w:ind w:firstLine="480" w:firstLineChars="200"/>
              <w:jc w:val="left"/>
              <w:rPr>
                <w:sz w:val="24"/>
              </w:rPr>
            </w:pPr>
            <w:r>
              <w:rPr>
                <w:sz w:val="24"/>
              </w:rPr>
              <w:t>通过上表分析可知，本项目锅炉符合《空气质量持续改善行动计划》相关要求。</w:t>
            </w:r>
          </w:p>
          <w:p>
            <w:pPr>
              <w:adjustRightInd w:val="0"/>
              <w:snapToGrid w:val="0"/>
              <w:spacing w:line="360" w:lineRule="auto"/>
              <w:ind w:firstLine="480" w:firstLineChars="200"/>
              <w:rPr>
                <w:sz w:val="24"/>
              </w:rPr>
            </w:pPr>
            <w:r>
              <w:rPr>
                <w:sz w:val="24"/>
              </w:rPr>
              <w:t>根据</w:t>
            </w:r>
            <w:r>
              <w:rPr>
                <w:rFonts w:hint="eastAsia"/>
                <w:sz w:val="24"/>
              </w:rPr>
              <w:t>吉林省人民政府关于印发吉林省落实《空气质量持续改善行动计划》实施方案的通知（吉政发[2024]8号）</w:t>
            </w:r>
            <w:r>
              <w:rPr>
                <w:sz w:val="24"/>
              </w:rPr>
              <w:t>，符合性分析如下：</w:t>
            </w:r>
          </w:p>
          <w:p>
            <w:pPr>
              <w:pStyle w:val="25"/>
              <w:numPr>
                <w:ilvl w:val="0"/>
                <w:numId w:val="0"/>
              </w:numPr>
              <w:ind w:firstLine="284"/>
              <w:rPr>
                <w:rFonts w:ascii="Times New Roman" w:hAnsi="Times New Roman"/>
                <w:b w:val="0"/>
                <w:bCs/>
              </w:rPr>
            </w:pPr>
            <w:r>
              <w:rPr>
                <w:rFonts w:ascii="Times New Roman" w:hAnsi="Times New Roman"/>
                <w:b w:val="0"/>
                <w:bCs/>
              </w:rPr>
              <w:t>表</w:t>
            </w:r>
            <w:r>
              <w:rPr>
                <w:rFonts w:hint="eastAsia" w:ascii="Times New Roman" w:hAnsi="Times New Roman"/>
                <w:b w:val="0"/>
                <w:bCs/>
              </w:rPr>
              <w:t xml:space="preserve">8  </w:t>
            </w:r>
            <w:r>
              <w:rPr>
                <w:rFonts w:ascii="Times New Roman" w:hAnsi="Times New Roman"/>
                <w:b w:val="0"/>
                <w:bCs/>
              </w:rPr>
              <w:t>《</w:t>
            </w:r>
            <w:r>
              <w:rPr>
                <w:rFonts w:hint="eastAsia" w:ascii="Times New Roman" w:hAnsi="Times New Roman"/>
                <w:b w:val="0"/>
                <w:bCs/>
              </w:rPr>
              <w:t>吉林省落实〈空气质量持续改善行动计划〉实施方案》</w:t>
            </w:r>
            <w:r>
              <w:rPr>
                <w:rFonts w:ascii="Times New Roman" w:hAnsi="Times New Roman"/>
                <w:b w:val="0"/>
                <w:bCs/>
              </w:rPr>
              <w:t>符合性</w:t>
            </w:r>
          </w:p>
          <w:tbl>
            <w:tblPr>
              <w:tblW w:w="7870"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6183"/>
              <w:gridCol w:w="1687"/>
            </w:tblGrid>
            <w:tr>
              <w:trPr>
                <w:trHeight w:val="340" w:hRule="atLeast"/>
                <w:jc w:val="center"/>
              </w:trPr>
              <w:tc>
                <w:tcPr>
                  <w:tcW w:w="6183" w:type="dxa"/>
                  <w:vAlign w:val="center"/>
                </w:tcPr>
                <w:p>
                  <w:pPr>
                    <w:pStyle w:val="22"/>
                  </w:pPr>
                  <w:r>
                    <w:t>《吉林省落实〈空气质量持续改善行动计划〉实施方案》</w:t>
                  </w:r>
                </w:p>
              </w:tc>
              <w:tc>
                <w:tcPr>
                  <w:tcW w:w="1687" w:type="dxa"/>
                  <w:vAlign w:val="center"/>
                </w:tcPr>
                <w:p>
                  <w:pPr>
                    <w:pStyle w:val="22"/>
                  </w:pPr>
                  <w:r>
                    <w:t>符合性分析</w:t>
                  </w:r>
                </w:p>
              </w:tc>
            </w:tr>
            <w:tr>
              <w:trPr>
                <w:trHeight w:val="340" w:hRule="atLeast"/>
                <w:jc w:val="center"/>
              </w:trPr>
              <w:tc>
                <w:tcPr>
                  <w:tcW w:w="6183" w:type="dxa"/>
                  <w:vAlign w:val="center"/>
                </w:tcPr>
                <w:p>
                  <w:pPr>
                    <w:pStyle w:val="22"/>
                  </w:pPr>
                  <w:r>
                    <w:t>严格新建项目准入。新改扩建项目必须符合国家产业发展规划、政策，以及生态环境保护、产能置换等相关项目准入条件，严格执行相关目标控制要求，坚决遏制盲目上新“两高一低”项目。</w:t>
                  </w:r>
                </w:p>
              </w:tc>
              <w:tc>
                <w:tcPr>
                  <w:tcW w:w="1687" w:type="dxa"/>
                  <w:vAlign w:val="center"/>
                </w:tcPr>
                <w:p>
                  <w:pPr>
                    <w:pStyle w:val="22"/>
                  </w:pPr>
                  <w:r>
                    <w:t>符合。本项目及使用设备</w:t>
                  </w:r>
                  <w:r>
                    <w:rPr>
                      <w:rFonts w:hint="eastAsia"/>
                    </w:rPr>
                    <w:t>不属于</w:t>
                  </w:r>
                  <w:r>
                    <w:t>《产业结构调整指导目录》（2024年本）淘汰类。</w:t>
                  </w:r>
                </w:p>
              </w:tc>
            </w:tr>
            <w:tr>
              <w:trPr>
                <w:trHeight w:val="340" w:hRule="atLeast"/>
                <w:jc w:val="center"/>
              </w:trPr>
              <w:tc>
                <w:tcPr>
                  <w:tcW w:w="6183" w:type="dxa"/>
                  <w:vAlign w:val="center"/>
                </w:tcPr>
                <w:p>
                  <w:pPr>
                    <w:pStyle w:val="22"/>
                  </w:pPr>
                  <w:r>
                    <w:t>积极开展燃煤锅炉关停整合。燃煤供热锅炉替代项目纳入城镇供热规划，推进热力管网建设，依托电厂、大型工业企业开展远距离供热示范，持续淘汰管网覆盖范围内的燃煤锅炉和散煤。到2025年，PM</w:t>
                  </w:r>
                  <w:r>
                    <w:rPr>
                      <w:vertAlign w:val="subscript"/>
                    </w:rPr>
                    <w:t>2.5</w:t>
                  </w:r>
                  <w:r>
                    <w:t>未达标城市基本淘汰10蒸吨／小时及以下燃煤锅炉。</w:t>
                  </w:r>
                </w:p>
              </w:tc>
              <w:tc>
                <w:tcPr>
                  <w:tcW w:w="1687" w:type="dxa"/>
                  <w:vAlign w:val="center"/>
                </w:tcPr>
                <w:p>
                  <w:pPr>
                    <w:pStyle w:val="22"/>
                  </w:pPr>
                  <w:r>
                    <w:t>符合。本项目建设生物质锅炉，使用生物质成型燃料，不属于燃煤供热锅炉。</w:t>
                  </w:r>
                </w:p>
              </w:tc>
            </w:tr>
            <w:tr>
              <w:trPr>
                <w:trHeight w:val="340" w:hRule="atLeast"/>
                <w:jc w:val="center"/>
              </w:trPr>
              <w:tc>
                <w:tcPr>
                  <w:tcW w:w="6183" w:type="dxa"/>
                  <w:vAlign w:val="center"/>
                </w:tcPr>
                <w:p>
                  <w:pPr>
                    <w:pStyle w:val="22"/>
                  </w:pPr>
                  <w:r>
                    <w:t>加快推进清洁取暖建设。已列入国家北方地区冬季清洁取暖城市的地区，按照实施方案加快推进项目建设，鼓励其他城市积极申报北方地区冬季清洁取暖城市，推广秸秆打捆直燃集中供暖等适合农村的清洁取暖技术，逐步在全省推开。依法将整体完成清洁取暖改造的地区划定为高污染燃料禁燃区，强化商品煤质量监管，防止散煤复烧。</w:t>
                  </w:r>
                </w:p>
              </w:tc>
              <w:tc>
                <w:tcPr>
                  <w:tcW w:w="1687" w:type="dxa"/>
                  <w:vAlign w:val="center"/>
                </w:tcPr>
                <w:p>
                  <w:pPr>
                    <w:pStyle w:val="22"/>
                  </w:pPr>
                  <w:r>
                    <w:t>符合。本项目使用生物质成型燃料。</w:t>
                  </w:r>
                </w:p>
              </w:tc>
            </w:tr>
          </w:tbl>
          <w:p>
            <w:pPr>
              <w:pStyle w:val="9"/>
              <w:ind w:firstLine="482"/>
              <w:rPr>
                <w:rFonts w:cs="Times New Roman"/>
                <w:b/>
                <w:bCs/>
              </w:rPr>
            </w:pPr>
            <w:r>
              <w:rPr>
                <w:rFonts w:hint="eastAsia" w:cs="Times New Roman"/>
                <w:b/>
                <w:bCs/>
              </w:rPr>
              <w:t>4、与《关于印发吉林省空气、水环境、土壤环境质量巩固提升三个行动方案的通知》符合性分析</w:t>
            </w:r>
          </w:p>
          <w:p>
            <w:pPr>
              <w:adjustRightInd w:val="0"/>
              <w:snapToGrid w:val="0"/>
              <w:spacing w:line="360" w:lineRule="auto"/>
              <w:ind w:firstLine="480" w:firstLineChars="200"/>
              <w:rPr>
                <w:kern w:val="0"/>
                <w:sz w:val="24"/>
              </w:rPr>
            </w:pPr>
            <w:r>
              <w:rPr>
                <w:rFonts w:hint="eastAsia"/>
                <w:kern w:val="0"/>
                <w:sz w:val="24"/>
              </w:rPr>
              <w:t>根据吉林省人民政府（吉政办发〔2021〕10号）《关于印发吉林省空气、水环境、土壤环境质量巩固提升三个行动方案的通知》的有关规定：（二）深入推进燃煤污染控制。7.加大燃煤锅炉淘汰力度。严控新建燃煤锅炉，县级以上城市建成区原则上不再新建每小时35蒸吨以下燃煤锅炉，其他地区原则上不再新建每小时10蒸吨以下燃煤锅炉。按照国家政策的调整和要求，逐步开展燃煤锅炉淘汰工作。</w:t>
            </w:r>
          </w:p>
          <w:p>
            <w:pPr>
              <w:adjustRightInd w:val="0"/>
              <w:snapToGrid w:val="0"/>
              <w:spacing w:line="360" w:lineRule="auto"/>
              <w:ind w:firstLine="480" w:firstLineChars="200"/>
              <w:rPr>
                <w:kern w:val="0"/>
                <w:sz w:val="24"/>
              </w:rPr>
            </w:pPr>
            <w:r>
              <w:rPr>
                <w:rFonts w:hint="eastAsia"/>
                <w:kern w:val="0"/>
                <w:sz w:val="24"/>
                <w:u w:val="single"/>
              </w:rPr>
              <w:t>企业为屠宰企业，属于农副食品加工类项目。</w:t>
            </w:r>
            <w:r>
              <w:rPr>
                <w:rFonts w:hint="eastAsia"/>
                <w:kern w:val="0"/>
                <w:sz w:val="24"/>
              </w:rPr>
              <w:t>本项目为配套供热项目，不属于重点行业，不属于重点排污单位与“散乱污”企业，本次改建4.0t/h的生物质锅炉，符合《关于印发吉林省空气、水环境、土壤环境质量巩固提升三个行动方案的通知》的有关规定。</w:t>
            </w:r>
          </w:p>
          <w:p>
            <w:pPr>
              <w:pStyle w:val="9"/>
              <w:ind w:firstLine="482"/>
              <w:rPr>
                <w:rFonts w:cs="Times New Roman"/>
                <w:b/>
                <w:bCs/>
              </w:rPr>
            </w:pPr>
            <w:r>
              <w:rPr>
                <w:rFonts w:hint="eastAsia" w:cs="Times New Roman"/>
                <w:b/>
                <w:bCs/>
              </w:rPr>
              <w:t>5、与《吉林省大气污染防治条例》相符性分析</w:t>
            </w:r>
          </w:p>
          <w:p>
            <w:pPr>
              <w:adjustRightInd w:val="0"/>
              <w:snapToGrid w:val="0"/>
              <w:spacing w:line="360" w:lineRule="auto"/>
              <w:ind w:firstLine="480" w:firstLineChars="200"/>
              <w:rPr>
                <w:kern w:val="0"/>
                <w:sz w:val="24"/>
              </w:rPr>
            </w:pPr>
            <w:r>
              <w:rPr>
                <w:kern w:val="0"/>
                <w:sz w:val="24"/>
              </w:rPr>
              <w:t>本次对照《吉林省大气污染防治条例》相关要求，分析项目建设与其相符性，详见下表。</w:t>
            </w:r>
          </w:p>
          <w:p>
            <w:pPr>
              <w:adjustRightInd w:val="0"/>
              <w:snapToGrid w:val="0"/>
              <w:jc w:val="center"/>
              <w:rPr>
                <w:kern w:val="0"/>
                <w:sz w:val="24"/>
              </w:rPr>
            </w:pPr>
            <w:r>
              <w:rPr>
                <w:rFonts w:hint="eastAsia"/>
                <w:kern w:val="0"/>
                <w:sz w:val="24"/>
              </w:rPr>
              <w:t xml:space="preserve">表9  </w:t>
            </w:r>
            <w:r>
              <w:rPr>
                <w:kern w:val="0"/>
                <w:sz w:val="24"/>
              </w:rPr>
              <w:t>本项目与《吉林省大气污染防治条例》相符性分析</w:t>
            </w:r>
          </w:p>
          <w:tbl>
            <w:tblPr>
              <w:tblW w:w="7872"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4027"/>
              <w:gridCol w:w="3004"/>
              <w:gridCol w:w="841"/>
            </w:tblGrid>
            <w:tr>
              <w:trPr>
                <w:trHeight w:val="285" w:hRule="atLeast"/>
              </w:trPr>
              <w:tc>
                <w:tcPr>
                  <w:tcW w:w="4027" w:type="dxa"/>
                  <w:vAlign w:val="center"/>
                </w:tcPr>
                <w:p>
                  <w:pPr>
                    <w:widowControl/>
                    <w:jc w:val="center"/>
                    <w:rPr>
                      <w:kern w:val="0"/>
                      <w:szCs w:val="21"/>
                    </w:rPr>
                  </w:pPr>
                  <w:r>
                    <w:rPr>
                      <w:kern w:val="0"/>
                      <w:szCs w:val="21"/>
                    </w:rPr>
                    <w:t>文件要求</w:t>
                  </w:r>
                </w:p>
              </w:tc>
              <w:tc>
                <w:tcPr>
                  <w:tcW w:w="3004" w:type="dxa"/>
                  <w:vAlign w:val="center"/>
                </w:tcPr>
                <w:p>
                  <w:pPr>
                    <w:widowControl/>
                    <w:jc w:val="center"/>
                    <w:rPr>
                      <w:kern w:val="0"/>
                      <w:szCs w:val="21"/>
                    </w:rPr>
                  </w:pPr>
                  <w:r>
                    <w:rPr>
                      <w:kern w:val="0"/>
                      <w:szCs w:val="21"/>
                    </w:rPr>
                    <w:t>本项目情况</w:t>
                  </w:r>
                </w:p>
              </w:tc>
              <w:tc>
                <w:tcPr>
                  <w:tcW w:w="841" w:type="dxa"/>
                  <w:vAlign w:val="center"/>
                </w:tcPr>
                <w:p>
                  <w:pPr>
                    <w:widowControl/>
                    <w:jc w:val="center"/>
                    <w:rPr>
                      <w:kern w:val="0"/>
                      <w:szCs w:val="21"/>
                    </w:rPr>
                  </w:pPr>
                  <w:r>
                    <w:rPr>
                      <w:kern w:val="0"/>
                      <w:szCs w:val="21"/>
                    </w:rPr>
                    <w:t>相符性</w:t>
                  </w:r>
                </w:p>
              </w:tc>
            </w:tr>
            <w:tr>
              <w:trPr>
                <w:trHeight w:val="1185" w:hRule="atLeast"/>
              </w:trPr>
              <w:tc>
                <w:tcPr>
                  <w:tcW w:w="4027" w:type="dxa"/>
                  <w:vAlign w:val="center"/>
                </w:tcPr>
                <w:p>
                  <w:pPr>
                    <w:widowControl/>
                    <w:jc w:val="center"/>
                    <w:rPr>
                      <w:kern w:val="0"/>
                      <w:szCs w:val="21"/>
                    </w:rPr>
                  </w:pPr>
                  <w:r>
                    <w:rPr>
                      <w:kern w:val="0"/>
                      <w:szCs w:val="21"/>
                    </w:rPr>
                    <w:t>排放工业废气或者国家公布的名录中所列的有毒有害大气污染物的企业事业单位、集中供热设施的燃煤热源生产运营单位以及其他依法实施排污许可管理的单位，应当取得排污许可证，并按照排污许可证要求排放污染物；未取得排污许可证的，不得排放污染物。</w:t>
                  </w:r>
                </w:p>
              </w:tc>
              <w:tc>
                <w:tcPr>
                  <w:tcW w:w="3004" w:type="dxa"/>
                  <w:vAlign w:val="center"/>
                </w:tcPr>
                <w:p>
                  <w:pPr>
                    <w:widowControl/>
                    <w:jc w:val="center"/>
                    <w:rPr>
                      <w:kern w:val="0"/>
                      <w:szCs w:val="21"/>
                    </w:rPr>
                  </w:pPr>
                  <w:r>
                    <w:rPr>
                      <w:kern w:val="0"/>
                      <w:szCs w:val="21"/>
                    </w:rPr>
                    <w:t>项目建成后及时申请排污许可证，并按照排污许可证要求排放污染物。</w:t>
                  </w:r>
                </w:p>
              </w:tc>
              <w:tc>
                <w:tcPr>
                  <w:tcW w:w="841" w:type="dxa"/>
                  <w:vAlign w:val="center"/>
                </w:tcPr>
                <w:p>
                  <w:pPr>
                    <w:widowControl/>
                    <w:jc w:val="center"/>
                    <w:rPr>
                      <w:kern w:val="0"/>
                      <w:szCs w:val="21"/>
                    </w:rPr>
                  </w:pPr>
                  <w:r>
                    <w:rPr>
                      <w:rFonts w:eastAsia="宋体"/>
                      <w:kern w:val="0"/>
                      <w:szCs w:val="21"/>
                    </w:rPr>
                    <w:t>符合</w:t>
                  </w:r>
                </w:p>
              </w:tc>
            </w:tr>
            <w:tr>
              <w:trPr>
                <w:trHeight w:val="1185" w:hRule="atLeast"/>
              </w:trPr>
              <w:tc>
                <w:tcPr>
                  <w:tcW w:w="4027" w:type="dxa"/>
                  <w:vAlign w:val="center"/>
                </w:tcPr>
                <w:p>
                  <w:pPr>
                    <w:widowControl/>
                    <w:jc w:val="center"/>
                    <w:rPr>
                      <w:kern w:val="0"/>
                      <w:szCs w:val="21"/>
                    </w:rPr>
                  </w:pPr>
                  <w:r>
                    <w:rPr>
                      <w:kern w:val="0"/>
                      <w:szCs w:val="21"/>
                    </w:rPr>
                    <w:t>企业事业单位和其他生产经营者不得新建、扩建列入淘汰类目录的高污染工业项目，不得使用列入淘汰类目录的工艺、设备、产品。</w:t>
                  </w:r>
                </w:p>
              </w:tc>
              <w:tc>
                <w:tcPr>
                  <w:tcW w:w="3004" w:type="dxa"/>
                  <w:vAlign w:val="center"/>
                </w:tcPr>
                <w:p>
                  <w:pPr>
                    <w:widowControl/>
                    <w:jc w:val="center"/>
                    <w:rPr>
                      <w:kern w:val="0"/>
                      <w:szCs w:val="21"/>
                    </w:rPr>
                  </w:pPr>
                  <w:r>
                    <w:rPr>
                      <w:kern w:val="0"/>
                      <w:szCs w:val="21"/>
                    </w:rPr>
                    <w:t>本项目不属于高污染工业项目，未使用列入淘汰类目录的工艺、设备、产品。</w:t>
                  </w:r>
                </w:p>
              </w:tc>
              <w:tc>
                <w:tcPr>
                  <w:tcW w:w="841" w:type="dxa"/>
                  <w:vAlign w:val="center"/>
                </w:tcPr>
                <w:p>
                  <w:pPr>
                    <w:widowControl/>
                    <w:jc w:val="center"/>
                    <w:rPr>
                      <w:rFonts w:eastAsia="宋体"/>
                      <w:kern w:val="0"/>
                      <w:szCs w:val="21"/>
                    </w:rPr>
                  </w:pPr>
                  <w:r>
                    <w:rPr>
                      <w:rFonts w:eastAsia="宋体"/>
                      <w:kern w:val="0"/>
                      <w:szCs w:val="21"/>
                    </w:rPr>
                    <w:t>符合</w:t>
                  </w:r>
                </w:p>
              </w:tc>
            </w:tr>
            <w:tr>
              <w:trPr>
                <w:trHeight w:val="1028" w:hRule="atLeast"/>
              </w:trPr>
              <w:tc>
                <w:tcPr>
                  <w:tcW w:w="4027" w:type="dxa"/>
                  <w:vAlign w:val="center"/>
                </w:tcPr>
                <w:p>
                  <w:pPr>
                    <w:widowControl/>
                    <w:jc w:val="center"/>
                    <w:rPr>
                      <w:kern w:val="0"/>
                      <w:szCs w:val="21"/>
                    </w:rPr>
                  </w:pPr>
                  <w:r>
                    <w:rPr>
                      <w:kern w:val="0"/>
                      <w:szCs w:val="21"/>
                    </w:rPr>
                    <w:t>在高污染燃料禁燃区内，禁止销售、燃用高污染燃料；禁止新建、扩建燃用高污染燃料的设施。禁燃区内已建成的燃用高污染燃料设施，应当在城市人民政府规定的期限内改用天然气、页岩气、液化石油气、电或者其他清洁能源。</w:t>
                  </w:r>
                </w:p>
              </w:tc>
              <w:tc>
                <w:tcPr>
                  <w:tcW w:w="3004" w:type="dxa"/>
                  <w:vAlign w:val="center"/>
                </w:tcPr>
                <w:p>
                  <w:pPr>
                    <w:widowControl/>
                    <w:jc w:val="center"/>
                    <w:rPr>
                      <w:kern w:val="0"/>
                      <w:szCs w:val="21"/>
                    </w:rPr>
                  </w:pPr>
                  <w:r>
                    <w:rPr>
                      <w:rFonts w:hint="eastAsia" w:eastAsia="宋体"/>
                      <w:kern w:val="0"/>
                      <w:szCs w:val="21"/>
                    </w:rPr>
                    <w:t>本项目燃料为生物质颗粒，不使用</w:t>
                  </w:r>
                  <w:r>
                    <w:rPr>
                      <w:rFonts w:eastAsia="宋体"/>
                      <w:kern w:val="0"/>
                      <w:szCs w:val="21"/>
                    </w:rPr>
                    <w:t>高污染燃料</w:t>
                  </w:r>
                </w:p>
              </w:tc>
              <w:tc>
                <w:tcPr>
                  <w:tcW w:w="841" w:type="dxa"/>
                  <w:vAlign w:val="center"/>
                </w:tcPr>
                <w:p>
                  <w:pPr>
                    <w:widowControl/>
                    <w:jc w:val="center"/>
                    <w:rPr>
                      <w:kern w:val="0"/>
                      <w:szCs w:val="21"/>
                    </w:rPr>
                  </w:pPr>
                  <w:r>
                    <w:rPr>
                      <w:rFonts w:eastAsia="宋体"/>
                      <w:kern w:val="0"/>
                      <w:szCs w:val="21"/>
                    </w:rPr>
                    <w:t>符合</w:t>
                  </w:r>
                </w:p>
              </w:tc>
            </w:tr>
          </w:tbl>
          <w:p>
            <w:pPr>
              <w:pStyle w:val="9"/>
              <w:ind w:firstLine="482"/>
              <w:rPr>
                <w:rFonts w:cs="Times New Roman"/>
                <w:b/>
                <w:bCs/>
              </w:rPr>
            </w:pPr>
            <w:r>
              <w:rPr>
                <w:rFonts w:hint="eastAsia" w:cs="Times New Roman"/>
                <w:b/>
                <w:bCs/>
              </w:rPr>
              <w:t>6、与《通化市落实＜空气质量持续改善行动计划＞实施方案》符合性分析</w:t>
            </w:r>
          </w:p>
          <w:p>
            <w:pPr>
              <w:adjustRightInd w:val="0"/>
              <w:snapToGrid w:val="0"/>
              <w:spacing w:line="360" w:lineRule="auto"/>
              <w:ind w:firstLine="480" w:firstLineChars="200"/>
              <w:rPr>
                <w:kern w:val="0"/>
                <w:sz w:val="24"/>
              </w:rPr>
            </w:pPr>
            <w:r>
              <w:rPr>
                <w:rFonts w:hint="eastAsia"/>
                <w:kern w:val="0"/>
                <w:sz w:val="24"/>
              </w:rPr>
              <w:t>根据《通化市人民政府关于印发通化市落实＜空气质量持续改善行动计划＞实施方案的通知》（通市政函〔2024〕32号）的有关规定：（二）深入推进能源结构优化调整。6.积极开展燃煤锅炉关停整合。指导编制城镇供热规划，加快热力管网建设，淘汰管网覆盖范围内的燃煤锅炉。严控新建燃煤锅炉，县级以上城市建成区原则上不再新建35蒸吨/小时以下燃煤锅炉，县级以下地区原则上不再新建10蒸吨/小时以下燃煤锅炉。加大燃煤锅炉达标排放监管力度，紧盯采暖期燃煤锅炉达标情况，对超标企业实行“冬病夏治”，督导不能稳定达标的锅炉进行深度改造，提升达标运行能力。（五）推动多污染物协同治理。17.加大锅炉和工业炉窑管理力度。持续开展锅炉和工业炉窑简易低效污染治理设施排查，积极推进燃气锅炉低氮燃烧改造。生物质锅炉应配套建设高效除尘设施，氮氧化物排放浓度无法稳定达标的，配套建设脱硝设施，严禁掺烧煤炭、垃圾等其他物料。</w:t>
            </w:r>
          </w:p>
          <w:p>
            <w:pPr>
              <w:adjustRightInd w:val="0"/>
              <w:snapToGrid w:val="0"/>
              <w:spacing w:line="360" w:lineRule="auto"/>
              <w:ind w:firstLine="480" w:firstLineChars="200"/>
              <w:rPr>
                <w:kern w:val="0"/>
                <w:sz w:val="24"/>
              </w:rPr>
            </w:pPr>
            <w:r>
              <w:rPr>
                <w:rFonts w:hint="eastAsia"/>
                <w:kern w:val="0"/>
                <w:sz w:val="24"/>
              </w:rPr>
              <w:t>本项目不属于《产业结构调整指导目录（2024年本）》中限制类和淘汰类项目，视为允许类。</w:t>
            </w:r>
            <w:r>
              <w:rPr>
                <w:rFonts w:hint="eastAsia"/>
                <w:kern w:val="0"/>
                <w:sz w:val="24"/>
                <w:u w:val="single"/>
              </w:rPr>
              <w:t>企业为屠宰企业，属于农副食品加工类项目。</w:t>
            </w:r>
            <w:r>
              <w:rPr>
                <w:rFonts w:hint="eastAsia"/>
                <w:kern w:val="0"/>
                <w:sz w:val="24"/>
              </w:rPr>
              <w:t>本项目为配套供热项目，本次改建4.0t/h的生物质锅炉，用于企业生产和供暖。生物质锅炉废气采取高效布袋除尘器，污染物达标排放。本项目符合《通化市落实＜空气质量持续改善行动计划＞实施方案》的有关规定。</w:t>
            </w:r>
          </w:p>
          <w:p>
            <w:pPr>
              <w:pStyle w:val="11"/>
              <w:adjustRightInd w:val="0"/>
              <w:snapToGrid w:val="0"/>
              <w:spacing w:line="360" w:lineRule="auto"/>
              <w:ind w:firstLine="482" w:firstLineChars="200"/>
              <w:rPr>
                <w:rFonts w:hint="default" w:ascii="Times New Roman" w:hAnsi="Times New Roman"/>
                <w:b/>
                <w:bCs/>
                <w:sz w:val="24"/>
              </w:rPr>
            </w:pPr>
            <w:r>
              <w:rPr>
                <w:rFonts w:ascii="Times New Roman" w:hAnsi="Times New Roman"/>
                <w:b/>
                <w:bCs/>
                <w:kern w:val="0"/>
                <w:sz w:val="24"/>
                <w:szCs w:val="24"/>
              </w:rPr>
              <w:t>7</w:t>
            </w:r>
            <w:r>
              <w:rPr>
                <w:rFonts w:hint="default" w:ascii="Times New Roman" w:hAnsi="Times New Roman"/>
                <w:b/>
                <w:bCs/>
                <w:kern w:val="0"/>
                <w:sz w:val="24"/>
                <w:szCs w:val="24"/>
              </w:rPr>
              <w:t>、</w:t>
            </w:r>
            <w:r>
              <w:rPr>
                <w:rFonts w:hint="default" w:ascii="Times New Roman" w:hAnsi="Times New Roman"/>
                <w:b/>
                <w:bCs/>
                <w:sz w:val="24"/>
              </w:rPr>
              <w:t>选址合理性分析</w:t>
            </w:r>
          </w:p>
          <w:p>
            <w:pPr>
              <w:adjustRightInd w:val="0"/>
              <w:snapToGrid w:val="0"/>
              <w:spacing w:line="360" w:lineRule="auto"/>
              <w:ind w:firstLine="480" w:firstLineChars="200"/>
              <w:rPr>
                <w:spacing w:val="6"/>
                <w:sz w:val="24"/>
              </w:rPr>
            </w:pPr>
            <w:r>
              <w:rPr>
                <w:kern w:val="0"/>
                <w:sz w:val="24"/>
              </w:rPr>
              <w:t>本项目</w:t>
            </w:r>
            <w:r>
              <w:rPr>
                <w:rFonts w:hint="eastAsia"/>
                <w:kern w:val="0"/>
                <w:sz w:val="24"/>
              </w:rPr>
              <w:t>为</w:t>
            </w:r>
            <w:r>
              <w:rPr>
                <w:rFonts w:hint="eastAsia"/>
                <w:color w:val="000000"/>
                <w:sz w:val="24"/>
              </w:rPr>
              <w:t>生物质锅炉改建项目，</w:t>
            </w:r>
            <w:r>
              <w:rPr>
                <w:kern w:val="0"/>
                <w:sz w:val="24"/>
              </w:rPr>
              <w:t>位于</w:t>
            </w:r>
            <w:r>
              <w:rPr>
                <w:rFonts w:hint="eastAsia"/>
                <w:color w:val="000000"/>
                <w:kern w:val="0"/>
                <w:sz w:val="24"/>
              </w:rPr>
              <w:t>现有厂区锅炉房</w:t>
            </w:r>
            <w:r>
              <w:rPr>
                <w:rFonts w:hint="eastAsia"/>
                <w:kern w:val="0"/>
                <w:sz w:val="24"/>
              </w:rPr>
              <w:t>占地范围内进行拆除重建，</w:t>
            </w:r>
            <w:r>
              <w:rPr>
                <w:kern w:val="0"/>
                <w:sz w:val="24"/>
              </w:rPr>
              <w:t>不</w:t>
            </w:r>
            <w:r>
              <w:rPr>
                <w:rFonts w:hint="eastAsia"/>
                <w:kern w:val="0"/>
                <w:sz w:val="24"/>
              </w:rPr>
              <w:t>涉及</w:t>
            </w:r>
            <w:r>
              <w:rPr>
                <w:kern w:val="0"/>
                <w:sz w:val="24"/>
              </w:rPr>
              <w:t>新增</w:t>
            </w:r>
            <w:r>
              <w:rPr>
                <w:rFonts w:hint="eastAsia"/>
                <w:kern w:val="0"/>
                <w:sz w:val="24"/>
              </w:rPr>
              <w:t>永久</w:t>
            </w:r>
            <w:r>
              <w:rPr>
                <w:kern w:val="0"/>
                <w:sz w:val="24"/>
              </w:rPr>
              <w:t>占地</w:t>
            </w:r>
            <w:r>
              <w:rPr>
                <w:rFonts w:hint="eastAsia"/>
                <w:kern w:val="0"/>
                <w:sz w:val="24"/>
              </w:rPr>
              <w:t>。</w:t>
            </w:r>
            <w:r>
              <w:rPr>
                <w:rFonts w:hint="eastAsia"/>
                <w:sz w:val="24"/>
              </w:rPr>
              <w:t>项目周围最近敏感点为西北侧540m的钓鱼台村</w:t>
            </w:r>
            <w:r>
              <w:rPr>
                <w:spacing w:val="6"/>
                <w:sz w:val="24"/>
              </w:rPr>
              <w:t>，</w:t>
            </w:r>
            <w:r>
              <w:rPr>
                <w:sz w:val="24"/>
              </w:rPr>
              <w:t>项目建设符合吉林省及</w:t>
            </w:r>
            <w:r>
              <w:rPr>
                <w:rFonts w:hint="eastAsia"/>
                <w:sz w:val="24"/>
              </w:rPr>
              <w:t>通化市“生态环境分区管控”</w:t>
            </w:r>
            <w:r>
              <w:rPr>
                <w:sz w:val="24"/>
              </w:rPr>
              <w:t>要求</w:t>
            </w:r>
            <w:r>
              <w:rPr>
                <w:kern w:val="0"/>
                <w:sz w:val="24"/>
              </w:rPr>
              <w:t>，</w:t>
            </w:r>
            <w:r>
              <w:rPr>
                <w:sz w:val="24"/>
              </w:rPr>
              <w:t>项目产生的三废经采取有效的处理措施后，对环境影响在可接受范围内，</w:t>
            </w:r>
            <w:r>
              <w:rPr>
                <w:spacing w:val="6"/>
                <w:sz w:val="24"/>
              </w:rPr>
              <w:t>故本项目选址合理。</w:t>
            </w:r>
          </w:p>
          <w:p>
            <w:pPr>
              <w:adjustRightInd w:val="0"/>
              <w:snapToGrid w:val="0"/>
              <w:spacing w:line="360" w:lineRule="auto"/>
              <w:ind w:firstLine="480" w:firstLineChars="200"/>
              <w:rPr>
                <w:kern w:val="0"/>
                <w:sz w:val="24"/>
              </w:rPr>
            </w:pPr>
          </w:p>
          <w:p>
            <w:pPr>
              <w:adjustRightInd w:val="0"/>
              <w:snapToGrid w:val="0"/>
              <w:spacing w:line="360" w:lineRule="auto"/>
              <w:ind w:firstLine="480" w:firstLineChars="200"/>
              <w:rPr>
                <w:kern w:val="0"/>
                <w:sz w:val="24"/>
              </w:rPr>
            </w:pPr>
          </w:p>
          <w:p>
            <w:pPr>
              <w:adjustRightInd w:val="0"/>
              <w:snapToGrid w:val="0"/>
              <w:spacing w:line="360" w:lineRule="auto"/>
              <w:ind w:firstLine="480" w:firstLineChars="200"/>
              <w:rPr>
                <w:kern w:val="0"/>
                <w:sz w:val="24"/>
              </w:rPr>
            </w:pPr>
          </w:p>
          <w:p>
            <w:pPr>
              <w:adjustRightInd w:val="0"/>
              <w:snapToGrid w:val="0"/>
              <w:spacing w:line="360" w:lineRule="auto"/>
              <w:ind w:firstLine="480" w:firstLineChars="200"/>
              <w:rPr>
                <w:kern w:val="0"/>
                <w:sz w:val="24"/>
              </w:rPr>
            </w:pPr>
          </w:p>
          <w:p>
            <w:pPr>
              <w:adjustRightInd w:val="0"/>
              <w:snapToGrid w:val="0"/>
              <w:spacing w:line="360" w:lineRule="auto"/>
              <w:ind w:firstLine="480" w:firstLineChars="200"/>
              <w:rPr>
                <w:kern w:val="0"/>
                <w:sz w:val="24"/>
              </w:rPr>
            </w:pPr>
          </w:p>
          <w:p/>
        </w:tc>
      </w:tr>
    </w:tbl>
    <w:p>
      <w:pPr>
        <w:widowControl/>
        <w:spacing w:line="360" w:lineRule="auto"/>
        <w:jc w:val="left"/>
        <w:rPr>
          <w:sz w:val="30"/>
        </w:rPr>
        <w:sectPr>
          <w:footerReference r:id="rId10" w:type="default"/>
          <w:pgSz w:w="11906" w:h="16838"/>
          <w:pgMar w:top="1418" w:right="1134" w:bottom="1418" w:left="1134" w:header="851" w:footer="1077" w:gutter="0"/>
          <w:pgNumType w:start="1"/>
          <w:cols w:space="720" w:num="1"/>
        </w:sectPr>
      </w:pPr>
    </w:p>
    <w:p>
      <w:pPr>
        <w:pStyle w:val="16"/>
        <w:jc w:val="center"/>
        <w:outlineLvl w:val="0"/>
        <w:rPr>
          <w:rFonts w:ascii="Times New Roman" w:hAnsi="Times New Roman" w:cs="Times New Roman"/>
          <w:snapToGrid w:val="0"/>
          <w:kern w:val="0"/>
          <w:sz w:val="30"/>
          <w:szCs w:val="30"/>
        </w:rPr>
      </w:pPr>
      <w:r>
        <w:rPr>
          <w:rFonts w:ascii="Times New Roman" w:hAnsi="Times New Roman" w:cs="Times New Roman"/>
          <w:snapToGrid w:val="0"/>
          <w:sz w:val="30"/>
          <w:szCs w:val="30"/>
        </w:rPr>
        <w:t>二、建设项目工程分析</w:t>
      </w:r>
    </w:p>
    <w:tbl>
      <w:tblPr>
        <w:tblW w:w="985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right w:w="108" w:type="dxa"/>
        </w:tblCellMar>
      </w:tblPr>
      <w:tblGrid>
        <w:gridCol w:w="711"/>
        <w:gridCol w:w="9139"/>
      </w:tblGrid>
      <w:tr>
        <w:trPr>
          <w:trHeight w:val="1460" w:hRule="atLeast"/>
          <w:jc w:val="center"/>
        </w:trPr>
        <w:tc>
          <w:tcPr>
            <w:tcW w:w="711" w:type="dxa"/>
            <w:tcBorders>
              <w:top w:val="single" w:color="auto" w:sz="8" w:space="0"/>
              <w:left w:val="single" w:color="auto" w:sz="8" w:space="0"/>
              <w:bottom w:val="single" w:color="auto" w:sz="4" w:space="0"/>
              <w:right w:val="single" w:color="auto" w:sz="4" w:space="0"/>
            </w:tcBorders>
            <w:vAlign w:val="center"/>
          </w:tcPr>
          <w:p>
            <w:pPr>
              <w:pStyle w:val="16"/>
              <w:adjustRightInd w:val="0"/>
              <w:snapToGrid w:val="0"/>
              <w:spacing w:before="0" w:beforeAutospacing="0" w:after="0" w:afterAutospacing="0"/>
              <w:jc w:val="center"/>
              <w:rPr>
                <w:rFonts w:ascii="Times New Roman" w:hAnsi="Times New Roman" w:cs="Times New Roman"/>
                <w:sz w:val="21"/>
                <w:szCs w:val="21"/>
              </w:rPr>
            </w:pPr>
            <w:r>
              <w:rPr>
                <w:rFonts w:ascii="Times New Roman" w:hAnsi="Times New Roman" w:cs="Times New Roman"/>
                <w:sz w:val="21"/>
                <w:szCs w:val="21"/>
              </w:rPr>
              <w:t>建设</w:t>
            </w:r>
          </w:p>
          <w:p>
            <w:pPr>
              <w:pStyle w:val="16"/>
              <w:adjustRightInd w:val="0"/>
              <w:snapToGrid w:val="0"/>
              <w:spacing w:before="0" w:beforeAutospacing="0" w:after="0" w:afterAutospacing="0"/>
              <w:jc w:val="center"/>
              <w:rPr>
                <w:rFonts w:ascii="Times New Roman" w:hAnsi="Times New Roman" w:cs="Times New Roman"/>
                <w:sz w:val="21"/>
                <w:szCs w:val="21"/>
              </w:rPr>
            </w:pPr>
            <w:r>
              <w:rPr>
                <w:rFonts w:ascii="Times New Roman" w:hAnsi="Times New Roman" w:cs="Times New Roman"/>
                <w:sz w:val="21"/>
                <w:szCs w:val="21"/>
              </w:rPr>
              <w:t>内容</w:t>
            </w:r>
          </w:p>
        </w:tc>
        <w:tc>
          <w:tcPr>
            <w:tcW w:w="9139" w:type="dxa"/>
            <w:tcBorders>
              <w:top w:val="single" w:color="auto" w:sz="8" w:space="0"/>
              <w:left w:val="single" w:color="auto" w:sz="4" w:space="0"/>
              <w:bottom w:val="single" w:color="auto" w:sz="4" w:space="0"/>
              <w:right w:val="single" w:color="auto" w:sz="8" w:space="0"/>
            </w:tcBorders>
            <w:vAlign w:val="top"/>
          </w:tcPr>
          <w:p>
            <w:pPr>
              <w:spacing w:line="360" w:lineRule="auto"/>
              <w:ind w:firstLine="480"/>
              <w:rPr>
                <w:b/>
                <w:bCs/>
                <w:sz w:val="24"/>
              </w:rPr>
            </w:pPr>
            <w:r>
              <w:rPr>
                <w:rFonts w:hint="eastAsia"/>
                <w:b/>
                <w:bCs/>
                <w:sz w:val="24"/>
              </w:rPr>
              <w:t>1、建设背景</w:t>
            </w:r>
          </w:p>
          <w:p>
            <w:pPr>
              <w:pStyle w:val="9"/>
              <w:ind w:firstLine="480"/>
              <w:rPr>
                <w:rFonts w:cs="Times New Roman"/>
              </w:rPr>
            </w:pPr>
            <w:r>
              <w:rPr>
                <w:rFonts w:hint="eastAsia" w:cs="Times New Roman"/>
              </w:rPr>
              <w:t>柳河县康华牧业有限责任公司为畜禽屠宰企业。生产生活用热依托一台4.0t/h生物质锅炉。由于现有锅炉运行投用时间较长，能耗较高，生产运行成本居高不下，为了节能降耗，故决定拆除重建。本次新建一台4.0t/h的生物质锅炉进行生产、生活用热，替代原有锅炉，生产规模无变化。</w:t>
            </w:r>
            <w:r>
              <w:rPr>
                <w:rFonts w:cs="Times New Roman"/>
              </w:rPr>
              <w:t>根据《产业结构调整指导目录（2024年本）》中规定，本项目建设</w:t>
            </w:r>
            <w:r>
              <w:rPr>
                <w:rFonts w:hint="eastAsia" w:cs="Times New Roman"/>
              </w:rPr>
              <w:t>4.0t/h</w:t>
            </w:r>
            <w:r>
              <w:rPr>
                <w:rFonts w:cs="Times New Roman"/>
              </w:rPr>
              <w:t>生物质锅炉，锅炉炉排为</w:t>
            </w:r>
            <w:r>
              <w:rPr>
                <w:rFonts w:ascii="宋体" w:hAnsi="宋体" w:cs="宋体"/>
              </w:rPr>
              <w:t>单锅筒纵置式链条炉排锅炉</w:t>
            </w:r>
            <w:r>
              <w:rPr>
                <w:rFonts w:cs="Times New Roman"/>
              </w:rPr>
              <w:t>，因此符合国家产业政策。</w:t>
            </w:r>
          </w:p>
          <w:p>
            <w:pPr>
              <w:spacing w:line="360" w:lineRule="auto"/>
              <w:ind w:firstLine="480"/>
              <w:rPr>
                <w:b/>
                <w:bCs/>
                <w:sz w:val="24"/>
                <w:u w:val="single"/>
              </w:rPr>
            </w:pPr>
            <w:r>
              <w:rPr>
                <w:rFonts w:hint="eastAsia"/>
                <w:b/>
                <w:bCs/>
                <w:sz w:val="24"/>
                <w:u w:val="single"/>
              </w:rPr>
              <w:t>2、建设内容</w:t>
            </w:r>
          </w:p>
          <w:p>
            <w:pPr>
              <w:pStyle w:val="9"/>
              <w:ind w:firstLine="480"/>
              <w:rPr>
                <w:rFonts w:cs="Times New Roman"/>
                <w:u w:val="single"/>
              </w:rPr>
            </w:pPr>
            <w:r>
              <w:rPr>
                <w:rFonts w:hint="eastAsia" w:cs="Times New Roman"/>
                <w:u w:val="single"/>
              </w:rPr>
              <w:t>本次建设1座4.0t/h</w:t>
            </w:r>
            <w:r>
              <w:rPr>
                <w:rFonts w:cs="Times New Roman"/>
                <w:u w:val="single"/>
              </w:rPr>
              <w:t>生物质锅炉，</w:t>
            </w:r>
            <w:r>
              <w:rPr>
                <w:rFonts w:hint="eastAsia" w:cs="Times New Roman"/>
                <w:u w:val="single"/>
              </w:rPr>
              <w:t>用于生产、生活用热，锅炉房、原料堆场等贮存设施利旧。本项目建设的生物质锅炉系统为过渡性供热方案，公司承诺待区域集中供热恢复运行并覆盖本项目后，将无条件予以拆除，全面接入集中供热。</w:t>
            </w:r>
          </w:p>
          <w:p>
            <w:pPr>
              <w:pStyle w:val="9"/>
              <w:ind w:firstLine="480"/>
              <w:rPr>
                <w:rFonts w:cs="Times New Roman"/>
                <w:u w:val="single"/>
              </w:rPr>
            </w:pPr>
            <w:r>
              <w:rPr>
                <w:rFonts w:eastAsia="宋体"/>
                <w:color w:val="000000"/>
                <w:u w:val="single"/>
              </w:rPr>
              <w:t>本项目所在位置详见</w:t>
            </w:r>
            <w:r>
              <w:rPr>
                <w:rFonts w:hint="eastAsia" w:eastAsia="宋体"/>
                <w:color w:val="000000"/>
                <w:u w:val="single"/>
              </w:rPr>
              <w:t>附</w:t>
            </w:r>
            <w:r>
              <w:rPr>
                <w:rFonts w:eastAsia="宋体"/>
                <w:color w:val="000000"/>
                <w:u w:val="single"/>
              </w:rPr>
              <w:t>图</w:t>
            </w:r>
            <w:r>
              <w:rPr>
                <w:rFonts w:hint="eastAsia" w:eastAsia="宋体"/>
                <w:color w:val="000000"/>
                <w:u w:val="single"/>
              </w:rPr>
              <w:t>3</w:t>
            </w:r>
            <w:r>
              <w:rPr>
                <w:rFonts w:eastAsia="宋体"/>
                <w:color w:val="000000"/>
                <w:u w:val="single"/>
              </w:rPr>
              <w:t>，现场照片详见</w:t>
            </w:r>
            <w:r>
              <w:rPr>
                <w:rFonts w:hint="eastAsia" w:eastAsia="宋体"/>
                <w:color w:val="000000"/>
                <w:u w:val="single"/>
              </w:rPr>
              <w:t>附</w:t>
            </w:r>
            <w:r>
              <w:rPr>
                <w:rFonts w:eastAsia="宋体"/>
                <w:color w:val="000000"/>
                <w:u w:val="single"/>
              </w:rPr>
              <w:t>图</w:t>
            </w:r>
            <w:r>
              <w:rPr>
                <w:rFonts w:hint="eastAsia" w:eastAsia="宋体"/>
                <w:color w:val="000000"/>
                <w:u w:val="single"/>
              </w:rPr>
              <w:t>4</w:t>
            </w:r>
            <w:r>
              <w:rPr>
                <w:rFonts w:eastAsia="宋体"/>
                <w:color w:val="000000"/>
                <w:u w:val="single"/>
              </w:rPr>
              <w:t>。</w:t>
            </w:r>
            <w:r>
              <w:rPr>
                <w:rFonts w:cs="Times New Roman"/>
                <w:u w:val="single"/>
              </w:rPr>
              <w:t>具体项目工程分析如下：</w:t>
            </w:r>
          </w:p>
          <w:p>
            <w:pPr>
              <w:pStyle w:val="25"/>
              <w:numPr>
                <w:ilvl w:val="0"/>
                <w:numId w:val="0"/>
              </w:numPr>
              <w:ind w:firstLine="284"/>
              <w:rPr>
                <w:rFonts w:ascii="Times New Roman" w:hAnsi="Times New Roman"/>
                <w:b w:val="0"/>
                <w:bCs/>
                <w:u w:val="single"/>
              </w:rPr>
            </w:pPr>
            <w:r>
              <w:rPr>
                <w:rFonts w:ascii="Times New Roman" w:hAnsi="Times New Roman"/>
                <w:b w:val="0"/>
                <w:bCs/>
                <w:u w:val="single"/>
              </w:rPr>
              <w:t>表</w:t>
            </w:r>
            <w:r>
              <w:rPr>
                <w:rFonts w:hint="eastAsia" w:ascii="Times New Roman" w:hAnsi="Times New Roman"/>
                <w:b w:val="0"/>
                <w:bCs/>
                <w:u w:val="single"/>
              </w:rPr>
              <w:t xml:space="preserve">10  </w:t>
            </w:r>
            <w:r>
              <w:rPr>
                <w:rFonts w:ascii="Times New Roman" w:hAnsi="Times New Roman"/>
                <w:b w:val="0"/>
                <w:bCs/>
                <w:u w:val="single"/>
              </w:rPr>
              <w:t>项目</w:t>
            </w:r>
            <w:r>
              <w:rPr>
                <w:rFonts w:hint="eastAsia" w:ascii="Times New Roman" w:hAnsi="Times New Roman"/>
                <w:b w:val="0"/>
                <w:bCs/>
                <w:u w:val="single"/>
              </w:rPr>
              <w:t>工程</w:t>
            </w:r>
            <w:r>
              <w:rPr>
                <w:rFonts w:ascii="Times New Roman" w:hAnsi="Times New Roman"/>
                <w:b w:val="0"/>
                <w:bCs/>
                <w:u w:val="single"/>
              </w:rPr>
              <w:t>组成表</w:t>
            </w:r>
          </w:p>
          <w:tbl>
            <w:tblPr>
              <w:tblW w:w="8923"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816"/>
              <w:gridCol w:w="1479"/>
              <w:gridCol w:w="5473"/>
              <w:gridCol w:w="1155"/>
            </w:tblGrid>
            <w:tr>
              <w:trPr>
                <w:trHeight w:val="340" w:hRule="atLeast"/>
                <w:jc w:val="center"/>
              </w:trPr>
              <w:tc>
                <w:tcPr>
                  <w:tcW w:w="816" w:type="dxa"/>
                  <w:tcBorders>
                    <w:tl2br w:val="nil"/>
                    <w:tr2bl w:val="nil"/>
                  </w:tcBorders>
                  <w:vAlign w:val="center"/>
                </w:tcPr>
                <w:p>
                  <w:pPr>
                    <w:widowControl/>
                    <w:adjustRightInd w:val="0"/>
                    <w:snapToGrid w:val="0"/>
                    <w:jc w:val="center"/>
                    <w:rPr>
                      <w:szCs w:val="21"/>
                      <w:u w:val="single"/>
                      <w:lang w:val="zh-CN"/>
                    </w:rPr>
                  </w:pPr>
                  <w:bookmarkStart w:id="4" w:name="_Hlk193036332"/>
                  <w:r>
                    <w:rPr>
                      <w:szCs w:val="21"/>
                      <w:u w:val="single"/>
                      <w:lang w:val="zh-CN"/>
                    </w:rPr>
                    <w:t>工程类别</w:t>
                  </w:r>
                </w:p>
              </w:tc>
              <w:tc>
                <w:tcPr>
                  <w:tcW w:w="1479" w:type="dxa"/>
                  <w:tcBorders>
                    <w:tl2br w:val="nil"/>
                    <w:tr2bl w:val="nil"/>
                  </w:tcBorders>
                  <w:vAlign w:val="center"/>
                </w:tcPr>
                <w:p>
                  <w:pPr>
                    <w:widowControl/>
                    <w:adjustRightInd w:val="0"/>
                    <w:snapToGrid w:val="0"/>
                    <w:jc w:val="center"/>
                    <w:rPr>
                      <w:szCs w:val="21"/>
                      <w:u w:val="single"/>
                    </w:rPr>
                  </w:pPr>
                  <w:r>
                    <w:rPr>
                      <w:szCs w:val="21"/>
                      <w:u w:val="single"/>
                      <w:lang w:val="zh-CN"/>
                    </w:rPr>
                    <w:t>工程</w:t>
                  </w:r>
                  <w:r>
                    <w:rPr>
                      <w:rFonts w:hint="eastAsia"/>
                      <w:szCs w:val="21"/>
                      <w:u w:val="single"/>
                    </w:rPr>
                    <w:t>名称</w:t>
                  </w:r>
                </w:p>
              </w:tc>
              <w:tc>
                <w:tcPr>
                  <w:tcW w:w="5473" w:type="dxa"/>
                  <w:tcBorders>
                    <w:tl2br w:val="nil"/>
                    <w:tr2bl w:val="nil"/>
                  </w:tcBorders>
                  <w:vAlign w:val="center"/>
                </w:tcPr>
                <w:p>
                  <w:pPr>
                    <w:widowControl/>
                    <w:adjustRightInd w:val="0"/>
                    <w:snapToGrid w:val="0"/>
                    <w:jc w:val="center"/>
                    <w:rPr>
                      <w:szCs w:val="21"/>
                      <w:u w:val="single"/>
                    </w:rPr>
                  </w:pPr>
                  <w:r>
                    <w:rPr>
                      <w:szCs w:val="21"/>
                      <w:u w:val="single"/>
                    </w:rPr>
                    <w:t>工程内容</w:t>
                  </w:r>
                </w:p>
              </w:tc>
              <w:tc>
                <w:tcPr>
                  <w:tcW w:w="1155" w:type="dxa"/>
                  <w:tcBorders>
                    <w:tl2br w:val="nil"/>
                    <w:tr2bl w:val="nil"/>
                  </w:tcBorders>
                  <w:vAlign w:val="center"/>
                </w:tcPr>
                <w:p>
                  <w:pPr>
                    <w:widowControl/>
                    <w:adjustRightInd w:val="0"/>
                    <w:snapToGrid w:val="0"/>
                    <w:jc w:val="center"/>
                    <w:rPr>
                      <w:szCs w:val="21"/>
                      <w:u w:val="single"/>
                      <w:lang w:val="zh-CN"/>
                    </w:rPr>
                  </w:pPr>
                  <w:r>
                    <w:rPr>
                      <w:szCs w:val="21"/>
                      <w:u w:val="single"/>
                      <w:lang w:val="zh-CN"/>
                    </w:rPr>
                    <w:t>备注</w:t>
                  </w:r>
                </w:p>
              </w:tc>
            </w:tr>
            <w:tr>
              <w:trPr>
                <w:trHeight w:val="340" w:hRule="atLeast"/>
                <w:jc w:val="center"/>
              </w:trPr>
              <w:tc>
                <w:tcPr>
                  <w:tcW w:w="816" w:type="dxa"/>
                  <w:tcBorders>
                    <w:tl2br w:val="nil"/>
                    <w:tr2bl w:val="nil"/>
                  </w:tcBorders>
                  <w:vAlign w:val="center"/>
                </w:tcPr>
                <w:p>
                  <w:pPr>
                    <w:widowControl/>
                    <w:adjustRightInd w:val="0"/>
                    <w:snapToGrid w:val="0"/>
                    <w:jc w:val="center"/>
                    <w:rPr>
                      <w:szCs w:val="21"/>
                      <w:u w:val="single"/>
                      <w:lang w:val="zh-CN"/>
                    </w:rPr>
                  </w:pPr>
                  <w:r>
                    <w:rPr>
                      <w:szCs w:val="21"/>
                      <w:u w:val="single"/>
                    </w:rPr>
                    <w:t>主体工程</w:t>
                  </w:r>
                </w:p>
              </w:tc>
              <w:tc>
                <w:tcPr>
                  <w:tcW w:w="1479" w:type="dxa"/>
                  <w:tcBorders>
                    <w:tl2br w:val="nil"/>
                    <w:tr2bl w:val="nil"/>
                  </w:tcBorders>
                  <w:vAlign w:val="center"/>
                </w:tcPr>
                <w:p>
                  <w:pPr>
                    <w:adjustRightInd w:val="0"/>
                    <w:snapToGrid w:val="0"/>
                    <w:jc w:val="center"/>
                    <w:rPr>
                      <w:szCs w:val="21"/>
                      <w:u w:val="single"/>
                    </w:rPr>
                  </w:pPr>
                  <w:r>
                    <w:rPr>
                      <w:szCs w:val="21"/>
                      <w:u w:val="single"/>
                    </w:rPr>
                    <w:t>生物质锅炉</w:t>
                  </w:r>
                </w:p>
              </w:tc>
              <w:tc>
                <w:tcPr>
                  <w:tcW w:w="5473" w:type="dxa"/>
                  <w:tcBorders>
                    <w:tl2br w:val="nil"/>
                    <w:tr2bl w:val="nil"/>
                  </w:tcBorders>
                  <w:vAlign w:val="center"/>
                </w:tcPr>
                <w:p>
                  <w:pPr>
                    <w:adjustRightInd w:val="0"/>
                    <w:snapToGrid w:val="0"/>
                    <w:jc w:val="center"/>
                    <w:rPr>
                      <w:szCs w:val="21"/>
                      <w:u w:val="single"/>
                    </w:rPr>
                  </w:pPr>
                  <w:r>
                    <w:rPr>
                      <w:szCs w:val="21"/>
                      <w:u w:val="single"/>
                    </w:rPr>
                    <w:t>新建1台</w:t>
                  </w:r>
                  <w:r>
                    <w:rPr>
                      <w:rFonts w:hint="eastAsia"/>
                      <w:szCs w:val="21"/>
                      <w:u w:val="single"/>
                    </w:rPr>
                    <w:t>4.0t/h</w:t>
                  </w:r>
                  <w:r>
                    <w:rPr>
                      <w:szCs w:val="21"/>
                      <w:u w:val="single"/>
                    </w:rPr>
                    <w:t>生物质锅炉，</w:t>
                  </w:r>
                  <w:r>
                    <w:rPr>
                      <w:rFonts w:hint="eastAsia"/>
                      <w:szCs w:val="21"/>
                      <w:u w:val="single"/>
                    </w:rPr>
                    <w:t>用于生产、生活用热。布袋除尘器+陶瓷多管除尘器依托现有装置。</w:t>
                  </w:r>
                </w:p>
              </w:tc>
              <w:tc>
                <w:tcPr>
                  <w:tcW w:w="1155" w:type="dxa"/>
                  <w:tcBorders>
                    <w:tl2br w:val="nil"/>
                    <w:tr2bl w:val="nil"/>
                  </w:tcBorders>
                  <w:vAlign w:val="center"/>
                </w:tcPr>
                <w:p>
                  <w:pPr>
                    <w:widowControl/>
                    <w:adjustRightInd w:val="0"/>
                    <w:snapToGrid w:val="0"/>
                    <w:jc w:val="center"/>
                    <w:rPr>
                      <w:szCs w:val="21"/>
                      <w:u w:val="single"/>
                    </w:rPr>
                  </w:pPr>
                  <w:r>
                    <w:rPr>
                      <w:rFonts w:hint="eastAsia"/>
                      <w:szCs w:val="21"/>
                      <w:u w:val="single"/>
                    </w:rPr>
                    <w:t>锅炉拆除重</w:t>
                  </w:r>
                  <w:r>
                    <w:rPr>
                      <w:szCs w:val="21"/>
                      <w:u w:val="single"/>
                    </w:rPr>
                    <w:t>建</w:t>
                  </w:r>
                </w:p>
              </w:tc>
            </w:tr>
            <w:tr>
              <w:trPr>
                <w:trHeight w:val="340" w:hRule="atLeast"/>
                <w:jc w:val="center"/>
              </w:trPr>
              <w:tc>
                <w:tcPr>
                  <w:tcW w:w="816" w:type="dxa"/>
                  <w:vMerge w:val="restart"/>
                  <w:tcBorders>
                    <w:tl2br w:val="nil"/>
                    <w:tr2bl w:val="nil"/>
                  </w:tcBorders>
                  <w:vAlign w:val="center"/>
                </w:tcPr>
                <w:p>
                  <w:pPr>
                    <w:widowControl/>
                    <w:adjustRightInd w:val="0"/>
                    <w:snapToGrid w:val="0"/>
                    <w:jc w:val="center"/>
                    <w:rPr>
                      <w:szCs w:val="21"/>
                      <w:u w:val="single"/>
                    </w:rPr>
                  </w:pPr>
                  <w:r>
                    <w:rPr>
                      <w:szCs w:val="21"/>
                      <w:u w:val="single"/>
                    </w:rPr>
                    <w:t>储运工程</w:t>
                  </w:r>
                </w:p>
              </w:tc>
              <w:tc>
                <w:tcPr>
                  <w:tcW w:w="1479" w:type="dxa"/>
                  <w:tcBorders>
                    <w:tl2br w:val="nil"/>
                    <w:tr2bl w:val="nil"/>
                  </w:tcBorders>
                  <w:vAlign w:val="center"/>
                </w:tcPr>
                <w:p>
                  <w:pPr>
                    <w:widowControl/>
                    <w:adjustRightInd w:val="0"/>
                    <w:snapToGrid w:val="0"/>
                    <w:jc w:val="center"/>
                    <w:rPr>
                      <w:szCs w:val="21"/>
                      <w:u w:val="single"/>
                    </w:rPr>
                  </w:pPr>
                  <w:r>
                    <w:rPr>
                      <w:rFonts w:hint="eastAsia"/>
                      <w:szCs w:val="21"/>
                      <w:u w:val="single"/>
                    </w:rPr>
                    <w:t>锅炉房</w:t>
                  </w:r>
                </w:p>
              </w:tc>
              <w:tc>
                <w:tcPr>
                  <w:tcW w:w="5473" w:type="dxa"/>
                  <w:tcBorders>
                    <w:tl2br w:val="nil"/>
                    <w:tr2bl w:val="nil"/>
                  </w:tcBorders>
                  <w:vAlign w:val="center"/>
                </w:tcPr>
                <w:p>
                  <w:pPr>
                    <w:widowControl/>
                    <w:adjustRightInd w:val="0"/>
                    <w:snapToGrid w:val="0"/>
                    <w:jc w:val="center"/>
                    <w:rPr>
                      <w:szCs w:val="21"/>
                      <w:u w:val="single"/>
                    </w:rPr>
                  </w:pPr>
                  <w:r>
                    <w:rPr>
                      <w:rFonts w:hint="eastAsia"/>
                      <w:szCs w:val="21"/>
                      <w:u w:val="single"/>
                    </w:rPr>
                    <w:t>依托现有锅炉房，锅炉房位于厂区南侧，占地面积约为330m</w:t>
                  </w:r>
                  <w:r>
                    <w:rPr>
                      <w:rFonts w:hint="eastAsia"/>
                      <w:szCs w:val="21"/>
                      <w:u w:val="single"/>
                      <w:vertAlign w:val="superscript"/>
                    </w:rPr>
                    <w:t>2</w:t>
                  </w:r>
                  <w:r>
                    <w:rPr>
                      <w:rFonts w:hint="eastAsia"/>
                      <w:szCs w:val="21"/>
                      <w:u w:val="single"/>
                    </w:rPr>
                    <w:t>。</w:t>
                  </w:r>
                </w:p>
              </w:tc>
              <w:tc>
                <w:tcPr>
                  <w:tcW w:w="1155" w:type="dxa"/>
                  <w:tcBorders>
                    <w:tl2br w:val="nil"/>
                    <w:tr2bl w:val="nil"/>
                  </w:tcBorders>
                  <w:vAlign w:val="center"/>
                </w:tcPr>
                <w:p>
                  <w:pPr>
                    <w:widowControl/>
                    <w:adjustRightInd w:val="0"/>
                    <w:snapToGrid w:val="0"/>
                    <w:jc w:val="center"/>
                    <w:rPr>
                      <w:szCs w:val="21"/>
                      <w:u w:val="single"/>
                    </w:rPr>
                  </w:pPr>
                  <w:r>
                    <w:rPr>
                      <w:rFonts w:hint="eastAsia"/>
                      <w:szCs w:val="21"/>
                      <w:u w:val="single"/>
                    </w:rPr>
                    <w:t>利旧</w:t>
                  </w:r>
                </w:p>
              </w:tc>
            </w:tr>
            <w:tr>
              <w:trPr>
                <w:trHeight w:val="340" w:hRule="atLeast"/>
                <w:jc w:val="center"/>
              </w:trPr>
              <w:tc>
                <w:tcPr>
                  <w:tcW w:w="816" w:type="dxa"/>
                  <w:vMerge w:val="continue"/>
                  <w:tcBorders>
                    <w:tl2br w:val="nil"/>
                    <w:tr2bl w:val="nil"/>
                  </w:tcBorders>
                  <w:vAlign w:val="center"/>
                </w:tcPr>
                <w:p>
                  <w:pPr>
                    <w:widowControl/>
                    <w:adjustRightInd w:val="0"/>
                    <w:snapToGrid w:val="0"/>
                    <w:jc w:val="center"/>
                    <w:rPr>
                      <w:szCs w:val="21"/>
                      <w:u w:val="single"/>
                    </w:rPr>
                  </w:pPr>
                </w:p>
              </w:tc>
              <w:tc>
                <w:tcPr>
                  <w:tcW w:w="1479" w:type="dxa"/>
                  <w:tcBorders>
                    <w:tl2br w:val="nil"/>
                    <w:tr2bl w:val="nil"/>
                  </w:tcBorders>
                  <w:vAlign w:val="center"/>
                </w:tcPr>
                <w:p>
                  <w:pPr>
                    <w:widowControl/>
                    <w:adjustRightInd w:val="0"/>
                    <w:snapToGrid w:val="0"/>
                    <w:jc w:val="center"/>
                    <w:rPr>
                      <w:szCs w:val="21"/>
                      <w:u w:val="single"/>
                    </w:rPr>
                  </w:pPr>
                  <w:r>
                    <w:rPr>
                      <w:rFonts w:hint="eastAsia"/>
                      <w:szCs w:val="21"/>
                      <w:u w:val="single"/>
                    </w:rPr>
                    <w:t>燃料堆场</w:t>
                  </w:r>
                </w:p>
              </w:tc>
              <w:tc>
                <w:tcPr>
                  <w:tcW w:w="5473" w:type="dxa"/>
                  <w:tcBorders>
                    <w:tl2br w:val="nil"/>
                    <w:tr2bl w:val="nil"/>
                  </w:tcBorders>
                  <w:vAlign w:val="center"/>
                </w:tcPr>
                <w:p>
                  <w:pPr>
                    <w:widowControl/>
                    <w:adjustRightInd w:val="0"/>
                    <w:snapToGrid w:val="0"/>
                    <w:jc w:val="center"/>
                    <w:rPr>
                      <w:szCs w:val="21"/>
                      <w:u w:val="single"/>
                    </w:rPr>
                  </w:pPr>
                  <w:r>
                    <w:rPr>
                      <w:rFonts w:hint="eastAsia"/>
                      <w:szCs w:val="21"/>
                      <w:u w:val="single"/>
                    </w:rPr>
                    <w:t>依托现有燃料堆场，</w:t>
                  </w:r>
                  <w:r>
                    <w:rPr>
                      <w:szCs w:val="21"/>
                      <w:u w:val="single"/>
                    </w:rPr>
                    <w:t>生物质颗粒</w:t>
                  </w:r>
                  <w:r>
                    <w:rPr>
                      <w:rFonts w:hint="eastAsia"/>
                      <w:szCs w:val="21"/>
                      <w:u w:val="single"/>
                    </w:rPr>
                    <w:t>燃料</w:t>
                  </w:r>
                  <w:r>
                    <w:rPr>
                      <w:szCs w:val="21"/>
                      <w:u w:val="single"/>
                    </w:rPr>
                    <w:t>袋装储存于锅炉</w:t>
                  </w:r>
                  <w:r>
                    <w:rPr>
                      <w:rFonts w:hint="eastAsia"/>
                      <w:szCs w:val="21"/>
                      <w:u w:val="single"/>
                    </w:rPr>
                    <w:t>房内暂存，占地面积约为50m</w:t>
                  </w:r>
                  <w:r>
                    <w:rPr>
                      <w:rFonts w:hint="eastAsia"/>
                      <w:szCs w:val="21"/>
                      <w:u w:val="single"/>
                      <w:vertAlign w:val="superscript"/>
                    </w:rPr>
                    <w:t>2</w:t>
                  </w:r>
                  <w:r>
                    <w:rPr>
                      <w:rFonts w:hint="eastAsia"/>
                      <w:szCs w:val="21"/>
                      <w:u w:val="single"/>
                    </w:rPr>
                    <w:t>。</w:t>
                  </w:r>
                </w:p>
              </w:tc>
              <w:tc>
                <w:tcPr>
                  <w:tcW w:w="1155" w:type="dxa"/>
                  <w:tcBorders>
                    <w:tl2br w:val="nil"/>
                    <w:tr2bl w:val="nil"/>
                  </w:tcBorders>
                  <w:vAlign w:val="center"/>
                </w:tcPr>
                <w:p>
                  <w:pPr>
                    <w:widowControl/>
                    <w:adjustRightInd w:val="0"/>
                    <w:snapToGrid w:val="0"/>
                    <w:jc w:val="center"/>
                    <w:rPr>
                      <w:szCs w:val="21"/>
                      <w:u w:val="single"/>
                    </w:rPr>
                  </w:pPr>
                  <w:r>
                    <w:rPr>
                      <w:rFonts w:hint="eastAsia"/>
                      <w:szCs w:val="21"/>
                      <w:u w:val="single"/>
                    </w:rPr>
                    <w:t>利旧</w:t>
                  </w:r>
                </w:p>
              </w:tc>
            </w:tr>
            <w:tr>
              <w:trPr>
                <w:trHeight w:val="340" w:hRule="atLeast"/>
                <w:jc w:val="center"/>
              </w:trPr>
              <w:tc>
                <w:tcPr>
                  <w:tcW w:w="816" w:type="dxa"/>
                  <w:vMerge w:val="continue"/>
                  <w:tcBorders>
                    <w:tl2br w:val="nil"/>
                    <w:tr2bl w:val="nil"/>
                  </w:tcBorders>
                  <w:vAlign w:val="center"/>
                </w:tcPr>
                <w:p>
                  <w:pPr>
                    <w:widowControl/>
                    <w:adjustRightInd w:val="0"/>
                    <w:snapToGrid w:val="0"/>
                    <w:jc w:val="center"/>
                    <w:rPr>
                      <w:szCs w:val="21"/>
                      <w:u w:val="single"/>
                    </w:rPr>
                  </w:pPr>
                </w:p>
              </w:tc>
              <w:tc>
                <w:tcPr>
                  <w:tcW w:w="1479" w:type="dxa"/>
                  <w:tcBorders>
                    <w:tl2br w:val="nil"/>
                    <w:tr2bl w:val="nil"/>
                  </w:tcBorders>
                  <w:vAlign w:val="center"/>
                </w:tcPr>
                <w:p>
                  <w:pPr>
                    <w:widowControl/>
                    <w:adjustRightInd w:val="0"/>
                    <w:snapToGrid w:val="0"/>
                    <w:jc w:val="center"/>
                    <w:rPr>
                      <w:szCs w:val="21"/>
                      <w:u w:val="single"/>
                    </w:rPr>
                  </w:pPr>
                  <w:r>
                    <w:rPr>
                      <w:szCs w:val="21"/>
                      <w:u w:val="single"/>
                    </w:rPr>
                    <w:t>生物质灰渣</w:t>
                  </w:r>
                  <w:r>
                    <w:rPr>
                      <w:rStyle w:val="20"/>
                      <w:rFonts w:hint="eastAsia"/>
                      <w:u w:val="single"/>
                    </w:rPr>
                    <w:t>暂存区</w:t>
                  </w:r>
                </w:p>
              </w:tc>
              <w:tc>
                <w:tcPr>
                  <w:tcW w:w="5473" w:type="dxa"/>
                  <w:tcBorders>
                    <w:tl2br w:val="nil"/>
                    <w:tr2bl w:val="nil"/>
                  </w:tcBorders>
                  <w:vAlign w:val="center"/>
                </w:tcPr>
                <w:p>
                  <w:pPr>
                    <w:widowControl/>
                    <w:adjustRightInd w:val="0"/>
                    <w:snapToGrid w:val="0"/>
                    <w:jc w:val="center"/>
                    <w:rPr>
                      <w:szCs w:val="21"/>
                      <w:u w:val="single"/>
                    </w:rPr>
                  </w:pPr>
                  <w:r>
                    <w:rPr>
                      <w:rFonts w:hint="eastAsia"/>
                      <w:szCs w:val="21"/>
                      <w:u w:val="single"/>
                    </w:rPr>
                    <w:t>依托现有灰渣暂存区，</w:t>
                  </w:r>
                  <w:r>
                    <w:rPr>
                      <w:szCs w:val="21"/>
                      <w:u w:val="single"/>
                    </w:rPr>
                    <w:t>生物质灰渣及除尘灰袋装储存于锅炉</w:t>
                  </w:r>
                  <w:r>
                    <w:rPr>
                      <w:rFonts w:hint="eastAsia"/>
                      <w:szCs w:val="21"/>
                      <w:u w:val="single"/>
                    </w:rPr>
                    <w:t>房内，占地面积约为50m</w:t>
                  </w:r>
                  <w:r>
                    <w:rPr>
                      <w:rFonts w:hint="eastAsia"/>
                      <w:szCs w:val="21"/>
                      <w:u w:val="single"/>
                      <w:vertAlign w:val="superscript"/>
                    </w:rPr>
                    <w:t>2</w:t>
                  </w:r>
                  <w:r>
                    <w:rPr>
                      <w:rFonts w:hint="eastAsia"/>
                      <w:szCs w:val="21"/>
                      <w:u w:val="single"/>
                    </w:rPr>
                    <w:t>。</w:t>
                  </w:r>
                </w:p>
              </w:tc>
              <w:tc>
                <w:tcPr>
                  <w:tcW w:w="1155" w:type="dxa"/>
                  <w:tcBorders>
                    <w:tl2br w:val="nil"/>
                    <w:tr2bl w:val="nil"/>
                  </w:tcBorders>
                  <w:vAlign w:val="center"/>
                </w:tcPr>
                <w:p>
                  <w:pPr>
                    <w:widowControl/>
                    <w:adjustRightInd w:val="0"/>
                    <w:snapToGrid w:val="0"/>
                    <w:jc w:val="center"/>
                    <w:rPr>
                      <w:szCs w:val="21"/>
                      <w:u w:val="single"/>
                    </w:rPr>
                  </w:pPr>
                  <w:r>
                    <w:rPr>
                      <w:rFonts w:hint="eastAsia"/>
                      <w:szCs w:val="21"/>
                      <w:u w:val="single"/>
                    </w:rPr>
                    <w:t>利旧</w:t>
                  </w:r>
                </w:p>
              </w:tc>
            </w:tr>
            <w:tr>
              <w:trPr>
                <w:trHeight w:val="340" w:hRule="atLeast"/>
                <w:jc w:val="center"/>
              </w:trPr>
              <w:tc>
                <w:tcPr>
                  <w:tcW w:w="816" w:type="dxa"/>
                  <w:vMerge w:val="restart"/>
                  <w:tcBorders>
                    <w:tl2br w:val="nil"/>
                    <w:tr2bl w:val="nil"/>
                  </w:tcBorders>
                  <w:vAlign w:val="center"/>
                </w:tcPr>
                <w:p>
                  <w:pPr>
                    <w:widowControl/>
                    <w:adjustRightInd w:val="0"/>
                    <w:snapToGrid w:val="0"/>
                    <w:jc w:val="center"/>
                    <w:rPr>
                      <w:szCs w:val="21"/>
                      <w:u w:val="single"/>
                    </w:rPr>
                  </w:pPr>
                  <w:r>
                    <w:rPr>
                      <w:szCs w:val="21"/>
                      <w:u w:val="single"/>
                    </w:rPr>
                    <w:t>辅助工程</w:t>
                  </w:r>
                </w:p>
              </w:tc>
              <w:tc>
                <w:tcPr>
                  <w:tcW w:w="1479" w:type="dxa"/>
                  <w:tcBorders>
                    <w:tl2br w:val="nil"/>
                    <w:tr2bl w:val="nil"/>
                  </w:tcBorders>
                  <w:vAlign w:val="center"/>
                </w:tcPr>
                <w:p>
                  <w:pPr>
                    <w:widowControl/>
                    <w:adjustRightInd w:val="0"/>
                    <w:snapToGrid w:val="0"/>
                    <w:jc w:val="center"/>
                    <w:rPr>
                      <w:szCs w:val="21"/>
                      <w:u w:val="single"/>
                    </w:rPr>
                  </w:pPr>
                  <w:r>
                    <w:rPr>
                      <w:szCs w:val="21"/>
                      <w:u w:val="single"/>
                    </w:rPr>
                    <w:t>上料系统</w:t>
                  </w:r>
                </w:p>
              </w:tc>
              <w:tc>
                <w:tcPr>
                  <w:tcW w:w="5473" w:type="dxa"/>
                  <w:tcBorders>
                    <w:tl2br w:val="nil"/>
                    <w:tr2bl w:val="nil"/>
                  </w:tcBorders>
                  <w:vAlign w:val="center"/>
                </w:tcPr>
                <w:p>
                  <w:pPr>
                    <w:widowControl/>
                    <w:adjustRightInd w:val="0"/>
                    <w:snapToGrid w:val="0"/>
                    <w:jc w:val="center"/>
                    <w:rPr>
                      <w:szCs w:val="21"/>
                      <w:u w:val="single"/>
                    </w:rPr>
                  </w:pPr>
                  <w:r>
                    <w:rPr>
                      <w:rFonts w:hint="eastAsia"/>
                      <w:szCs w:val="21"/>
                      <w:u w:val="single"/>
                    </w:rPr>
                    <w:t>依托现有</w:t>
                  </w:r>
                  <w:r>
                    <w:rPr>
                      <w:szCs w:val="21"/>
                      <w:u w:val="single"/>
                    </w:rPr>
                    <w:t>自动上料系统</w:t>
                  </w:r>
                  <w:r>
                    <w:rPr>
                      <w:rFonts w:hint="eastAsia"/>
                      <w:szCs w:val="21"/>
                      <w:u w:val="single"/>
                    </w:rPr>
                    <w:t>。</w:t>
                  </w:r>
                </w:p>
              </w:tc>
              <w:tc>
                <w:tcPr>
                  <w:tcW w:w="1155" w:type="dxa"/>
                  <w:tcBorders>
                    <w:tl2br w:val="nil"/>
                    <w:tr2bl w:val="nil"/>
                  </w:tcBorders>
                  <w:vAlign w:val="center"/>
                </w:tcPr>
                <w:p>
                  <w:pPr>
                    <w:widowControl/>
                    <w:adjustRightInd w:val="0"/>
                    <w:snapToGrid w:val="0"/>
                    <w:jc w:val="center"/>
                    <w:rPr>
                      <w:szCs w:val="21"/>
                      <w:u w:val="single"/>
                    </w:rPr>
                  </w:pPr>
                  <w:r>
                    <w:rPr>
                      <w:rFonts w:hint="eastAsia"/>
                      <w:szCs w:val="21"/>
                      <w:u w:val="single"/>
                    </w:rPr>
                    <w:t>利旧</w:t>
                  </w:r>
                </w:p>
              </w:tc>
            </w:tr>
            <w:tr>
              <w:trPr>
                <w:trHeight w:val="340" w:hRule="atLeast"/>
                <w:jc w:val="center"/>
              </w:trPr>
              <w:tc>
                <w:tcPr>
                  <w:tcW w:w="816" w:type="dxa"/>
                  <w:vMerge w:val="continue"/>
                  <w:tcBorders>
                    <w:tl2br w:val="nil"/>
                    <w:tr2bl w:val="nil"/>
                  </w:tcBorders>
                  <w:vAlign w:val="center"/>
                </w:tcPr>
                <w:p>
                  <w:pPr>
                    <w:widowControl/>
                    <w:adjustRightInd w:val="0"/>
                    <w:snapToGrid w:val="0"/>
                    <w:jc w:val="center"/>
                    <w:rPr>
                      <w:szCs w:val="21"/>
                      <w:u w:val="single"/>
                    </w:rPr>
                  </w:pPr>
                </w:p>
              </w:tc>
              <w:tc>
                <w:tcPr>
                  <w:tcW w:w="1479" w:type="dxa"/>
                  <w:tcBorders>
                    <w:tl2br w:val="nil"/>
                    <w:tr2bl w:val="nil"/>
                  </w:tcBorders>
                  <w:vAlign w:val="center"/>
                </w:tcPr>
                <w:p>
                  <w:pPr>
                    <w:widowControl/>
                    <w:adjustRightInd w:val="0"/>
                    <w:snapToGrid w:val="0"/>
                    <w:jc w:val="center"/>
                    <w:rPr>
                      <w:szCs w:val="21"/>
                      <w:u w:val="single"/>
                    </w:rPr>
                  </w:pPr>
                  <w:r>
                    <w:rPr>
                      <w:szCs w:val="21"/>
                      <w:u w:val="single"/>
                    </w:rPr>
                    <w:t>除灰渣系统</w:t>
                  </w:r>
                </w:p>
              </w:tc>
              <w:tc>
                <w:tcPr>
                  <w:tcW w:w="5473" w:type="dxa"/>
                  <w:tcBorders>
                    <w:tl2br w:val="nil"/>
                    <w:tr2bl w:val="nil"/>
                  </w:tcBorders>
                  <w:vAlign w:val="center"/>
                </w:tcPr>
                <w:p>
                  <w:pPr>
                    <w:widowControl/>
                    <w:adjustRightInd w:val="0"/>
                    <w:snapToGrid w:val="0"/>
                    <w:jc w:val="center"/>
                    <w:rPr>
                      <w:szCs w:val="21"/>
                      <w:u w:val="single"/>
                    </w:rPr>
                  </w:pPr>
                  <w:r>
                    <w:rPr>
                      <w:rFonts w:hint="eastAsia"/>
                      <w:szCs w:val="21"/>
                      <w:u w:val="single"/>
                    </w:rPr>
                    <w:t>依托现有</w:t>
                  </w:r>
                  <w:r>
                    <w:rPr>
                      <w:szCs w:val="21"/>
                      <w:u w:val="single"/>
                    </w:rPr>
                    <w:t>除灰渣系统</w:t>
                  </w:r>
                  <w:r>
                    <w:rPr>
                      <w:rFonts w:hint="eastAsia"/>
                      <w:szCs w:val="21"/>
                      <w:u w:val="single"/>
                    </w:rPr>
                    <w:t>。</w:t>
                  </w:r>
                </w:p>
              </w:tc>
              <w:tc>
                <w:tcPr>
                  <w:tcW w:w="1155" w:type="dxa"/>
                  <w:tcBorders>
                    <w:tl2br w:val="nil"/>
                    <w:tr2bl w:val="nil"/>
                  </w:tcBorders>
                  <w:vAlign w:val="center"/>
                </w:tcPr>
                <w:p>
                  <w:pPr>
                    <w:widowControl/>
                    <w:adjustRightInd w:val="0"/>
                    <w:snapToGrid w:val="0"/>
                    <w:jc w:val="center"/>
                    <w:rPr>
                      <w:szCs w:val="21"/>
                      <w:u w:val="single"/>
                    </w:rPr>
                  </w:pPr>
                  <w:r>
                    <w:rPr>
                      <w:rFonts w:hint="eastAsia"/>
                      <w:szCs w:val="21"/>
                      <w:u w:val="single"/>
                    </w:rPr>
                    <w:t>利旧</w:t>
                  </w:r>
                </w:p>
              </w:tc>
            </w:tr>
            <w:tr>
              <w:trPr>
                <w:trHeight w:val="340" w:hRule="atLeast"/>
                <w:jc w:val="center"/>
              </w:trPr>
              <w:tc>
                <w:tcPr>
                  <w:tcW w:w="816" w:type="dxa"/>
                  <w:vMerge w:val="continue"/>
                  <w:tcBorders>
                    <w:tl2br w:val="nil"/>
                    <w:tr2bl w:val="nil"/>
                  </w:tcBorders>
                  <w:vAlign w:val="center"/>
                </w:tcPr>
                <w:p>
                  <w:pPr>
                    <w:widowControl/>
                    <w:adjustRightInd w:val="0"/>
                    <w:snapToGrid w:val="0"/>
                    <w:jc w:val="center"/>
                    <w:rPr>
                      <w:szCs w:val="21"/>
                      <w:u w:val="single"/>
                    </w:rPr>
                  </w:pPr>
                </w:p>
              </w:tc>
              <w:tc>
                <w:tcPr>
                  <w:tcW w:w="1479" w:type="dxa"/>
                  <w:tcBorders>
                    <w:tl2br w:val="nil"/>
                    <w:tr2bl w:val="nil"/>
                  </w:tcBorders>
                  <w:vAlign w:val="center"/>
                </w:tcPr>
                <w:p>
                  <w:pPr>
                    <w:widowControl/>
                    <w:adjustRightInd w:val="0"/>
                    <w:snapToGrid w:val="0"/>
                    <w:jc w:val="center"/>
                    <w:rPr>
                      <w:szCs w:val="21"/>
                      <w:u w:val="single"/>
                    </w:rPr>
                  </w:pPr>
                  <w:r>
                    <w:rPr>
                      <w:rFonts w:hint="eastAsia"/>
                      <w:szCs w:val="21"/>
                      <w:u w:val="single"/>
                    </w:rPr>
                    <w:t>烟囱</w:t>
                  </w:r>
                </w:p>
              </w:tc>
              <w:tc>
                <w:tcPr>
                  <w:tcW w:w="5473" w:type="dxa"/>
                  <w:tcBorders>
                    <w:tl2br w:val="nil"/>
                    <w:tr2bl w:val="nil"/>
                  </w:tcBorders>
                  <w:vAlign w:val="center"/>
                </w:tcPr>
                <w:p>
                  <w:pPr>
                    <w:widowControl/>
                    <w:adjustRightInd w:val="0"/>
                    <w:snapToGrid w:val="0"/>
                    <w:jc w:val="center"/>
                    <w:rPr>
                      <w:szCs w:val="21"/>
                      <w:u w:val="single"/>
                    </w:rPr>
                  </w:pPr>
                  <w:r>
                    <w:rPr>
                      <w:rFonts w:hint="eastAsia"/>
                      <w:szCs w:val="21"/>
                      <w:u w:val="single"/>
                    </w:rPr>
                    <w:t>现有烟囱为1根36m高的烟囱。</w:t>
                  </w:r>
                </w:p>
              </w:tc>
              <w:tc>
                <w:tcPr>
                  <w:tcW w:w="1155" w:type="dxa"/>
                  <w:tcBorders>
                    <w:tl2br w:val="nil"/>
                    <w:tr2bl w:val="nil"/>
                  </w:tcBorders>
                  <w:vAlign w:val="center"/>
                </w:tcPr>
                <w:p>
                  <w:pPr>
                    <w:widowControl/>
                    <w:adjustRightInd w:val="0"/>
                    <w:snapToGrid w:val="0"/>
                    <w:jc w:val="center"/>
                    <w:rPr>
                      <w:szCs w:val="21"/>
                      <w:u w:val="single"/>
                    </w:rPr>
                  </w:pPr>
                  <w:r>
                    <w:rPr>
                      <w:rFonts w:hint="eastAsia"/>
                      <w:szCs w:val="21"/>
                      <w:u w:val="single"/>
                    </w:rPr>
                    <w:t>利旧</w:t>
                  </w:r>
                </w:p>
              </w:tc>
            </w:tr>
            <w:tr>
              <w:trPr>
                <w:trHeight w:val="340" w:hRule="atLeast"/>
                <w:jc w:val="center"/>
              </w:trPr>
              <w:tc>
                <w:tcPr>
                  <w:tcW w:w="816" w:type="dxa"/>
                  <w:vMerge w:val="restart"/>
                  <w:tcBorders>
                    <w:tl2br w:val="nil"/>
                    <w:tr2bl w:val="nil"/>
                  </w:tcBorders>
                  <w:vAlign w:val="center"/>
                </w:tcPr>
                <w:p>
                  <w:pPr>
                    <w:widowControl/>
                    <w:adjustRightInd w:val="0"/>
                    <w:snapToGrid w:val="0"/>
                    <w:jc w:val="center"/>
                    <w:rPr>
                      <w:szCs w:val="21"/>
                      <w:u w:val="single"/>
                    </w:rPr>
                  </w:pPr>
                  <w:r>
                    <w:rPr>
                      <w:szCs w:val="21"/>
                      <w:u w:val="single"/>
                      <w:lang w:val="zh-CN"/>
                    </w:rPr>
                    <w:t>公用</w:t>
                  </w:r>
                  <w:r>
                    <w:rPr>
                      <w:szCs w:val="21"/>
                      <w:u w:val="single"/>
                    </w:rPr>
                    <w:t>工程</w:t>
                  </w:r>
                </w:p>
              </w:tc>
              <w:tc>
                <w:tcPr>
                  <w:tcW w:w="1479" w:type="dxa"/>
                  <w:tcBorders>
                    <w:tl2br w:val="nil"/>
                    <w:tr2bl w:val="nil"/>
                  </w:tcBorders>
                  <w:vAlign w:val="center"/>
                </w:tcPr>
                <w:p>
                  <w:pPr>
                    <w:widowControl/>
                    <w:adjustRightInd w:val="0"/>
                    <w:snapToGrid w:val="0"/>
                    <w:jc w:val="center"/>
                    <w:rPr>
                      <w:szCs w:val="21"/>
                      <w:u w:val="single"/>
                    </w:rPr>
                  </w:pPr>
                  <w:r>
                    <w:rPr>
                      <w:szCs w:val="21"/>
                      <w:u w:val="single"/>
                    </w:rPr>
                    <w:t>供水</w:t>
                  </w:r>
                </w:p>
              </w:tc>
              <w:tc>
                <w:tcPr>
                  <w:tcW w:w="5473" w:type="dxa"/>
                  <w:tcBorders>
                    <w:tl2br w:val="nil"/>
                    <w:tr2bl w:val="nil"/>
                  </w:tcBorders>
                  <w:vAlign w:val="center"/>
                </w:tcPr>
                <w:p>
                  <w:pPr>
                    <w:widowControl/>
                    <w:adjustRightInd w:val="0"/>
                    <w:snapToGrid w:val="0"/>
                    <w:jc w:val="center"/>
                    <w:rPr>
                      <w:szCs w:val="21"/>
                      <w:u w:val="single"/>
                    </w:rPr>
                  </w:pPr>
                  <w:r>
                    <w:rPr>
                      <w:szCs w:val="21"/>
                      <w:u w:val="single"/>
                    </w:rPr>
                    <w:t>由</w:t>
                  </w:r>
                  <w:r>
                    <w:rPr>
                      <w:rFonts w:hint="eastAsia"/>
                      <w:szCs w:val="21"/>
                      <w:u w:val="single"/>
                    </w:rPr>
                    <w:t>现场水井</w:t>
                  </w:r>
                  <w:r>
                    <w:rPr>
                      <w:szCs w:val="21"/>
                      <w:u w:val="single"/>
                    </w:rPr>
                    <w:t>供给</w:t>
                  </w:r>
                  <w:r>
                    <w:rPr>
                      <w:rFonts w:hint="eastAsia"/>
                      <w:szCs w:val="21"/>
                      <w:u w:val="single"/>
                    </w:rPr>
                    <w:t>。</w:t>
                  </w:r>
                </w:p>
              </w:tc>
              <w:tc>
                <w:tcPr>
                  <w:tcW w:w="1155" w:type="dxa"/>
                  <w:tcBorders>
                    <w:tl2br w:val="nil"/>
                    <w:tr2bl w:val="nil"/>
                  </w:tcBorders>
                  <w:vAlign w:val="center"/>
                </w:tcPr>
                <w:p>
                  <w:pPr>
                    <w:widowControl/>
                    <w:adjustRightInd w:val="0"/>
                    <w:snapToGrid w:val="0"/>
                    <w:jc w:val="center"/>
                    <w:rPr>
                      <w:szCs w:val="21"/>
                      <w:u w:val="single"/>
                    </w:rPr>
                  </w:pPr>
                  <w:r>
                    <w:rPr>
                      <w:szCs w:val="21"/>
                      <w:u w:val="single"/>
                    </w:rPr>
                    <w:t>现有</w:t>
                  </w:r>
                </w:p>
              </w:tc>
            </w:tr>
            <w:tr>
              <w:trPr>
                <w:trHeight w:val="340" w:hRule="atLeast"/>
                <w:jc w:val="center"/>
              </w:trPr>
              <w:tc>
                <w:tcPr>
                  <w:tcW w:w="816" w:type="dxa"/>
                  <w:vMerge w:val="continue"/>
                  <w:tcBorders>
                    <w:tl2br w:val="nil"/>
                    <w:tr2bl w:val="nil"/>
                  </w:tcBorders>
                  <w:vAlign w:val="center"/>
                </w:tcPr>
                <w:p>
                  <w:pPr>
                    <w:widowControl/>
                    <w:adjustRightInd w:val="0"/>
                    <w:snapToGrid w:val="0"/>
                    <w:jc w:val="center"/>
                    <w:rPr>
                      <w:szCs w:val="21"/>
                      <w:u w:val="single"/>
                    </w:rPr>
                  </w:pPr>
                </w:p>
              </w:tc>
              <w:tc>
                <w:tcPr>
                  <w:tcW w:w="1479" w:type="dxa"/>
                  <w:tcBorders>
                    <w:tl2br w:val="nil"/>
                    <w:tr2bl w:val="nil"/>
                  </w:tcBorders>
                  <w:vAlign w:val="center"/>
                </w:tcPr>
                <w:p>
                  <w:pPr>
                    <w:widowControl/>
                    <w:adjustRightInd w:val="0"/>
                    <w:snapToGrid w:val="0"/>
                    <w:jc w:val="center"/>
                    <w:rPr>
                      <w:szCs w:val="21"/>
                      <w:u w:val="single"/>
                    </w:rPr>
                  </w:pPr>
                  <w:r>
                    <w:rPr>
                      <w:szCs w:val="21"/>
                      <w:u w:val="single"/>
                    </w:rPr>
                    <w:t>排水</w:t>
                  </w:r>
                </w:p>
              </w:tc>
              <w:tc>
                <w:tcPr>
                  <w:tcW w:w="5473" w:type="dxa"/>
                  <w:tcBorders>
                    <w:tl2br w:val="nil"/>
                    <w:tr2bl w:val="nil"/>
                  </w:tcBorders>
                  <w:vAlign w:val="center"/>
                </w:tcPr>
                <w:p>
                  <w:pPr>
                    <w:widowControl/>
                    <w:adjustRightInd w:val="0"/>
                    <w:snapToGrid w:val="0"/>
                    <w:jc w:val="center"/>
                    <w:rPr>
                      <w:szCs w:val="21"/>
                      <w:u w:val="single"/>
                    </w:rPr>
                  </w:pPr>
                  <w:r>
                    <w:rPr>
                      <w:szCs w:val="21"/>
                      <w:u w:val="single"/>
                    </w:rPr>
                    <w:t>废水主要为</w:t>
                  </w:r>
                  <w:r>
                    <w:rPr>
                      <w:rFonts w:hint="eastAsia"/>
                      <w:szCs w:val="21"/>
                      <w:u w:val="single"/>
                    </w:rPr>
                    <w:t>锅炉排污水</w:t>
                  </w:r>
                  <w:r>
                    <w:rPr>
                      <w:szCs w:val="21"/>
                      <w:u w:val="single"/>
                    </w:rPr>
                    <w:t>，</w:t>
                  </w:r>
                  <w:r>
                    <w:rPr>
                      <w:rFonts w:hint="eastAsia"/>
                      <w:szCs w:val="21"/>
                      <w:u w:val="single"/>
                    </w:rPr>
                    <w:t>锅炉排污水属于清洁下水，用于厂区场地洒水降尘。</w:t>
                  </w:r>
                </w:p>
              </w:tc>
              <w:tc>
                <w:tcPr>
                  <w:tcW w:w="1155" w:type="dxa"/>
                  <w:tcBorders>
                    <w:tl2br w:val="nil"/>
                    <w:tr2bl w:val="nil"/>
                  </w:tcBorders>
                  <w:vAlign w:val="center"/>
                </w:tcPr>
                <w:p>
                  <w:pPr>
                    <w:widowControl/>
                    <w:adjustRightInd w:val="0"/>
                    <w:snapToGrid w:val="0"/>
                    <w:jc w:val="center"/>
                    <w:rPr>
                      <w:szCs w:val="21"/>
                      <w:u w:val="single"/>
                    </w:rPr>
                  </w:pPr>
                  <w:r>
                    <w:rPr>
                      <w:szCs w:val="21"/>
                      <w:u w:val="single"/>
                    </w:rPr>
                    <w:t>现有</w:t>
                  </w:r>
                </w:p>
              </w:tc>
            </w:tr>
            <w:tr>
              <w:trPr>
                <w:trHeight w:val="340" w:hRule="atLeast"/>
                <w:jc w:val="center"/>
              </w:trPr>
              <w:tc>
                <w:tcPr>
                  <w:tcW w:w="816" w:type="dxa"/>
                  <w:vMerge w:val="continue"/>
                  <w:tcBorders>
                    <w:tl2br w:val="nil"/>
                    <w:tr2bl w:val="nil"/>
                  </w:tcBorders>
                  <w:vAlign w:val="center"/>
                </w:tcPr>
                <w:p>
                  <w:pPr>
                    <w:widowControl/>
                    <w:adjustRightInd w:val="0"/>
                    <w:snapToGrid w:val="0"/>
                    <w:jc w:val="center"/>
                    <w:rPr>
                      <w:szCs w:val="21"/>
                      <w:u w:val="single"/>
                    </w:rPr>
                  </w:pPr>
                </w:p>
              </w:tc>
              <w:tc>
                <w:tcPr>
                  <w:tcW w:w="1479" w:type="dxa"/>
                  <w:tcBorders>
                    <w:tl2br w:val="nil"/>
                    <w:tr2bl w:val="nil"/>
                  </w:tcBorders>
                  <w:vAlign w:val="center"/>
                </w:tcPr>
                <w:p>
                  <w:pPr>
                    <w:widowControl/>
                    <w:adjustRightInd w:val="0"/>
                    <w:snapToGrid w:val="0"/>
                    <w:jc w:val="center"/>
                    <w:rPr>
                      <w:szCs w:val="21"/>
                      <w:u w:val="single"/>
                    </w:rPr>
                  </w:pPr>
                  <w:r>
                    <w:rPr>
                      <w:szCs w:val="21"/>
                      <w:u w:val="single"/>
                    </w:rPr>
                    <w:t>供电</w:t>
                  </w:r>
                </w:p>
              </w:tc>
              <w:tc>
                <w:tcPr>
                  <w:tcW w:w="5473" w:type="dxa"/>
                  <w:tcBorders>
                    <w:tl2br w:val="nil"/>
                    <w:tr2bl w:val="nil"/>
                  </w:tcBorders>
                  <w:vAlign w:val="center"/>
                </w:tcPr>
                <w:p>
                  <w:pPr>
                    <w:widowControl/>
                    <w:adjustRightInd w:val="0"/>
                    <w:snapToGrid w:val="0"/>
                    <w:jc w:val="center"/>
                    <w:rPr>
                      <w:szCs w:val="21"/>
                      <w:u w:val="single"/>
                    </w:rPr>
                  </w:pPr>
                  <w:r>
                    <w:rPr>
                      <w:szCs w:val="21"/>
                      <w:u w:val="single"/>
                    </w:rPr>
                    <w:t>由区域供电</w:t>
                  </w:r>
                  <w:r>
                    <w:rPr>
                      <w:rFonts w:hint="eastAsia"/>
                      <w:szCs w:val="21"/>
                      <w:u w:val="single"/>
                    </w:rPr>
                    <w:t>系统</w:t>
                  </w:r>
                  <w:r>
                    <w:rPr>
                      <w:szCs w:val="21"/>
                      <w:u w:val="single"/>
                    </w:rPr>
                    <w:t>统一供给</w:t>
                  </w:r>
                  <w:r>
                    <w:rPr>
                      <w:rFonts w:hint="eastAsia"/>
                      <w:szCs w:val="21"/>
                      <w:u w:val="single"/>
                    </w:rPr>
                    <w:t>。</w:t>
                  </w:r>
                </w:p>
              </w:tc>
              <w:tc>
                <w:tcPr>
                  <w:tcW w:w="1155" w:type="dxa"/>
                  <w:tcBorders>
                    <w:tl2br w:val="nil"/>
                    <w:tr2bl w:val="nil"/>
                  </w:tcBorders>
                  <w:vAlign w:val="center"/>
                </w:tcPr>
                <w:p>
                  <w:pPr>
                    <w:widowControl/>
                    <w:adjustRightInd w:val="0"/>
                    <w:snapToGrid w:val="0"/>
                    <w:jc w:val="center"/>
                    <w:rPr>
                      <w:szCs w:val="21"/>
                      <w:u w:val="single"/>
                    </w:rPr>
                  </w:pPr>
                  <w:r>
                    <w:rPr>
                      <w:szCs w:val="21"/>
                      <w:u w:val="single"/>
                    </w:rPr>
                    <w:t>现有</w:t>
                  </w:r>
                </w:p>
              </w:tc>
            </w:tr>
            <w:tr>
              <w:trPr>
                <w:trHeight w:val="340" w:hRule="atLeast"/>
                <w:jc w:val="center"/>
              </w:trPr>
              <w:tc>
                <w:tcPr>
                  <w:tcW w:w="816" w:type="dxa"/>
                  <w:vMerge w:val="continue"/>
                  <w:tcBorders>
                    <w:tl2br w:val="nil"/>
                    <w:tr2bl w:val="nil"/>
                  </w:tcBorders>
                  <w:vAlign w:val="center"/>
                </w:tcPr>
                <w:p>
                  <w:pPr>
                    <w:widowControl/>
                    <w:adjustRightInd w:val="0"/>
                    <w:snapToGrid w:val="0"/>
                    <w:jc w:val="center"/>
                    <w:rPr>
                      <w:szCs w:val="21"/>
                      <w:u w:val="single"/>
                    </w:rPr>
                  </w:pPr>
                </w:p>
              </w:tc>
              <w:tc>
                <w:tcPr>
                  <w:tcW w:w="1479" w:type="dxa"/>
                  <w:tcBorders>
                    <w:tl2br w:val="nil"/>
                    <w:tr2bl w:val="nil"/>
                  </w:tcBorders>
                  <w:vAlign w:val="center"/>
                </w:tcPr>
                <w:p>
                  <w:pPr>
                    <w:widowControl/>
                    <w:adjustRightInd w:val="0"/>
                    <w:snapToGrid w:val="0"/>
                    <w:jc w:val="center"/>
                    <w:rPr>
                      <w:szCs w:val="21"/>
                      <w:u w:val="single"/>
                    </w:rPr>
                  </w:pPr>
                  <w:r>
                    <w:rPr>
                      <w:szCs w:val="21"/>
                      <w:u w:val="single"/>
                    </w:rPr>
                    <w:t>供热</w:t>
                  </w:r>
                </w:p>
              </w:tc>
              <w:tc>
                <w:tcPr>
                  <w:tcW w:w="5473" w:type="dxa"/>
                  <w:tcBorders>
                    <w:tl2br w:val="nil"/>
                    <w:tr2bl w:val="nil"/>
                  </w:tcBorders>
                  <w:vAlign w:val="center"/>
                </w:tcPr>
                <w:p>
                  <w:pPr>
                    <w:adjustRightInd w:val="0"/>
                    <w:snapToGrid w:val="0"/>
                    <w:jc w:val="center"/>
                    <w:rPr>
                      <w:szCs w:val="21"/>
                      <w:u w:val="single"/>
                    </w:rPr>
                  </w:pPr>
                  <w:r>
                    <w:rPr>
                      <w:szCs w:val="21"/>
                      <w:u w:val="single"/>
                    </w:rPr>
                    <w:t>本项目冬季依托新建生物质锅炉。</w:t>
                  </w:r>
                </w:p>
              </w:tc>
              <w:tc>
                <w:tcPr>
                  <w:tcW w:w="1155" w:type="dxa"/>
                  <w:tcBorders>
                    <w:tl2br w:val="nil"/>
                    <w:tr2bl w:val="nil"/>
                  </w:tcBorders>
                  <w:vAlign w:val="center"/>
                </w:tcPr>
                <w:p>
                  <w:pPr>
                    <w:widowControl/>
                    <w:adjustRightInd w:val="0"/>
                    <w:snapToGrid w:val="0"/>
                    <w:jc w:val="center"/>
                    <w:rPr>
                      <w:szCs w:val="21"/>
                      <w:u w:val="single"/>
                    </w:rPr>
                  </w:pPr>
                  <w:r>
                    <w:rPr>
                      <w:rFonts w:hint="eastAsia"/>
                      <w:szCs w:val="21"/>
                      <w:u w:val="single"/>
                    </w:rPr>
                    <w:t>/</w:t>
                  </w:r>
                </w:p>
              </w:tc>
            </w:tr>
            <w:tr>
              <w:trPr>
                <w:trHeight w:val="340" w:hRule="atLeast"/>
                <w:jc w:val="center"/>
              </w:trPr>
              <w:tc>
                <w:tcPr>
                  <w:tcW w:w="816" w:type="dxa"/>
                  <w:vMerge w:val="restart"/>
                  <w:tcBorders>
                    <w:tl2br w:val="nil"/>
                    <w:tr2bl w:val="nil"/>
                  </w:tcBorders>
                  <w:vAlign w:val="center"/>
                </w:tcPr>
                <w:p>
                  <w:pPr>
                    <w:widowControl/>
                    <w:adjustRightInd w:val="0"/>
                    <w:snapToGrid w:val="0"/>
                    <w:jc w:val="center"/>
                    <w:rPr>
                      <w:szCs w:val="21"/>
                      <w:u w:val="single"/>
                    </w:rPr>
                  </w:pPr>
                  <w:r>
                    <w:rPr>
                      <w:szCs w:val="21"/>
                      <w:u w:val="single"/>
                    </w:rPr>
                    <w:t>环保工程</w:t>
                  </w:r>
                </w:p>
              </w:tc>
              <w:tc>
                <w:tcPr>
                  <w:tcW w:w="1479" w:type="dxa"/>
                  <w:tcBorders>
                    <w:tl2br w:val="nil"/>
                    <w:tr2bl w:val="nil"/>
                  </w:tcBorders>
                  <w:vAlign w:val="center"/>
                </w:tcPr>
                <w:p>
                  <w:pPr>
                    <w:widowControl/>
                    <w:adjustRightInd w:val="0"/>
                    <w:snapToGrid w:val="0"/>
                    <w:jc w:val="center"/>
                    <w:rPr>
                      <w:szCs w:val="21"/>
                      <w:u w:val="single"/>
                    </w:rPr>
                  </w:pPr>
                  <w:r>
                    <w:rPr>
                      <w:szCs w:val="21"/>
                      <w:u w:val="single"/>
                    </w:rPr>
                    <w:t>废气</w:t>
                  </w:r>
                </w:p>
              </w:tc>
              <w:tc>
                <w:tcPr>
                  <w:tcW w:w="5473" w:type="dxa"/>
                  <w:tcBorders>
                    <w:tl2br w:val="nil"/>
                    <w:tr2bl w:val="nil"/>
                  </w:tcBorders>
                  <w:vAlign w:val="center"/>
                </w:tcPr>
                <w:p>
                  <w:pPr>
                    <w:jc w:val="center"/>
                    <w:rPr>
                      <w:szCs w:val="21"/>
                      <w:u w:val="single"/>
                    </w:rPr>
                  </w:pPr>
                  <w:r>
                    <w:rPr>
                      <w:rFonts w:hint="eastAsia"/>
                      <w:szCs w:val="21"/>
                      <w:u w:val="single"/>
                    </w:rPr>
                    <w:t>锅炉烟气经陶瓷多管除尘器+布袋除尘器处理后通过36m高烟囱排放。</w:t>
                  </w:r>
                </w:p>
                <w:p>
                  <w:pPr>
                    <w:jc w:val="center"/>
                    <w:rPr>
                      <w:u w:val="single"/>
                    </w:rPr>
                  </w:pPr>
                  <w:r>
                    <w:rPr>
                      <w:rFonts w:hint="eastAsia"/>
                      <w:szCs w:val="21"/>
                      <w:u w:val="single"/>
                    </w:rPr>
                    <w:t>燃料与灰渣储存、装卸、运输产生的颗粒物以无组织形式排放。</w:t>
                  </w:r>
                </w:p>
              </w:tc>
              <w:tc>
                <w:tcPr>
                  <w:tcW w:w="1155" w:type="dxa"/>
                  <w:tcBorders>
                    <w:tl2br w:val="nil"/>
                    <w:tr2bl w:val="nil"/>
                  </w:tcBorders>
                  <w:vAlign w:val="center"/>
                </w:tcPr>
                <w:p>
                  <w:pPr>
                    <w:widowControl/>
                    <w:adjustRightInd w:val="0"/>
                    <w:snapToGrid w:val="0"/>
                    <w:jc w:val="center"/>
                    <w:rPr>
                      <w:szCs w:val="21"/>
                      <w:u w:val="single"/>
                    </w:rPr>
                  </w:pPr>
                  <w:r>
                    <w:rPr>
                      <w:rFonts w:hint="eastAsia"/>
                      <w:szCs w:val="21"/>
                      <w:u w:val="single"/>
                    </w:rPr>
                    <w:t>/</w:t>
                  </w:r>
                </w:p>
              </w:tc>
            </w:tr>
            <w:tr>
              <w:trPr>
                <w:trHeight w:val="340" w:hRule="atLeast"/>
                <w:jc w:val="center"/>
              </w:trPr>
              <w:tc>
                <w:tcPr>
                  <w:tcW w:w="816" w:type="dxa"/>
                  <w:vMerge w:val="continue"/>
                  <w:tcBorders>
                    <w:tl2br w:val="nil"/>
                    <w:tr2bl w:val="nil"/>
                  </w:tcBorders>
                  <w:vAlign w:val="center"/>
                </w:tcPr>
                <w:p>
                  <w:pPr>
                    <w:widowControl/>
                    <w:adjustRightInd w:val="0"/>
                    <w:snapToGrid w:val="0"/>
                    <w:jc w:val="center"/>
                    <w:rPr>
                      <w:szCs w:val="21"/>
                      <w:u w:val="single"/>
                    </w:rPr>
                  </w:pPr>
                </w:p>
              </w:tc>
              <w:tc>
                <w:tcPr>
                  <w:tcW w:w="1479" w:type="dxa"/>
                  <w:tcBorders>
                    <w:tl2br w:val="nil"/>
                    <w:tr2bl w:val="nil"/>
                  </w:tcBorders>
                  <w:vAlign w:val="center"/>
                </w:tcPr>
                <w:p>
                  <w:pPr>
                    <w:widowControl/>
                    <w:adjustRightInd w:val="0"/>
                    <w:snapToGrid w:val="0"/>
                    <w:jc w:val="center"/>
                    <w:rPr>
                      <w:szCs w:val="21"/>
                      <w:u w:val="single"/>
                    </w:rPr>
                  </w:pPr>
                  <w:r>
                    <w:rPr>
                      <w:szCs w:val="21"/>
                      <w:u w:val="single"/>
                    </w:rPr>
                    <w:t>废水</w:t>
                  </w:r>
                </w:p>
              </w:tc>
              <w:tc>
                <w:tcPr>
                  <w:tcW w:w="5473" w:type="dxa"/>
                  <w:tcBorders>
                    <w:tl2br w:val="nil"/>
                    <w:tr2bl w:val="nil"/>
                  </w:tcBorders>
                  <w:vAlign w:val="center"/>
                </w:tcPr>
                <w:p>
                  <w:pPr>
                    <w:widowControl/>
                    <w:adjustRightInd w:val="0"/>
                    <w:snapToGrid w:val="0"/>
                    <w:jc w:val="center"/>
                    <w:rPr>
                      <w:szCs w:val="21"/>
                      <w:u w:val="single"/>
                    </w:rPr>
                  </w:pPr>
                  <w:r>
                    <w:rPr>
                      <w:szCs w:val="21"/>
                      <w:u w:val="single"/>
                    </w:rPr>
                    <w:t>锅炉污水</w:t>
                  </w:r>
                  <w:r>
                    <w:rPr>
                      <w:rFonts w:hint="eastAsia"/>
                      <w:szCs w:val="21"/>
                      <w:u w:val="single"/>
                    </w:rPr>
                    <w:t>用于厂区地面洒水降尘，不外排。</w:t>
                  </w:r>
                </w:p>
              </w:tc>
              <w:tc>
                <w:tcPr>
                  <w:tcW w:w="1155" w:type="dxa"/>
                  <w:tcBorders>
                    <w:tl2br w:val="nil"/>
                    <w:tr2bl w:val="nil"/>
                  </w:tcBorders>
                  <w:vAlign w:val="center"/>
                </w:tcPr>
                <w:p>
                  <w:pPr>
                    <w:widowControl/>
                    <w:adjustRightInd w:val="0"/>
                    <w:snapToGrid w:val="0"/>
                    <w:jc w:val="center"/>
                    <w:rPr>
                      <w:szCs w:val="21"/>
                      <w:u w:val="single"/>
                    </w:rPr>
                  </w:pPr>
                  <w:r>
                    <w:rPr>
                      <w:rFonts w:hint="eastAsia"/>
                      <w:szCs w:val="21"/>
                      <w:u w:val="single"/>
                    </w:rPr>
                    <w:t>/</w:t>
                  </w:r>
                </w:p>
              </w:tc>
            </w:tr>
            <w:tr>
              <w:trPr>
                <w:trHeight w:val="340" w:hRule="atLeast"/>
                <w:jc w:val="center"/>
              </w:trPr>
              <w:tc>
                <w:tcPr>
                  <w:tcW w:w="816" w:type="dxa"/>
                  <w:vMerge w:val="continue"/>
                  <w:tcBorders>
                    <w:tl2br w:val="nil"/>
                    <w:tr2bl w:val="nil"/>
                  </w:tcBorders>
                  <w:vAlign w:val="center"/>
                </w:tcPr>
                <w:p>
                  <w:pPr>
                    <w:widowControl/>
                    <w:adjustRightInd w:val="0"/>
                    <w:snapToGrid w:val="0"/>
                    <w:jc w:val="center"/>
                    <w:rPr>
                      <w:szCs w:val="21"/>
                      <w:u w:val="single"/>
                    </w:rPr>
                  </w:pPr>
                </w:p>
              </w:tc>
              <w:tc>
                <w:tcPr>
                  <w:tcW w:w="1479" w:type="dxa"/>
                  <w:tcBorders>
                    <w:tl2br w:val="nil"/>
                    <w:tr2bl w:val="nil"/>
                  </w:tcBorders>
                  <w:vAlign w:val="center"/>
                </w:tcPr>
                <w:p>
                  <w:pPr>
                    <w:widowControl/>
                    <w:adjustRightInd w:val="0"/>
                    <w:snapToGrid w:val="0"/>
                    <w:jc w:val="center"/>
                    <w:rPr>
                      <w:szCs w:val="21"/>
                      <w:u w:val="single"/>
                    </w:rPr>
                  </w:pPr>
                  <w:r>
                    <w:rPr>
                      <w:rFonts w:hint="eastAsia"/>
                      <w:szCs w:val="21"/>
                      <w:u w:val="single"/>
                    </w:rPr>
                    <w:t>噪声</w:t>
                  </w:r>
                </w:p>
              </w:tc>
              <w:tc>
                <w:tcPr>
                  <w:tcW w:w="5473" w:type="dxa"/>
                  <w:tcBorders>
                    <w:tl2br w:val="nil"/>
                    <w:tr2bl w:val="nil"/>
                  </w:tcBorders>
                  <w:vAlign w:val="center"/>
                </w:tcPr>
                <w:p>
                  <w:pPr>
                    <w:widowControl/>
                    <w:adjustRightInd w:val="0"/>
                    <w:snapToGrid w:val="0"/>
                    <w:jc w:val="center"/>
                    <w:rPr>
                      <w:szCs w:val="21"/>
                      <w:u w:val="single"/>
                    </w:rPr>
                  </w:pPr>
                  <w:r>
                    <w:rPr>
                      <w:rFonts w:hint="eastAsia"/>
                      <w:szCs w:val="21"/>
                      <w:u w:val="single"/>
                    </w:rPr>
                    <w:t>封闭厂房，设置基础减振、降噪措施。</w:t>
                  </w:r>
                </w:p>
              </w:tc>
              <w:tc>
                <w:tcPr>
                  <w:tcW w:w="1155" w:type="dxa"/>
                  <w:tcBorders>
                    <w:tl2br w:val="nil"/>
                    <w:tr2bl w:val="nil"/>
                  </w:tcBorders>
                  <w:vAlign w:val="center"/>
                </w:tcPr>
                <w:p>
                  <w:pPr>
                    <w:widowControl/>
                    <w:adjustRightInd w:val="0"/>
                    <w:snapToGrid w:val="0"/>
                    <w:jc w:val="center"/>
                    <w:rPr>
                      <w:szCs w:val="21"/>
                      <w:u w:val="single"/>
                    </w:rPr>
                  </w:pPr>
                  <w:r>
                    <w:rPr>
                      <w:rFonts w:hint="eastAsia"/>
                      <w:szCs w:val="21"/>
                      <w:u w:val="single"/>
                    </w:rPr>
                    <w:t>/</w:t>
                  </w:r>
                </w:p>
              </w:tc>
            </w:tr>
            <w:tr>
              <w:trPr>
                <w:trHeight w:val="340" w:hRule="atLeast"/>
                <w:jc w:val="center"/>
              </w:trPr>
              <w:tc>
                <w:tcPr>
                  <w:tcW w:w="816" w:type="dxa"/>
                  <w:vMerge w:val="continue"/>
                  <w:tcBorders>
                    <w:tl2br w:val="nil"/>
                    <w:tr2bl w:val="nil"/>
                  </w:tcBorders>
                  <w:vAlign w:val="center"/>
                </w:tcPr>
                <w:p>
                  <w:pPr>
                    <w:widowControl/>
                    <w:adjustRightInd w:val="0"/>
                    <w:snapToGrid w:val="0"/>
                    <w:jc w:val="center"/>
                    <w:rPr>
                      <w:szCs w:val="21"/>
                      <w:u w:val="single"/>
                    </w:rPr>
                  </w:pPr>
                </w:p>
              </w:tc>
              <w:tc>
                <w:tcPr>
                  <w:tcW w:w="1479" w:type="dxa"/>
                  <w:tcBorders>
                    <w:tl2br w:val="nil"/>
                    <w:tr2bl w:val="nil"/>
                  </w:tcBorders>
                  <w:vAlign w:val="center"/>
                </w:tcPr>
                <w:p>
                  <w:pPr>
                    <w:pStyle w:val="27"/>
                    <w:spacing w:line="240" w:lineRule="atLeast"/>
                    <w:rPr>
                      <w:rFonts w:ascii="Times New Roman"/>
                      <w:szCs w:val="21"/>
                      <w:u w:val="single"/>
                    </w:rPr>
                  </w:pPr>
                  <w:r>
                    <w:rPr>
                      <w:rFonts w:ascii="Times New Roman"/>
                      <w:szCs w:val="21"/>
                      <w:u w:val="single"/>
                    </w:rPr>
                    <w:t>固体废物</w:t>
                  </w:r>
                </w:p>
              </w:tc>
              <w:tc>
                <w:tcPr>
                  <w:tcW w:w="5473" w:type="dxa"/>
                  <w:tcBorders>
                    <w:tl2br w:val="nil"/>
                    <w:tr2bl w:val="nil"/>
                  </w:tcBorders>
                  <w:vAlign w:val="center"/>
                </w:tcPr>
                <w:p>
                  <w:pPr>
                    <w:widowControl/>
                    <w:adjustRightInd w:val="0"/>
                    <w:snapToGrid w:val="0"/>
                    <w:jc w:val="center"/>
                    <w:rPr>
                      <w:szCs w:val="21"/>
                      <w:u w:val="single"/>
                    </w:rPr>
                  </w:pPr>
                  <w:r>
                    <w:rPr>
                      <w:rFonts w:hint="eastAsia"/>
                      <w:szCs w:val="21"/>
                      <w:u w:val="single"/>
                    </w:rPr>
                    <w:t>本项目废布袋由厂家更换收集后统一处理，灰渣及除尘灰均袋装储存于锅炉房内，用作农田肥料；拆除的设备集中收集外售。</w:t>
                  </w:r>
                </w:p>
                <w:p>
                  <w:pPr>
                    <w:widowControl/>
                    <w:adjustRightInd w:val="0"/>
                    <w:snapToGrid w:val="0"/>
                    <w:jc w:val="center"/>
                    <w:rPr>
                      <w:u w:val="single"/>
                    </w:rPr>
                  </w:pPr>
                  <w:r>
                    <w:rPr>
                      <w:rFonts w:hint="eastAsia"/>
                      <w:szCs w:val="21"/>
                      <w:u w:val="single"/>
                    </w:rPr>
                    <w:t>设备维修过程产生的废机油、含油手套及抹布等危险废物集中收集，暂存于现有的危废暂存间，委托处置资质单位定期拉运处置。</w:t>
                  </w:r>
                </w:p>
              </w:tc>
              <w:tc>
                <w:tcPr>
                  <w:tcW w:w="1155" w:type="dxa"/>
                  <w:tcBorders>
                    <w:tl2br w:val="nil"/>
                    <w:tr2bl w:val="nil"/>
                  </w:tcBorders>
                  <w:vAlign w:val="center"/>
                </w:tcPr>
                <w:p>
                  <w:pPr>
                    <w:widowControl/>
                    <w:adjustRightInd w:val="0"/>
                    <w:snapToGrid w:val="0"/>
                    <w:jc w:val="center"/>
                    <w:rPr>
                      <w:szCs w:val="21"/>
                      <w:u w:val="single"/>
                    </w:rPr>
                  </w:pPr>
                  <w:r>
                    <w:rPr>
                      <w:rFonts w:hint="eastAsia"/>
                      <w:szCs w:val="21"/>
                      <w:u w:val="single"/>
                    </w:rPr>
                    <w:t>/</w:t>
                  </w:r>
                </w:p>
              </w:tc>
            </w:tr>
            <w:tr>
              <w:trPr>
                <w:trHeight w:val="340" w:hRule="atLeast"/>
                <w:jc w:val="center"/>
              </w:trPr>
              <w:tc>
                <w:tcPr>
                  <w:tcW w:w="816" w:type="dxa"/>
                  <w:vMerge w:val="restart"/>
                  <w:tcBorders>
                    <w:tl2br w:val="nil"/>
                    <w:tr2bl w:val="nil"/>
                  </w:tcBorders>
                  <w:vAlign w:val="center"/>
                </w:tcPr>
                <w:p>
                  <w:pPr>
                    <w:widowControl/>
                    <w:adjustRightInd w:val="0"/>
                    <w:snapToGrid w:val="0"/>
                    <w:jc w:val="center"/>
                    <w:rPr>
                      <w:szCs w:val="21"/>
                      <w:u w:val="single"/>
                    </w:rPr>
                  </w:pPr>
                  <w:r>
                    <w:rPr>
                      <w:rFonts w:hint="eastAsia"/>
                      <w:szCs w:val="21"/>
                      <w:u w:val="single"/>
                    </w:rPr>
                    <w:t>依托工程</w:t>
                  </w:r>
                </w:p>
              </w:tc>
              <w:tc>
                <w:tcPr>
                  <w:tcW w:w="1479" w:type="dxa"/>
                  <w:tcBorders>
                    <w:tl2br w:val="nil"/>
                    <w:tr2bl w:val="nil"/>
                  </w:tcBorders>
                  <w:vAlign w:val="center"/>
                </w:tcPr>
                <w:p>
                  <w:pPr>
                    <w:pStyle w:val="27"/>
                    <w:spacing w:line="240" w:lineRule="atLeast"/>
                    <w:rPr>
                      <w:rFonts w:ascii="Times New Roman"/>
                      <w:szCs w:val="21"/>
                      <w:u w:val="single"/>
                    </w:rPr>
                  </w:pPr>
                  <w:r>
                    <w:rPr>
                      <w:rFonts w:hint="eastAsia" w:ascii="Times New Roman"/>
                      <w:szCs w:val="21"/>
                      <w:u w:val="single"/>
                    </w:rPr>
                    <w:t>软化水处理系统</w:t>
                  </w:r>
                </w:p>
              </w:tc>
              <w:tc>
                <w:tcPr>
                  <w:tcW w:w="5473" w:type="dxa"/>
                  <w:tcBorders>
                    <w:tl2br w:val="nil"/>
                    <w:tr2bl w:val="nil"/>
                  </w:tcBorders>
                  <w:vAlign w:val="center"/>
                </w:tcPr>
                <w:p>
                  <w:pPr>
                    <w:widowControl/>
                    <w:adjustRightInd w:val="0"/>
                    <w:snapToGrid w:val="0"/>
                    <w:jc w:val="center"/>
                    <w:rPr>
                      <w:szCs w:val="21"/>
                      <w:u w:val="single"/>
                    </w:rPr>
                  </w:pPr>
                  <w:r>
                    <w:rPr>
                      <w:rFonts w:hint="eastAsia"/>
                      <w:szCs w:val="21"/>
                      <w:u w:val="single"/>
                    </w:rPr>
                    <w:t>项目依托现有的软化水处理水系统，处理能力为1.0t/h。</w:t>
                  </w:r>
                </w:p>
              </w:tc>
              <w:tc>
                <w:tcPr>
                  <w:tcW w:w="1155" w:type="dxa"/>
                  <w:tcBorders>
                    <w:tl2br w:val="nil"/>
                    <w:tr2bl w:val="nil"/>
                  </w:tcBorders>
                  <w:vAlign w:val="center"/>
                </w:tcPr>
                <w:p>
                  <w:pPr>
                    <w:widowControl/>
                    <w:adjustRightInd w:val="0"/>
                    <w:snapToGrid w:val="0"/>
                    <w:jc w:val="center"/>
                    <w:rPr>
                      <w:szCs w:val="21"/>
                      <w:u w:val="single"/>
                    </w:rPr>
                  </w:pPr>
                  <w:r>
                    <w:rPr>
                      <w:rFonts w:hint="eastAsia"/>
                      <w:szCs w:val="21"/>
                      <w:u w:val="single"/>
                    </w:rPr>
                    <w:t>/</w:t>
                  </w:r>
                </w:p>
              </w:tc>
            </w:tr>
            <w:tr>
              <w:trPr>
                <w:trHeight w:val="340" w:hRule="atLeast"/>
                <w:jc w:val="center"/>
              </w:trPr>
              <w:tc>
                <w:tcPr>
                  <w:tcW w:w="816" w:type="dxa"/>
                  <w:vMerge w:val="continue"/>
                  <w:tcBorders>
                    <w:tl2br w:val="nil"/>
                    <w:tr2bl w:val="nil"/>
                  </w:tcBorders>
                  <w:vAlign w:val="center"/>
                </w:tcPr>
                <w:p>
                  <w:pPr>
                    <w:widowControl/>
                    <w:adjustRightInd w:val="0"/>
                    <w:snapToGrid w:val="0"/>
                    <w:jc w:val="center"/>
                    <w:rPr>
                      <w:szCs w:val="21"/>
                      <w:u w:val="single"/>
                    </w:rPr>
                  </w:pPr>
                </w:p>
              </w:tc>
              <w:tc>
                <w:tcPr>
                  <w:tcW w:w="1479" w:type="dxa"/>
                  <w:tcBorders>
                    <w:tl2br w:val="nil"/>
                    <w:tr2bl w:val="nil"/>
                  </w:tcBorders>
                  <w:vAlign w:val="center"/>
                </w:tcPr>
                <w:p>
                  <w:pPr>
                    <w:pStyle w:val="27"/>
                    <w:spacing w:line="240" w:lineRule="atLeast"/>
                    <w:rPr>
                      <w:rFonts w:ascii="Times New Roman"/>
                      <w:szCs w:val="21"/>
                      <w:u w:val="single"/>
                    </w:rPr>
                  </w:pPr>
                  <w:r>
                    <w:rPr>
                      <w:rFonts w:hint="eastAsia" w:ascii="Times New Roman"/>
                      <w:szCs w:val="21"/>
                      <w:u w:val="single"/>
                    </w:rPr>
                    <w:t>废气治理措施</w:t>
                  </w:r>
                </w:p>
              </w:tc>
              <w:tc>
                <w:tcPr>
                  <w:tcW w:w="5473" w:type="dxa"/>
                  <w:tcBorders>
                    <w:tl2br w:val="nil"/>
                    <w:tr2bl w:val="nil"/>
                  </w:tcBorders>
                  <w:vAlign w:val="center"/>
                </w:tcPr>
                <w:p>
                  <w:pPr>
                    <w:widowControl/>
                    <w:adjustRightInd w:val="0"/>
                    <w:snapToGrid w:val="0"/>
                    <w:jc w:val="center"/>
                    <w:rPr>
                      <w:szCs w:val="21"/>
                      <w:u w:val="single"/>
                    </w:rPr>
                  </w:pPr>
                  <w:r>
                    <w:rPr>
                      <w:rFonts w:hint="eastAsia"/>
                      <w:szCs w:val="21"/>
                      <w:u w:val="single"/>
                    </w:rPr>
                    <w:t>本次新建锅炉废气治理措施采用陶瓷多管除尘器+布袋除尘器；现有锅炉的陶瓷多管除尘器+布袋除尘器可依托利用。</w:t>
                  </w:r>
                </w:p>
              </w:tc>
              <w:tc>
                <w:tcPr>
                  <w:tcW w:w="1155" w:type="dxa"/>
                  <w:tcBorders>
                    <w:tl2br w:val="nil"/>
                    <w:tr2bl w:val="nil"/>
                  </w:tcBorders>
                  <w:vAlign w:val="center"/>
                </w:tcPr>
                <w:p>
                  <w:pPr>
                    <w:widowControl/>
                    <w:adjustRightInd w:val="0"/>
                    <w:snapToGrid w:val="0"/>
                    <w:jc w:val="center"/>
                    <w:rPr>
                      <w:szCs w:val="21"/>
                      <w:u w:val="single"/>
                    </w:rPr>
                  </w:pPr>
                  <w:r>
                    <w:rPr>
                      <w:rFonts w:hint="eastAsia"/>
                      <w:szCs w:val="21"/>
                      <w:u w:val="single"/>
                    </w:rPr>
                    <w:t>/</w:t>
                  </w:r>
                </w:p>
              </w:tc>
            </w:tr>
            <w:bookmarkEnd w:id="4"/>
          </w:tbl>
          <w:p>
            <w:pPr>
              <w:spacing w:line="360" w:lineRule="auto"/>
              <w:ind w:firstLine="480"/>
              <w:rPr>
                <w:b/>
                <w:bCs/>
                <w:sz w:val="24"/>
                <w:u w:val="single"/>
              </w:rPr>
            </w:pPr>
            <w:r>
              <w:rPr>
                <w:b/>
                <w:bCs/>
                <w:sz w:val="24"/>
                <w:u w:val="single"/>
              </w:rPr>
              <w:t>2、主要生产设备</w:t>
            </w:r>
          </w:p>
          <w:p>
            <w:pPr>
              <w:spacing w:line="360" w:lineRule="auto"/>
              <w:ind w:firstLine="480" w:firstLineChars="200"/>
              <w:jc w:val="left"/>
              <w:rPr>
                <w:sz w:val="24"/>
                <w:u w:val="single"/>
              </w:rPr>
            </w:pPr>
            <w:r>
              <w:rPr>
                <w:sz w:val="24"/>
                <w:u w:val="single"/>
              </w:rPr>
              <w:t>本项目主要生产设备见下表。</w:t>
            </w:r>
          </w:p>
          <w:p>
            <w:pPr>
              <w:pStyle w:val="25"/>
              <w:numPr>
                <w:ilvl w:val="0"/>
                <w:numId w:val="0"/>
              </w:numPr>
              <w:ind w:firstLine="284"/>
              <w:rPr>
                <w:rFonts w:ascii="Times New Roman" w:hAnsi="Times New Roman"/>
                <w:b w:val="0"/>
                <w:bCs/>
                <w:u w:val="single"/>
              </w:rPr>
            </w:pPr>
            <w:r>
              <w:rPr>
                <w:rFonts w:ascii="Times New Roman" w:hAnsi="Times New Roman"/>
                <w:b w:val="0"/>
                <w:bCs/>
                <w:u w:val="single"/>
              </w:rPr>
              <w:t>表</w:t>
            </w:r>
            <w:r>
              <w:rPr>
                <w:rFonts w:hint="eastAsia" w:ascii="Times New Roman" w:hAnsi="Times New Roman"/>
                <w:b w:val="0"/>
                <w:bCs/>
                <w:u w:val="single"/>
              </w:rPr>
              <w:t xml:space="preserve">11  </w:t>
            </w:r>
            <w:r>
              <w:rPr>
                <w:rFonts w:ascii="Times New Roman" w:hAnsi="Times New Roman"/>
                <w:b w:val="0"/>
                <w:bCs/>
                <w:u w:val="single"/>
              </w:rPr>
              <w:t>主要生产设备一览表</w:t>
            </w:r>
          </w:p>
          <w:tbl>
            <w:tblPr>
              <w:tblW w:w="891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6" w:space="0"/>
              </w:tblBorders>
              <w:tblLayout w:type="fixed"/>
              <w:tblCellMar>
                <w:left w:w="108" w:type="dxa"/>
                <w:right w:w="108" w:type="dxa"/>
              </w:tblCellMar>
            </w:tblPr>
            <w:tblGrid>
              <w:gridCol w:w="825"/>
              <w:gridCol w:w="2386"/>
              <w:gridCol w:w="2675"/>
              <w:gridCol w:w="917"/>
              <w:gridCol w:w="751"/>
              <w:gridCol w:w="1364"/>
            </w:tblGrid>
            <w:tr>
              <w:trPr>
                <w:trHeight w:val="340" w:hRule="atLeast"/>
                <w:jc w:val="center"/>
              </w:trPr>
              <w:tc>
                <w:tcPr>
                  <w:tcW w:w="825" w:type="dxa"/>
                  <w:tcBorders>
                    <w:tl2br w:val="nil"/>
                    <w:tr2bl w:val="nil"/>
                  </w:tcBorders>
                  <w:vAlign w:val="center"/>
                </w:tcPr>
                <w:p>
                  <w:pPr>
                    <w:widowControl/>
                    <w:jc w:val="center"/>
                    <w:textAlignment w:val="center"/>
                    <w:rPr>
                      <w:szCs w:val="21"/>
                      <w:u w:val="single"/>
                    </w:rPr>
                  </w:pPr>
                  <w:r>
                    <w:rPr>
                      <w:kern w:val="0"/>
                      <w:szCs w:val="21"/>
                      <w:u w:val="single"/>
                    </w:rPr>
                    <w:t>序号</w:t>
                  </w:r>
                </w:p>
              </w:tc>
              <w:tc>
                <w:tcPr>
                  <w:tcW w:w="2386" w:type="dxa"/>
                  <w:tcBorders>
                    <w:tl2br w:val="nil"/>
                    <w:tr2bl w:val="nil"/>
                  </w:tcBorders>
                  <w:vAlign w:val="center"/>
                </w:tcPr>
                <w:p>
                  <w:pPr>
                    <w:widowControl/>
                    <w:jc w:val="center"/>
                    <w:textAlignment w:val="center"/>
                    <w:rPr>
                      <w:szCs w:val="21"/>
                      <w:u w:val="single"/>
                    </w:rPr>
                  </w:pPr>
                  <w:r>
                    <w:rPr>
                      <w:kern w:val="0"/>
                      <w:szCs w:val="21"/>
                      <w:u w:val="single"/>
                    </w:rPr>
                    <w:t>设备名称</w:t>
                  </w:r>
                </w:p>
              </w:tc>
              <w:tc>
                <w:tcPr>
                  <w:tcW w:w="2675" w:type="dxa"/>
                  <w:tcBorders>
                    <w:tl2br w:val="nil"/>
                    <w:tr2bl w:val="nil"/>
                  </w:tcBorders>
                  <w:vAlign w:val="center"/>
                </w:tcPr>
                <w:p>
                  <w:pPr>
                    <w:widowControl/>
                    <w:jc w:val="center"/>
                    <w:textAlignment w:val="center"/>
                    <w:rPr>
                      <w:szCs w:val="21"/>
                      <w:u w:val="single"/>
                    </w:rPr>
                  </w:pPr>
                  <w:r>
                    <w:rPr>
                      <w:kern w:val="0"/>
                      <w:szCs w:val="21"/>
                      <w:u w:val="single"/>
                    </w:rPr>
                    <w:t>技术参数</w:t>
                  </w:r>
                </w:p>
              </w:tc>
              <w:tc>
                <w:tcPr>
                  <w:tcW w:w="917" w:type="dxa"/>
                  <w:tcBorders>
                    <w:tl2br w:val="nil"/>
                    <w:tr2bl w:val="nil"/>
                  </w:tcBorders>
                  <w:vAlign w:val="center"/>
                </w:tcPr>
                <w:p>
                  <w:pPr>
                    <w:widowControl/>
                    <w:jc w:val="center"/>
                    <w:textAlignment w:val="center"/>
                    <w:rPr>
                      <w:szCs w:val="21"/>
                      <w:u w:val="single"/>
                    </w:rPr>
                  </w:pPr>
                  <w:r>
                    <w:rPr>
                      <w:kern w:val="0"/>
                      <w:szCs w:val="21"/>
                      <w:u w:val="single"/>
                    </w:rPr>
                    <w:t>单位</w:t>
                  </w:r>
                </w:p>
              </w:tc>
              <w:tc>
                <w:tcPr>
                  <w:tcW w:w="751" w:type="dxa"/>
                  <w:tcBorders>
                    <w:tl2br w:val="nil"/>
                    <w:tr2bl w:val="nil"/>
                  </w:tcBorders>
                  <w:vAlign w:val="center"/>
                </w:tcPr>
                <w:p>
                  <w:pPr>
                    <w:widowControl/>
                    <w:jc w:val="center"/>
                    <w:textAlignment w:val="center"/>
                    <w:rPr>
                      <w:szCs w:val="21"/>
                      <w:u w:val="single"/>
                    </w:rPr>
                  </w:pPr>
                  <w:r>
                    <w:rPr>
                      <w:kern w:val="0"/>
                      <w:szCs w:val="21"/>
                      <w:u w:val="single"/>
                    </w:rPr>
                    <w:t>数量</w:t>
                  </w:r>
                </w:p>
              </w:tc>
              <w:tc>
                <w:tcPr>
                  <w:tcW w:w="1364" w:type="dxa"/>
                  <w:tcBorders>
                    <w:tl2br w:val="nil"/>
                    <w:tr2bl w:val="nil"/>
                  </w:tcBorders>
                  <w:vAlign w:val="center"/>
                </w:tcPr>
                <w:p>
                  <w:pPr>
                    <w:widowControl/>
                    <w:jc w:val="center"/>
                    <w:textAlignment w:val="center"/>
                    <w:rPr>
                      <w:kern w:val="0"/>
                      <w:szCs w:val="21"/>
                      <w:u w:val="single"/>
                    </w:rPr>
                  </w:pPr>
                  <w:r>
                    <w:rPr>
                      <w:kern w:val="0"/>
                      <w:szCs w:val="21"/>
                      <w:u w:val="single"/>
                    </w:rPr>
                    <w:t>备注</w:t>
                  </w:r>
                </w:p>
              </w:tc>
            </w:tr>
            <w:tr>
              <w:trPr>
                <w:trHeight w:val="340" w:hRule="atLeast"/>
                <w:jc w:val="center"/>
              </w:trPr>
              <w:tc>
                <w:tcPr>
                  <w:tcW w:w="825" w:type="dxa"/>
                  <w:tcBorders>
                    <w:tl2br w:val="nil"/>
                    <w:tr2bl w:val="nil"/>
                  </w:tcBorders>
                  <w:vAlign w:val="center"/>
                </w:tcPr>
                <w:p>
                  <w:pPr>
                    <w:widowControl/>
                    <w:jc w:val="center"/>
                    <w:textAlignment w:val="center"/>
                    <w:rPr>
                      <w:szCs w:val="21"/>
                      <w:u w:val="single"/>
                    </w:rPr>
                  </w:pPr>
                  <w:r>
                    <w:rPr>
                      <w:kern w:val="0"/>
                      <w:szCs w:val="21"/>
                      <w:u w:val="single"/>
                    </w:rPr>
                    <w:t>1</w:t>
                  </w:r>
                </w:p>
              </w:tc>
              <w:tc>
                <w:tcPr>
                  <w:tcW w:w="2386" w:type="dxa"/>
                  <w:tcBorders>
                    <w:tl2br w:val="nil"/>
                    <w:tr2bl w:val="nil"/>
                  </w:tcBorders>
                  <w:vAlign w:val="center"/>
                </w:tcPr>
                <w:p>
                  <w:pPr>
                    <w:widowControl/>
                    <w:jc w:val="center"/>
                    <w:textAlignment w:val="center"/>
                    <w:rPr>
                      <w:szCs w:val="21"/>
                      <w:u w:val="single"/>
                    </w:rPr>
                  </w:pPr>
                  <w:r>
                    <w:rPr>
                      <w:szCs w:val="21"/>
                      <w:u w:val="single"/>
                    </w:rPr>
                    <w:t>4.0t/h生物质蒸汽锅炉</w:t>
                  </w:r>
                </w:p>
              </w:tc>
              <w:tc>
                <w:tcPr>
                  <w:tcW w:w="2675" w:type="dxa"/>
                  <w:tcBorders>
                    <w:tl2br w:val="nil"/>
                    <w:tr2bl w:val="nil"/>
                  </w:tcBorders>
                  <w:vAlign w:val="center"/>
                </w:tcPr>
                <w:p>
                  <w:pPr>
                    <w:widowControl/>
                    <w:jc w:val="center"/>
                    <w:textAlignment w:val="center"/>
                    <w:rPr>
                      <w:szCs w:val="21"/>
                      <w:u w:val="single"/>
                    </w:rPr>
                  </w:pPr>
                  <w:r>
                    <w:rPr>
                      <w:szCs w:val="21"/>
                      <w:u w:val="single"/>
                    </w:rPr>
                    <w:t>DZL4-1.25-SCⅡ</w:t>
                  </w:r>
                </w:p>
              </w:tc>
              <w:tc>
                <w:tcPr>
                  <w:tcW w:w="917" w:type="dxa"/>
                  <w:tcBorders>
                    <w:tl2br w:val="nil"/>
                    <w:tr2bl w:val="nil"/>
                  </w:tcBorders>
                  <w:vAlign w:val="center"/>
                </w:tcPr>
                <w:p>
                  <w:pPr>
                    <w:widowControl/>
                    <w:jc w:val="center"/>
                    <w:textAlignment w:val="center"/>
                    <w:rPr>
                      <w:szCs w:val="21"/>
                      <w:u w:val="single"/>
                    </w:rPr>
                  </w:pPr>
                  <w:r>
                    <w:rPr>
                      <w:szCs w:val="21"/>
                      <w:u w:val="single"/>
                    </w:rPr>
                    <w:t>台</w:t>
                  </w:r>
                </w:p>
              </w:tc>
              <w:tc>
                <w:tcPr>
                  <w:tcW w:w="751" w:type="dxa"/>
                  <w:tcBorders>
                    <w:tl2br w:val="nil"/>
                    <w:tr2bl w:val="nil"/>
                  </w:tcBorders>
                  <w:vAlign w:val="center"/>
                </w:tcPr>
                <w:p>
                  <w:pPr>
                    <w:widowControl/>
                    <w:jc w:val="center"/>
                    <w:textAlignment w:val="center"/>
                    <w:rPr>
                      <w:szCs w:val="21"/>
                      <w:u w:val="single"/>
                    </w:rPr>
                  </w:pPr>
                  <w:r>
                    <w:rPr>
                      <w:szCs w:val="21"/>
                      <w:u w:val="single"/>
                    </w:rPr>
                    <w:t>1</w:t>
                  </w:r>
                </w:p>
              </w:tc>
              <w:tc>
                <w:tcPr>
                  <w:tcW w:w="1364" w:type="dxa"/>
                  <w:tcBorders>
                    <w:tl2br w:val="nil"/>
                    <w:tr2bl w:val="nil"/>
                  </w:tcBorders>
                  <w:vAlign w:val="center"/>
                </w:tcPr>
                <w:p>
                  <w:pPr>
                    <w:widowControl/>
                    <w:jc w:val="center"/>
                    <w:textAlignment w:val="center"/>
                    <w:rPr>
                      <w:kern w:val="0"/>
                      <w:szCs w:val="21"/>
                      <w:u w:val="single"/>
                    </w:rPr>
                  </w:pPr>
                  <w:r>
                    <w:rPr>
                      <w:kern w:val="0"/>
                      <w:szCs w:val="21"/>
                      <w:u w:val="single"/>
                    </w:rPr>
                    <w:t>新建</w:t>
                  </w:r>
                </w:p>
              </w:tc>
            </w:tr>
            <w:tr>
              <w:trPr>
                <w:trHeight w:val="340" w:hRule="atLeast"/>
                <w:jc w:val="center"/>
              </w:trPr>
              <w:tc>
                <w:tcPr>
                  <w:tcW w:w="825" w:type="dxa"/>
                  <w:tcBorders>
                    <w:tl2br w:val="nil"/>
                    <w:tr2bl w:val="nil"/>
                  </w:tcBorders>
                  <w:vAlign w:val="center"/>
                </w:tcPr>
                <w:p>
                  <w:pPr>
                    <w:widowControl/>
                    <w:jc w:val="center"/>
                    <w:textAlignment w:val="center"/>
                    <w:rPr>
                      <w:szCs w:val="21"/>
                      <w:u w:val="single"/>
                    </w:rPr>
                  </w:pPr>
                  <w:r>
                    <w:rPr>
                      <w:rFonts w:hint="eastAsia"/>
                      <w:szCs w:val="21"/>
                      <w:u w:val="single"/>
                    </w:rPr>
                    <w:t>2</w:t>
                  </w:r>
                </w:p>
              </w:tc>
              <w:tc>
                <w:tcPr>
                  <w:tcW w:w="2386" w:type="dxa"/>
                  <w:tcBorders>
                    <w:tl2br w:val="nil"/>
                    <w:tr2bl w:val="nil"/>
                  </w:tcBorders>
                  <w:vAlign w:val="center"/>
                </w:tcPr>
                <w:p>
                  <w:pPr>
                    <w:widowControl/>
                    <w:jc w:val="center"/>
                    <w:textAlignment w:val="center"/>
                    <w:rPr>
                      <w:szCs w:val="21"/>
                      <w:u w:val="single"/>
                    </w:rPr>
                  </w:pPr>
                  <w:r>
                    <w:rPr>
                      <w:rFonts w:hint="eastAsia"/>
                      <w:szCs w:val="21"/>
                      <w:u w:val="single"/>
                    </w:rPr>
                    <w:t>36m</w:t>
                  </w:r>
                  <w:r>
                    <w:rPr>
                      <w:szCs w:val="21"/>
                      <w:u w:val="single"/>
                    </w:rPr>
                    <w:t>高烟囱</w:t>
                  </w:r>
                </w:p>
              </w:tc>
              <w:tc>
                <w:tcPr>
                  <w:tcW w:w="2675" w:type="dxa"/>
                  <w:tcBorders>
                    <w:tl2br w:val="nil"/>
                    <w:tr2bl w:val="nil"/>
                  </w:tcBorders>
                  <w:vAlign w:val="center"/>
                </w:tcPr>
                <w:p>
                  <w:pPr>
                    <w:widowControl/>
                    <w:jc w:val="center"/>
                    <w:textAlignment w:val="center"/>
                    <w:rPr>
                      <w:szCs w:val="21"/>
                      <w:u w:val="single"/>
                    </w:rPr>
                  </w:pPr>
                  <w:r>
                    <w:rPr>
                      <w:szCs w:val="21"/>
                      <w:u w:val="single"/>
                    </w:rPr>
                    <w:t>/</w:t>
                  </w:r>
                </w:p>
              </w:tc>
              <w:tc>
                <w:tcPr>
                  <w:tcW w:w="917" w:type="dxa"/>
                  <w:tcBorders>
                    <w:tl2br w:val="nil"/>
                    <w:tr2bl w:val="nil"/>
                  </w:tcBorders>
                  <w:vAlign w:val="center"/>
                </w:tcPr>
                <w:p>
                  <w:pPr>
                    <w:widowControl/>
                    <w:jc w:val="center"/>
                    <w:textAlignment w:val="center"/>
                    <w:rPr>
                      <w:szCs w:val="21"/>
                      <w:u w:val="single"/>
                    </w:rPr>
                  </w:pPr>
                  <w:r>
                    <w:rPr>
                      <w:szCs w:val="21"/>
                      <w:u w:val="single"/>
                    </w:rPr>
                    <w:t>根</w:t>
                  </w:r>
                </w:p>
              </w:tc>
              <w:tc>
                <w:tcPr>
                  <w:tcW w:w="751" w:type="dxa"/>
                  <w:tcBorders>
                    <w:tl2br w:val="nil"/>
                    <w:tr2bl w:val="nil"/>
                  </w:tcBorders>
                  <w:vAlign w:val="center"/>
                </w:tcPr>
                <w:p>
                  <w:pPr>
                    <w:widowControl/>
                    <w:jc w:val="center"/>
                    <w:textAlignment w:val="center"/>
                    <w:rPr>
                      <w:szCs w:val="21"/>
                      <w:u w:val="single"/>
                    </w:rPr>
                  </w:pPr>
                  <w:r>
                    <w:rPr>
                      <w:szCs w:val="21"/>
                      <w:u w:val="single"/>
                    </w:rPr>
                    <w:t>1</w:t>
                  </w:r>
                </w:p>
              </w:tc>
              <w:tc>
                <w:tcPr>
                  <w:tcW w:w="1364" w:type="dxa"/>
                  <w:tcBorders>
                    <w:tl2br w:val="nil"/>
                    <w:tr2bl w:val="nil"/>
                  </w:tcBorders>
                  <w:vAlign w:val="center"/>
                </w:tcPr>
                <w:p>
                  <w:pPr>
                    <w:widowControl/>
                    <w:jc w:val="center"/>
                    <w:textAlignment w:val="center"/>
                    <w:rPr>
                      <w:kern w:val="0"/>
                      <w:szCs w:val="21"/>
                      <w:u w:val="single"/>
                    </w:rPr>
                  </w:pPr>
                  <w:r>
                    <w:rPr>
                      <w:rFonts w:hint="eastAsia"/>
                      <w:kern w:val="0"/>
                      <w:szCs w:val="21"/>
                      <w:u w:val="single"/>
                    </w:rPr>
                    <w:t>依托现有</w:t>
                  </w:r>
                </w:p>
              </w:tc>
            </w:tr>
            <w:tr>
              <w:trPr>
                <w:trHeight w:val="340" w:hRule="atLeast"/>
                <w:jc w:val="center"/>
              </w:trPr>
              <w:tc>
                <w:tcPr>
                  <w:tcW w:w="825" w:type="dxa"/>
                  <w:tcBorders>
                    <w:tl2br w:val="nil"/>
                    <w:tr2bl w:val="nil"/>
                  </w:tcBorders>
                  <w:vAlign w:val="center"/>
                </w:tcPr>
                <w:p>
                  <w:pPr>
                    <w:widowControl/>
                    <w:jc w:val="center"/>
                    <w:textAlignment w:val="center"/>
                    <w:rPr>
                      <w:szCs w:val="21"/>
                      <w:u w:val="single"/>
                    </w:rPr>
                  </w:pPr>
                  <w:r>
                    <w:rPr>
                      <w:rFonts w:hint="eastAsia"/>
                      <w:szCs w:val="21"/>
                      <w:u w:val="single"/>
                    </w:rPr>
                    <w:t>3</w:t>
                  </w:r>
                </w:p>
              </w:tc>
              <w:tc>
                <w:tcPr>
                  <w:tcW w:w="2386" w:type="dxa"/>
                  <w:tcBorders>
                    <w:tl2br w:val="nil"/>
                    <w:tr2bl w:val="nil"/>
                  </w:tcBorders>
                  <w:vAlign w:val="center"/>
                </w:tcPr>
                <w:p>
                  <w:pPr>
                    <w:widowControl/>
                    <w:jc w:val="center"/>
                    <w:textAlignment w:val="center"/>
                    <w:rPr>
                      <w:szCs w:val="21"/>
                      <w:u w:val="single"/>
                    </w:rPr>
                  </w:pPr>
                  <w:r>
                    <w:rPr>
                      <w:rFonts w:hint="eastAsia"/>
                      <w:szCs w:val="21"/>
                      <w:u w:val="single"/>
                    </w:rPr>
                    <w:t>炉排减速机</w:t>
                  </w:r>
                </w:p>
              </w:tc>
              <w:tc>
                <w:tcPr>
                  <w:tcW w:w="2675" w:type="dxa"/>
                  <w:tcBorders>
                    <w:tl2br w:val="nil"/>
                    <w:tr2bl w:val="nil"/>
                  </w:tcBorders>
                  <w:vAlign w:val="center"/>
                </w:tcPr>
                <w:p>
                  <w:pPr>
                    <w:widowControl/>
                    <w:jc w:val="center"/>
                    <w:textAlignment w:val="center"/>
                    <w:rPr>
                      <w:szCs w:val="21"/>
                      <w:u w:val="single"/>
                    </w:rPr>
                  </w:pPr>
                  <w:r>
                    <w:rPr>
                      <w:rFonts w:hint="eastAsia"/>
                      <w:szCs w:val="21"/>
                      <w:u w:val="single"/>
                    </w:rPr>
                    <w:t>/</w:t>
                  </w:r>
                </w:p>
              </w:tc>
              <w:tc>
                <w:tcPr>
                  <w:tcW w:w="917" w:type="dxa"/>
                  <w:tcBorders>
                    <w:tl2br w:val="nil"/>
                    <w:tr2bl w:val="nil"/>
                  </w:tcBorders>
                  <w:vAlign w:val="center"/>
                </w:tcPr>
                <w:p>
                  <w:pPr>
                    <w:widowControl/>
                    <w:jc w:val="center"/>
                    <w:textAlignment w:val="center"/>
                    <w:rPr>
                      <w:szCs w:val="21"/>
                      <w:u w:val="single"/>
                    </w:rPr>
                  </w:pPr>
                  <w:r>
                    <w:rPr>
                      <w:szCs w:val="21"/>
                      <w:u w:val="single"/>
                    </w:rPr>
                    <w:t>台</w:t>
                  </w:r>
                </w:p>
              </w:tc>
              <w:tc>
                <w:tcPr>
                  <w:tcW w:w="751" w:type="dxa"/>
                  <w:tcBorders>
                    <w:tl2br w:val="nil"/>
                    <w:tr2bl w:val="nil"/>
                  </w:tcBorders>
                  <w:vAlign w:val="center"/>
                </w:tcPr>
                <w:p>
                  <w:pPr>
                    <w:widowControl/>
                    <w:jc w:val="center"/>
                    <w:textAlignment w:val="center"/>
                    <w:rPr>
                      <w:szCs w:val="21"/>
                      <w:u w:val="single"/>
                    </w:rPr>
                  </w:pPr>
                  <w:r>
                    <w:rPr>
                      <w:szCs w:val="21"/>
                      <w:u w:val="single"/>
                    </w:rPr>
                    <w:t>1</w:t>
                  </w:r>
                </w:p>
              </w:tc>
              <w:tc>
                <w:tcPr>
                  <w:tcW w:w="1364" w:type="dxa"/>
                  <w:tcBorders>
                    <w:tl2br w:val="nil"/>
                    <w:tr2bl w:val="nil"/>
                  </w:tcBorders>
                  <w:vAlign w:val="center"/>
                </w:tcPr>
                <w:p>
                  <w:pPr>
                    <w:widowControl/>
                    <w:jc w:val="center"/>
                    <w:textAlignment w:val="center"/>
                    <w:rPr>
                      <w:kern w:val="0"/>
                      <w:szCs w:val="21"/>
                      <w:u w:val="single"/>
                    </w:rPr>
                  </w:pPr>
                  <w:r>
                    <w:rPr>
                      <w:rFonts w:hint="eastAsia"/>
                      <w:kern w:val="0"/>
                      <w:szCs w:val="21"/>
                      <w:u w:val="single"/>
                    </w:rPr>
                    <w:t>依托现有</w:t>
                  </w:r>
                </w:p>
              </w:tc>
            </w:tr>
            <w:tr>
              <w:trPr>
                <w:trHeight w:val="340" w:hRule="atLeast"/>
                <w:jc w:val="center"/>
              </w:trPr>
              <w:tc>
                <w:tcPr>
                  <w:tcW w:w="825" w:type="dxa"/>
                  <w:tcBorders>
                    <w:tl2br w:val="nil"/>
                    <w:tr2bl w:val="nil"/>
                  </w:tcBorders>
                  <w:vAlign w:val="center"/>
                </w:tcPr>
                <w:p>
                  <w:pPr>
                    <w:widowControl/>
                    <w:jc w:val="center"/>
                    <w:textAlignment w:val="center"/>
                    <w:rPr>
                      <w:szCs w:val="21"/>
                      <w:u w:val="single"/>
                    </w:rPr>
                  </w:pPr>
                  <w:r>
                    <w:rPr>
                      <w:rFonts w:hint="eastAsia"/>
                      <w:szCs w:val="21"/>
                      <w:u w:val="single"/>
                    </w:rPr>
                    <w:t>4</w:t>
                  </w:r>
                </w:p>
              </w:tc>
              <w:tc>
                <w:tcPr>
                  <w:tcW w:w="2386" w:type="dxa"/>
                  <w:tcBorders>
                    <w:tl2br w:val="nil"/>
                    <w:tr2bl w:val="nil"/>
                  </w:tcBorders>
                  <w:vAlign w:val="center"/>
                </w:tcPr>
                <w:p>
                  <w:pPr>
                    <w:widowControl/>
                    <w:jc w:val="center"/>
                    <w:textAlignment w:val="center"/>
                    <w:rPr>
                      <w:szCs w:val="21"/>
                      <w:u w:val="single"/>
                    </w:rPr>
                  </w:pPr>
                  <w:r>
                    <w:rPr>
                      <w:rFonts w:hint="eastAsia"/>
                      <w:szCs w:val="21"/>
                      <w:u w:val="single"/>
                    </w:rPr>
                    <w:t>鼓风机/引风机</w:t>
                  </w:r>
                </w:p>
              </w:tc>
              <w:tc>
                <w:tcPr>
                  <w:tcW w:w="2675" w:type="dxa"/>
                  <w:tcBorders>
                    <w:tl2br w:val="nil"/>
                    <w:tr2bl w:val="nil"/>
                  </w:tcBorders>
                  <w:vAlign w:val="center"/>
                </w:tcPr>
                <w:p>
                  <w:pPr>
                    <w:widowControl/>
                    <w:jc w:val="center"/>
                    <w:textAlignment w:val="center"/>
                    <w:rPr>
                      <w:szCs w:val="21"/>
                      <w:u w:val="single"/>
                    </w:rPr>
                  </w:pPr>
                  <w:r>
                    <w:rPr>
                      <w:rFonts w:hint="eastAsia"/>
                      <w:szCs w:val="21"/>
                      <w:u w:val="single"/>
                    </w:rPr>
                    <w:t>/</w:t>
                  </w:r>
                </w:p>
              </w:tc>
              <w:tc>
                <w:tcPr>
                  <w:tcW w:w="917" w:type="dxa"/>
                  <w:tcBorders>
                    <w:tl2br w:val="nil"/>
                    <w:tr2bl w:val="nil"/>
                  </w:tcBorders>
                  <w:vAlign w:val="center"/>
                </w:tcPr>
                <w:p>
                  <w:pPr>
                    <w:widowControl/>
                    <w:jc w:val="center"/>
                    <w:textAlignment w:val="center"/>
                    <w:rPr>
                      <w:szCs w:val="21"/>
                      <w:u w:val="single"/>
                    </w:rPr>
                  </w:pPr>
                  <w:r>
                    <w:rPr>
                      <w:rFonts w:hint="eastAsia"/>
                      <w:szCs w:val="21"/>
                      <w:u w:val="single"/>
                    </w:rPr>
                    <w:t>套</w:t>
                  </w:r>
                </w:p>
              </w:tc>
              <w:tc>
                <w:tcPr>
                  <w:tcW w:w="751" w:type="dxa"/>
                  <w:tcBorders>
                    <w:tl2br w:val="nil"/>
                    <w:tr2bl w:val="nil"/>
                  </w:tcBorders>
                  <w:vAlign w:val="center"/>
                </w:tcPr>
                <w:p>
                  <w:pPr>
                    <w:widowControl/>
                    <w:jc w:val="center"/>
                    <w:textAlignment w:val="center"/>
                    <w:rPr>
                      <w:szCs w:val="21"/>
                      <w:u w:val="single"/>
                    </w:rPr>
                  </w:pPr>
                  <w:r>
                    <w:rPr>
                      <w:szCs w:val="21"/>
                      <w:u w:val="single"/>
                    </w:rPr>
                    <w:t>1</w:t>
                  </w:r>
                </w:p>
              </w:tc>
              <w:tc>
                <w:tcPr>
                  <w:tcW w:w="1364" w:type="dxa"/>
                  <w:tcBorders>
                    <w:tl2br w:val="nil"/>
                    <w:tr2bl w:val="nil"/>
                  </w:tcBorders>
                  <w:vAlign w:val="center"/>
                </w:tcPr>
                <w:p>
                  <w:pPr>
                    <w:widowControl/>
                    <w:jc w:val="center"/>
                    <w:textAlignment w:val="center"/>
                    <w:rPr>
                      <w:kern w:val="0"/>
                      <w:szCs w:val="21"/>
                      <w:u w:val="single"/>
                    </w:rPr>
                  </w:pPr>
                  <w:r>
                    <w:rPr>
                      <w:rFonts w:hint="eastAsia"/>
                      <w:kern w:val="0"/>
                      <w:szCs w:val="21"/>
                      <w:u w:val="single"/>
                    </w:rPr>
                    <w:t>依托现有</w:t>
                  </w:r>
                </w:p>
              </w:tc>
            </w:tr>
            <w:tr>
              <w:trPr>
                <w:trHeight w:val="340" w:hRule="atLeast"/>
                <w:jc w:val="center"/>
              </w:trPr>
              <w:tc>
                <w:tcPr>
                  <w:tcW w:w="825" w:type="dxa"/>
                  <w:tcBorders>
                    <w:tl2br w:val="nil"/>
                    <w:tr2bl w:val="nil"/>
                  </w:tcBorders>
                  <w:vAlign w:val="center"/>
                </w:tcPr>
                <w:p>
                  <w:pPr>
                    <w:widowControl/>
                    <w:jc w:val="center"/>
                    <w:textAlignment w:val="center"/>
                    <w:rPr>
                      <w:szCs w:val="21"/>
                      <w:u w:val="single"/>
                    </w:rPr>
                  </w:pPr>
                  <w:r>
                    <w:rPr>
                      <w:rFonts w:hint="eastAsia"/>
                      <w:szCs w:val="21"/>
                      <w:u w:val="single"/>
                    </w:rPr>
                    <w:t>5</w:t>
                  </w:r>
                </w:p>
              </w:tc>
              <w:tc>
                <w:tcPr>
                  <w:tcW w:w="2386" w:type="dxa"/>
                  <w:tcBorders>
                    <w:tl2br w:val="nil"/>
                    <w:tr2bl w:val="nil"/>
                  </w:tcBorders>
                  <w:vAlign w:val="center"/>
                </w:tcPr>
                <w:p>
                  <w:pPr>
                    <w:widowControl/>
                    <w:jc w:val="center"/>
                    <w:textAlignment w:val="center"/>
                    <w:rPr>
                      <w:szCs w:val="21"/>
                      <w:u w:val="single"/>
                    </w:rPr>
                  </w:pPr>
                  <w:r>
                    <w:rPr>
                      <w:rFonts w:hint="eastAsia"/>
                      <w:szCs w:val="21"/>
                      <w:u w:val="single"/>
                    </w:rPr>
                    <w:t>陶瓷多管除尘器+布袋除尘器</w:t>
                  </w:r>
                </w:p>
              </w:tc>
              <w:tc>
                <w:tcPr>
                  <w:tcW w:w="2675" w:type="dxa"/>
                  <w:tcBorders>
                    <w:tl2br w:val="nil"/>
                    <w:tr2bl w:val="nil"/>
                  </w:tcBorders>
                  <w:vAlign w:val="center"/>
                </w:tcPr>
                <w:p>
                  <w:pPr>
                    <w:widowControl/>
                    <w:jc w:val="center"/>
                    <w:textAlignment w:val="center"/>
                    <w:rPr>
                      <w:szCs w:val="21"/>
                      <w:u w:val="single"/>
                    </w:rPr>
                  </w:pPr>
                  <w:r>
                    <w:rPr>
                      <w:rFonts w:hint="eastAsia"/>
                      <w:szCs w:val="21"/>
                      <w:u w:val="single"/>
                    </w:rPr>
                    <w:t>/</w:t>
                  </w:r>
                </w:p>
              </w:tc>
              <w:tc>
                <w:tcPr>
                  <w:tcW w:w="917" w:type="dxa"/>
                  <w:tcBorders>
                    <w:tl2br w:val="nil"/>
                    <w:tr2bl w:val="nil"/>
                  </w:tcBorders>
                  <w:vAlign w:val="center"/>
                </w:tcPr>
                <w:p>
                  <w:pPr>
                    <w:widowControl/>
                    <w:jc w:val="center"/>
                    <w:textAlignment w:val="center"/>
                    <w:rPr>
                      <w:szCs w:val="21"/>
                      <w:u w:val="single"/>
                    </w:rPr>
                  </w:pPr>
                  <w:r>
                    <w:rPr>
                      <w:rFonts w:hint="eastAsia"/>
                      <w:szCs w:val="21"/>
                      <w:u w:val="single"/>
                    </w:rPr>
                    <w:t>套</w:t>
                  </w:r>
                </w:p>
              </w:tc>
              <w:tc>
                <w:tcPr>
                  <w:tcW w:w="751" w:type="dxa"/>
                  <w:tcBorders>
                    <w:tl2br w:val="nil"/>
                    <w:tr2bl w:val="nil"/>
                  </w:tcBorders>
                  <w:vAlign w:val="center"/>
                </w:tcPr>
                <w:p>
                  <w:pPr>
                    <w:widowControl/>
                    <w:jc w:val="center"/>
                    <w:textAlignment w:val="center"/>
                    <w:rPr>
                      <w:szCs w:val="21"/>
                      <w:u w:val="single"/>
                    </w:rPr>
                  </w:pPr>
                  <w:r>
                    <w:rPr>
                      <w:rFonts w:hint="eastAsia"/>
                      <w:szCs w:val="21"/>
                      <w:u w:val="single"/>
                    </w:rPr>
                    <w:t>1</w:t>
                  </w:r>
                </w:p>
              </w:tc>
              <w:tc>
                <w:tcPr>
                  <w:tcW w:w="1364" w:type="dxa"/>
                  <w:tcBorders>
                    <w:tl2br w:val="nil"/>
                    <w:tr2bl w:val="nil"/>
                  </w:tcBorders>
                  <w:vAlign w:val="center"/>
                </w:tcPr>
                <w:p>
                  <w:pPr>
                    <w:widowControl/>
                    <w:jc w:val="center"/>
                    <w:textAlignment w:val="center"/>
                    <w:rPr>
                      <w:kern w:val="0"/>
                      <w:szCs w:val="21"/>
                      <w:u w:val="single"/>
                    </w:rPr>
                  </w:pPr>
                  <w:r>
                    <w:rPr>
                      <w:rFonts w:hint="eastAsia"/>
                      <w:kern w:val="0"/>
                      <w:szCs w:val="21"/>
                      <w:u w:val="single"/>
                    </w:rPr>
                    <w:t>依托现有</w:t>
                  </w:r>
                </w:p>
              </w:tc>
            </w:tr>
            <w:tr>
              <w:trPr>
                <w:trHeight w:val="340" w:hRule="atLeast"/>
                <w:jc w:val="center"/>
              </w:trPr>
              <w:tc>
                <w:tcPr>
                  <w:tcW w:w="825" w:type="dxa"/>
                  <w:tcBorders>
                    <w:tl2br w:val="nil"/>
                    <w:tr2bl w:val="nil"/>
                  </w:tcBorders>
                  <w:vAlign w:val="center"/>
                </w:tcPr>
                <w:p>
                  <w:pPr>
                    <w:widowControl/>
                    <w:jc w:val="center"/>
                    <w:textAlignment w:val="center"/>
                    <w:rPr>
                      <w:szCs w:val="21"/>
                      <w:u w:val="single"/>
                    </w:rPr>
                  </w:pPr>
                  <w:r>
                    <w:rPr>
                      <w:rFonts w:hint="eastAsia"/>
                      <w:szCs w:val="21"/>
                      <w:u w:val="single"/>
                    </w:rPr>
                    <w:t>6</w:t>
                  </w:r>
                </w:p>
              </w:tc>
              <w:tc>
                <w:tcPr>
                  <w:tcW w:w="2386" w:type="dxa"/>
                  <w:tcBorders>
                    <w:tl2br w:val="nil"/>
                    <w:tr2bl w:val="nil"/>
                  </w:tcBorders>
                  <w:vAlign w:val="center"/>
                </w:tcPr>
                <w:p>
                  <w:pPr>
                    <w:widowControl/>
                    <w:jc w:val="center"/>
                    <w:textAlignment w:val="center"/>
                    <w:rPr>
                      <w:szCs w:val="21"/>
                      <w:u w:val="single"/>
                    </w:rPr>
                  </w:pPr>
                  <w:r>
                    <w:rPr>
                      <w:rFonts w:hint="eastAsia"/>
                      <w:szCs w:val="21"/>
                      <w:u w:val="single"/>
                    </w:rPr>
                    <w:t>泵类</w:t>
                  </w:r>
                </w:p>
              </w:tc>
              <w:tc>
                <w:tcPr>
                  <w:tcW w:w="2675" w:type="dxa"/>
                  <w:tcBorders>
                    <w:tl2br w:val="nil"/>
                    <w:tr2bl w:val="nil"/>
                  </w:tcBorders>
                  <w:vAlign w:val="center"/>
                </w:tcPr>
                <w:p>
                  <w:pPr>
                    <w:widowControl/>
                    <w:jc w:val="center"/>
                    <w:textAlignment w:val="center"/>
                    <w:rPr>
                      <w:szCs w:val="21"/>
                      <w:u w:val="single"/>
                    </w:rPr>
                  </w:pPr>
                  <w:r>
                    <w:rPr>
                      <w:rFonts w:hint="eastAsia"/>
                      <w:szCs w:val="21"/>
                      <w:u w:val="single"/>
                    </w:rPr>
                    <w:t>/</w:t>
                  </w:r>
                </w:p>
              </w:tc>
              <w:tc>
                <w:tcPr>
                  <w:tcW w:w="917" w:type="dxa"/>
                  <w:tcBorders>
                    <w:tl2br w:val="nil"/>
                    <w:tr2bl w:val="nil"/>
                  </w:tcBorders>
                  <w:vAlign w:val="center"/>
                </w:tcPr>
                <w:p>
                  <w:pPr>
                    <w:widowControl/>
                    <w:jc w:val="center"/>
                    <w:textAlignment w:val="center"/>
                    <w:rPr>
                      <w:szCs w:val="21"/>
                      <w:u w:val="single"/>
                    </w:rPr>
                  </w:pPr>
                  <w:r>
                    <w:rPr>
                      <w:rFonts w:hint="eastAsia"/>
                      <w:szCs w:val="21"/>
                      <w:u w:val="single"/>
                    </w:rPr>
                    <w:t>套</w:t>
                  </w:r>
                </w:p>
              </w:tc>
              <w:tc>
                <w:tcPr>
                  <w:tcW w:w="751" w:type="dxa"/>
                  <w:tcBorders>
                    <w:tl2br w:val="nil"/>
                    <w:tr2bl w:val="nil"/>
                  </w:tcBorders>
                  <w:vAlign w:val="center"/>
                </w:tcPr>
                <w:p>
                  <w:pPr>
                    <w:widowControl/>
                    <w:jc w:val="center"/>
                    <w:textAlignment w:val="center"/>
                    <w:rPr>
                      <w:szCs w:val="21"/>
                      <w:u w:val="single"/>
                    </w:rPr>
                  </w:pPr>
                  <w:r>
                    <w:rPr>
                      <w:rFonts w:hint="eastAsia"/>
                      <w:szCs w:val="21"/>
                      <w:u w:val="single"/>
                    </w:rPr>
                    <w:t>1</w:t>
                  </w:r>
                </w:p>
              </w:tc>
              <w:tc>
                <w:tcPr>
                  <w:tcW w:w="1364" w:type="dxa"/>
                  <w:tcBorders>
                    <w:tl2br w:val="nil"/>
                    <w:tr2bl w:val="nil"/>
                  </w:tcBorders>
                  <w:vAlign w:val="center"/>
                </w:tcPr>
                <w:p>
                  <w:pPr>
                    <w:widowControl/>
                    <w:jc w:val="center"/>
                    <w:textAlignment w:val="center"/>
                    <w:rPr>
                      <w:kern w:val="0"/>
                      <w:szCs w:val="21"/>
                      <w:u w:val="single"/>
                    </w:rPr>
                  </w:pPr>
                  <w:r>
                    <w:rPr>
                      <w:rFonts w:hint="eastAsia"/>
                      <w:kern w:val="0"/>
                      <w:szCs w:val="21"/>
                      <w:u w:val="single"/>
                    </w:rPr>
                    <w:t>依托现有</w:t>
                  </w:r>
                </w:p>
              </w:tc>
            </w:tr>
          </w:tbl>
          <w:p>
            <w:pPr>
              <w:spacing w:line="360" w:lineRule="auto"/>
              <w:ind w:firstLine="482"/>
              <w:outlineLvl w:val="0"/>
              <w:rPr>
                <w:b/>
                <w:bCs/>
                <w:sz w:val="24"/>
              </w:rPr>
            </w:pPr>
            <w:r>
              <w:rPr>
                <w:b/>
                <w:bCs/>
                <w:sz w:val="24"/>
              </w:rPr>
              <w:t>3、主要原材料</w:t>
            </w:r>
          </w:p>
          <w:p>
            <w:pPr>
              <w:pStyle w:val="16"/>
              <w:adjustRightInd w:val="0"/>
              <w:snapToGrid w:val="0"/>
              <w:spacing w:before="0" w:beforeAutospacing="0" w:after="0" w:afterAutospacing="0" w:line="360" w:lineRule="auto"/>
              <w:ind w:firstLine="480" w:firstLineChars="200"/>
              <w:jc w:val="both"/>
              <w:rPr>
                <w:rFonts w:ascii="Times New Roman" w:hAnsi="Times New Roman" w:cs="Times New Roman"/>
                <w:szCs w:val="24"/>
              </w:rPr>
            </w:pPr>
            <w:r>
              <w:rPr>
                <w:rFonts w:ascii="Times New Roman" w:hAnsi="Times New Roman" w:cs="Times New Roman"/>
              </w:rPr>
              <w:t>本项目锅炉采用生物质成型颗粒为燃料，</w:t>
            </w:r>
            <w:r>
              <w:rPr>
                <w:rFonts w:ascii="Times New Roman" w:hAnsi="Times New Roman" w:cs="Times New Roman"/>
                <w:szCs w:val="24"/>
              </w:rPr>
              <w:t>燃料</w:t>
            </w:r>
            <w:r>
              <w:rPr>
                <w:rFonts w:hint="eastAsia" w:ascii="Times New Roman" w:hAnsi="Times New Roman" w:cs="Times New Roman"/>
                <w:szCs w:val="24"/>
              </w:rPr>
              <w:t>成分分析详见附件</w:t>
            </w:r>
            <w:r>
              <w:rPr>
                <w:rFonts w:ascii="Times New Roman" w:hAnsi="Times New Roman" w:cs="Times New Roman"/>
                <w:szCs w:val="24"/>
              </w:rPr>
              <w:t>，生物质燃料成分分析详见下表。</w:t>
            </w:r>
          </w:p>
          <w:p>
            <w:pPr>
              <w:pStyle w:val="25"/>
              <w:numPr>
                <w:ilvl w:val="0"/>
                <w:numId w:val="0"/>
              </w:numPr>
              <w:ind w:firstLine="284"/>
              <w:rPr>
                <w:rFonts w:ascii="Times New Roman" w:hAnsi="Times New Roman"/>
                <w:b w:val="0"/>
                <w:bCs/>
              </w:rPr>
            </w:pPr>
            <w:r>
              <w:rPr>
                <w:rFonts w:ascii="Times New Roman" w:hAnsi="Times New Roman"/>
                <w:b w:val="0"/>
                <w:bCs/>
              </w:rPr>
              <w:t>表</w:t>
            </w:r>
            <w:r>
              <w:rPr>
                <w:rFonts w:hint="eastAsia" w:ascii="Times New Roman" w:hAnsi="Times New Roman"/>
                <w:b w:val="0"/>
                <w:bCs/>
              </w:rPr>
              <w:t xml:space="preserve">12  </w:t>
            </w:r>
            <w:r>
              <w:rPr>
                <w:rFonts w:ascii="Times New Roman" w:hAnsi="Times New Roman"/>
                <w:b w:val="0"/>
                <w:bCs/>
              </w:rPr>
              <w:t>生物质成分分析表</w:t>
            </w:r>
          </w:p>
          <w:tbl>
            <w:tblPr>
              <w:tblW w:w="891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1122"/>
              <w:gridCol w:w="3915"/>
              <w:gridCol w:w="1548"/>
              <w:gridCol w:w="2333"/>
            </w:tblGrid>
            <w:tr>
              <w:trPr>
                <w:trHeight w:val="230" w:hRule="atLeast"/>
                <w:jc w:val="center"/>
              </w:trPr>
              <w:tc>
                <w:tcPr>
                  <w:tcW w:w="1122" w:type="dxa"/>
                  <w:tcBorders>
                    <w:tl2br w:val="nil"/>
                    <w:tr2bl w:val="nil"/>
                  </w:tcBorders>
                  <w:vAlign w:val="center"/>
                </w:tcPr>
                <w:p>
                  <w:pPr>
                    <w:tabs>
                      <w:tab w:val="left" w:pos="4620"/>
                    </w:tabs>
                    <w:snapToGrid w:val="0"/>
                    <w:jc w:val="center"/>
                    <w:rPr>
                      <w:szCs w:val="21"/>
                    </w:rPr>
                  </w:pPr>
                  <w:r>
                    <w:rPr>
                      <w:szCs w:val="21"/>
                    </w:rPr>
                    <w:t>序号</w:t>
                  </w:r>
                </w:p>
              </w:tc>
              <w:tc>
                <w:tcPr>
                  <w:tcW w:w="3915" w:type="dxa"/>
                  <w:tcBorders>
                    <w:tl2br w:val="nil"/>
                    <w:tr2bl w:val="nil"/>
                  </w:tcBorders>
                  <w:vAlign w:val="center"/>
                </w:tcPr>
                <w:p>
                  <w:pPr>
                    <w:tabs>
                      <w:tab w:val="left" w:pos="4620"/>
                    </w:tabs>
                    <w:snapToGrid w:val="0"/>
                    <w:jc w:val="center"/>
                    <w:rPr>
                      <w:szCs w:val="21"/>
                    </w:rPr>
                  </w:pPr>
                  <w:r>
                    <w:rPr>
                      <w:szCs w:val="21"/>
                    </w:rPr>
                    <w:t>名称</w:t>
                  </w:r>
                </w:p>
              </w:tc>
              <w:tc>
                <w:tcPr>
                  <w:tcW w:w="1548" w:type="dxa"/>
                  <w:tcBorders>
                    <w:tl2br w:val="nil"/>
                    <w:tr2bl w:val="nil"/>
                  </w:tcBorders>
                  <w:vAlign w:val="center"/>
                </w:tcPr>
                <w:p>
                  <w:pPr>
                    <w:tabs>
                      <w:tab w:val="left" w:pos="4620"/>
                    </w:tabs>
                    <w:snapToGrid w:val="0"/>
                    <w:jc w:val="center"/>
                    <w:rPr>
                      <w:szCs w:val="21"/>
                    </w:rPr>
                  </w:pPr>
                  <w:r>
                    <w:rPr>
                      <w:szCs w:val="21"/>
                    </w:rPr>
                    <w:t>符号</w:t>
                  </w:r>
                </w:p>
              </w:tc>
              <w:tc>
                <w:tcPr>
                  <w:tcW w:w="2333" w:type="dxa"/>
                  <w:tcBorders>
                    <w:tl2br w:val="nil"/>
                    <w:tr2bl w:val="nil"/>
                  </w:tcBorders>
                  <w:vAlign w:val="center"/>
                </w:tcPr>
                <w:p>
                  <w:pPr>
                    <w:tabs>
                      <w:tab w:val="left" w:pos="4620"/>
                    </w:tabs>
                    <w:snapToGrid w:val="0"/>
                    <w:jc w:val="center"/>
                    <w:rPr>
                      <w:szCs w:val="21"/>
                    </w:rPr>
                  </w:pPr>
                  <w:r>
                    <w:rPr>
                      <w:szCs w:val="21"/>
                    </w:rPr>
                    <w:t>数值</w:t>
                  </w:r>
                </w:p>
              </w:tc>
            </w:tr>
            <w:tr>
              <w:trPr>
                <w:trHeight w:val="230" w:hRule="atLeast"/>
                <w:jc w:val="center"/>
              </w:trPr>
              <w:tc>
                <w:tcPr>
                  <w:tcW w:w="1122" w:type="dxa"/>
                  <w:tcBorders>
                    <w:tl2br w:val="nil"/>
                    <w:tr2bl w:val="nil"/>
                  </w:tcBorders>
                  <w:vAlign w:val="center"/>
                </w:tcPr>
                <w:p>
                  <w:pPr>
                    <w:tabs>
                      <w:tab w:val="left" w:pos="4620"/>
                    </w:tabs>
                    <w:jc w:val="center"/>
                    <w:rPr>
                      <w:szCs w:val="21"/>
                    </w:rPr>
                  </w:pPr>
                  <w:r>
                    <w:rPr>
                      <w:szCs w:val="21"/>
                    </w:rPr>
                    <w:t>1</w:t>
                  </w:r>
                </w:p>
              </w:tc>
              <w:tc>
                <w:tcPr>
                  <w:tcW w:w="3915" w:type="dxa"/>
                  <w:tcBorders>
                    <w:tl2br w:val="nil"/>
                    <w:tr2bl w:val="nil"/>
                  </w:tcBorders>
                  <w:vAlign w:val="center"/>
                </w:tcPr>
                <w:p>
                  <w:pPr>
                    <w:adjustRightInd w:val="0"/>
                    <w:snapToGrid w:val="0"/>
                    <w:jc w:val="center"/>
                    <w:rPr>
                      <w:szCs w:val="21"/>
                    </w:rPr>
                  </w:pPr>
                  <w:r>
                    <w:rPr>
                      <w:szCs w:val="21"/>
                    </w:rPr>
                    <w:t>全水分（%）</w:t>
                  </w:r>
                </w:p>
              </w:tc>
              <w:tc>
                <w:tcPr>
                  <w:tcW w:w="1548" w:type="dxa"/>
                  <w:tcBorders>
                    <w:tl2br w:val="nil"/>
                    <w:tr2bl w:val="nil"/>
                  </w:tcBorders>
                  <w:vAlign w:val="center"/>
                </w:tcPr>
                <w:p>
                  <w:pPr>
                    <w:adjustRightInd w:val="0"/>
                    <w:snapToGrid w:val="0"/>
                    <w:jc w:val="center"/>
                    <w:rPr>
                      <w:szCs w:val="21"/>
                    </w:rPr>
                  </w:pPr>
                  <w:r>
                    <w:rPr>
                      <w:szCs w:val="21"/>
                    </w:rPr>
                    <w:t>Mt</w:t>
                  </w:r>
                </w:p>
              </w:tc>
              <w:tc>
                <w:tcPr>
                  <w:tcW w:w="2333" w:type="dxa"/>
                  <w:tcBorders>
                    <w:tl2br w:val="nil"/>
                    <w:tr2bl w:val="nil"/>
                  </w:tcBorders>
                  <w:vAlign w:val="center"/>
                </w:tcPr>
                <w:p>
                  <w:pPr>
                    <w:adjustRightInd w:val="0"/>
                    <w:snapToGrid w:val="0"/>
                    <w:jc w:val="center"/>
                    <w:rPr>
                      <w:szCs w:val="21"/>
                    </w:rPr>
                  </w:pPr>
                  <w:r>
                    <w:rPr>
                      <w:rFonts w:hint="eastAsia"/>
                      <w:szCs w:val="21"/>
                    </w:rPr>
                    <w:t>8.14</w:t>
                  </w:r>
                </w:p>
              </w:tc>
            </w:tr>
            <w:tr>
              <w:trPr>
                <w:trHeight w:val="230" w:hRule="atLeast"/>
                <w:jc w:val="center"/>
              </w:trPr>
              <w:tc>
                <w:tcPr>
                  <w:tcW w:w="1122" w:type="dxa"/>
                  <w:tcBorders>
                    <w:tl2br w:val="nil"/>
                    <w:tr2bl w:val="nil"/>
                  </w:tcBorders>
                  <w:vAlign w:val="center"/>
                </w:tcPr>
                <w:p>
                  <w:pPr>
                    <w:tabs>
                      <w:tab w:val="left" w:pos="4620"/>
                    </w:tabs>
                    <w:jc w:val="center"/>
                    <w:rPr>
                      <w:szCs w:val="21"/>
                    </w:rPr>
                  </w:pPr>
                  <w:r>
                    <w:rPr>
                      <w:szCs w:val="21"/>
                    </w:rPr>
                    <w:t>2</w:t>
                  </w:r>
                </w:p>
              </w:tc>
              <w:tc>
                <w:tcPr>
                  <w:tcW w:w="3915" w:type="dxa"/>
                  <w:tcBorders>
                    <w:tl2br w:val="nil"/>
                    <w:tr2bl w:val="nil"/>
                  </w:tcBorders>
                  <w:vAlign w:val="center"/>
                </w:tcPr>
                <w:p>
                  <w:pPr>
                    <w:adjustRightInd w:val="0"/>
                    <w:snapToGrid w:val="0"/>
                    <w:jc w:val="center"/>
                    <w:rPr>
                      <w:szCs w:val="21"/>
                    </w:rPr>
                  </w:pPr>
                  <w:r>
                    <w:rPr>
                      <w:szCs w:val="21"/>
                    </w:rPr>
                    <w:t>空气干燥基水分（%）</w:t>
                  </w:r>
                </w:p>
              </w:tc>
              <w:tc>
                <w:tcPr>
                  <w:tcW w:w="1548" w:type="dxa"/>
                  <w:tcBorders>
                    <w:tl2br w:val="nil"/>
                    <w:tr2bl w:val="nil"/>
                  </w:tcBorders>
                  <w:vAlign w:val="center"/>
                </w:tcPr>
                <w:p>
                  <w:pPr>
                    <w:adjustRightInd w:val="0"/>
                    <w:snapToGrid w:val="0"/>
                    <w:jc w:val="center"/>
                    <w:rPr>
                      <w:szCs w:val="21"/>
                    </w:rPr>
                  </w:pPr>
                  <w:r>
                    <w:rPr>
                      <w:szCs w:val="21"/>
                    </w:rPr>
                    <w:t>M</w:t>
                  </w:r>
                  <w:r>
                    <w:rPr>
                      <w:szCs w:val="21"/>
                      <w:vertAlign w:val="subscript"/>
                    </w:rPr>
                    <w:t>ad</w:t>
                  </w:r>
                </w:p>
              </w:tc>
              <w:tc>
                <w:tcPr>
                  <w:tcW w:w="2333" w:type="dxa"/>
                  <w:tcBorders>
                    <w:tl2br w:val="nil"/>
                    <w:tr2bl w:val="nil"/>
                  </w:tcBorders>
                  <w:vAlign w:val="center"/>
                </w:tcPr>
                <w:p>
                  <w:pPr>
                    <w:adjustRightInd w:val="0"/>
                    <w:snapToGrid w:val="0"/>
                    <w:jc w:val="center"/>
                    <w:rPr>
                      <w:szCs w:val="21"/>
                    </w:rPr>
                  </w:pPr>
                  <w:r>
                    <w:rPr>
                      <w:rFonts w:hint="eastAsia"/>
                      <w:szCs w:val="21"/>
                    </w:rPr>
                    <w:t>0.68</w:t>
                  </w:r>
                </w:p>
              </w:tc>
            </w:tr>
            <w:tr>
              <w:trPr>
                <w:trHeight w:val="230" w:hRule="atLeast"/>
                <w:jc w:val="center"/>
              </w:trPr>
              <w:tc>
                <w:tcPr>
                  <w:tcW w:w="1122" w:type="dxa"/>
                  <w:tcBorders>
                    <w:tl2br w:val="nil"/>
                    <w:tr2bl w:val="nil"/>
                  </w:tcBorders>
                  <w:vAlign w:val="center"/>
                </w:tcPr>
                <w:p>
                  <w:pPr>
                    <w:tabs>
                      <w:tab w:val="left" w:pos="4620"/>
                    </w:tabs>
                    <w:jc w:val="center"/>
                    <w:rPr>
                      <w:szCs w:val="21"/>
                    </w:rPr>
                  </w:pPr>
                  <w:r>
                    <w:rPr>
                      <w:rFonts w:hint="eastAsia"/>
                      <w:szCs w:val="21"/>
                    </w:rPr>
                    <w:t>3</w:t>
                  </w:r>
                </w:p>
              </w:tc>
              <w:tc>
                <w:tcPr>
                  <w:tcW w:w="3915" w:type="dxa"/>
                  <w:tcBorders>
                    <w:tl2br w:val="nil"/>
                    <w:tr2bl w:val="nil"/>
                  </w:tcBorders>
                  <w:vAlign w:val="center"/>
                </w:tcPr>
                <w:p>
                  <w:pPr>
                    <w:adjustRightInd w:val="0"/>
                    <w:snapToGrid w:val="0"/>
                    <w:jc w:val="center"/>
                    <w:rPr>
                      <w:szCs w:val="21"/>
                    </w:rPr>
                  </w:pPr>
                  <w:r>
                    <w:rPr>
                      <w:rFonts w:hint="eastAsia"/>
                    </w:rPr>
                    <w:t>收到基灰分（%）</w:t>
                  </w:r>
                </w:p>
              </w:tc>
              <w:tc>
                <w:tcPr>
                  <w:tcW w:w="1548" w:type="dxa"/>
                  <w:tcBorders>
                    <w:tl2br w:val="nil"/>
                    <w:tr2bl w:val="nil"/>
                  </w:tcBorders>
                  <w:vAlign w:val="center"/>
                </w:tcPr>
                <w:p>
                  <w:pPr>
                    <w:adjustRightInd w:val="0"/>
                    <w:snapToGrid w:val="0"/>
                    <w:jc w:val="center"/>
                    <w:rPr>
                      <w:szCs w:val="21"/>
                    </w:rPr>
                  </w:pPr>
                  <w:r>
                    <w:rPr>
                      <w:szCs w:val="21"/>
                    </w:rPr>
                    <w:t>A</w:t>
                  </w:r>
                  <w:r>
                    <w:rPr>
                      <w:szCs w:val="21"/>
                      <w:vertAlign w:val="subscript"/>
                    </w:rPr>
                    <w:t>a</w:t>
                  </w:r>
                  <w:r>
                    <w:rPr>
                      <w:rFonts w:hint="eastAsia"/>
                      <w:szCs w:val="21"/>
                      <w:vertAlign w:val="subscript"/>
                    </w:rPr>
                    <w:t>r</w:t>
                  </w:r>
                </w:p>
              </w:tc>
              <w:tc>
                <w:tcPr>
                  <w:tcW w:w="2333" w:type="dxa"/>
                  <w:tcBorders>
                    <w:tl2br w:val="nil"/>
                    <w:tr2bl w:val="nil"/>
                  </w:tcBorders>
                  <w:vAlign w:val="center"/>
                </w:tcPr>
                <w:p>
                  <w:pPr>
                    <w:adjustRightInd w:val="0"/>
                    <w:snapToGrid w:val="0"/>
                    <w:jc w:val="center"/>
                    <w:rPr>
                      <w:szCs w:val="21"/>
                    </w:rPr>
                  </w:pPr>
                  <w:r>
                    <w:rPr>
                      <w:rFonts w:hint="eastAsia"/>
                      <w:szCs w:val="21"/>
                    </w:rPr>
                    <w:t>1.24</w:t>
                  </w:r>
                </w:p>
              </w:tc>
            </w:tr>
            <w:tr>
              <w:trPr>
                <w:trHeight w:val="230" w:hRule="atLeast"/>
                <w:jc w:val="center"/>
              </w:trPr>
              <w:tc>
                <w:tcPr>
                  <w:tcW w:w="1122" w:type="dxa"/>
                  <w:tcBorders>
                    <w:tl2br w:val="nil"/>
                    <w:tr2bl w:val="nil"/>
                  </w:tcBorders>
                  <w:vAlign w:val="center"/>
                </w:tcPr>
                <w:p>
                  <w:pPr>
                    <w:tabs>
                      <w:tab w:val="left" w:pos="4620"/>
                    </w:tabs>
                    <w:jc w:val="center"/>
                    <w:rPr>
                      <w:szCs w:val="21"/>
                    </w:rPr>
                  </w:pPr>
                  <w:r>
                    <w:rPr>
                      <w:rFonts w:hint="eastAsia"/>
                      <w:szCs w:val="21"/>
                    </w:rPr>
                    <w:t>4</w:t>
                  </w:r>
                </w:p>
              </w:tc>
              <w:tc>
                <w:tcPr>
                  <w:tcW w:w="3915" w:type="dxa"/>
                  <w:tcBorders>
                    <w:tl2br w:val="nil"/>
                    <w:tr2bl w:val="nil"/>
                  </w:tcBorders>
                  <w:vAlign w:val="center"/>
                </w:tcPr>
                <w:p>
                  <w:pPr>
                    <w:adjustRightInd w:val="0"/>
                    <w:snapToGrid w:val="0"/>
                    <w:jc w:val="center"/>
                    <w:rPr>
                      <w:szCs w:val="21"/>
                    </w:rPr>
                  </w:pPr>
                  <w:r>
                    <w:rPr>
                      <w:szCs w:val="21"/>
                    </w:rPr>
                    <w:t>空气干燥基灰分（%）</w:t>
                  </w:r>
                </w:p>
              </w:tc>
              <w:tc>
                <w:tcPr>
                  <w:tcW w:w="1548" w:type="dxa"/>
                  <w:tcBorders>
                    <w:tl2br w:val="nil"/>
                    <w:tr2bl w:val="nil"/>
                  </w:tcBorders>
                  <w:vAlign w:val="center"/>
                </w:tcPr>
                <w:p>
                  <w:pPr>
                    <w:adjustRightInd w:val="0"/>
                    <w:snapToGrid w:val="0"/>
                    <w:jc w:val="center"/>
                    <w:rPr>
                      <w:szCs w:val="21"/>
                    </w:rPr>
                  </w:pPr>
                  <w:r>
                    <w:rPr>
                      <w:szCs w:val="21"/>
                    </w:rPr>
                    <w:t>A</w:t>
                  </w:r>
                  <w:r>
                    <w:rPr>
                      <w:szCs w:val="21"/>
                      <w:vertAlign w:val="subscript"/>
                    </w:rPr>
                    <w:t>a</w:t>
                  </w:r>
                  <w:r>
                    <w:rPr>
                      <w:rFonts w:hint="eastAsia"/>
                      <w:szCs w:val="21"/>
                      <w:vertAlign w:val="subscript"/>
                    </w:rPr>
                    <w:t>d</w:t>
                  </w:r>
                </w:p>
              </w:tc>
              <w:tc>
                <w:tcPr>
                  <w:tcW w:w="2333" w:type="dxa"/>
                  <w:tcBorders>
                    <w:tl2br w:val="nil"/>
                    <w:tr2bl w:val="nil"/>
                  </w:tcBorders>
                  <w:vAlign w:val="center"/>
                </w:tcPr>
                <w:p>
                  <w:pPr>
                    <w:adjustRightInd w:val="0"/>
                    <w:snapToGrid w:val="0"/>
                    <w:jc w:val="center"/>
                    <w:rPr>
                      <w:szCs w:val="21"/>
                    </w:rPr>
                  </w:pPr>
                  <w:r>
                    <w:rPr>
                      <w:rFonts w:hint="eastAsia"/>
                      <w:szCs w:val="21"/>
                    </w:rPr>
                    <w:t>1.34</w:t>
                  </w:r>
                </w:p>
              </w:tc>
            </w:tr>
            <w:tr>
              <w:trPr>
                <w:trHeight w:val="230" w:hRule="atLeast"/>
                <w:jc w:val="center"/>
              </w:trPr>
              <w:tc>
                <w:tcPr>
                  <w:tcW w:w="1122" w:type="dxa"/>
                  <w:tcBorders>
                    <w:tl2br w:val="nil"/>
                    <w:tr2bl w:val="nil"/>
                  </w:tcBorders>
                  <w:vAlign w:val="center"/>
                </w:tcPr>
                <w:p>
                  <w:pPr>
                    <w:tabs>
                      <w:tab w:val="left" w:pos="4620"/>
                    </w:tabs>
                    <w:jc w:val="center"/>
                    <w:rPr>
                      <w:szCs w:val="21"/>
                    </w:rPr>
                  </w:pPr>
                  <w:r>
                    <w:rPr>
                      <w:rFonts w:hint="eastAsia"/>
                      <w:szCs w:val="21"/>
                    </w:rPr>
                    <w:t>5</w:t>
                  </w:r>
                </w:p>
              </w:tc>
              <w:tc>
                <w:tcPr>
                  <w:tcW w:w="3915" w:type="dxa"/>
                  <w:tcBorders>
                    <w:tl2br w:val="nil"/>
                    <w:tr2bl w:val="nil"/>
                  </w:tcBorders>
                  <w:vAlign w:val="center"/>
                </w:tcPr>
                <w:p>
                  <w:pPr>
                    <w:adjustRightInd w:val="0"/>
                    <w:snapToGrid w:val="0"/>
                    <w:jc w:val="center"/>
                    <w:rPr>
                      <w:szCs w:val="21"/>
                    </w:rPr>
                  </w:pPr>
                  <w:r>
                    <w:rPr>
                      <w:rFonts w:hint="eastAsia"/>
                      <w:szCs w:val="21"/>
                    </w:rPr>
                    <w:t>收到</w:t>
                  </w:r>
                  <w:r>
                    <w:rPr>
                      <w:szCs w:val="21"/>
                    </w:rPr>
                    <w:t>基挥发分（%）</w:t>
                  </w:r>
                </w:p>
              </w:tc>
              <w:tc>
                <w:tcPr>
                  <w:tcW w:w="1548" w:type="dxa"/>
                  <w:tcBorders>
                    <w:tl2br w:val="nil"/>
                    <w:tr2bl w:val="nil"/>
                  </w:tcBorders>
                  <w:vAlign w:val="center"/>
                </w:tcPr>
                <w:p>
                  <w:pPr>
                    <w:adjustRightInd w:val="0"/>
                    <w:snapToGrid w:val="0"/>
                    <w:jc w:val="center"/>
                    <w:rPr>
                      <w:szCs w:val="21"/>
                    </w:rPr>
                  </w:pPr>
                  <w:r>
                    <w:rPr>
                      <w:szCs w:val="21"/>
                    </w:rPr>
                    <w:t>V</w:t>
                  </w:r>
                  <w:r>
                    <w:rPr>
                      <w:szCs w:val="21"/>
                      <w:vertAlign w:val="subscript"/>
                    </w:rPr>
                    <w:t>a</w:t>
                  </w:r>
                  <w:r>
                    <w:rPr>
                      <w:rFonts w:hint="eastAsia"/>
                      <w:szCs w:val="21"/>
                      <w:vertAlign w:val="subscript"/>
                    </w:rPr>
                    <w:t>r</w:t>
                  </w:r>
                </w:p>
              </w:tc>
              <w:tc>
                <w:tcPr>
                  <w:tcW w:w="2333" w:type="dxa"/>
                  <w:tcBorders>
                    <w:tl2br w:val="nil"/>
                    <w:tr2bl w:val="nil"/>
                  </w:tcBorders>
                  <w:vAlign w:val="center"/>
                </w:tcPr>
                <w:p>
                  <w:pPr>
                    <w:adjustRightInd w:val="0"/>
                    <w:snapToGrid w:val="0"/>
                    <w:jc w:val="center"/>
                    <w:rPr>
                      <w:szCs w:val="21"/>
                    </w:rPr>
                  </w:pPr>
                  <w:r>
                    <w:rPr>
                      <w:rFonts w:hint="eastAsia"/>
                      <w:szCs w:val="21"/>
                    </w:rPr>
                    <w:t>73.44</w:t>
                  </w:r>
                </w:p>
              </w:tc>
            </w:tr>
            <w:tr>
              <w:trPr>
                <w:trHeight w:val="230" w:hRule="atLeast"/>
                <w:jc w:val="center"/>
              </w:trPr>
              <w:tc>
                <w:tcPr>
                  <w:tcW w:w="1122" w:type="dxa"/>
                  <w:tcBorders>
                    <w:tl2br w:val="nil"/>
                    <w:tr2bl w:val="nil"/>
                  </w:tcBorders>
                  <w:vAlign w:val="center"/>
                </w:tcPr>
                <w:p>
                  <w:pPr>
                    <w:tabs>
                      <w:tab w:val="left" w:pos="4620"/>
                    </w:tabs>
                    <w:jc w:val="center"/>
                    <w:rPr>
                      <w:szCs w:val="21"/>
                    </w:rPr>
                  </w:pPr>
                  <w:r>
                    <w:rPr>
                      <w:rFonts w:hint="eastAsia"/>
                      <w:szCs w:val="21"/>
                    </w:rPr>
                    <w:t>6</w:t>
                  </w:r>
                </w:p>
              </w:tc>
              <w:tc>
                <w:tcPr>
                  <w:tcW w:w="3915" w:type="dxa"/>
                  <w:tcBorders>
                    <w:tl2br w:val="nil"/>
                    <w:tr2bl w:val="nil"/>
                  </w:tcBorders>
                  <w:vAlign w:val="center"/>
                </w:tcPr>
                <w:p>
                  <w:pPr>
                    <w:adjustRightInd w:val="0"/>
                    <w:snapToGrid w:val="0"/>
                    <w:jc w:val="center"/>
                    <w:rPr>
                      <w:szCs w:val="21"/>
                    </w:rPr>
                  </w:pPr>
                  <w:r>
                    <w:rPr>
                      <w:szCs w:val="21"/>
                    </w:rPr>
                    <w:t>空气干燥基挥发分（%）</w:t>
                  </w:r>
                </w:p>
              </w:tc>
              <w:tc>
                <w:tcPr>
                  <w:tcW w:w="1548" w:type="dxa"/>
                  <w:tcBorders>
                    <w:tl2br w:val="nil"/>
                    <w:tr2bl w:val="nil"/>
                  </w:tcBorders>
                  <w:vAlign w:val="center"/>
                </w:tcPr>
                <w:p>
                  <w:pPr>
                    <w:adjustRightInd w:val="0"/>
                    <w:snapToGrid w:val="0"/>
                    <w:jc w:val="center"/>
                    <w:rPr>
                      <w:szCs w:val="21"/>
                    </w:rPr>
                  </w:pPr>
                  <w:r>
                    <w:rPr>
                      <w:szCs w:val="21"/>
                    </w:rPr>
                    <w:t>V</w:t>
                  </w:r>
                  <w:r>
                    <w:rPr>
                      <w:szCs w:val="21"/>
                      <w:vertAlign w:val="subscript"/>
                    </w:rPr>
                    <w:t>ad</w:t>
                  </w:r>
                </w:p>
              </w:tc>
              <w:tc>
                <w:tcPr>
                  <w:tcW w:w="2333" w:type="dxa"/>
                  <w:tcBorders>
                    <w:tl2br w:val="nil"/>
                    <w:tr2bl w:val="nil"/>
                  </w:tcBorders>
                  <w:vAlign w:val="center"/>
                </w:tcPr>
                <w:p>
                  <w:pPr>
                    <w:adjustRightInd w:val="0"/>
                    <w:snapToGrid w:val="0"/>
                    <w:jc w:val="center"/>
                    <w:rPr>
                      <w:szCs w:val="21"/>
                    </w:rPr>
                  </w:pPr>
                  <w:r>
                    <w:rPr>
                      <w:rFonts w:hint="eastAsia"/>
                      <w:szCs w:val="21"/>
                    </w:rPr>
                    <w:t>79.40</w:t>
                  </w:r>
                </w:p>
              </w:tc>
            </w:tr>
            <w:tr>
              <w:trPr>
                <w:trHeight w:val="230" w:hRule="atLeast"/>
                <w:jc w:val="center"/>
              </w:trPr>
              <w:tc>
                <w:tcPr>
                  <w:tcW w:w="1122" w:type="dxa"/>
                  <w:tcBorders>
                    <w:tl2br w:val="nil"/>
                    <w:tr2bl w:val="nil"/>
                  </w:tcBorders>
                  <w:vAlign w:val="center"/>
                </w:tcPr>
                <w:p>
                  <w:pPr>
                    <w:tabs>
                      <w:tab w:val="left" w:pos="4620"/>
                    </w:tabs>
                    <w:jc w:val="center"/>
                    <w:rPr>
                      <w:szCs w:val="21"/>
                    </w:rPr>
                  </w:pPr>
                  <w:r>
                    <w:rPr>
                      <w:rFonts w:hint="eastAsia"/>
                      <w:szCs w:val="21"/>
                    </w:rPr>
                    <w:t>7</w:t>
                  </w:r>
                </w:p>
              </w:tc>
              <w:tc>
                <w:tcPr>
                  <w:tcW w:w="3915" w:type="dxa"/>
                  <w:tcBorders>
                    <w:tl2br w:val="nil"/>
                    <w:tr2bl w:val="nil"/>
                  </w:tcBorders>
                  <w:vAlign w:val="center"/>
                </w:tcPr>
                <w:p>
                  <w:pPr>
                    <w:adjustRightInd w:val="0"/>
                    <w:snapToGrid w:val="0"/>
                    <w:jc w:val="center"/>
                    <w:rPr>
                      <w:szCs w:val="21"/>
                    </w:rPr>
                  </w:pPr>
                  <w:r>
                    <w:rPr>
                      <w:rFonts w:hint="eastAsia"/>
                      <w:szCs w:val="21"/>
                    </w:rPr>
                    <w:t>干燥无灰基挥发分（%）</w:t>
                  </w:r>
                </w:p>
              </w:tc>
              <w:tc>
                <w:tcPr>
                  <w:tcW w:w="1548" w:type="dxa"/>
                  <w:tcBorders>
                    <w:tl2br w:val="nil"/>
                    <w:tr2bl w:val="nil"/>
                  </w:tcBorders>
                  <w:vAlign w:val="center"/>
                </w:tcPr>
                <w:p>
                  <w:pPr>
                    <w:adjustRightInd w:val="0"/>
                    <w:snapToGrid w:val="0"/>
                    <w:jc w:val="center"/>
                    <w:rPr>
                      <w:szCs w:val="21"/>
                    </w:rPr>
                  </w:pPr>
                  <w:r>
                    <w:rPr>
                      <w:rFonts w:hint="eastAsia"/>
                      <w:szCs w:val="21"/>
                    </w:rPr>
                    <w:t>V</w:t>
                  </w:r>
                  <w:r>
                    <w:rPr>
                      <w:rFonts w:hint="eastAsia"/>
                      <w:szCs w:val="21"/>
                      <w:vertAlign w:val="subscript"/>
                    </w:rPr>
                    <w:t>daf</w:t>
                  </w:r>
                </w:p>
              </w:tc>
              <w:tc>
                <w:tcPr>
                  <w:tcW w:w="2333" w:type="dxa"/>
                  <w:tcBorders>
                    <w:tl2br w:val="nil"/>
                    <w:tr2bl w:val="nil"/>
                  </w:tcBorders>
                  <w:vAlign w:val="center"/>
                </w:tcPr>
                <w:p>
                  <w:pPr>
                    <w:adjustRightInd w:val="0"/>
                    <w:snapToGrid w:val="0"/>
                    <w:jc w:val="center"/>
                    <w:rPr>
                      <w:szCs w:val="21"/>
                    </w:rPr>
                  </w:pPr>
                  <w:r>
                    <w:rPr>
                      <w:rFonts w:hint="eastAsia"/>
                      <w:szCs w:val="21"/>
                    </w:rPr>
                    <w:t>81.04</w:t>
                  </w:r>
                </w:p>
              </w:tc>
            </w:tr>
            <w:tr>
              <w:trPr>
                <w:trHeight w:val="230" w:hRule="atLeast"/>
                <w:jc w:val="center"/>
              </w:trPr>
              <w:tc>
                <w:tcPr>
                  <w:tcW w:w="1122" w:type="dxa"/>
                  <w:tcBorders>
                    <w:tl2br w:val="nil"/>
                    <w:tr2bl w:val="nil"/>
                  </w:tcBorders>
                  <w:vAlign w:val="center"/>
                </w:tcPr>
                <w:p>
                  <w:pPr>
                    <w:tabs>
                      <w:tab w:val="left" w:pos="4620"/>
                    </w:tabs>
                    <w:jc w:val="center"/>
                    <w:rPr>
                      <w:szCs w:val="21"/>
                    </w:rPr>
                  </w:pPr>
                  <w:r>
                    <w:rPr>
                      <w:rFonts w:hint="eastAsia"/>
                      <w:szCs w:val="21"/>
                    </w:rPr>
                    <w:t>8</w:t>
                  </w:r>
                </w:p>
              </w:tc>
              <w:tc>
                <w:tcPr>
                  <w:tcW w:w="3915" w:type="dxa"/>
                  <w:tcBorders>
                    <w:tl2br w:val="nil"/>
                    <w:tr2bl w:val="nil"/>
                  </w:tcBorders>
                  <w:vAlign w:val="center"/>
                </w:tcPr>
                <w:p>
                  <w:pPr>
                    <w:adjustRightInd w:val="0"/>
                    <w:snapToGrid w:val="0"/>
                    <w:jc w:val="center"/>
                    <w:rPr>
                      <w:szCs w:val="21"/>
                    </w:rPr>
                  </w:pPr>
                  <w:r>
                    <w:rPr>
                      <w:rFonts w:hint="eastAsia"/>
                    </w:rPr>
                    <w:t>空干基固定碳</w:t>
                  </w:r>
                  <w:r>
                    <w:rPr>
                      <w:rFonts w:hint="eastAsia"/>
                      <w:szCs w:val="21"/>
                    </w:rPr>
                    <w:t>（%）</w:t>
                  </w:r>
                </w:p>
              </w:tc>
              <w:tc>
                <w:tcPr>
                  <w:tcW w:w="1548" w:type="dxa"/>
                  <w:tcBorders>
                    <w:tl2br w:val="nil"/>
                    <w:tr2bl w:val="nil"/>
                  </w:tcBorders>
                  <w:vAlign w:val="center"/>
                </w:tcPr>
                <w:p>
                  <w:pPr>
                    <w:adjustRightInd w:val="0"/>
                    <w:snapToGrid w:val="0"/>
                    <w:jc w:val="center"/>
                    <w:rPr>
                      <w:szCs w:val="21"/>
                    </w:rPr>
                  </w:pPr>
                  <w:r>
                    <w:rPr>
                      <w:rFonts w:hint="eastAsia"/>
                      <w:szCs w:val="21"/>
                    </w:rPr>
                    <w:t>F</w:t>
                  </w:r>
                  <w:r>
                    <w:rPr>
                      <w:rFonts w:hint="eastAsia"/>
                      <w:szCs w:val="21"/>
                      <w:vertAlign w:val="subscript"/>
                    </w:rPr>
                    <w:t>cad</w:t>
                  </w:r>
                </w:p>
              </w:tc>
              <w:tc>
                <w:tcPr>
                  <w:tcW w:w="2333" w:type="dxa"/>
                  <w:tcBorders>
                    <w:tl2br w:val="nil"/>
                    <w:tr2bl w:val="nil"/>
                  </w:tcBorders>
                  <w:vAlign w:val="center"/>
                </w:tcPr>
                <w:p>
                  <w:pPr>
                    <w:adjustRightInd w:val="0"/>
                    <w:snapToGrid w:val="0"/>
                    <w:jc w:val="center"/>
                    <w:rPr>
                      <w:szCs w:val="21"/>
                    </w:rPr>
                  </w:pPr>
                  <w:r>
                    <w:rPr>
                      <w:rFonts w:hint="eastAsia"/>
                      <w:szCs w:val="21"/>
                    </w:rPr>
                    <w:t>18.56</w:t>
                  </w:r>
                </w:p>
              </w:tc>
            </w:tr>
            <w:tr>
              <w:trPr>
                <w:trHeight w:val="230" w:hRule="atLeast"/>
                <w:jc w:val="center"/>
              </w:trPr>
              <w:tc>
                <w:tcPr>
                  <w:tcW w:w="1122" w:type="dxa"/>
                  <w:tcBorders>
                    <w:tl2br w:val="nil"/>
                    <w:tr2bl w:val="nil"/>
                  </w:tcBorders>
                  <w:vAlign w:val="center"/>
                </w:tcPr>
                <w:p>
                  <w:pPr>
                    <w:tabs>
                      <w:tab w:val="left" w:pos="4620"/>
                    </w:tabs>
                    <w:jc w:val="center"/>
                    <w:rPr>
                      <w:szCs w:val="21"/>
                    </w:rPr>
                  </w:pPr>
                  <w:r>
                    <w:rPr>
                      <w:rFonts w:hint="eastAsia"/>
                      <w:szCs w:val="21"/>
                    </w:rPr>
                    <w:t>9</w:t>
                  </w:r>
                </w:p>
              </w:tc>
              <w:tc>
                <w:tcPr>
                  <w:tcW w:w="3915" w:type="dxa"/>
                  <w:tcBorders>
                    <w:tl2br w:val="nil"/>
                    <w:tr2bl w:val="nil"/>
                  </w:tcBorders>
                  <w:vAlign w:val="center"/>
                </w:tcPr>
                <w:p>
                  <w:pPr>
                    <w:adjustRightInd w:val="0"/>
                    <w:snapToGrid w:val="0"/>
                    <w:jc w:val="center"/>
                    <w:rPr>
                      <w:szCs w:val="21"/>
                    </w:rPr>
                  </w:pPr>
                  <w:r>
                    <w:rPr>
                      <w:rFonts w:hint="eastAsia"/>
                    </w:rPr>
                    <w:t>收到基全硫</w:t>
                  </w:r>
                  <w:r>
                    <w:rPr>
                      <w:rFonts w:hint="eastAsia"/>
                      <w:szCs w:val="21"/>
                    </w:rPr>
                    <w:t>（%）</w:t>
                  </w:r>
                </w:p>
              </w:tc>
              <w:tc>
                <w:tcPr>
                  <w:tcW w:w="1548" w:type="dxa"/>
                  <w:tcBorders>
                    <w:tl2br w:val="nil"/>
                    <w:tr2bl w:val="nil"/>
                  </w:tcBorders>
                  <w:vAlign w:val="center"/>
                </w:tcPr>
                <w:p>
                  <w:pPr>
                    <w:adjustRightInd w:val="0"/>
                    <w:snapToGrid w:val="0"/>
                    <w:jc w:val="center"/>
                    <w:rPr>
                      <w:szCs w:val="21"/>
                    </w:rPr>
                  </w:pPr>
                  <w:r>
                    <w:rPr>
                      <w:rFonts w:hint="eastAsia"/>
                      <w:szCs w:val="21"/>
                    </w:rPr>
                    <w:t>St，ar</w:t>
                  </w:r>
                </w:p>
              </w:tc>
              <w:tc>
                <w:tcPr>
                  <w:tcW w:w="2333" w:type="dxa"/>
                  <w:tcBorders>
                    <w:tl2br w:val="nil"/>
                    <w:tr2bl w:val="nil"/>
                  </w:tcBorders>
                  <w:vAlign w:val="center"/>
                </w:tcPr>
                <w:p>
                  <w:pPr>
                    <w:adjustRightInd w:val="0"/>
                    <w:snapToGrid w:val="0"/>
                    <w:jc w:val="center"/>
                    <w:rPr>
                      <w:szCs w:val="21"/>
                    </w:rPr>
                  </w:pPr>
                  <w:r>
                    <w:rPr>
                      <w:rFonts w:hint="eastAsia"/>
                      <w:szCs w:val="21"/>
                    </w:rPr>
                    <w:t>0.001</w:t>
                  </w:r>
                </w:p>
              </w:tc>
            </w:tr>
            <w:tr>
              <w:trPr>
                <w:trHeight w:val="230" w:hRule="atLeast"/>
                <w:jc w:val="center"/>
              </w:trPr>
              <w:tc>
                <w:tcPr>
                  <w:tcW w:w="1122" w:type="dxa"/>
                  <w:tcBorders>
                    <w:tl2br w:val="nil"/>
                    <w:tr2bl w:val="nil"/>
                  </w:tcBorders>
                  <w:vAlign w:val="center"/>
                </w:tcPr>
                <w:p>
                  <w:pPr>
                    <w:tabs>
                      <w:tab w:val="left" w:pos="4620"/>
                    </w:tabs>
                    <w:jc w:val="center"/>
                    <w:rPr>
                      <w:szCs w:val="21"/>
                    </w:rPr>
                  </w:pPr>
                  <w:r>
                    <w:rPr>
                      <w:rFonts w:hint="eastAsia"/>
                      <w:szCs w:val="21"/>
                    </w:rPr>
                    <w:t>10</w:t>
                  </w:r>
                </w:p>
              </w:tc>
              <w:tc>
                <w:tcPr>
                  <w:tcW w:w="3915" w:type="dxa"/>
                  <w:tcBorders>
                    <w:tl2br w:val="nil"/>
                    <w:tr2bl w:val="nil"/>
                  </w:tcBorders>
                  <w:vAlign w:val="center"/>
                </w:tcPr>
                <w:p>
                  <w:pPr>
                    <w:adjustRightInd w:val="0"/>
                    <w:snapToGrid w:val="0"/>
                    <w:jc w:val="center"/>
                    <w:rPr>
                      <w:szCs w:val="21"/>
                    </w:rPr>
                  </w:pPr>
                  <w:r>
                    <w:rPr>
                      <w:rFonts w:hint="eastAsia"/>
                    </w:rPr>
                    <w:t>空气干燥基硫分</w:t>
                  </w:r>
                  <w:r>
                    <w:rPr>
                      <w:rFonts w:hint="eastAsia"/>
                      <w:szCs w:val="21"/>
                    </w:rPr>
                    <w:t>（%）</w:t>
                  </w:r>
                </w:p>
              </w:tc>
              <w:tc>
                <w:tcPr>
                  <w:tcW w:w="1548" w:type="dxa"/>
                  <w:tcBorders>
                    <w:tl2br w:val="nil"/>
                    <w:tr2bl w:val="nil"/>
                  </w:tcBorders>
                  <w:vAlign w:val="center"/>
                </w:tcPr>
                <w:p>
                  <w:pPr>
                    <w:adjustRightInd w:val="0"/>
                    <w:snapToGrid w:val="0"/>
                    <w:jc w:val="center"/>
                    <w:rPr>
                      <w:szCs w:val="21"/>
                    </w:rPr>
                  </w:pPr>
                  <w:r>
                    <w:rPr>
                      <w:rFonts w:hint="eastAsia"/>
                      <w:szCs w:val="21"/>
                    </w:rPr>
                    <w:t>St，ad</w:t>
                  </w:r>
                </w:p>
              </w:tc>
              <w:tc>
                <w:tcPr>
                  <w:tcW w:w="2333" w:type="dxa"/>
                  <w:tcBorders>
                    <w:tl2br w:val="nil"/>
                    <w:tr2bl w:val="nil"/>
                  </w:tcBorders>
                  <w:vAlign w:val="center"/>
                </w:tcPr>
                <w:p>
                  <w:pPr>
                    <w:adjustRightInd w:val="0"/>
                    <w:snapToGrid w:val="0"/>
                    <w:jc w:val="center"/>
                    <w:rPr>
                      <w:szCs w:val="21"/>
                    </w:rPr>
                  </w:pPr>
                  <w:r>
                    <w:rPr>
                      <w:rFonts w:hint="eastAsia"/>
                      <w:szCs w:val="21"/>
                    </w:rPr>
                    <w:t>0.001</w:t>
                  </w:r>
                </w:p>
              </w:tc>
            </w:tr>
            <w:tr>
              <w:trPr>
                <w:trHeight w:val="90" w:hRule="atLeast"/>
                <w:jc w:val="center"/>
              </w:trPr>
              <w:tc>
                <w:tcPr>
                  <w:tcW w:w="1122" w:type="dxa"/>
                  <w:tcBorders>
                    <w:tl2br w:val="nil"/>
                    <w:tr2bl w:val="nil"/>
                  </w:tcBorders>
                  <w:vAlign w:val="center"/>
                </w:tcPr>
                <w:p>
                  <w:pPr>
                    <w:tabs>
                      <w:tab w:val="left" w:pos="4620"/>
                    </w:tabs>
                    <w:jc w:val="center"/>
                    <w:rPr>
                      <w:szCs w:val="21"/>
                    </w:rPr>
                  </w:pPr>
                  <w:r>
                    <w:rPr>
                      <w:rFonts w:hint="eastAsia"/>
                      <w:szCs w:val="21"/>
                    </w:rPr>
                    <w:t>11</w:t>
                  </w:r>
                </w:p>
              </w:tc>
              <w:tc>
                <w:tcPr>
                  <w:tcW w:w="3915" w:type="dxa"/>
                  <w:tcBorders>
                    <w:tl2br w:val="nil"/>
                    <w:tr2bl w:val="nil"/>
                  </w:tcBorders>
                  <w:vAlign w:val="center"/>
                </w:tcPr>
                <w:p>
                  <w:pPr>
                    <w:adjustRightInd w:val="0"/>
                    <w:snapToGrid w:val="0"/>
                    <w:jc w:val="center"/>
                    <w:rPr>
                      <w:szCs w:val="21"/>
                    </w:rPr>
                  </w:pPr>
                  <w:r>
                    <w:rPr>
                      <w:rFonts w:hint="eastAsia"/>
                      <w:szCs w:val="21"/>
                    </w:rPr>
                    <w:t>干基高位发热量Q</w:t>
                  </w:r>
                  <w:r>
                    <w:rPr>
                      <w:rFonts w:hint="eastAsia"/>
                      <w:szCs w:val="21"/>
                      <w:vertAlign w:val="subscript"/>
                    </w:rPr>
                    <w:t>gr,d</w:t>
                  </w:r>
                </w:p>
              </w:tc>
              <w:tc>
                <w:tcPr>
                  <w:tcW w:w="1548" w:type="dxa"/>
                  <w:tcBorders>
                    <w:tl2br w:val="nil"/>
                    <w:tr2bl w:val="nil"/>
                  </w:tcBorders>
                  <w:vAlign w:val="center"/>
                </w:tcPr>
                <w:p>
                  <w:pPr>
                    <w:adjustRightInd w:val="0"/>
                    <w:snapToGrid w:val="0"/>
                    <w:jc w:val="center"/>
                    <w:rPr>
                      <w:szCs w:val="21"/>
                    </w:rPr>
                  </w:pPr>
                  <w:r>
                    <w:rPr>
                      <w:rFonts w:hint="eastAsia"/>
                      <w:szCs w:val="21"/>
                    </w:rPr>
                    <w:t>MJ/kg</w:t>
                  </w:r>
                </w:p>
              </w:tc>
              <w:tc>
                <w:tcPr>
                  <w:tcW w:w="2333" w:type="dxa"/>
                  <w:tcBorders>
                    <w:tl2br w:val="nil"/>
                    <w:tr2bl w:val="nil"/>
                  </w:tcBorders>
                  <w:vAlign w:val="center"/>
                </w:tcPr>
                <w:p>
                  <w:pPr>
                    <w:adjustRightInd w:val="0"/>
                    <w:snapToGrid w:val="0"/>
                    <w:jc w:val="center"/>
                    <w:rPr>
                      <w:szCs w:val="21"/>
                    </w:rPr>
                  </w:pPr>
                  <w:r>
                    <w:rPr>
                      <w:rFonts w:hint="eastAsia"/>
                      <w:szCs w:val="21"/>
                    </w:rPr>
                    <w:t>19.98(4776kcal/kg)</w:t>
                  </w:r>
                </w:p>
              </w:tc>
            </w:tr>
            <w:tr>
              <w:trPr>
                <w:trHeight w:val="250" w:hRule="atLeast"/>
                <w:jc w:val="center"/>
              </w:trPr>
              <w:tc>
                <w:tcPr>
                  <w:tcW w:w="1122" w:type="dxa"/>
                  <w:tcBorders>
                    <w:tl2br w:val="nil"/>
                    <w:tr2bl w:val="nil"/>
                  </w:tcBorders>
                  <w:vAlign w:val="center"/>
                </w:tcPr>
                <w:p>
                  <w:pPr>
                    <w:tabs>
                      <w:tab w:val="left" w:pos="4620"/>
                    </w:tabs>
                    <w:jc w:val="center"/>
                    <w:rPr>
                      <w:szCs w:val="21"/>
                    </w:rPr>
                  </w:pPr>
                  <w:r>
                    <w:rPr>
                      <w:rFonts w:hint="eastAsia"/>
                      <w:szCs w:val="21"/>
                    </w:rPr>
                    <w:t>12</w:t>
                  </w:r>
                </w:p>
              </w:tc>
              <w:tc>
                <w:tcPr>
                  <w:tcW w:w="3915" w:type="dxa"/>
                  <w:tcBorders>
                    <w:tl2br w:val="nil"/>
                    <w:tr2bl w:val="nil"/>
                  </w:tcBorders>
                  <w:vAlign w:val="center"/>
                </w:tcPr>
                <w:p>
                  <w:pPr>
                    <w:adjustRightInd w:val="0"/>
                    <w:snapToGrid w:val="0"/>
                    <w:jc w:val="center"/>
                    <w:rPr>
                      <w:szCs w:val="21"/>
                    </w:rPr>
                  </w:pPr>
                  <w:r>
                    <w:rPr>
                      <w:rFonts w:hint="eastAsia"/>
                      <w:szCs w:val="21"/>
                    </w:rPr>
                    <w:t>收到基低位发热量Q</w:t>
                  </w:r>
                  <w:r>
                    <w:rPr>
                      <w:rFonts w:hint="eastAsia"/>
                      <w:szCs w:val="21"/>
                      <w:vertAlign w:val="subscript"/>
                    </w:rPr>
                    <w:t>net,v,M,ar</w:t>
                  </w:r>
                </w:p>
              </w:tc>
              <w:tc>
                <w:tcPr>
                  <w:tcW w:w="1548" w:type="dxa"/>
                  <w:tcBorders>
                    <w:tl2br w:val="nil"/>
                    <w:tr2bl w:val="nil"/>
                  </w:tcBorders>
                  <w:vAlign w:val="center"/>
                </w:tcPr>
                <w:p>
                  <w:pPr>
                    <w:adjustRightInd w:val="0"/>
                    <w:snapToGrid w:val="0"/>
                    <w:jc w:val="center"/>
                    <w:rPr>
                      <w:szCs w:val="21"/>
                    </w:rPr>
                  </w:pPr>
                  <w:r>
                    <w:rPr>
                      <w:rFonts w:hint="eastAsia"/>
                      <w:szCs w:val="21"/>
                    </w:rPr>
                    <w:t>MJ/kg</w:t>
                  </w:r>
                </w:p>
              </w:tc>
              <w:tc>
                <w:tcPr>
                  <w:tcW w:w="2333" w:type="dxa"/>
                  <w:tcBorders>
                    <w:tl2br w:val="nil"/>
                    <w:tr2bl w:val="nil"/>
                  </w:tcBorders>
                  <w:vAlign w:val="center"/>
                </w:tcPr>
                <w:p>
                  <w:pPr>
                    <w:adjustRightInd w:val="0"/>
                    <w:snapToGrid w:val="0"/>
                    <w:jc w:val="center"/>
                    <w:rPr>
                      <w:szCs w:val="21"/>
                    </w:rPr>
                  </w:pPr>
                  <w:r>
                    <w:rPr>
                      <w:rFonts w:hint="eastAsia"/>
                      <w:szCs w:val="21"/>
                    </w:rPr>
                    <w:t>17.22(4116kcal/kg)</w:t>
                  </w:r>
                </w:p>
              </w:tc>
            </w:tr>
          </w:tbl>
          <w:p>
            <w:pPr>
              <w:autoSpaceDE w:val="0"/>
              <w:autoSpaceDN w:val="0"/>
              <w:adjustRightInd w:val="0"/>
              <w:spacing w:line="360" w:lineRule="auto"/>
              <w:ind w:firstLine="420" w:firstLineChars="200"/>
              <w:rPr>
                <w:szCs w:val="21"/>
              </w:rPr>
            </w:pPr>
            <w:r>
              <w:rPr>
                <w:rFonts w:hint="eastAsia"/>
                <w:szCs w:val="21"/>
              </w:rPr>
              <w:t>注：根据</w:t>
            </w:r>
            <w:r>
              <w:rPr>
                <w:szCs w:val="21"/>
              </w:rPr>
              <w:t>燃料成分分析</w:t>
            </w:r>
            <w:r>
              <w:rPr>
                <w:rFonts w:hint="eastAsia"/>
                <w:szCs w:val="21"/>
              </w:rPr>
              <w:t>报告可知，燃料中不含汞元素；本次采用的生物质原料为稻壳、秸秆类成品颗粒，汞含量极低。</w:t>
            </w:r>
          </w:p>
          <w:p>
            <w:pPr>
              <w:autoSpaceDE w:val="0"/>
              <w:autoSpaceDN w:val="0"/>
              <w:adjustRightInd w:val="0"/>
              <w:spacing w:line="360" w:lineRule="auto"/>
              <w:ind w:firstLine="480" w:firstLineChars="200"/>
              <w:rPr>
                <w:sz w:val="24"/>
                <w:u w:val="single"/>
              </w:rPr>
            </w:pPr>
            <w:r>
              <w:rPr>
                <w:sz w:val="24"/>
                <w:u w:val="single"/>
              </w:rPr>
              <w:t>本项目</w:t>
            </w:r>
            <w:r>
              <w:rPr>
                <w:rFonts w:hint="eastAsia"/>
                <w:sz w:val="24"/>
                <w:u w:val="single"/>
              </w:rPr>
              <w:t>为</w:t>
            </w:r>
            <w:r>
              <w:rPr>
                <w:sz w:val="24"/>
                <w:u w:val="single"/>
              </w:rPr>
              <w:t>生物质锅炉</w:t>
            </w:r>
            <w:r>
              <w:rPr>
                <w:rFonts w:hint="eastAsia"/>
                <w:sz w:val="24"/>
                <w:u w:val="single"/>
              </w:rPr>
              <w:t>改建项目</w:t>
            </w:r>
            <w:r>
              <w:rPr>
                <w:sz w:val="24"/>
                <w:u w:val="single"/>
              </w:rPr>
              <w:t>，</w:t>
            </w:r>
            <w:r>
              <w:rPr>
                <w:rFonts w:hint="eastAsia"/>
                <w:sz w:val="24"/>
                <w:u w:val="single"/>
              </w:rPr>
              <w:t>用于生产、生活用热。本次更换的锅炉生产能力与现有锅炉一致，供热需求无变化，故燃料使用情况无变化。全年共计使用319天</w:t>
            </w:r>
            <w:r>
              <w:rPr>
                <w:sz w:val="24"/>
                <w:u w:val="single"/>
              </w:rPr>
              <w:t>，</w:t>
            </w:r>
            <w:r>
              <w:rPr>
                <w:rFonts w:hint="eastAsia"/>
                <w:sz w:val="24"/>
                <w:u w:val="single"/>
              </w:rPr>
              <w:t>每天运行11小时，年运行时间3509h，</w:t>
            </w:r>
            <w:r>
              <w:rPr>
                <w:sz w:val="24"/>
                <w:u w:val="single"/>
              </w:rPr>
              <w:t>生物质颗粒</w:t>
            </w:r>
            <w:r>
              <w:rPr>
                <w:rFonts w:hint="eastAsia"/>
                <w:sz w:val="24"/>
                <w:u w:val="single"/>
              </w:rPr>
              <w:t>燃料全年使</w:t>
            </w:r>
            <w:r>
              <w:rPr>
                <w:sz w:val="24"/>
                <w:u w:val="single"/>
              </w:rPr>
              <w:t>用量为</w:t>
            </w:r>
            <w:r>
              <w:rPr>
                <w:rFonts w:hint="eastAsia"/>
                <w:sz w:val="24"/>
                <w:u w:val="single"/>
              </w:rPr>
              <w:t>1000</w:t>
            </w:r>
            <w:r>
              <w:rPr>
                <w:sz w:val="24"/>
                <w:u w:val="single"/>
              </w:rPr>
              <w:t>t/a</w:t>
            </w:r>
            <w:r>
              <w:rPr>
                <w:rFonts w:hint="eastAsia"/>
                <w:sz w:val="24"/>
                <w:u w:val="single"/>
              </w:rPr>
              <w:t>。</w:t>
            </w:r>
            <w:r>
              <w:rPr>
                <w:sz w:val="24"/>
                <w:u w:val="single"/>
              </w:rPr>
              <w:t>主要原辅材料及用量详见</w:t>
            </w:r>
            <w:r>
              <w:rPr>
                <w:rFonts w:hint="eastAsia"/>
                <w:sz w:val="24"/>
                <w:u w:val="single"/>
              </w:rPr>
              <w:t>下表</w:t>
            </w:r>
            <w:r>
              <w:rPr>
                <w:sz w:val="24"/>
                <w:u w:val="single"/>
              </w:rPr>
              <w:t>。</w:t>
            </w:r>
          </w:p>
          <w:p>
            <w:pPr>
              <w:pStyle w:val="25"/>
              <w:numPr>
                <w:ilvl w:val="0"/>
                <w:numId w:val="0"/>
              </w:numPr>
              <w:ind w:firstLine="284"/>
              <w:rPr>
                <w:rFonts w:ascii="Times New Roman" w:hAnsi="Times New Roman"/>
                <w:b w:val="0"/>
                <w:bCs/>
                <w:u w:val="single"/>
              </w:rPr>
            </w:pPr>
            <w:r>
              <w:rPr>
                <w:rFonts w:ascii="Times New Roman" w:hAnsi="Times New Roman"/>
                <w:b w:val="0"/>
                <w:bCs/>
                <w:u w:val="single"/>
              </w:rPr>
              <w:t>表</w:t>
            </w:r>
            <w:r>
              <w:rPr>
                <w:rFonts w:hint="eastAsia" w:ascii="Times New Roman" w:hAnsi="Times New Roman"/>
                <w:b w:val="0"/>
                <w:bCs/>
                <w:u w:val="single"/>
              </w:rPr>
              <w:t xml:space="preserve">13  </w:t>
            </w:r>
            <w:r>
              <w:rPr>
                <w:rFonts w:ascii="Times New Roman" w:hAnsi="Times New Roman"/>
                <w:b w:val="0"/>
                <w:bCs/>
                <w:u w:val="single"/>
              </w:rPr>
              <w:t>原辅材料及用量一览表</w:t>
            </w:r>
          </w:p>
          <w:tbl>
            <w:tblPr>
              <w:tblW w:w="8918" w:type="dxa"/>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left w:w="108" w:type="dxa"/>
                <w:right w:w="108" w:type="dxa"/>
              </w:tblCellMar>
            </w:tblPr>
            <w:tblGrid>
              <w:gridCol w:w="620"/>
              <w:gridCol w:w="880"/>
              <w:gridCol w:w="794"/>
              <w:gridCol w:w="838"/>
              <w:gridCol w:w="1243"/>
              <w:gridCol w:w="990"/>
              <w:gridCol w:w="938"/>
              <w:gridCol w:w="715"/>
              <w:gridCol w:w="1129"/>
              <w:gridCol w:w="771"/>
            </w:tblGrid>
            <w:tr>
              <w:trPr>
                <w:trHeight w:val="90" w:hRule="atLeast"/>
                <w:jc w:val="center"/>
              </w:trPr>
              <w:tc>
                <w:tcPr>
                  <w:tcW w:w="620"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序号</w:t>
                  </w:r>
                </w:p>
              </w:tc>
              <w:tc>
                <w:tcPr>
                  <w:tcW w:w="880"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名称</w:t>
                  </w:r>
                </w:p>
              </w:tc>
              <w:tc>
                <w:tcPr>
                  <w:tcW w:w="794"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规格</w:t>
                  </w:r>
                </w:p>
              </w:tc>
              <w:tc>
                <w:tcPr>
                  <w:tcW w:w="83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状态</w:t>
                  </w:r>
                </w:p>
              </w:tc>
              <w:tc>
                <w:tcPr>
                  <w:tcW w:w="1243"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年用量</w:t>
                  </w:r>
                </w:p>
              </w:tc>
              <w:tc>
                <w:tcPr>
                  <w:tcW w:w="990"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最大储</w:t>
                  </w:r>
                </w:p>
                <w:p>
                  <w:pPr>
                    <w:widowControl/>
                    <w:jc w:val="center"/>
                    <w:rPr>
                      <w:kern w:val="0"/>
                      <w:szCs w:val="21"/>
                      <w:u w:val="single"/>
                    </w:rPr>
                  </w:pPr>
                  <w:r>
                    <w:rPr>
                      <w:kern w:val="0"/>
                      <w:szCs w:val="21"/>
                      <w:u w:val="single"/>
                    </w:rPr>
                    <w:t>存量</w:t>
                  </w:r>
                </w:p>
              </w:tc>
              <w:tc>
                <w:tcPr>
                  <w:tcW w:w="93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储存</w:t>
                  </w:r>
                </w:p>
                <w:p>
                  <w:pPr>
                    <w:widowControl/>
                    <w:jc w:val="center"/>
                    <w:rPr>
                      <w:kern w:val="0"/>
                      <w:szCs w:val="21"/>
                      <w:u w:val="single"/>
                    </w:rPr>
                  </w:pPr>
                  <w:r>
                    <w:rPr>
                      <w:kern w:val="0"/>
                      <w:szCs w:val="21"/>
                      <w:u w:val="single"/>
                    </w:rPr>
                    <w:t>地点</w:t>
                  </w:r>
                </w:p>
              </w:tc>
              <w:tc>
                <w:tcPr>
                  <w:tcW w:w="715"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储存条件</w:t>
                  </w:r>
                </w:p>
              </w:tc>
              <w:tc>
                <w:tcPr>
                  <w:tcW w:w="1129"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运输</w:t>
                  </w:r>
                </w:p>
                <w:p>
                  <w:pPr>
                    <w:widowControl/>
                    <w:jc w:val="center"/>
                    <w:rPr>
                      <w:kern w:val="0"/>
                      <w:szCs w:val="21"/>
                      <w:u w:val="single"/>
                    </w:rPr>
                  </w:pPr>
                  <w:r>
                    <w:rPr>
                      <w:kern w:val="0"/>
                      <w:szCs w:val="21"/>
                      <w:u w:val="single"/>
                    </w:rPr>
                    <w:t>方式</w:t>
                  </w:r>
                </w:p>
              </w:tc>
              <w:tc>
                <w:tcPr>
                  <w:tcW w:w="771"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周转次数</w:t>
                  </w:r>
                </w:p>
              </w:tc>
            </w:tr>
            <w:tr>
              <w:trPr>
                <w:trHeight w:val="90" w:hRule="atLeast"/>
                <w:jc w:val="center"/>
              </w:trPr>
              <w:tc>
                <w:tcPr>
                  <w:tcW w:w="620"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1</w:t>
                  </w:r>
                </w:p>
              </w:tc>
              <w:tc>
                <w:tcPr>
                  <w:tcW w:w="880"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生物质颗粒</w:t>
                  </w:r>
                </w:p>
              </w:tc>
              <w:tc>
                <w:tcPr>
                  <w:tcW w:w="794"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50mm</w:t>
                  </w:r>
                </w:p>
              </w:tc>
              <w:tc>
                <w:tcPr>
                  <w:tcW w:w="83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固态</w:t>
                  </w:r>
                </w:p>
              </w:tc>
              <w:tc>
                <w:tcPr>
                  <w:tcW w:w="1243"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1000</w:t>
                  </w:r>
                  <w:r>
                    <w:rPr>
                      <w:kern w:val="0"/>
                      <w:szCs w:val="21"/>
                      <w:u w:val="single"/>
                    </w:rPr>
                    <w:t>t/a</w:t>
                  </w:r>
                </w:p>
              </w:tc>
              <w:tc>
                <w:tcPr>
                  <w:tcW w:w="990"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50</w:t>
                  </w:r>
                  <w:r>
                    <w:rPr>
                      <w:kern w:val="0"/>
                      <w:szCs w:val="21"/>
                      <w:u w:val="single"/>
                    </w:rPr>
                    <w:t>t</w:t>
                  </w:r>
                </w:p>
              </w:tc>
              <w:tc>
                <w:tcPr>
                  <w:tcW w:w="938"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锅炉房</w:t>
                  </w:r>
                </w:p>
              </w:tc>
              <w:tc>
                <w:tcPr>
                  <w:tcW w:w="715"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袋装</w:t>
                  </w:r>
                </w:p>
              </w:tc>
              <w:tc>
                <w:tcPr>
                  <w:tcW w:w="1129"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kern w:val="0"/>
                      <w:szCs w:val="21"/>
                      <w:u w:val="single"/>
                    </w:rPr>
                    <w:t>汽车运输</w:t>
                  </w:r>
                </w:p>
              </w:tc>
              <w:tc>
                <w:tcPr>
                  <w:tcW w:w="771" w:type="dxa"/>
                  <w:tcBorders>
                    <w:tl2br w:val="nil"/>
                    <w:tr2bl w:val="nil"/>
                  </w:tcBorders>
                  <w:tcMar>
                    <w:top w:w="57" w:type="dxa"/>
                    <w:left w:w="85" w:type="dxa"/>
                    <w:bottom w:w="57" w:type="dxa"/>
                    <w:right w:w="85" w:type="dxa"/>
                  </w:tcMar>
                  <w:vAlign w:val="center"/>
                </w:tcPr>
                <w:p>
                  <w:pPr>
                    <w:widowControl/>
                    <w:jc w:val="center"/>
                    <w:rPr>
                      <w:kern w:val="0"/>
                      <w:szCs w:val="21"/>
                      <w:u w:val="single"/>
                    </w:rPr>
                  </w:pPr>
                  <w:r>
                    <w:rPr>
                      <w:rFonts w:hint="eastAsia"/>
                      <w:kern w:val="0"/>
                      <w:szCs w:val="21"/>
                      <w:u w:val="single"/>
                    </w:rPr>
                    <w:t>15</w:t>
                  </w:r>
                  <w:r>
                    <w:rPr>
                      <w:kern w:val="0"/>
                      <w:szCs w:val="21"/>
                      <w:u w:val="single"/>
                    </w:rPr>
                    <w:t>d/次</w:t>
                  </w:r>
                </w:p>
              </w:tc>
            </w:tr>
          </w:tbl>
          <w:p>
            <w:pPr>
              <w:spacing w:line="360" w:lineRule="auto"/>
              <w:ind w:firstLine="482" w:firstLineChars="200"/>
              <w:rPr>
                <w:b/>
                <w:bCs/>
                <w:sz w:val="24"/>
                <w:u w:val="single"/>
              </w:rPr>
            </w:pPr>
            <w:r>
              <w:rPr>
                <w:b/>
                <w:bCs/>
                <w:sz w:val="24"/>
                <w:u w:val="single"/>
              </w:rPr>
              <w:t>4、公用工程</w:t>
            </w:r>
          </w:p>
          <w:p>
            <w:pPr>
              <w:spacing w:line="360" w:lineRule="auto"/>
              <w:ind w:firstLine="480" w:firstLineChars="200"/>
              <w:rPr>
                <w:sz w:val="24"/>
                <w:u w:val="single"/>
              </w:rPr>
            </w:pPr>
            <w:r>
              <w:rPr>
                <w:sz w:val="24"/>
                <w:u w:val="single"/>
              </w:rPr>
              <w:t>（1）给水</w:t>
            </w:r>
          </w:p>
          <w:p>
            <w:pPr>
              <w:autoSpaceDE w:val="0"/>
              <w:autoSpaceDN w:val="0"/>
              <w:adjustRightInd w:val="0"/>
              <w:snapToGrid w:val="0"/>
              <w:spacing w:line="360" w:lineRule="auto"/>
              <w:ind w:firstLine="480" w:firstLineChars="200"/>
              <w:rPr>
                <w:sz w:val="24"/>
                <w:u w:val="single"/>
              </w:rPr>
            </w:pPr>
            <w:r>
              <w:rPr>
                <w:rFonts w:hint="eastAsia"/>
                <w:sz w:val="24"/>
                <w:u w:val="single"/>
              </w:rPr>
              <w:t>本项目为改建项目，不新增劳动定员。企业用水依托现有厂区的水井，水井井深约为25m左右，水井出水量约为3m</w:t>
            </w:r>
            <w:r>
              <w:rPr>
                <w:rFonts w:hint="eastAsia"/>
                <w:sz w:val="24"/>
                <w:u w:val="single"/>
                <w:vertAlign w:val="superscript"/>
              </w:rPr>
              <w:t>3</w:t>
            </w:r>
            <w:r>
              <w:rPr>
                <w:rFonts w:hint="eastAsia"/>
                <w:sz w:val="24"/>
                <w:u w:val="single"/>
              </w:rPr>
              <w:t>/h。</w:t>
            </w:r>
          </w:p>
          <w:p>
            <w:pPr>
              <w:autoSpaceDE w:val="0"/>
              <w:autoSpaceDN w:val="0"/>
              <w:adjustRightInd w:val="0"/>
              <w:snapToGrid w:val="0"/>
              <w:spacing w:line="360" w:lineRule="auto"/>
              <w:ind w:firstLine="480" w:firstLineChars="200"/>
              <w:rPr>
                <w:sz w:val="24"/>
                <w:u w:val="single"/>
              </w:rPr>
            </w:pPr>
            <w:r>
              <w:rPr>
                <w:rFonts w:hint="eastAsia"/>
                <w:sz w:val="24"/>
                <w:u w:val="single"/>
              </w:rPr>
              <w:t>根据《锅炉房设计标准》（GB50041-2020）、《工业锅炉水质》（GB/T1576-2018），蒸汽锅炉大于4t/h必须锅外软化（离子交换）；热水锅炉大于4.2MW（约6t/h热水）必须锅外软化/除盐。本项目为4.0t/h生物质蒸汽锅炉，与替换的锅炉规模无变化，依托现有软化水系统可行。依托现有软化水系统，软化水系统的用、排水情况无变化，本次不进行评价。</w:t>
            </w:r>
          </w:p>
          <w:p>
            <w:pPr>
              <w:autoSpaceDE w:val="0"/>
              <w:autoSpaceDN w:val="0"/>
              <w:adjustRightInd w:val="0"/>
              <w:snapToGrid w:val="0"/>
              <w:spacing w:line="360" w:lineRule="auto"/>
              <w:ind w:firstLine="480" w:firstLineChars="200"/>
              <w:rPr>
                <w:sz w:val="24"/>
                <w:u w:val="single"/>
              </w:rPr>
            </w:pPr>
            <w:r>
              <w:rPr>
                <w:rFonts w:hint="eastAsia"/>
                <w:sz w:val="24"/>
                <w:u w:val="single"/>
              </w:rPr>
              <w:t>锅炉用水：</w:t>
            </w:r>
            <w:r>
              <w:rPr>
                <w:sz w:val="24"/>
                <w:u w:val="single"/>
              </w:rPr>
              <w:t>本项目</w:t>
            </w:r>
            <w:r>
              <w:rPr>
                <w:sz w:val="24"/>
                <w:u w:val="single"/>
                <w:lang w:val="zh-CN"/>
              </w:rPr>
              <w:t>用水主要为锅炉</w:t>
            </w:r>
            <w:r>
              <w:rPr>
                <w:sz w:val="24"/>
                <w:u w:val="single"/>
              </w:rPr>
              <w:t>补水</w:t>
            </w:r>
            <w:r>
              <w:rPr>
                <w:rFonts w:hint="eastAsia"/>
                <w:sz w:val="24"/>
                <w:u w:val="single"/>
              </w:rPr>
              <w:t>。</w:t>
            </w:r>
            <w:r>
              <w:rPr>
                <w:sz w:val="24"/>
                <w:u w:val="single"/>
              </w:rPr>
              <w:t>按锅炉满负荷运行考虑，本项目</w:t>
            </w:r>
            <w:r>
              <w:rPr>
                <w:rFonts w:hint="eastAsia"/>
                <w:sz w:val="24"/>
                <w:u w:val="single"/>
              </w:rPr>
              <w:t>4.0t/h</w:t>
            </w:r>
            <w:r>
              <w:rPr>
                <w:sz w:val="24"/>
                <w:u w:val="single"/>
              </w:rPr>
              <w:t>生物质</w:t>
            </w:r>
            <w:r>
              <w:rPr>
                <w:bCs/>
                <w:sz w:val="24"/>
                <w:u w:val="single"/>
              </w:rPr>
              <w:t>锅炉</w:t>
            </w:r>
            <w:r>
              <w:rPr>
                <w:rFonts w:hint="eastAsia"/>
                <w:bCs/>
                <w:sz w:val="24"/>
                <w:u w:val="single"/>
              </w:rPr>
              <w:t>生活和生产的</w:t>
            </w:r>
            <w:r>
              <w:rPr>
                <w:bCs/>
                <w:sz w:val="24"/>
                <w:u w:val="single"/>
              </w:rPr>
              <w:t>循环水量为</w:t>
            </w:r>
            <w:r>
              <w:rPr>
                <w:rFonts w:hint="eastAsia"/>
                <w:bCs/>
                <w:sz w:val="24"/>
                <w:u w:val="single"/>
              </w:rPr>
              <w:t>200</w:t>
            </w:r>
            <w:r>
              <w:rPr>
                <w:bCs/>
                <w:sz w:val="24"/>
                <w:u w:val="single"/>
              </w:rPr>
              <w:t>m</w:t>
            </w:r>
            <w:r>
              <w:rPr>
                <w:bCs/>
                <w:sz w:val="24"/>
                <w:u w:val="single"/>
                <w:vertAlign w:val="superscript"/>
              </w:rPr>
              <w:t>3</w:t>
            </w:r>
            <w:r>
              <w:rPr>
                <w:bCs/>
                <w:sz w:val="24"/>
                <w:u w:val="single"/>
              </w:rPr>
              <w:t>/d，</w:t>
            </w:r>
            <w:r>
              <w:rPr>
                <w:sz w:val="24"/>
                <w:u w:val="single"/>
              </w:rPr>
              <w:t>循环补水采用新鲜水，补水量约为循环水量的1%，则锅炉循环</w:t>
            </w:r>
            <w:r>
              <w:rPr>
                <w:bCs/>
                <w:sz w:val="24"/>
                <w:u w:val="single"/>
              </w:rPr>
              <w:t>补水量为</w:t>
            </w:r>
            <w:r>
              <w:rPr>
                <w:rFonts w:hint="eastAsia"/>
                <w:sz w:val="24"/>
                <w:u w:val="single"/>
              </w:rPr>
              <w:t>2.0</w:t>
            </w:r>
            <w:r>
              <w:rPr>
                <w:sz w:val="24"/>
                <w:u w:val="single"/>
              </w:rPr>
              <w:t>m</w:t>
            </w:r>
            <w:r>
              <w:rPr>
                <w:sz w:val="24"/>
                <w:u w:val="single"/>
                <w:vertAlign w:val="superscript"/>
              </w:rPr>
              <w:t>3</w:t>
            </w:r>
            <w:r>
              <w:rPr>
                <w:sz w:val="24"/>
                <w:u w:val="single"/>
              </w:rPr>
              <w:t>/d</w:t>
            </w:r>
            <w:r>
              <w:rPr>
                <w:rFonts w:hint="eastAsia"/>
                <w:sz w:val="24"/>
                <w:u w:val="single"/>
              </w:rPr>
              <w:t>；锅炉</w:t>
            </w:r>
            <w:r>
              <w:rPr>
                <w:sz w:val="24"/>
                <w:u w:val="single"/>
              </w:rPr>
              <w:t>用水由</w:t>
            </w:r>
            <w:r>
              <w:rPr>
                <w:rFonts w:hint="eastAsia"/>
                <w:sz w:val="24"/>
                <w:u w:val="single"/>
              </w:rPr>
              <w:t>现有水井供给</w:t>
            </w:r>
            <w:r>
              <w:rPr>
                <w:sz w:val="24"/>
                <w:u w:val="single"/>
              </w:rPr>
              <w:t>。</w:t>
            </w:r>
          </w:p>
          <w:p>
            <w:pPr>
              <w:tabs>
                <w:tab w:val="left" w:pos="3990"/>
              </w:tabs>
              <w:autoSpaceDE w:val="0"/>
              <w:autoSpaceDN w:val="0"/>
              <w:adjustRightInd w:val="0"/>
              <w:snapToGrid w:val="0"/>
              <w:spacing w:line="360" w:lineRule="auto"/>
              <w:ind w:firstLine="480"/>
              <w:rPr>
                <w:sz w:val="24"/>
                <w:u w:val="single"/>
                <w:lang/>
              </w:rPr>
            </w:pPr>
            <w:r>
              <w:rPr>
                <w:sz w:val="24"/>
                <w:u w:val="single"/>
                <w:lang/>
              </w:rPr>
              <w:t>（</w:t>
            </w:r>
            <w:r>
              <w:rPr>
                <w:sz w:val="24"/>
                <w:u w:val="single"/>
              </w:rPr>
              <w:t>2</w:t>
            </w:r>
            <w:r>
              <w:rPr>
                <w:sz w:val="24"/>
                <w:u w:val="single"/>
                <w:lang/>
              </w:rPr>
              <w:t>）排水</w:t>
            </w:r>
          </w:p>
          <w:p>
            <w:pPr>
              <w:snapToGrid w:val="0"/>
              <w:spacing w:line="360" w:lineRule="auto"/>
              <w:ind w:firstLine="480" w:firstLineChars="200"/>
              <w:rPr>
                <w:sz w:val="24"/>
                <w:u w:val="single"/>
              </w:rPr>
            </w:pPr>
            <w:r>
              <w:rPr>
                <w:rFonts w:hint="eastAsia"/>
                <w:sz w:val="24"/>
                <w:u w:val="single"/>
              </w:rPr>
              <w:t>锅炉排水：</w:t>
            </w:r>
            <w:r>
              <w:rPr>
                <w:sz w:val="24"/>
                <w:u w:val="single"/>
              </w:rPr>
              <w:t>本项目废水主要为</w:t>
            </w:r>
            <w:r>
              <w:rPr>
                <w:rFonts w:hint="eastAsia"/>
                <w:sz w:val="24"/>
                <w:u w:val="single"/>
              </w:rPr>
              <w:t>锅炉排污水</w:t>
            </w:r>
            <w:r>
              <w:rPr>
                <w:sz w:val="24"/>
                <w:u w:val="single"/>
              </w:rPr>
              <w:t>，</w:t>
            </w:r>
            <w:r>
              <w:rPr>
                <w:rFonts w:hint="eastAsia"/>
                <w:sz w:val="24"/>
                <w:u w:val="single"/>
              </w:rPr>
              <w:t>锅炉排污水</w:t>
            </w:r>
            <w:r>
              <w:rPr>
                <w:sz w:val="24"/>
                <w:u w:val="single"/>
              </w:rPr>
              <w:t>占循环补水量约5%，生物质</w:t>
            </w:r>
            <w:r>
              <w:rPr>
                <w:rFonts w:hint="eastAsia"/>
                <w:sz w:val="24"/>
                <w:u w:val="single"/>
              </w:rPr>
              <w:t>锅炉循环补水量为2.0m</w:t>
            </w:r>
            <w:r>
              <w:rPr>
                <w:rFonts w:hint="eastAsia"/>
                <w:sz w:val="24"/>
                <w:u w:val="single"/>
                <w:vertAlign w:val="superscript"/>
              </w:rPr>
              <w:t>3</w:t>
            </w:r>
            <w:r>
              <w:rPr>
                <w:rFonts w:hint="eastAsia"/>
                <w:sz w:val="24"/>
                <w:u w:val="single"/>
              </w:rPr>
              <w:t>/d，</w:t>
            </w:r>
            <w:r>
              <w:rPr>
                <w:rFonts w:hint="eastAsia"/>
                <w:bCs/>
                <w:sz w:val="24"/>
                <w:u w:val="single"/>
              </w:rPr>
              <w:t>锅炉排污水</w:t>
            </w:r>
            <w:r>
              <w:rPr>
                <w:bCs/>
                <w:sz w:val="24"/>
                <w:u w:val="single"/>
              </w:rPr>
              <w:t>产生量</w:t>
            </w:r>
            <w:r>
              <w:rPr>
                <w:rFonts w:hint="eastAsia"/>
                <w:bCs/>
                <w:sz w:val="24"/>
                <w:u w:val="single"/>
              </w:rPr>
              <w:t>约</w:t>
            </w:r>
            <w:r>
              <w:rPr>
                <w:bCs/>
                <w:sz w:val="24"/>
                <w:u w:val="single"/>
              </w:rPr>
              <w:t>为</w:t>
            </w:r>
            <w:r>
              <w:rPr>
                <w:rFonts w:hint="eastAsia"/>
                <w:bCs/>
                <w:sz w:val="24"/>
                <w:u w:val="single"/>
              </w:rPr>
              <w:t>0.1</w:t>
            </w:r>
            <w:r>
              <w:rPr>
                <w:sz w:val="24"/>
                <w:u w:val="single"/>
              </w:rPr>
              <w:t>m</w:t>
            </w:r>
            <w:r>
              <w:rPr>
                <w:sz w:val="24"/>
                <w:u w:val="single"/>
                <w:vertAlign w:val="superscript"/>
              </w:rPr>
              <w:t>3</w:t>
            </w:r>
            <w:r>
              <w:rPr>
                <w:sz w:val="24"/>
                <w:u w:val="single"/>
              </w:rPr>
              <w:t>/</w:t>
            </w:r>
            <w:r>
              <w:rPr>
                <w:rFonts w:hint="eastAsia"/>
                <w:sz w:val="24"/>
                <w:u w:val="single"/>
              </w:rPr>
              <w:t>d</w:t>
            </w:r>
            <w:r>
              <w:rPr>
                <w:bCs/>
                <w:sz w:val="24"/>
                <w:u w:val="single"/>
              </w:rPr>
              <w:t>，</w:t>
            </w:r>
            <w:r>
              <w:rPr>
                <w:rFonts w:hint="eastAsia"/>
                <w:sz w:val="24"/>
                <w:u w:val="single"/>
              </w:rPr>
              <w:t>锅炉排污水属于清洁下水，用于厂区地面洒水降尘</w:t>
            </w:r>
            <w:r>
              <w:rPr>
                <w:sz w:val="24"/>
                <w:u w:val="single"/>
              </w:rPr>
              <w:t>。</w:t>
            </w:r>
          </w:p>
          <w:p>
            <w:pPr>
              <w:jc w:val="center"/>
              <w:rPr>
                <w:u w:val="single"/>
              </w:rPr>
            </w:pPr>
            <w:r>
              <w:rPr>
                <w:rFonts w:hint="eastAsia" w:ascii="Times New Roman" w:hAnsi="Times New Roman" w:eastAsia="宋体" w:cs="Times New Roman"/>
                <w:kern w:val="2"/>
                <w:sz w:val="21"/>
                <w:szCs w:val="24"/>
                <w:u w:val="single"/>
                <w:lang w:val="en-US" w:eastAsia="zh-CN" w:bidi="ar-SA"/>
              </w:rPr>
              <w:pict>
                <v:shape id="图片框 1026" o:spid="_x0000_s1027" type="#_x0000_t75" style="height:65.9pt;width:436.3pt;rotation:0f;" o:ole="f" fillcolor="#FFFFFF" filled="f" o:preferrelative="t" stroked="f" coordorigin="0,0" coordsize="21600,21600">
                  <v:fill on="f" color2="#FFFFFF" focus="0%"/>
                  <v:imagedata gain="65536f" blacklevel="0f" gamma="0" o:title="" r:id="rId13"/>
                  <o:lock v:ext="edit" position="f" selection="f" grouping="f" rotation="f" cropping="f" text="f" aspectratio="t"/>
                  <w10:wrap type="none"/>
                  <w10:anchorlock/>
                </v:shape>
              </w:pict>
            </w:r>
          </w:p>
          <w:p>
            <w:pPr>
              <w:adjustRightInd w:val="0"/>
              <w:snapToGrid w:val="0"/>
              <w:spacing w:line="360" w:lineRule="auto"/>
              <w:jc w:val="center"/>
              <w:rPr>
                <w:b/>
                <w:bCs/>
                <w:sz w:val="24"/>
                <w:u w:val="single"/>
              </w:rPr>
            </w:pPr>
            <w:r>
              <w:rPr>
                <w:sz w:val="24"/>
                <w:u w:val="single"/>
              </w:rPr>
              <w:t>图</w:t>
            </w:r>
            <w:r>
              <w:rPr>
                <w:rFonts w:hint="eastAsia"/>
                <w:sz w:val="24"/>
                <w:u w:val="single"/>
              </w:rPr>
              <w:t>1</w:t>
            </w:r>
            <w:r>
              <w:rPr>
                <w:sz w:val="24"/>
                <w:u w:val="single"/>
              </w:rPr>
              <w:t xml:space="preserve">  本项目给排水平衡图（</w:t>
            </w:r>
            <w:r>
              <w:rPr>
                <w:rFonts w:hint="eastAsia"/>
                <w:sz w:val="24"/>
                <w:u w:val="single"/>
              </w:rPr>
              <w:t>m</w:t>
            </w:r>
            <w:r>
              <w:rPr>
                <w:rFonts w:hint="eastAsia"/>
                <w:sz w:val="24"/>
                <w:u w:val="single"/>
                <w:vertAlign w:val="superscript"/>
              </w:rPr>
              <w:t>3</w:t>
            </w:r>
            <w:r>
              <w:rPr>
                <w:sz w:val="24"/>
                <w:u w:val="single"/>
              </w:rPr>
              <w:t>/</w:t>
            </w:r>
            <w:r>
              <w:rPr>
                <w:rFonts w:hint="eastAsia"/>
                <w:sz w:val="24"/>
                <w:u w:val="single"/>
              </w:rPr>
              <w:t>d</w:t>
            </w:r>
            <w:r>
              <w:rPr>
                <w:sz w:val="24"/>
                <w:u w:val="single"/>
              </w:rPr>
              <w:t>）</w:t>
            </w:r>
          </w:p>
          <w:p>
            <w:pPr>
              <w:autoSpaceDE w:val="0"/>
              <w:autoSpaceDN w:val="0"/>
              <w:spacing w:line="360" w:lineRule="auto"/>
              <w:ind w:firstLine="480"/>
              <w:rPr>
                <w:sz w:val="24"/>
                <w:u w:val="single"/>
              </w:rPr>
            </w:pPr>
            <w:r>
              <w:rPr>
                <w:sz w:val="24"/>
                <w:u w:val="single"/>
              </w:rPr>
              <w:t>（2）供热</w:t>
            </w:r>
          </w:p>
          <w:p>
            <w:pPr>
              <w:pStyle w:val="29"/>
              <w:snapToGrid/>
              <w:spacing w:before="48" w:after="48"/>
              <w:ind w:firstLine="480"/>
              <w:rPr>
                <w:u w:val="single"/>
              </w:rPr>
            </w:pPr>
            <w:r>
              <w:rPr>
                <w:u w:val="single"/>
              </w:rPr>
              <w:t>本项目为生物质锅炉</w:t>
            </w:r>
            <w:r>
              <w:rPr>
                <w:rFonts w:hint="eastAsia"/>
                <w:u w:val="single"/>
              </w:rPr>
              <w:t>改建</w:t>
            </w:r>
            <w:r>
              <w:rPr>
                <w:u w:val="single"/>
              </w:rPr>
              <w:t>项目，本身无用热需求。</w:t>
            </w:r>
          </w:p>
          <w:p>
            <w:pPr>
              <w:autoSpaceDE w:val="0"/>
              <w:autoSpaceDN w:val="0"/>
              <w:spacing w:line="360" w:lineRule="auto"/>
              <w:ind w:firstLine="480"/>
              <w:rPr>
                <w:sz w:val="24"/>
                <w:u w:val="single"/>
              </w:rPr>
            </w:pPr>
            <w:r>
              <w:rPr>
                <w:sz w:val="24"/>
                <w:u w:val="single"/>
              </w:rPr>
              <w:t>（3）供电</w:t>
            </w:r>
          </w:p>
          <w:p>
            <w:pPr>
              <w:autoSpaceDE w:val="0"/>
              <w:autoSpaceDN w:val="0"/>
              <w:spacing w:line="360" w:lineRule="auto"/>
              <w:ind w:firstLine="480"/>
              <w:rPr>
                <w:sz w:val="24"/>
                <w:u w:val="single"/>
              </w:rPr>
            </w:pPr>
            <w:r>
              <w:rPr>
                <w:sz w:val="24"/>
                <w:u w:val="single"/>
              </w:rPr>
              <w:t>本项目用电由</w:t>
            </w:r>
            <w:r>
              <w:rPr>
                <w:rFonts w:hint="eastAsia"/>
                <w:sz w:val="24"/>
                <w:u w:val="single"/>
              </w:rPr>
              <w:t>区域</w:t>
            </w:r>
            <w:r>
              <w:rPr>
                <w:sz w:val="24"/>
                <w:u w:val="single"/>
              </w:rPr>
              <w:t>供电</w:t>
            </w:r>
            <w:r>
              <w:rPr>
                <w:rFonts w:hint="eastAsia"/>
                <w:sz w:val="24"/>
                <w:u w:val="single"/>
              </w:rPr>
              <w:t>系统</w:t>
            </w:r>
            <w:r>
              <w:rPr>
                <w:sz w:val="24"/>
                <w:u w:val="single"/>
              </w:rPr>
              <w:t>提供，可保证项目用电的需要。</w:t>
            </w:r>
          </w:p>
          <w:p>
            <w:pPr>
              <w:autoSpaceDE w:val="0"/>
              <w:autoSpaceDN w:val="0"/>
              <w:spacing w:line="360" w:lineRule="auto"/>
              <w:ind w:firstLine="480"/>
              <w:rPr>
                <w:b/>
                <w:bCs/>
                <w:sz w:val="24"/>
                <w:u w:val="single"/>
                <w:lang w:val="zh-CN"/>
              </w:rPr>
            </w:pPr>
            <w:r>
              <w:rPr>
                <w:b/>
                <w:bCs/>
                <w:sz w:val="24"/>
                <w:u w:val="single"/>
              </w:rPr>
              <w:t>5、</w:t>
            </w:r>
            <w:r>
              <w:rPr>
                <w:b/>
                <w:bCs/>
                <w:sz w:val="24"/>
                <w:u w:val="single"/>
                <w:lang w:val="zh-CN"/>
              </w:rPr>
              <w:t>工作制度及劳动定员</w:t>
            </w:r>
          </w:p>
          <w:p>
            <w:pPr>
              <w:pStyle w:val="29"/>
              <w:snapToGrid/>
              <w:spacing w:before="48" w:after="48"/>
              <w:ind w:firstLine="480"/>
            </w:pPr>
            <w:bookmarkStart w:id="5" w:name="_Toc290137731"/>
            <w:r>
              <w:rPr>
                <w:rFonts w:hint="eastAsia"/>
                <w:u w:val="single"/>
              </w:rPr>
              <w:t>本项目为改建项目，不新增劳动定员；锅炉沿用现有工作制度，全年共计使用319</w:t>
            </w:r>
            <w:r>
              <w:rPr>
                <w:u w:val="single"/>
              </w:rPr>
              <w:t>d，</w:t>
            </w:r>
            <w:r>
              <w:rPr>
                <w:u w:val="single"/>
                <w:lang w:val="zh-CN"/>
              </w:rPr>
              <w:t>每天工作</w:t>
            </w:r>
            <w:r>
              <w:rPr>
                <w:rFonts w:hint="eastAsia"/>
                <w:u w:val="single"/>
              </w:rPr>
              <w:t>11</w:t>
            </w:r>
            <w:r>
              <w:rPr>
                <w:u w:val="single"/>
                <w:lang w:val="zh-CN"/>
              </w:rPr>
              <w:t>h</w:t>
            </w:r>
            <w:r>
              <w:rPr>
                <w:u w:val="single"/>
              </w:rPr>
              <w:t>。</w:t>
            </w:r>
          </w:p>
          <w:p>
            <w:pPr>
              <w:spacing w:line="360" w:lineRule="auto"/>
              <w:ind w:firstLine="482" w:firstLineChars="200"/>
              <w:outlineLvl w:val="0"/>
              <w:rPr>
                <w:b/>
                <w:bCs/>
                <w:sz w:val="24"/>
              </w:rPr>
            </w:pPr>
            <w:r>
              <w:rPr>
                <w:b/>
                <w:bCs/>
                <w:sz w:val="24"/>
              </w:rPr>
              <w:t>6、厂区平面布置</w:t>
            </w:r>
          </w:p>
          <w:bookmarkEnd w:id="5"/>
          <w:p>
            <w:pPr>
              <w:spacing w:line="360" w:lineRule="auto"/>
              <w:ind w:firstLine="480" w:firstLineChars="200"/>
              <w:rPr>
                <w:bCs/>
                <w:sz w:val="24"/>
              </w:rPr>
            </w:pPr>
            <w:r>
              <w:rPr>
                <w:rFonts w:hint="eastAsia"/>
                <w:bCs/>
                <w:sz w:val="24"/>
              </w:rPr>
              <w:t>本项目为改建项目，锅炉房、原料堆场等全部利旧，锅炉房内设置1台4.0t/h生物质锅炉，以及燃料堆场、上料装置、出渣机等。具体平面布置图详见下图。</w:t>
            </w:r>
          </w:p>
          <w:p>
            <w:pPr>
              <w:spacing w:line="360" w:lineRule="auto"/>
              <w:jc w:val="center"/>
              <w:rPr>
                <w:bCs/>
                <w:sz w:val="24"/>
              </w:rPr>
            </w:pPr>
            <w:r>
              <w:rPr>
                <w:rFonts w:ascii="Times New Roman" w:hAnsi="Times New Roman" w:eastAsia="宋体" w:cs="Times New Roman"/>
                <w:kern w:val="2"/>
                <w:sz w:val="24"/>
                <w:szCs w:val="24"/>
                <w:lang w:val="en-US" w:eastAsia="zh-CN" w:bidi="ar-SA"/>
              </w:rPr>
              <w:pict>
                <v:shape id="_x0000_s1026" o:spid="_x0000_s1028" type="#_x0000_t202" style="position:absolute;left:0;margin-left:368.95pt;margin-top:590.25pt;height:20.75pt;width:41.3pt;rotation:0f;z-index:251664384;" o:ole="f" fillcolor="#FFFFFF" filled="f" o:preferrelative="t" stroked="f" coordorigin="0,0" coordsize="21600,21600">
                  <v:fill on="f" color2="#FFFFFF" focus="0%"/>
                  <v:imagedata gain="65536f" blacklevel="0f" gamma="0"/>
                  <o:lock v:ext="edit" position="f" selection="f" grouping="f" rotation="f" cropping="f" text="f" aspectratio="f"/>
                  <v:textbox>
                    <w:txbxContent>
                      <w:p>
                        <w:pPr>
                          <w:rPr>
                            <w:sz w:val="15"/>
                            <w:szCs w:val="15"/>
                          </w:rPr>
                        </w:pPr>
                        <w:r>
                          <w:rPr>
                            <w:rFonts w:hint="eastAsia"/>
                            <w:sz w:val="15"/>
                            <w:szCs w:val="15"/>
                          </w:rPr>
                          <w:t>50m</w:t>
                        </w:r>
                      </w:p>
                    </w:txbxContent>
                  </v:textbox>
                </v:shape>
              </w:pict>
            </w:r>
            <w:r>
              <w:rPr>
                <w:rFonts w:ascii="Times New Roman" w:hAnsi="Times New Roman" w:eastAsia="宋体" w:cs="Times New Roman"/>
                <w:kern w:val="2"/>
                <w:sz w:val="24"/>
                <w:szCs w:val="24"/>
                <w:lang w:val="en-US" w:eastAsia="zh-CN" w:bidi="ar-SA"/>
              </w:rPr>
              <w:pict>
                <v:shape id="_x0000_s1041" o:spid="_x0000_s1029" type="#_x0000_t202" style="position:absolute;left:0;margin-left:334.45pt;margin-top:590.6pt;height:20.75pt;width:41.3pt;rotation:0f;z-index:251663360;" o:ole="f" fillcolor="#FFFFFF" filled="f" o:preferrelative="t" stroked="f" coordorigin="0,0" coordsize="21600,21600">
                  <v:fill on="f" color2="#FFFFFF" focus="0%"/>
                  <v:imagedata gain="65536f" blacklevel="0f" gamma="0"/>
                  <o:lock v:ext="edit" position="f" selection="f" grouping="f" rotation="f" cropping="f" text="f" aspectratio="f"/>
                  <v:textbox>
                    <w:txbxContent>
                      <w:p>
                        <w:pPr>
                          <w:rPr>
                            <w:sz w:val="15"/>
                            <w:szCs w:val="15"/>
                          </w:rPr>
                        </w:pPr>
                        <w:r>
                          <w:rPr>
                            <w:rFonts w:hint="eastAsia"/>
                            <w:sz w:val="15"/>
                            <w:szCs w:val="15"/>
                          </w:rPr>
                          <w:t>比例尺</w:t>
                        </w:r>
                      </w:p>
                    </w:txbxContent>
                  </v:textbox>
                </v:shape>
              </w:pict>
            </w:r>
            <w:r>
              <w:rPr>
                <w:rFonts w:ascii="Times New Roman" w:hAnsi="Times New Roman" w:eastAsia="宋体" w:cs="Times New Roman"/>
                <w:kern w:val="2"/>
                <w:sz w:val="24"/>
                <w:szCs w:val="24"/>
                <w:lang w:val="en-US" w:eastAsia="zh-CN" w:bidi="ar-SA"/>
              </w:rPr>
              <w:pict>
                <v:shape id="_x0000_s1040" o:spid="_x0000_s1030" o:spt="100" type="" style="position:absolute;left:0;margin-left:371.1pt;margin-top:596.05pt;height:6.9pt;width:28.4pt;rotation:0f;z-index:251662336;" o:ole="f" fillcolor="#FFFFFF" filled="f" o:preferrelative="t" stroked="t" coordorigin="0,0" coordsize="360680,87630" adj="0,0" path="m0,0l0,87630,360680,87630,360680,13335e">
                  <v:fill on="f" color2="#FFFFFF" focus="0%"/>
                  <v:stroke color="#000000" color2="#FFFFFF" miterlimit="2"/>
                  <v:imagedata gain="65536f" blacklevel="0f" gamma="0"/>
                  <o:lock v:ext="edit" position="f" selection="f" grouping="f" rotation="f" cropping="f" text="f" aspectratio="f"/>
                </v:shape>
              </w:pict>
            </w:r>
            <w:r>
              <w:rPr>
                <w:rFonts w:ascii="Times New Roman" w:hAnsi="Times New Roman" w:eastAsia="宋体" w:cs="Times New Roman"/>
                <w:kern w:val="2"/>
                <w:sz w:val="24"/>
                <w:szCs w:val="24"/>
                <w:lang w:val="en-US" w:eastAsia="zh-CN" w:bidi="ar-SA"/>
              </w:rPr>
              <w:pict>
                <v:shape id="_x0000_s1039" o:spid="_x0000_s1031" type="#_x0000_t202" style="position:absolute;left:0;margin-left:317.1pt;margin-top:451.05pt;height:17.7pt;width:48.3pt;rotation:0f;z-index:251661312;" o:ole="f" fillcolor="#FFFFFF" filled="f" o:preferrelative="t" stroked="f" coordorigin="0,0" coordsize="21600,21600">
                  <v:fill on="f" color2="#FFFFFF" focus="0%"/>
                  <v:imagedata gain="65536f" blacklevel="0f" gamma="0"/>
                  <o:lock v:ext="edit" position="f" selection="f" grouping="f" rotation="f" cropping="f" text="f" aspectratio="f"/>
                  <v:textbox>
                    <w:txbxContent>
                      <w:p>
                        <w:pPr>
                          <w:rPr>
                            <w:sz w:val="15"/>
                            <w:szCs w:val="15"/>
                          </w:rPr>
                        </w:pPr>
                        <w:r>
                          <w:rPr>
                            <w:rFonts w:hint="eastAsia"/>
                            <w:sz w:val="15"/>
                            <w:szCs w:val="15"/>
                          </w:rPr>
                          <w:t>锅炉烟囱</w:t>
                        </w:r>
                      </w:p>
                    </w:txbxContent>
                  </v:textbox>
                </v:shape>
              </w:pict>
            </w:r>
            <w:r>
              <w:rPr>
                <w:rFonts w:ascii="Times New Roman" w:hAnsi="Times New Roman" w:eastAsia="宋体" w:cs="Times New Roman"/>
                <w:kern w:val="2"/>
                <w:sz w:val="24"/>
                <w:szCs w:val="24"/>
                <w:lang w:val="en-US" w:eastAsia="zh-CN" w:bidi="ar-SA"/>
              </w:rPr>
              <w:pict>
                <v:shape id="_x0000_s1038" o:spid="_x0000_s1032" type="#_x0000_t3" style="position:absolute;left:0;margin-left:334.15pt;margin-top:445.1pt;height:10.2pt;width:11.25pt;rotation:0f;z-index:251660288;v-text-anchor:middle;" o:ole="f" fillcolor="#FF0000" filled="t" o:preferrelative="t" stroked="t" coordorigin="0,0" coordsize="21600,21600">
                  <v:stroke weight="2pt" color="#FF0000" color2="#FFFFFF" miterlimit="2"/>
                  <v:imagedata gain="65536f" blacklevel="0f" gamma="0"/>
                  <o:lock v:ext="edit" position="f" selection="f" grouping="f" rotation="f" cropping="f" text="f" aspectratio="f"/>
                  <v:textbox>
                    <w:txbxContent>
                      <w:p>
                        <w:pPr>
                          <w:jc w:val="center"/>
                        </w:pPr>
                      </w:p>
                    </w:txbxContent>
                  </v:textbox>
                </v:shape>
              </w:pict>
            </w:r>
            <w:r>
              <w:rPr>
                <w:rFonts w:ascii="Times New Roman" w:hAnsi="Times New Roman" w:eastAsia="宋体" w:cs="Times New Roman"/>
                <w:kern w:val="2"/>
                <w:sz w:val="24"/>
                <w:szCs w:val="24"/>
                <w:lang w:val="en-US" w:eastAsia="zh-CN" w:bidi="ar-SA"/>
              </w:rPr>
              <w:pict>
                <v:shape id="_x0000_s1037" o:spid="_x0000_s1033" type="#_x0000_t61" style="position:absolute;left:0;margin-left:203.6pt;margin-top:487.7pt;height:23.1pt;width:108.45pt;rotation:0f;z-index:251659264;v-text-anchor:middle;" o:ole="f" fillcolor="#FFFFFF" filled="f" o:preferrelative="t" stroked="t" coordorigin="0,0" coordsize="21600,21600" adj="23990,-34504">
                  <v:fill on="f" color2="#FFFFFF" focus="0%"/>
                  <v:stroke color="#FF0000" color2="#FFFFFF" miterlimit="2"/>
                  <v:imagedata gain="65536f" blacklevel="0f" gamma="0"/>
                  <o:lock v:ext="edit" position="f" selection="f" grouping="f" rotation="f" cropping="f" text="f" aspectratio="f"/>
                  <v:textbox>
                    <w:txbxContent>
                      <w:p>
                        <w:pPr>
                          <w:jc w:val="center"/>
                          <w:rPr>
                            <w:color w:val="000000"/>
                          </w:rPr>
                        </w:pPr>
                        <w:r>
                          <w:rPr>
                            <w:rFonts w:hint="eastAsia"/>
                            <w:color w:val="000000"/>
                          </w:rPr>
                          <w:t>本项目所在位置</w:t>
                        </w:r>
                      </w:p>
                    </w:txbxContent>
                  </v:textbox>
                </v:shape>
              </w:pict>
            </w:r>
            <w:r>
              <w:rPr>
                <w:rFonts w:hint="eastAsia" w:ascii="Times New Roman" w:hAnsi="Times New Roman" w:eastAsia="宋体" w:cs="Times New Roman"/>
                <w:bCs/>
                <w:kern w:val="2"/>
                <w:sz w:val="24"/>
                <w:szCs w:val="24"/>
                <w:lang w:val="en-US" w:eastAsia="zh-CN" w:bidi="ar-SA"/>
              </w:rPr>
              <w:pict>
                <v:shape id="图片框 1033" o:spid="_x0000_s1034" type="#_x0000_t75" style="height:604.35pt;width:435.15pt;rotation:0f;" o:ole="f" fillcolor="#FFFFFF" filled="f" o:preferrelative="t" stroked="f" coordorigin="0,0" coordsize="21600,21600">
                  <v:fill on="f" color2="#FFFFFF" focus="0%"/>
                  <v:imagedata gain="65536f" blacklevel="0f" gamma="0" o:title="" r:id="rId14"/>
                  <o:lock v:ext="edit" position="f" selection="f" grouping="f" rotation="f" cropping="f" text="f" aspectratio="t"/>
                  <w10:wrap type="none"/>
                  <w10:anchorlock/>
                </v:shape>
              </w:pict>
            </w:r>
          </w:p>
          <w:p>
            <w:pPr>
              <w:spacing w:line="360" w:lineRule="auto"/>
              <w:jc w:val="center"/>
              <w:rPr>
                <w:bCs/>
                <w:sz w:val="24"/>
              </w:rPr>
            </w:pPr>
            <w:r>
              <w:rPr>
                <w:rFonts w:hint="eastAsia"/>
                <w:bCs/>
                <w:sz w:val="24"/>
              </w:rPr>
              <w:t>图2  厂区平面布置图</w:t>
            </w:r>
          </w:p>
          <w:p>
            <w:pPr>
              <w:spacing w:line="360" w:lineRule="auto"/>
              <w:ind w:firstLine="482" w:firstLineChars="200"/>
              <w:outlineLvl w:val="0"/>
              <w:rPr>
                <w:b/>
                <w:bCs/>
                <w:sz w:val="24"/>
              </w:rPr>
            </w:pPr>
            <w:r>
              <w:rPr>
                <w:b/>
                <w:bCs/>
                <w:sz w:val="24"/>
              </w:rPr>
              <w:t>7、项目建设期</w:t>
            </w:r>
          </w:p>
          <w:p>
            <w:pPr>
              <w:spacing w:line="360" w:lineRule="auto"/>
              <w:ind w:firstLine="480" w:firstLineChars="200"/>
              <w:rPr>
                <w:sz w:val="24"/>
              </w:rPr>
            </w:pPr>
            <w:r>
              <w:rPr>
                <w:sz w:val="24"/>
              </w:rPr>
              <w:t>202</w:t>
            </w:r>
            <w:r>
              <w:rPr>
                <w:rFonts w:hint="eastAsia"/>
                <w:sz w:val="24"/>
              </w:rPr>
              <w:t>6</w:t>
            </w:r>
            <w:r>
              <w:rPr>
                <w:sz w:val="24"/>
              </w:rPr>
              <w:t>年</w:t>
            </w:r>
            <w:r>
              <w:rPr>
                <w:rFonts w:hint="eastAsia"/>
                <w:sz w:val="24"/>
              </w:rPr>
              <w:t>9</w:t>
            </w:r>
            <w:r>
              <w:rPr>
                <w:sz w:val="24"/>
              </w:rPr>
              <w:t>月至202</w:t>
            </w:r>
            <w:r>
              <w:rPr>
                <w:rFonts w:hint="eastAsia"/>
                <w:sz w:val="24"/>
              </w:rPr>
              <w:t>6</w:t>
            </w:r>
            <w:r>
              <w:rPr>
                <w:sz w:val="24"/>
              </w:rPr>
              <w:t>年</w:t>
            </w:r>
            <w:r>
              <w:rPr>
                <w:rFonts w:hint="eastAsia"/>
                <w:sz w:val="24"/>
              </w:rPr>
              <w:t>10</w:t>
            </w:r>
            <w:r>
              <w:rPr>
                <w:sz w:val="24"/>
              </w:rPr>
              <w:t>月。</w:t>
            </w:r>
          </w:p>
          <w:p>
            <w:pPr>
              <w:pStyle w:val="2"/>
            </w:pPr>
          </w:p>
        </w:tc>
      </w:tr>
      <w:tr>
        <w:trPr>
          <w:trHeight w:val="10892" w:hRule="atLeast"/>
          <w:jc w:val="center"/>
        </w:trPr>
        <w:tc>
          <w:tcPr>
            <w:tcW w:w="711" w:type="dxa"/>
            <w:tcBorders>
              <w:top w:val="single" w:color="auto" w:sz="4" w:space="0"/>
              <w:left w:val="single" w:color="auto" w:sz="8" w:space="0"/>
              <w:bottom w:val="single" w:color="auto" w:sz="4" w:space="0"/>
              <w:right w:val="single" w:color="auto" w:sz="4" w:space="0"/>
            </w:tcBorders>
            <w:vAlign w:val="center"/>
          </w:tcPr>
          <w:p>
            <w:pPr>
              <w:pStyle w:val="16"/>
              <w:adjustRightInd w:val="0"/>
              <w:snapToGrid w:val="0"/>
              <w:spacing w:before="0" w:beforeAutospacing="0" w:after="0" w:afterAutospacing="0"/>
              <w:jc w:val="center"/>
              <w:rPr>
                <w:rFonts w:ascii="Times New Roman" w:hAnsi="Times New Roman" w:cs="Times New Roman"/>
                <w:sz w:val="21"/>
                <w:szCs w:val="21"/>
              </w:rPr>
            </w:pPr>
            <w:r>
              <w:rPr>
                <w:rFonts w:ascii="Times New Roman" w:hAnsi="Times New Roman" w:cs="Times New Roman"/>
                <w:sz w:val="21"/>
                <w:szCs w:val="21"/>
              </w:rPr>
              <w:t>工艺流程和产排污环节</w:t>
            </w:r>
          </w:p>
        </w:tc>
        <w:tc>
          <w:tcPr>
            <w:tcW w:w="9139" w:type="dxa"/>
            <w:tcBorders>
              <w:top w:val="single" w:color="auto" w:sz="4" w:space="0"/>
              <w:left w:val="single" w:color="auto" w:sz="4" w:space="0"/>
              <w:bottom w:val="single" w:color="auto" w:sz="4" w:space="0"/>
              <w:right w:val="single" w:color="auto" w:sz="8" w:space="0"/>
            </w:tcBorders>
            <w:vAlign w:val="top"/>
          </w:tcPr>
          <w:p>
            <w:pPr>
              <w:autoSpaceDE w:val="0"/>
              <w:autoSpaceDN w:val="0"/>
              <w:adjustRightInd w:val="0"/>
              <w:snapToGrid w:val="0"/>
              <w:spacing w:line="360" w:lineRule="auto"/>
              <w:ind w:firstLine="482"/>
              <w:rPr>
                <w:b/>
                <w:bCs/>
                <w:sz w:val="24"/>
              </w:rPr>
            </w:pPr>
            <w:r>
              <w:rPr>
                <w:rFonts w:hint="eastAsia"/>
                <w:b/>
                <w:bCs/>
                <w:sz w:val="24"/>
              </w:rPr>
              <w:t>1</w:t>
            </w:r>
            <w:r>
              <w:rPr>
                <w:b/>
                <w:bCs/>
                <w:sz w:val="24"/>
              </w:rPr>
              <w:t>、</w:t>
            </w:r>
            <w:r>
              <w:rPr>
                <w:rFonts w:hint="eastAsia"/>
                <w:b/>
                <w:bCs/>
                <w:sz w:val="24"/>
              </w:rPr>
              <w:t>锅炉</w:t>
            </w:r>
            <w:r>
              <w:rPr>
                <w:b/>
                <w:bCs/>
                <w:sz w:val="24"/>
              </w:rPr>
              <w:t>工艺流程</w:t>
            </w:r>
            <w:r>
              <w:rPr>
                <w:rFonts w:hint="eastAsia"/>
                <w:b/>
                <w:bCs/>
                <w:sz w:val="24"/>
              </w:rPr>
              <w:t>简述</w:t>
            </w:r>
          </w:p>
          <w:p>
            <w:pPr>
              <w:autoSpaceDE w:val="0"/>
              <w:autoSpaceDN w:val="0"/>
              <w:adjustRightInd w:val="0"/>
              <w:snapToGrid w:val="0"/>
              <w:spacing w:line="360" w:lineRule="auto"/>
              <w:ind w:firstLine="482"/>
              <w:rPr>
                <w:sz w:val="24"/>
              </w:rPr>
            </w:pPr>
            <w:r>
              <w:rPr>
                <w:sz w:val="24"/>
              </w:rPr>
              <w:t>锅炉运行主要包括燃料输送系统、燃烧系统、烟气净化系统及除灰渣系统等。</w:t>
            </w:r>
          </w:p>
          <w:p>
            <w:pPr>
              <w:autoSpaceDE w:val="0"/>
              <w:autoSpaceDN w:val="0"/>
              <w:adjustRightInd w:val="0"/>
              <w:snapToGrid w:val="0"/>
              <w:spacing w:line="360" w:lineRule="auto"/>
              <w:ind w:firstLine="482"/>
              <w:rPr>
                <w:sz w:val="24"/>
              </w:rPr>
            </w:pPr>
            <w:r>
              <w:rPr>
                <w:sz w:val="24"/>
              </w:rPr>
              <w:t>（1）燃料输送系统</w:t>
            </w:r>
          </w:p>
          <w:p>
            <w:pPr>
              <w:autoSpaceDE w:val="0"/>
              <w:autoSpaceDN w:val="0"/>
              <w:adjustRightInd w:val="0"/>
              <w:snapToGrid w:val="0"/>
              <w:spacing w:line="360" w:lineRule="auto"/>
              <w:ind w:firstLine="482"/>
              <w:rPr>
                <w:sz w:val="24"/>
              </w:rPr>
            </w:pPr>
            <w:r>
              <w:rPr>
                <w:sz w:val="24"/>
              </w:rPr>
              <w:t>本项目选用单路运料系统，燃料为生物质成型颗粒，颗粒小于50mm，无需破碎，上料系统由自动上料装置完成。</w:t>
            </w:r>
          </w:p>
          <w:p>
            <w:pPr>
              <w:autoSpaceDE w:val="0"/>
              <w:autoSpaceDN w:val="0"/>
              <w:adjustRightInd w:val="0"/>
              <w:snapToGrid w:val="0"/>
              <w:spacing w:line="360" w:lineRule="auto"/>
              <w:ind w:firstLine="482"/>
              <w:outlineLvl w:val="0"/>
              <w:rPr>
                <w:sz w:val="24"/>
              </w:rPr>
            </w:pPr>
            <w:r>
              <w:rPr>
                <w:sz w:val="24"/>
              </w:rPr>
              <w:t>（2）燃烧系统</w:t>
            </w:r>
          </w:p>
          <w:p>
            <w:pPr>
              <w:autoSpaceDE w:val="0"/>
              <w:autoSpaceDN w:val="0"/>
              <w:adjustRightInd w:val="0"/>
              <w:snapToGrid w:val="0"/>
              <w:spacing w:line="360" w:lineRule="auto"/>
              <w:ind w:firstLine="482"/>
              <w:rPr>
                <w:sz w:val="24"/>
              </w:rPr>
            </w:pPr>
            <w:r>
              <w:rPr>
                <w:sz w:val="24"/>
              </w:rPr>
              <w:t>生物质进入炉前料斗后进入燃烧室进行燃烧，并通过炉前受料口和炉排转速来控制燃生物质量。</w:t>
            </w:r>
          </w:p>
          <w:p>
            <w:pPr>
              <w:autoSpaceDE w:val="0"/>
              <w:autoSpaceDN w:val="0"/>
              <w:adjustRightInd w:val="0"/>
              <w:snapToGrid w:val="0"/>
              <w:spacing w:line="360" w:lineRule="auto"/>
              <w:ind w:firstLine="482"/>
              <w:rPr>
                <w:sz w:val="24"/>
              </w:rPr>
            </w:pPr>
            <w:r>
              <w:rPr>
                <w:sz w:val="24"/>
              </w:rPr>
              <w:t>燃烧室进风由鼓风机从锅炉间上部吸收室内空气，以利用顶部热空气的热量，并配用室外新风管进行调节，避免大量吸走室内热空气后的室内温度。鼓风机将空气送入锅炉尾部空气预热器，从炉排两侧进入炉排风室进行助燃。</w:t>
            </w:r>
          </w:p>
          <w:p>
            <w:pPr>
              <w:autoSpaceDE w:val="0"/>
              <w:autoSpaceDN w:val="0"/>
              <w:adjustRightInd w:val="0"/>
              <w:snapToGrid w:val="0"/>
              <w:spacing w:line="360" w:lineRule="auto"/>
              <w:ind w:firstLine="482"/>
              <w:rPr>
                <w:sz w:val="24"/>
              </w:rPr>
            </w:pPr>
            <w:r>
              <w:rPr>
                <w:sz w:val="24"/>
              </w:rPr>
              <w:t>锅炉鼓风机、引风机、除尘器单路配置，鼓、引风机采用变频调速装置自动控制，锅炉的排烟先进入除尘器，然后再通过尾端烟道、烟囱排入大气。</w:t>
            </w:r>
          </w:p>
          <w:p>
            <w:pPr>
              <w:autoSpaceDE w:val="0"/>
              <w:autoSpaceDN w:val="0"/>
              <w:adjustRightInd w:val="0"/>
              <w:snapToGrid w:val="0"/>
              <w:spacing w:line="360" w:lineRule="auto"/>
              <w:ind w:firstLine="482"/>
              <w:outlineLvl w:val="0"/>
              <w:rPr>
                <w:sz w:val="24"/>
              </w:rPr>
            </w:pPr>
            <w:r>
              <w:rPr>
                <w:sz w:val="24"/>
              </w:rPr>
              <w:t>（3）烟气净化系统</w:t>
            </w:r>
          </w:p>
          <w:p>
            <w:pPr>
              <w:autoSpaceDE w:val="0"/>
              <w:autoSpaceDN w:val="0"/>
              <w:adjustRightInd w:val="0"/>
              <w:snapToGrid w:val="0"/>
              <w:spacing w:line="360" w:lineRule="auto"/>
              <w:ind w:firstLine="482"/>
              <w:rPr>
                <w:sz w:val="24"/>
              </w:rPr>
            </w:pPr>
            <w:r>
              <w:fldChar w:fldCharType="begin"/>
            </w:r>
            <w:r>
              <w:instrText xml:space="preserve">HYPERLINK "https://baike.so.com/doc/1934399-2046495.html" \t "https://baike.so.com/doc/_blank" </w:instrText>
            </w:r>
            <w:r>
              <w:fldChar w:fldCharType="separate"/>
            </w:r>
            <w:r>
              <w:rPr>
                <w:sz w:val="24"/>
              </w:rPr>
              <w:t>袋式除尘器</w:t>
            </w:r>
            <w:r>
              <w:fldChar w:fldCharType="end"/>
            </w:r>
            <w:r>
              <w:rPr>
                <w:sz w:val="24"/>
              </w:rPr>
              <w:t>：是一种干式滤尘装置，利用纤维织物的过滤作用对含尘气体进行过滤，当含尘气体进入袋式除尘器后，颗粒大、比重大的粉尘，由于重力的作用沉降下来，落入灰斗，含有较细小粉尘的气体在通过滤料时，粉尘被阻留，使气体得到净化。</w:t>
            </w:r>
          </w:p>
          <w:p>
            <w:pPr>
              <w:autoSpaceDE w:val="0"/>
              <w:autoSpaceDN w:val="0"/>
              <w:adjustRightInd w:val="0"/>
              <w:snapToGrid w:val="0"/>
              <w:spacing w:line="360" w:lineRule="auto"/>
              <w:ind w:firstLine="482"/>
              <w:rPr>
                <w:sz w:val="24"/>
              </w:rPr>
            </w:pPr>
            <w:r>
              <w:rPr>
                <w:sz w:val="24"/>
              </w:rPr>
              <w:t>陶瓷多管除尘器</w:t>
            </w:r>
            <w:r>
              <w:rPr>
                <w:rFonts w:hint="eastAsia"/>
                <w:sz w:val="24"/>
              </w:rPr>
              <w:t>：</w:t>
            </w:r>
            <w:r>
              <w:rPr>
                <w:sz w:val="24"/>
              </w:rPr>
              <w:t>属于离心式旋风除尘装置，其除尘机理基于离心力场分离理论。含尘烟气由进气总管进入设备上部的气体分布室，经均流分配后均匀进入各并联陶瓷旋风单元。烟气通过陶瓷导向器（导流叶片）后，由轴向直线运动转化为高速旋转圆周运动，在旋风筒体内部形成强烈的双旋流流场。旋转气流沿筒壁呈螺旋形向下运动（外旋流），含尘气体在旋转过程中产生离心加速度，其值可达重力加速度的500~2000倍。在离心力作用下，密度远大于气相的颗粒物被抛向筒体内壁，与陶瓷壁面碰撞后失去动能，沿壁面靠重力沉降至锥体下部，最终汇入集灰斗。</w:t>
            </w:r>
          </w:p>
          <w:p>
            <w:pPr>
              <w:autoSpaceDE w:val="0"/>
              <w:autoSpaceDN w:val="0"/>
              <w:adjustRightInd w:val="0"/>
              <w:snapToGrid w:val="0"/>
              <w:spacing w:line="360" w:lineRule="auto"/>
              <w:ind w:firstLine="482"/>
              <w:rPr>
                <w:sz w:val="24"/>
              </w:rPr>
            </w:pPr>
            <w:r>
              <w:rPr>
                <w:rFonts w:ascii="宋体" w:hAnsi="宋体" w:cs="宋体"/>
                <w:sz w:val="24"/>
              </w:rPr>
              <w:t>陶瓷多管除尘器+布袋除尘器组合工艺充分发挥了两种除尘技术的互补优势，实现了</w:t>
            </w:r>
            <w:r>
              <w:rPr>
                <w:rStyle w:val="19"/>
                <w:rFonts w:ascii="宋体" w:hAnsi="宋体" w:cs="宋体"/>
                <w:b w:val="0"/>
                <w:bCs/>
                <w:color w:val="000000"/>
                <w:sz w:val="24"/>
              </w:rPr>
              <w:t>粗颗粒高效分离</w:t>
            </w:r>
            <w:r>
              <w:rPr>
                <w:rStyle w:val="19"/>
                <w:rFonts w:hint="eastAsia" w:ascii="宋体" w:hAnsi="宋体" w:cs="宋体"/>
                <w:b w:val="0"/>
                <w:bCs/>
                <w:color w:val="000000"/>
                <w:sz w:val="24"/>
              </w:rPr>
              <w:t>+</w:t>
            </w:r>
            <w:r>
              <w:rPr>
                <w:rStyle w:val="19"/>
                <w:rFonts w:ascii="宋体" w:hAnsi="宋体" w:cs="宋体"/>
                <w:b w:val="0"/>
                <w:bCs/>
                <w:color w:val="000000"/>
                <w:sz w:val="24"/>
              </w:rPr>
              <w:t>细颗粒深度净化</w:t>
            </w:r>
            <w:r>
              <w:rPr>
                <w:rFonts w:ascii="宋体" w:hAnsi="宋体" w:cs="宋体"/>
                <w:sz w:val="24"/>
              </w:rPr>
              <w:t>的分级治理，具有除尘效率高、运行稳定、滤袋寿命长、安全可靠等技术特点，能够满足严格的污染物排放标准要求。</w:t>
            </w:r>
          </w:p>
          <w:p>
            <w:pPr>
              <w:autoSpaceDE w:val="0"/>
              <w:autoSpaceDN w:val="0"/>
              <w:adjustRightInd w:val="0"/>
              <w:snapToGrid w:val="0"/>
              <w:spacing w:line="360" w:lineRule="auto"/>
              <w:ind w:firstLine="482"/>
              <w:outlineLvl w:val="0"/>
              <w:rPr>
                <w:sz w:val="24"/>
              </w:rPr>
            </w:pPr>
            <w:r>
              <w:rPr>
                <w:sz w:val="24"/>
              </w:rPr>
              <w:t>（4）除灰渣系统</w:t>
            </w:r>
          </w:p>
          <w:p>
            <w:pPr>
              <w:autoSpaceDE w:val="0"/>
              <w:autoSpaceDN w:val="0"/>
              <w:adjustRightInd w:val="0"/>
              <w:snapToGrid w:val="0"/>
              <w:spacing w:line="360" w:lineRule="auto"/>
              <w:ind w:firstLine="482"/>
              <w:rPr>
                <w:sz w:val="24"/>
              </w:rPr>
            </w:pPr>
            <w:r>
              <w:rPr>
                <w:sz w:val="24"/>
              </w:rPr>
              <w:t>锅炉灰渣排入除灰渣装置内，灰渣袋装暂存</w:t>
            </w:r>
            <w:r>
              <w:rPr>
                <w:rFonts w:hint="eastAsia"/>
                <w:sz w:val="24"/>
              </w:rPr>
              <w:t>锅炉</w:t>
            </w:r>
            <w:r>
              <w:rPr>
                <w:sz w:val="24"/>
              </w:rPr>
              <w:t>房，定期运走</w:t>
            </w:r>
            <w:r>
              <w:rPr>
                <w:rFonts w:hint="eastAsia"/>
                <w:sz w:val="24"/>
              </w:rPr>
              <w:t>用作农田肥料</w:t>
            </w:r>
            <w:r>
              <w:rPr>
                <w:sz w:val="24"/>
              </w:rPr>
              <w:t>；除尘灰定期从除尘器中清收，袋装暂存</w:t>
            </w:r>
            <w:r>
              <w:rPr>
                <w:rFonts w:hint="eastAsia"/>
                <w:sz w:val="24"/>
              </w:rPr>
              <w:t>锅炉</w:t>
            </w:r>
            <w:r>
              <w:rPr>
                <w:sz w:val="24"/>
              </w:rPr>
              <w:t>房，定期运走</w:t>
            </w:r>
            <w:r>
              <w:rPr>
                <w:rFonts w:hint="eastAsia"/>
                <w:sz w:val="24"/>
              </w:rPr>
              <w:t>用作农田肥料</w:t>
            </w:r>
            <w:r>
              <w:rPr>
                <w:sz w:val="24"/>
              </w:rPr>
              <w:t>。</w:t>
            </w:r>
          </w:p>
          <w:p>
            <w:pPr>
              <w:adjustRightInd w:val="0"/>
              <w:snapToGrid w:val="0"/>
              <w:spacing w:line="360" w:lineRule="auto"/>
              <w:ind w:firstLine="480" w:firstLineChars="200"/>
              <w:rPr>
                <w:sz w:val="24"/>
              </w:rPr>
            </w:pPr>
            <w:r>
              <w:rPr>
                <w:sz w:val="24"/>
              </w:rPr>
              <w:t>锅炉运行流程及排污节点见</w:t>
            </w:r>
            <w:r>
              <w:rPr>
                <w:rFonts w:hint="eastAsia"/>
                <w:sz w:val="24"/>
              </w:rPr>
              <w:t>下图</w:t>
            </w:r>
            <w:r>
              <w:rPr>
                <w:sz w:val="24"/>
              </w:rPr>
              <w:t>。</w:t>
            </w:r>
          </w:p>
          <w:p>
            <w:pPr>
              <w:adjustRightInd w:val="0"/>
              <w:snapToGrid w:val="0"/>
              <w:spacing w:line="360" w:lineRule="auto"/>
              <w:jc w:val="center"/>
              <w:rPr>
                <w:sz w:val="24"/>
              </w:rPr>
            </w:pPr>
            <w:r>
              <w:rPr>
                <w:rFonts w:ascii="Times New Roman" w:hAnsi="Times New Roman" w:eastAsia="宋体" w:cs="Times New Roman"/>
                <w:kern w:val="2"/>
                <w:sz w:val="24"/>
                <w:szCs w:val="24"/>
                <w:lang w:val="en-US" w:eastAsia="zh-CN" w:bidi="ar-SA"/>
              </w:rPr>
              <w:pict>
                <v:shape id="_x0000_s1036" o:spid="_x0000_s1035" type="#_x0000_t202" style="position:absolute;left:0;margin-left:165.4pt;margin-top:93.35pt;height:40.6pt;width:63.75pt;rotation:0f;z-index:251658240;" o:ole="f" fillcolor="#FFFFFF" filled="t" o:preferrelative="t" stroked="t" coordorigin="0,0" coordsize="21600,21600">
                  <v:stroke color="#000000" color2="#FFFFFF" miterlimit="2"/>
                  <v:imagedata gain="65536f" blacklevel="0f" gamma="0"/>
                  <o:lock v:ext="edit" position="f" selection="f" grouping="f" rotation="f" cropping="f" text="f" aspectratio="f"/>
                  <v:textbox>
                    <w:txbxContent>
                      <w:p>
                        <w:pPr>
                          <w:jc w:val="center"/>
                          <w:rPr>
                            <w:sz w:val="18"/>
                            <w:szCs w:val="18"/>
                          </w:rPr>
                        </w:pPr>
                        <w:r>
                          <w:rPr>
                            <w:rFonts w:hint="eastAsia"/>
                            <w:sz w:val="18"/>
                            <w:szCs w:val="18"/>
                          </w:rPr>
                          <w:t>陶瓷多管除尘器+袋式除尘器</w:t>
                        </w:r>
                      </w:p>
                    </w:txbxContent>
                  </v:textbox>
                </v:shape>
              </w:pict>
            </w:r>
            <w:r>
              <w:rPr>
                <w:rFonts w:ascii="Times New Roman" w:hAnsi="Times New Roman" w:eastAsia="宋体" w:cs="Times New Roman"/>
                <w:kern w:val="2"/>
                <w:sz w:val="24"/>
                <w:szCs w:val="24"/>
                <w:lang w:val="en-US" w:eastAsia="zh-CN" w:bidi="ar-SA"/>
              </w:rPr>
              <w:pict>
                <v:shape id="图片框 1035" o:spid="_x0000_s1036" type="#_x0000_t75" style="height:228.95pt;width:419.35pt;rotation:0f;" o:ole="f" fillcolor="#FFFFFF" filled="f" o:preferrelative="t" stroked="f" coordorigin="0,0" coordsize="21600,21600">
                  <v:fill on="f" color2="#FFFFFF" focus="0%"/>
                  <v:imagedata gain="65536f" blacklevel="0f" gamma="0" o:title="" r:id="rId15"/>
                  <o:lock v:ext="edit" position="f" selection="f" grouping="f" rotation="f" cropping="f" text="f" aspectratio="t"/>
                  <w10:wrap type="none"/>
                  <w10:anchorlock/>
                </v:shape>
              </w:pict>
            </w:r>
          </w:p>
          <w:p>
            <w:pPr>
              <w:adjustRightInd w:val="0"/>
              <w:snapToGrid w:val="0"/>
              <w:spacing w:line="360" w:lineRule="auto"/>
              <w:jc w:val="center"/>
              <w:rPr>
                <w:sz w:val="24"/>
              </w:rPr>
            </w:pPr>
            <w:r>
              <w:rPr>
                <w:sz w:val="24"/>
              </w:rPr>
              <w:t>图</w:t>
            </w:r>
            <w:r>
              <w:rPr>
                <w:rFonts w:hint="eastAsia"/>
                <w:sz w:val="24"/>
              </w:rPr>
              <w:t>3</w:t>
            </w:r>
            <w:r>
              <w:rPr>
                <w:sz w:val="24"/>
              </w:rPr>
              <w:t xml:space="preserve">  锅炉运行流程及排污节点图</w:t>
            </w:r>
          </w:p>
          <w:p>
            <w:pPr>
              <w:autoSpaceDE w:val="0"/>
              <w:autoSpaceDN w:val="0"/>
              <w:adjustRightInd w:val="0"/>
              <w:snapToGrid w:val="0"/>
              <w:spacing w:line="360" w:lineRule="auto"/>
              <w:ind w:firstLine="482"/>
              <w:rPr>
                <w:b/>
                <w:bCs/>
                <w:sz w:val="24"/>
              </w:rPr>
            </w:pPr>
            <w:r>
              <w:rPr>
                <w:b/>
                <w:bCs/>
                <w:sz w:val="24"/>
              </w:rPr>
              <w:t>2、产排污环节</w:t>
            </w:r>
          </w:p>
          <w:p>
            <w:pPr>
              <w:autoSpaceDE w:val="0"/>
              <w:autoSpaceDN w:val="0"/>
              <w:adjustRightInd w:val="0"/>
              <w:snapToGrid w:val="0"/>
              <w:spacing w:line="360" w:lineRule="auto"/>
              <w:ind w:firstLine="482"/>
              <w:rPr>
                <w:sz w:val="24"/>
                <w:u w:val="single"/>
              </w:rPr>
            </w:pPr>
            <w:r>
              <w:rPr>
                <w:sz w:val="24"/>
                <w:u w:val="single"/>
              </w:rPr>
              <w:t>本项目产排污环节详见下表。</w:t>
            </w:r>
          </w:p>
          <w:p>
            <w:pPr>
              <w:pStyle w:val="25"/>
              <w:numPr>
                <w:ilvl w:val="0"/>
                <w:numId w:val="0"/>
              </w:numPr>
              <w:ind w:firstLine="284"/>
              <w:rPr>
                <w:rFonts w:ascii="Times New Roman" w:hAnsi="Times New Roman"/>
                <w:b w:val="0"/>
                <w:bCs/>
                <w:u w:val="single"/>
              </w:rPr>
            </w:pPr>
            <w:r>
              <w:rPr>
                <w:rFonts w:ascii="Times New Roman" w:hAnsi="Times New Roman"/>
                <w:b w:val="0"/>
                <w:bCs/>
                <w:u w:val="single"/>
              </w:rPr>
              <w:t>表1</w:t>
            </w:r>
            <w:r>
              <w:rPr>
                <w:rFonts w:hint="eastAsia" w:ascii="Times New Roman" w:hAnsi="Times New Roman"/>
                <w:b w:val="0"/>
                <w:bCs/>
                <w:u w:val="single"/>
              </w:rPr>
              <w:t xml:space="preserve">4  </w:t>
            </w:r>
            <w:r>
              <w:rPr>
                <w:rFonts w:ascii="Times New Roman" w:hAnsi="Times New Roman"/>
                <w:b w:val="0"/>
                <w:bCs/>
                <w:u w:val="single"/>
              </w:rPr>
              <w:t>本项目主要产排污环节一览表</w:t>
            </w:r>
          </w:p>
          <w:tbl>
            <w:tblPr>
              <w:tblW w:w="8919"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16"/>
              <w:gridCol w:w="1116"/>
              <w:gridCol w:w="3218"/>
              <w:gridCol w:w="3469"/>
            </w:tblGrid>
            <w:tr>
              <w:trPr>
                <w:jc w:val="center"/>
              </w:trPr>
              <w:tc>
                <w:tcPr>
                  <w:tcW w:w="2232" w:type="dxa"/>
                  <w:gridSpan w:val="2"/>
                  <w:vAlign w:val="center"/>
                </w:tcPr>
                <w:p>
                  <w:pPr>
                    <w:tabs>
                      <w:tab w:val="left" w:pos="4620"/>
                    </w:tabs>
                    <w:adjustRightInd w:val="0"/>
                    <w:snapToGrid w:val="0"/>
                    <w:jc w:val="center"/>
                    <w:rPr>
                      <w:szCs w:val="21"/>
                      <w:u w:val="single"/>
                    </w:rPr>
                  </w:pPr>
                  <w:r>
                    <w:rPr>
                      <w:szCs w:val="21"/>
                      <w:u w:val="single"/>
                    </w:rPr>
                    <w:t>项目</w:t>
                  </w:r>
                </w:p>
              </w:tc>
              <w:tc>
                <w:tcPr>
                  <w:tcW w:w="3218" w:type="dxa"/>
                  <w:vAlign w:val="center"/>
                </w:tcPr>
                <w:p>
                  <w:pPr>
                    <w:tabs>
                      <w:tab w:val="left" w:pos="4620"/>
                    </w:tabs>
                    <w:adjustRightInd w:val="0"/>
                    <w:snapToGrid w:val="0"/>
                    <w:jc w:val="center"/>
                    <w:rPr>
                      <w:szCs w:val="21"/>
                      <w:u w:val="single"/>
                    </w:rPr>
                  </w:pPr>
                  <w:r>
                    <w:rPr>
                      <w:szCs w:val="21"/>
                      <w:u w:val="single"/>
                    </w:rPr>
                    <w:t>产污环节</w:t>
                  </w:r>
                </w:p>
              </w:tc>
              <w:tc>
                <w:tcPr>
                  <w:tcW w:w="3469" w:type="dxa"/>
                  <w:vAlign w:val="center"/>
                </w:tcPr>
                <w:p>
                  <w:pPr>
                    <w:tabs>
                      <w:tab w:val="left" w:pos="4620"/>
                    </w:tabs>
                    <w:adjustRightInd w:val="0"/>
                    <w:snapToGrid w:val="0"/>
                    <w:jc w:val="center"/>
                    <w:rPr>
                      <w:szCs w:val="21"/>
                      <w:u w:val="single"/>
                    </w:rPr>
                  </w:pPr>
                  <w:r>
                    <w:rPr>
                      <w:szCs w:val="21"/>
                      <w:u w:val="single"/>
                    </w:rPr>
                    <w:t>污染因子</w:t>
                  </w:r>
                </w:p>
              </w:tc>
            </w:tr>
            <w:tr>
              <w:trPr>
                <w:jc w:val="center"/>
              </w:trPr>
              <w:tc>
                <w:tcPr>
                  <w:tcW w:w="1116" w:type="dxa"/>
                  <w:vMerge w:val="restart"/>
                  <w:vAlign w:val="center"/>
                </w:tcPr>
                <w:p>
                  <w:pPr>
                    <w:tabs>
                      <w:tab w:val="left" w:pos="4620"/>
                    </w:tabs>
                    <w:adjustRightInd w:val="0"/>
                    <w:snapToGrid w:val="0"/>
                    <w:jc w:val="center"/>
                    <w:rPr>
                      <w:szCs w:val="21"/>
                      <w:u w:val="single"/>
                    </w:rPr>
                  </w:pPr>
                  <w:r>
                    <w:rPr>
                      <w:rFonts w:hint="eastAsia"/>
                      <w:szCs w:val="21"/>
                      <w:u w:val="single"/>
                    </w:rPr>
                    <w:t>施工期</w:t>
                  </w:r>
                </w:p>
              </w:tc>
              <w:tc>
                <w:tcPr>
                  <w:tcW w:w="1116" w:type="dxa"/>
                  <w:vAlign w:val="center"/>
                </w:tcPr>
                <w:p>
                  <w:pPr>
                    <w:tabs>
                      <w:tab w:val="left" w:pos="4620"/>
                    </w:tabs>
                    <w:adjustRightInd w:val="0"/>
                    <w:snapToGrid w:val="0"/>
                    <w:jc w:val="center"/>
                    <w:rPr>
                      <w:szCs w:val="21"/>
                      <w:u w:val="single"/>
                    </w:rPr>
                  </w:pPr>
                  <w:r>
                    <w:rPr>
                      <w:rFonts w:hint="eastAsia"/>
                      <w:szCs w:val="21"/>
                      <w:u w:val="single"/>
                    </w:rPr>
                    <w:t>废气</w:t>
                  </w:r>
                </w:p>
              </w:tc>
              <w:tc>
                <w:tcPr>
                  <w:tcW w:w="3218" w:type="dxa"/>
                  <w:vAlign w:val="center"/>
                </w:tcPr>
                <w:p>
                  <w:pPr>
                    <w:tabs>
                      <w:tab w:val="left" w:pos="4620"/>
                    </w:tabs>
                    <w:adjustRightInd w:val="0"/>
                    <w:snapToGrid w:val="0"/>
                    <w:jc w:val="center"/>
                    <w:rPr>
                      <w:szCs w:val="21"/>
                      <w:u w:val="single"/>
                    </w:rPr>
                  </w:pPr>
                  <w:r>
                    <w:rPr>
                      <w:rFonts w:hint="eastAsia"/>
                      <w:szCs w:val="21"/>
                      <w:u w:val="single"/>
                    </w:rPr>
                    <w:t>施工废气</w:t>
                  </w:r>
                </w:p>
              </w:tc>
              <w:tc>
                <w:tcPr>
                  <w:tcW w:w="3469" w:type="dxa"/>
                  <w:vAlign w:val="center"/>
                </w:tcPr>
                <w:p>
                  <w:pPr>
                    <w:tabs>
                      <w:tab w:val="left" w:pos="4620"/>
                    </w:tabs>
                    <w:adjustRightInd w:val="0"/>
                    <w:snapToGrid w:val="0"/>
                    <w:jc w:val="center"/>
                    <w:rPr>
                      <w:szCs w:val="21"/>
                      <w:u w:val="single"/>
                    </w:rPr>
                  </w:pPr>
                  <w:r>
                    <w:rPr>
                      <w:rFonts w:hint="eastAsia"/>
                      <w:szCs w:val="21"/>
                      <w:u w:val="single"/>
                    </w:rPr>
                    <w:t>颗粒物</w:t>
                  </w:r>
                </w:p>
              </w:tc>
            </w:tr>
            <w:tr>
              <w:trPr>
                <w:jc w:val="center"/>
              </w:trPr>
              <w:tc>
                <w:tcPr>
                  <w:tcW w:w="1116" w:type="dxa"/>
                  <w:vMerge w:val="continue"/>
                  <w:vAlign w:val="center"/>
                </w:tcPr>
                <w:p>
                  <w:pPr>
                    <w:tabs>
                      <w:tab w:val="left" w:pos="4620"/>
                    </w:tabs>
                    <w:adjustRightInd w:val="0"/>
                    <w:snapToGrid w:val="0"/>
                    <w:jc w:val="center"/>
                    <w:rPr>
                      <w:szCs w:val="21"/>
                      <w:u w:val="single"/>
                    </w:rPr>
                  </w:pPr>
                </w:p>
              </w:tc>
              <w:tc>
                <w:tcPr>
                  <w:tcW w:w="1116" w:type="dxa"/>
                  <w:vAlign w:val="center"/>
                </w:tcPr>
                <w:p>
                  <w:pPr>
                    <w:tabs>
                      <w:tab w:val="left" w:pos="4620"/>
                    </w:tabs>
                    <w:adjustRightInd w:val="0"/>
                    <w:snapToGrid w:val="0"/>
                    <w:jc w:val="center"/>
                    <w:rPr>
                      <w:szCs w:val="21"/>
                      <w:u w:val="single"/>
                    </w:rPr>
                  </w:pPr>
                  <w:r>
                    <w:rPr>
                      <w:rFonts w:hint="eastAsia"/>
                      <w:szCs w:val="21"/>
                      <w:u w:val="single"/>
                    </w:rPr>
                    <w:t>废水</w:t>
                  </w:r>
                </w:p>
              </w:tc>
              <w:tc>
                <w:tcPr>
                  <w:tcW w:w="3218" w:type="dxa"/>
                  <w:vAlign w:val="center"/>
                </w:tcPr>
                <w:p>
                  <w:pPr>
                    <w:tabs>
                      <w:tab w:val="left" w:pos="4620"/>
                    </w:tabs>
                    <w:adjustRightInd w:val="0"/>
                    <w:snapToGrid w:val="0"/>
                    <w:jc w:val="center"/>
                    <w:rPr>
                      <w:szCs w:val="21"/>
                      <w:u w:val="single"/>
                    </w:rPr>
                  </w:pPr>
                  <w:r>
                    <w:rPr>
                      <w:rFonts w:hint="eastAsia"/>
                      <w:szCs w:val="21"/>
                      <w:u w:val="single"/>
                    </w:rPr>
                    <w:t>生活污水</w:t>
                  </w:r>
                </w:p>
              </w:tc>
              <w:tc>
                <w:tcPr>
                  <w:tcW w:w="3469" w:type="dxa"/>
                  <w:vAlign w:val="center"/>
                </w:tcPr>
                <w:p>
                  <w:pPr>
                    <w:tabs>
                      <w:tab w:val="left" w:pos="4620"/>
                    </w:tabs>
                    <w:adjustRightInd w:val="0"/>
                    <w:snapToGrid w:val="0"/>
                    <w:jc w:val="center"/>
                    <w:rPr>
                      <w:szCs w:val="21"/>
                      <w:u w:val="single"/>
                    </w:rPr>
                  </w:pPr>
                  <w:r>
                    <w:rPr>
                      <w:szCs w:val="21"/>
                      <w:u w:val="single"/>
                    </w:rPr>
                    <w:t>COD、SS</w:t>
                  </w:r>
                  <w:r>
                    <w:rPr>
                      <w:rFonts w:hint="eastAsia"/>
                      <w:szCs w:val="21"/>
                      <w:u w:val="single"/>
                    </w:rPr>
                    <w:t>、NH</w:t>
                  </w:r>
                  <w:r>
                    <w:rPr>
                      <w:rFonts w:hint="eastAsia"/>
                      <w:szCs w:val="21"/>
                      <w:u w:val="single"/>
                      <w:vertAlign w:val="subscript"/>
                    </w:rPr>
                    <w:t>3</w:t>
                  </w:r>
                  <w:r>
                    <w:rPr>
                      <w:rFonts w:hint="eastAsia"/>
                      <w:szCs w:val="21"/>
                      <w:u w:val="single"/>
                    </w:rPr>
                    <w:t>-N</w:t>
                  </w:r>
                </w:p>
              </w:tc>
            </w:tr>
            <w:tr>
              <w:trPr>
                <w:jc w:val="center"/>
              </w:trPr>
              <w:tc>
                <w:tcPr>
                  <w:tcW w:w="1116" w:type="dxa"/>
                  <w:vMerge w:val="continue"/>
                  <w:vAlign w:val="center"/>
                </w:tcPr>
                <w:p>
                  <w:pPr>
                    <w:tabs>
                      <w:tab w:val="left" w:pos="4620"/>
                    </w:tabs>
                    <w:adjustRightInd w:val="0"/>
                    <w:snapToGrid w:val="0"/>
                    <w:jc w:val="center"/>
                    <w:rPr>
                      <w:szCs w:val="21"/>
                      <w:u w:val="single"/>
                    </w:rPr>
                  </w:pPr>
                </w:p>
              </w:tc>
              <w:tc>
                <w:tcPr>
                  <w:tcW w:w="1116" w:type="dxa"/>
                  <w:vAlign w:val="center"/>
                </w:tcPr>
                <w:p>
                  <w:pPr>
                    <w:tabs>
                      <w:tab w:val="left" w:pos="4620"/>
                    </w:tabs>
                    <w:adjustRightInd w:val="0"/>
                    <w:snapToGrid w:val="0"/>
                    <w:jc w:val="center"/>
                    <w:rPr>
                      <w:szCs w:val="21"/>
                      <w:u w:val="single"/>
                    </w:rPr>
                  </w:pPr>
                  <w:r>
                    <w:rPr>
                      <w:rFonts w:hint="eastAsia"/>
                      <w:szCs w:val="21"/>
                      <w:u w:val="single"/>
                    </w:rPr>
                    <w:t>噪声</w:t>
                  </w:r>
                </w:p>
              </w:tc>
              <w:tc>
                <w:tcPr>
                  <w:tcW w:w="3218" w:type="dxa"/>
                  <w:vAlign w:val="center"/>
                </w:tcPr>
                <w:p>
                  <w:pPr>
                    <w:tabs>
                      <w:tab w:val="left" w:pos="4620"/>
                    </w:tabs>
                    <w:adjustRightInd w:val="0"/>
                    <w:snapToGrid w:val="0"/>
                    <w:jc w:val="center"/>
                    <w:rPr>
                      <w:szCs w:val="21"/>
                      <w:u w:val="single"/>
                    </w:rPr>
                  </w:pPr>
                  <w:r>
                    <w:rPr>
                      <w:rFonts w:hint="eastAsia"/>
                      <w:szCs w:val="21"/>
                      <w:u w:val="single"/>
                    </w:rPr>
                    <w:t>施工机械</w:t>
                  </w:r>
                </w:p>
              </w:tc>
              <w:tc>
                <w:tcPr>
                  <w:tcW w:w="3469" w:type="dxa"/>
                  <w:vAlign w:val="center"/>
                </w:tcPr>
                <w:p>
                  <w:pPr>
                    <w:tabs>
                      <w:tab w:val="left" w:pos="4620"/>
                    </w:tabs>
                    <w:adjustRightInd w:val="0"/>
                    <w:snapToGrid w:val="0"/>
                    <w:jc w:val="center"/>
                    <w:rPr>
                      <w:szCs w:val="21"/>
                      <w:u w:val="single"/>
                    </w:rPr>
                  </w:pPr>
                  <w:r>
                    <w:rPr>
                      <w:rFonts w:hint="eastAsia"/>
                      <w:szCs w:val="21"/>
                      <w:u w:val="single"/>
                    </w:rPr>
                    <w:t>噪声</w:t>
                  </w:r>
                </w:p>
              </w:tc>
            </w:tr>
            <w:tr>
              <w:trPr>
                <w:jc w:val="center"/>
              </w:trPr>
              <w:tc>
                <w:tcPr>
                  <w:tcW w:w="1116" w:type="dxa"/>
                  <w:vMerge w:val="continue"/>
                  <w:vAlign w:val="center"/>
                </w:tcPr>
                <w:p>
                  <w:pPr>
                    <w:tabs>
                      <w:tab w:val="left" w:pos="4620"/>
                    </w:tabs>
                    <w:adjustRightInd w:val="0"/>
                    <w:snapToGrid w:val="0"/>
                    <w:jc w:val="center"/>
                    <w:rPr>
                      <w:szCs w:val="21"/>
                      <w:u w:val="single"/>
                    </w:rPr>
                  </w:pPr>
                </w:p>
              </w:tc>
              <w:tc>
                <w:tcPr>
                  <w:tcW w:w="1116" w:type="dxa"/>
                  <w:vAlign w:val="center"/>
                </w:tcPr>
                <w:p>
                  <w:pPr>
                    <w:tabs>
                      <w:tab w:val="left" w:pos="4620"/>
                    </w:tabs>
                    <w:adjustRightInd w:val="0"/>
                    <w:snapToGrid w:val="0"/>
                    <w:jc w:val="center"/>
                    <w:rPr>
                      <w:szCs w:val="21"/>
                      <w:u w:val="single"/>
                    </w:rPr>
                  </w:pPr>
                  <w:r>
                    <w:rPr>
                      <w:rFonts w:hint="eastAsia"/>
                      <w:szCs w:val="21"/>
                      <w:u w:val="single"/>
                    </w:rPr>
                    <w:t>固废</w:t>
                  </w:r>
                </w:p>
              </w:tc>
              <w:tc>
                <w:tcPr>
                  <w:tcW w:w="3218" w:type="dxa"/>
                  <w:vAlign w:val="center"/>
                </w:tcPr>
                <w:p>
                  <w:pPr>
                    <w:tabs>
                      <w:tab w:val="left" w:pos="4620"/>
                    </w:tabs>
                    <w:adjustRightInd w:val="0"/>
                    <w:snapToGrid w:val="0"/>
                    <w:jc w:val="center"/>
                    <w:rPr>
                      <w:szCs w:val="21"/>
                      <w:u w:val="single"/>
                    </w:rPr>
                  </w:pPr>
                  <w:r>
                    <w:rPr>
                      <w:rFonts w:hint="eastAsia"/>
                      <w:szCs w:val="21"/>
                      <w:u w:val="single"/>
                    </w:rPr>
                    <w:t>建筑垃圾</w:t>
                  </w:r>
                </w:p>
              </w:tc>
              <w:tc>
                <w:tcPr>
                  <w:tcW w:w="3469" w:type="dxa"/>
                  <w:vAlign w:val="center"/>
                </w:tcPr>
                <w:p>
                  <w:pPr>
                    <w:tabs>
                      <w:tab w:val="left" w:pos="4620"/>
                    </w:tabs>
                    <w:adjustRightInd w:val="0"/>
                    <w:snapToGrid w:val="0"/>
                    <w:jc w:val="center"/>
                    <w:rPr>
                      <w:szCs w:val="21"/>
                      <w:u w:val="single"/>
                    </w:rPr>
                  </w:pPr>
                  <w:r>
                    <w:rPr>
                      <w:rFonts w:hint="eastAsia"/>
                      <w:szCs w:val="21"/>
                      <w:u w:val="single"/>
                    </w:rPr>
                    <w:t>拆除设备、施工废料</w:t>
                  </w:r>
                </w:p>
              </w:tc>
            </w:tr>
            <w:tr>
              <w:trPr>
                <w:trHeight w:val="174" w:hRule="atLeast"/>
                <w:jc w:val="center"/>
              </w:trPr>
              <w:tc>
                <w:tcPr>
                  <w:tcW w:w="1116" w:type="dxa"/>
                  <w:vMerge w:val="restart"/>
                  <w:vAlign w:val="center"/>
                </w:tcPr>
                <w:p>
                  <w:pPr>
                    <w:tabs>
                      <w:tab w:val="left" w:pos="4620"/>
                    </w:tabs>
                    <w:adjustRightInd w:val="0"/>
                    <w:snapToGrid w:val="0"/>
                    <w:jc w:val="center"/>
                    <w:rPr>
                      <w:szCs w:val="21"/>
                      <w:u w:val="single"/>
                    </w:rPr>
                  </w:pPr>
                  <w:r>
                    <w:rPr>
                      <w:rFonts w:hint="eastAsia"/>
                      <w:szCs w:val="21"/>
                      <w:u w:val="single"/>
                    </w:rPr>
                    <w:t>运营期</w:t>
                  </w:r>
                </w:p>
              </w:tc>
              <w:tc>
                <w:tcPr>
                  <w:tcW w:w="1116" w:type="dxa"/>
                  <w:vMerge w:val="restart"/>
                  <w:vAlign w:val="center"/>
                </w:tcPr>
                <w:p>
                  <w:pPr>
                    <w:tabs>
                      <w:tab w:val="left" w:pos="4620"/>
                    </w:tabs>
                    <w:adjustRightInd w:val="0"/>
                    <w:snapToGrid w:val="0"/>
                    <w:jc w:val="center"/>
                    <w:rPr>
                      <w:szCs w:val="21"/>
                      <w:u w:val="single"/>
                    </w:rPr>
                  </w:pPr>
                  <w:r>
                    <w:rPr>
                      <w:rFonts w:hint="eastAsia"/>
                      <w:szCs w:val="21"/>
                      <w:u w:val="single"/>
                    </w:rPr>
                    <w:t>废气</w:t>
                  </w:r>
                </w:p>
              </w:tc>
              <w:tc>
                <w:tcPr>
                  <w:tcW w:w="3218" w:type="dxa"/>
                  <w:vAlign w:val="center"/>
                </w:tcPr>
                <w:p>
                  <w:pPr>
                    <w:tabs>
                      <w:tab w:val="left" w:pos="4620"/>
                    </w:tabs>
                    <w:adjustRightInd w:val="0"/>
                    <w:snapToGrid w:val="0"/>
                    <w:jc w:val="center"/>
                    <w:rPr>
                      <w:szCs w:val="21"/>
                      <w:u w:val="single"/>
                    </w:rPr>
                  </w:pPr>
                  <w:r>
                    <w:rPr>
                      <w:szCs w:val="21"/>
                      <w:u w:val="single"/>
                    </w:rPr>
                    <w:t>锅炉烟气</w:t>
                  </w:r>
                </w:p>
              </w:tc>
              <w:tc>
                <w:tcPr>
                  <w:tcW w:w="3469" w:type="dxa"/>
                  <w:vAlign w:val="center"/>
                </w:tcPr>
                <w:p>
                  <w:pPr>
                    <w:tabs>
                      <w:tab w:val="left" w:pos="4620"/>
                    </w:tabs>
                    <w:adjustRightInd w:val="0"/>
                    <w:snapToGrid w:val="0"/>
                    <w:jc w:val="center"/>
                    <w:rPr>
                      <w:szCs w:val="21"/>
                      <w:u w:val="single"/>
                    </w:rPr>
                  </w:pPr>
                  <w:r>
                    <w:rPr>
                      <w:szCs w:val="21"/>
                      <w:u w:val="single"/>
                    </w:rPr>
                    <w:t>颗粒物、SO</w:t>
                  </w:r>
                  <w:r>
                    <w:rPr>
                      <w:szCs w:val="21"/>
                      <w:u w:val="single"/>
                      <w:vertAlign w:val="subscript"/>
                    </w:rPr>
                    <w:t>2</w:t>
                  </w:r>
                  <w:r>
                    <w:rPr>
                      <w:szCs w:val="21"/>
                      <w:u w:val="single"/>
                    </w:rPr>
                    <w:t>、NOx、烟气黑度</w:t>
                  </w:r>
                </w:p>
              </w:tc>
            </w:tr>
            <w:tr>
              <w:trPr>
                <w:trHeight w:val="225" w:hRule="atLeast"/>
                <w:jc w:val="center"/>
              </w:trPr>
              <w:tc>
                <w:tcPr>
                  <w:tcW w:w="1116" w:type="dxa"/>
                  <w:vMerge w:val="continue"/>
                  <w:vAlign w:val="center"/>
                </w:tcPr>
                <w:p>
                  <w:pPr>
                    <w:tabs>
                      <w:tab w:val="left" w:pos="4620"/>
                    </w:tabs>
                    <w:adjustRightInd w:val="0"/>
                    <w:snapToGrid w:val="0"/>
                    <w:jc w:val="center"/>
                    <w:rPr>
                      <w:szCs w:val="21"/>
                      <w:u w:val="single"/>
                    </w:rPr>
                  </w:pPr>
                </w:p>
              </w:tc>
              <w:tc>
                <w:tcPr>
                  <w:tcW w:w="1116" w:type="dxa"/>
                  <w:vMerge w:val="continue"/>
                  <w:vAlign w:val="center"/>
                </w:tcPr>
                <w:p>
                  <w:pPr>
                    <w:tabs>
                      <w:tab w:val="left" w:pos="4620"/>
                    </w:tabs>
                    <w:adjustRightInd w:val="0"/>
                    <w:snapToGrid w:val="0"/>
                    <w:jc w:val="center"/>
                    <w:rPr>
                      <w:szCs w:val="21"/>
                      <w:u w:val="single"/>
                    </w:rPr>
                  </w:pPr>
                </w:p>
              </w:tc>
              <w:tc>
                <w:tcPr>
                  <w:tcW w:w="3218" w:type="dxa"/>
                  <w:vAlign w:val="center"/>
                </w:tcPr>
                <w:p>
                  <w:pPr>
                    <w:tabs>
                      <w:tab w:val="left" w:pos="4620"/>
                    </w:tabs>
                    <w:adjustRightInd w:val="0"/>
                    <w:snapToGrid w:val="0"/>
                    <w:jc w:val="center"/>
                    <w:rPr>
                      <w:szCs w:val="21"/>
                      <w:u w:val="single"/>
                    </w:rPr>
                  </w:pPr>
                  <w:r>
                    <w:rPr>
                      <w:szCs w:val="21"/>
                      <w:u w:val="single"/>
                    </w:rPr>
                    <w:t>燃料与灰渣储存、装卸、运输</w:t>
                  </w:r>
                </w:p>
              </w:tc>
              <w:tc>
                <w:tcPr>
                  <w:tcW w:w="3469" w:type="dxa"/>
                  <w:vAlign w:val="center"/>
                </w:tcPr>
                <w:p>
                  <w:pPr>
                    <w:tabs>
                      <w:tab w:val="left" w:pos="4620"/>
                    </w:tabs>
                    <w:adjustRightInd w:val="0"/>
                    <w:snapToGrid w:val="0"/>
                    <w:jc w:val="center"/>
                    <w:rPr>
                      <w:szCs w:val="21"/>
                      <w:u w:val="single"/>
                    </w:rPr>
                  </w:pPr>
                  <w:r>
                    <w:rPr>
                      <w:szCs w:val="21"/>
                      <w:u w:val="single"/>
                    </w:rPr>
                    <w:t>颗粒物</w:t>
                  </w:r>
                </w:p>
              </w:tc>
            </w:tr>
            <w:tr>
              <w:trPr>
                <w:trHeight w:val="147" w:hRule="atLeast"/>
                <w:jc w:val="center"/>
              </w:trPr>
              <w:tc>
                <w:tcPr>
                  <w:tcW w:w="1116" w:type="dxa"/>
                  <w:vMerge w:val="continue"/>
                  <w:vAlign w:val="center"/>
                </w:tcPr>
                <w:p>
                  <w:pPr>
                    <w:tabs>
                      <w:tab w:val="left" w:pos="4620"/>
                    </w:tabs>
                    <w:adjustRightInd w:val="0"/>
                    <w:snapToGrid w:val="0"/>
                    <w:jc w:val="center"/>
                    <w:rPr>
                      <w:szCs w:val="21"/>
                      <w:u w:val="single"/>
                    </w:rPr>
                  </w:pPr>
                </w:p>
              </w:tc>
              <w:tc>
                <w:tcPr>
                  <w:tcW w:w="1116" w:type="dxa"/>
                  <w:vAlign w:val="center"/>
                </w:tcPr>
                <w:p>
                  <w:pPr>
                    <w:tabs>
                      <w:tab w:val="left" w:pos="4620"/>
                    </w:tabs>
                    <w:adjustRightInd w:val="0"/>
                    <w:snapToGrid w:val="0"/>
                    <w:jc w:val="center"/>
                    <w:rPr>
                      <w:szCs w:val="21"/>
                      <w:u w:val="single"/>
                    </w:rPr>
                  </w:pPr>
                  <w:r>
                    <w:rPr>
                      <w:rFonts w:hint="eastAsia"/>
                      <w:szCs w:val="21"/>
                      <w:u w:val="single"/>
                    </w:rPr>
                    <w:t>废水</w:t>
                  </w:r>
                </w:p>
              </w:tc>
              <w:tc>
                <w:tcPr>
                  <w:tcW w:w="3218" w:type="dxa"/>
                  <w:vAlign w:val="center"/>
                </w:tcPr>
                <w:p>
                  <w:pPr>
                    <w:tabs>
                      <w:tab w:val="left" w:pos="4620"/>
                    </w:tabs>
                    <w:adjustRightInd w:val="0"/>
                    <w:snapToGrid w:val="0"/>
                    <w:jc w:val="center"/>
                    <w:rPr>
                      <w:szCs w:val="21"/>
                      <w:u w:val="single"/>
                    </w:rPr>
                  </w:pPr>
                  <w:r>
                    <w:rPr>
                      <w:szCs w:val="21"/>
                      <w:u w:val="single"/>
                    </w:rPr>
                    <w:t>锅炉排污水</w:t>
                  </w:r>
                </w:p>
              </w:tc>
              <w:tc>
                <w:tcPr>
                  <w:tcW w:w="3469" w:type="dxa"/>
                  <w:vAlign w:val="center"/>
                </w:tcPr>
                <w:p>
                  <w:pPr>
                    <w:tabs>
                      <w:tab w:val="left" w:pos="4620"/>
                    </w:tabs>
                    <w:adjustRightInd w:val="0"/>
                    <w:snapToGrid w:val="0"/>
                    <w:jc w:val="center"/>
                    <w:rPr>
                      <w:szCs w:val="21"/>
                      <w:u w:val="single"/>
                    </w:rPr>
                  </w:pPr>
                  <w:r>
                    <w:rPr>
                      <w:szCs w:val="21"/>
                      <w:u w:val="single"/>
                    </w:rPr>
                    <w:t>COD、SS</w:t>
                  </w:r>
                  <w:r>
                    <w:rPr>
                      <w:rFonts w:hint="eastAsia"/>
                      <w:szCs w:val="21"/>
                      <w:u w:val="single"/>
                    </w:rPr>
                    <w:t>、溶解性总固体、pH</w:t>
                  </w:r>
                </w:p>
              </w:tc>
            </w:tr>
            <w:tr>
              <w:trPr>
                <w:jc w:val="center"/>
              </w:trPr>
              <w:tc>
                <w:tcPr>
                  <w:tcW w:w="1116" w:type="dxa"/>
                  <w:vMerge w:val="continue"/>
                  <w:vAlign w:val="center"/>
                </w:tcPr>
                <w:p>
                  <w:pPr>
                    <w:tabs>
                      <w:tab w:val="left" w:pos="4620"/>
                    </w:tabs>
                    <w:adjustRightInd w:val="0"/>
                    <w:snapToGrid w:val="0"/>
                    <w:jc w:val="center"/>
                    <w:rPr>
                      <w:szCs w:val="21"/>
                      <w:u w:val="single"/>
                    </w:rPr>
                  </w:pPr>
                </w:p>
              </w:tc>
              <w:tc>
                <w:tcPr>
                  <w:tcW w:w="1116" w:type="dxa"/>
                  <w:vAlign w:val="center"/>
                </w:tcPr>
                <w:p>
                  <w:pPr>
                    <w:tabs>
                      <w:tab w:val="left" w:pos="4620"/>
                    </w:tabs>
                    <w:adjustRightInd w:val="0"/>
                    <w:snapToGrid w:val="0"/>
                    <w:jc w:val="center"/>
                    <w:rPr>
                      <w:szCs w:val="21"/>
                      <w:u w:val="single"/>
                    </w:rPr>
                  </w:pPr>
                  <w:r>
                    <w:rPr>
                      <w:rFonts w:hint="eastAsia"/>
                      <w:szCs w:val="21"/>
                      <w:u w:val="single"/>
                    </w:rPr>
                    <w:t>噪声</w:t>
                  </w:r>
                </w:p>
              </w:tc>
              <w:tc>
                <w:tcPr>
                  <w:tcW w:w="3218" w:type="dxa"/>
                  <w:vAlign w:val="center"/>
                </w:tcPr>
                <w:p>
                  <w:pPr>
                    <w:tabs>
                      <w:tab w:val="left" w:pos="4620"/>
                    </w:tabs>
                    <w:adjustRightInd w:val="0"/>
                    <w:snapToGrid w:val="0"/>
                    <w:jc w:val="center"/>
                    <w:rPr>
                      <w:szCs w:val="21"/>
                      <w:u w:val="single"/>
                    </w:rPr>
                  </w:pPr>
                  <w:r>
                    <w:rPr>
                      <w:szCs w:val="21"/>
                      <w:u w:val="single"/>
                    </w:rPr>
                    <w:t>水泵、鼓、引风机等设备</w:t>
                  </w:r>
                </w:p>
              </w:tc>
              <w:tc>
                <w:tcPr>
                  <w:tcW w:w="3469" w:type="dxa"/>
                  <w:vAlign w:val="center"/>
                </w:tcPr>
                <w:p>
                  <w:pPr>
                    <w:tabs>
                      <w:tab w:val="left" w:pos="4620"/>
                    </w:tabs>
                    <w:adjustRightInd w:val="0"/>
                    <w:snapToGrid w:val="0"/>
                    <w:jc w:val="center"/>
                    <w:rPr>
                      <w:szCs w:val="21"/>
                      <w:u w:val="single"/>
                    </w:rPr>
                  </w:pPr>
                  <w:r>
                    <w:rPr>
                      <w:szCs w:val="21"/>
                      <w:u w:val="single"/>
                    </w:rPr>
                    <w:t>噪声</w:t>
                  </w:r>
                </w:p>
              </w:tc>
            </w:tr>
            <w:tr>
              <w:trPr>
                <w:trHeight w:val="149" w:hRule="atLeast"/>
                <w:jc w:val="center"/>
              </w:trPr>
              <w:tc>
                <w:tcPr>
                  <w:tcW w:w="1116" w:type="dxa"/>
                  <w:vMerge w:val="continue"/>
                  <w:vAlign w:val="center"/>
                </w:tcPr>
                <w:p>
                  <w:pPr>
                    <w:tabs>
                      <w:tab w:val="left" w:pos="4620"/>
                    </w:tabs>
                    <w:adjustRightInd w:val="0"/>
                    <w:snapToGrid w:val="0"/>
                    <w:jc w:val="center"/>
                    <w:rPr>
                      <w:szCs w:val="21"/>
                      <w:u w:val="single"/>
                    </w:rPr>
                  </w:pPr>
                </w:p>
              </w:tc>
              <w:tc>
                <w:tcPr>
                  <w:tcW w:w="1116" w:type="dxa"/>
                  <w:vMerge w:val="restart"/>
                  <w:vAlign w:val="center"/>
                </w:tcPr>
                <w:p>
                  <w:pPr>
                    <w:tabs>
                      <w:tab w:val="left" w:pos="4620"/>
                    </w:tabs>
                    <w:adjustRightInd w:val="0"/>
                    <w:snapToGrid w:val="0"/>
                    <w:jc w:val="center"/>
                    <w:rPr>
                      <w:szCs w:val="21"/>
                      <w:u w:val="single"/>
                    </w:rPr>
                  </w:pPr>
                  <w:r>
                    <w:rPr>
                      <w:rFonts w:hint="eastAsia"/>
                      <w:szCs w:val="21"/>
                      <w:u w:val="single"/>
                    </w:rPr>
                    <w:t>固废</w:t>
                  </w:r>
                </w:p>
              </w:tc>
              <w:tc>
                <w:tcPr>
                  <w:tcW w:w="3218" w:type="dxa"/>
                  <w:vMerge w:val="restart"/>
                  <w:vAlign w:val="center"/>
                </w:tcPr>
                <w:p>
                  <w:pPr>
                    <w:tabs>
                      <w:tab w:val="left" w:pos="4620"/>
                    </w:tabs>
                    <w:adjustRightInd w:val="0"/>
                    <w:snapToGrid w:val="0"/>
                    <w:jc w:val="center"/>
                    <w:rPr>
                      <w:szCs w:val="21"/>
                      <w:u w:val="single"/>
                    </w:rPr>
                  </w:pPr>
                  <w:r>
                    <w:rPr>
                      <w:szCs w:val="21"/>
                      <w:u w:val="single"/>
                    </w:rPr>
                    <w:t>锅炉房</w:t>
                  </w:r>
                </w:p>
              </w:tc>
              <w:tc>
                <w:tcPr>
                  <w:tcW w:w="3469" w:type="dxa"/>
                  <w:vAlign w:val="center"/>
                </w:tcPr>
                <w:p>
                  <w:pPr>
                    <w:tabs>
                      <w:tab w:val="left" w:pos="4620"/>
                    </w:tabs>
                    <w:adjustRightInd w:val="0"/>
                    <w:snapToGrid w:val="0"/>
                    <w:jc w:val="center"/>
                    <w:rPr>
                      <w:szCs w:val="21"/>
                      <w:u w:val="single"/>
                    </w:rPr>
                  </w:pPr>
                  <w:r>
                    <w:rPr>
                      <w:szCs w:val="21"/>
                      <w:u w:val="single"/>
                    </w:rPr>
                    <w:t>锅炉灰渣</w:t>
                  </w:r>
                </w:p>
              </w:tc>
            </w:tr>
            <w:tr>
              <w:trPr>
                <w:trHeight w:val="120" w:hRule="atLeast"/>
                <w:jc w:val="center"/>
              </w:trPr>
              <w:tc>
                <w:tcPr>
                  <w:tcW w:w="1116" w:type="dxa"/>
                  <w:vMerge w:val="continue"/>
                  <w:vAlign w:val="center"/>
                </w:tcPr>
                <w:p>
                  <w:pPr>
                    <w:tabs>
                      <w:tab w:val="left" w:pos="4620"/>
                    </w:tabs>
                    <w:adjustRightInd w:val="0"/>
                    <w:snapToGrid w:val="0"/>
                    <w:jc w:val="center"/>
                    <w:rPr>
                      <w:szCs w:val="21"/>
                      <w:u w:val="single"/>
                    </w:rPr>
                  </w:pPr>
                </w:p>
              </w:tc>
              <w:tc>
                <w:tcPr>
                  <w:tcW w:w="1116" w:type="dxa"/>
                  <w:vMerge w:val="continue"/>
                  <w:vAlign w:val="center"/>
                </w:tcPr>
                <w:p>
                  <w:pPr>
                    <w:tabs>
                      <w:tab w:val="left" w:pos="4620"/>
                    </w:tabs>
                    <w:adjustRightInd w:val="0"/>
                    <w:snapToGrid w:val="0"/>
                    <w:jc w:val="center"/>
                    <w:rPr>
                      <w:szCs w:val="21"/>
                      <w:u w:val="single"/>
                    </w:rPr>
                  </w:pPr>
                </w:p>
              </w:tc>
              <w:tc>
                <w:tcPr>
                  <w:tcW w:w="3218" w:type="dxa"/>
                  <w:vMerge w:val="continue"/>
                  <w:vAlign w:val="center"/>
                </w:tcPr>
                <w:p>
                  <w:pPr>
                    <w:tabs>
                      <w:tab w:val="left" w:pos="4620"/>
                    </w:tabs>
                    <w:adjustRightInd w:val="0"/>
                    <w:snapToGrid w:val="0"/>
                    <w:jc w:val="center"/>
                    <w:rPr>
                      <w:szCs w:val="21"/>
                      <w:u w:val="single"/>
                    </w:rPr>
                  </w:pPr>
                </w:p>
              </w:tc>
              <w:tc>
                <w:tcPr>
                  <w:tcW w:w="3469" w:type="dxa"/>
                  <w:vAlign w:val="center"/>
                </w:tcPr>
                <w:p>
                  <w:pPr>
                    <w:tabs>
                      <w:tab w:val="left" w:pos="4620"/>
                    </w:tabs>
                    <w:adjustRightInd w:val="0"/>
                    <w:snapToGrid w:val="0"/>
                    <w:jc w:val="center"/>
                    <w:rPr>
                      <w:szCs w:val="21"/>
                      <w:u w:val="single"/>
                    </w:rPr>
                  </w:pPr>
                  <w:r>
                    <w:rPr>
                      <w:szCs w:val="21"/>
                      <w:u w:val="single"/>
                    </w:rPr>
                    <w:t>除尘灰</w:t>
                  </w:r>
                </w:p>
              </w:tc>
            </w:tr>
            <w:tr>
              <w:trPr>
                <w:trHeight w:val="120" w:hRule="atLeast"/>
                <w:jc w:val="center"/>
              </w:trPr>
              <w:tc>
                <w:tcPr>
                  <w:tcW w:w="1116" w:type="dxa"/>
                  <w:vMerge w:val="continue"/>
                  <w:vAlign w:val="center"/>
                </w:tcPr>
                <w:p>
                  <w:pPr>
                    <w:tabs>
                      <w:tab w:val="left" w:pos="4620"/>
                    </w:tabs>
                    <w:adjustRightInd w:val="0"/>
                    <w:snapToGrid w:val="0"/>
                    <w:jc w:val="center"/>
                    <w:rPr>
                      <w:szCs w:val="21"/>
                      <w:u w:val="single"/>
                    </w:rPr>
                  </w:pPr>
                </w:p>
              </w:tc>
              <w:tc>
                <w:tcPr>
                  <w:tcW w:w="1116" w:type="dxa"/>
                  <w:vMerge w:val="continue"/>
                  <w:vAlign w:val="center"/>
                </w:tcPr>
                <w:p>
                  <w:pPr>
                    <w:tabs>
                      <w:tab w:val="left" w:pos="4620"/>
                    </w:tabs>
                    <w:adjustRightInd w:val="0"/>
                    <w:snapToGrid w:val="0"/>
                    <w:jc w:val="center"/>
                    <w:rPr>
                      <w:szCs w:val="21"/>
                      <w:u w:val="single"/>
                    </w:rPr>
                  </w:pPr>
                </w:p>
              </w:tc>
              <w:tc>
                <w:tcPr>
                  <w:tcW w:w="3218" w:type="dxa"/>
                  <w:vMerge w:val="continue"/>
                  <w:vAlign w:val="center"/>
                </w:tcPr>
                <w:p>
                  <w:pPr>
                    <w:tabs>
                      <w:tab w:val="left" w:pos="4620"/>
                    </w:tabs>
                    <w:adjustRightInd w:val="0"/>
                    <w:snapToGrid w:val="0"/>
                    <w:jc w:val="center"/>
                    <w:rPr>
                      <w:szCs w:val="21"/>
                      <w:u w:val="single"/>
                    </w:rPr>
                  </w:pPr>
                </w:p>
              </w:tc>
              <w:tc>
                <w:tcPr>
                  <w:tcW w:w="3469" w:type="dxa"/>
                  <w:vAlign w:val="center"/>
                </w:tcPr>
                <w:p>
                  <w:pPr>
                    <w:tabs>
                      <w:tab w:val="left" w:pos="4620"/>
                    </w:tabs>
                    <w:adjustRightInd w:val="0"/>
                    <w:snapToGrid w:val="0"/>
                    <w:jc w:val="center"/>
                    <w:rPr>
                      <w:szCs w:val="21"/>
                      <w:u w:val="single"/>
                    </w:rPr>
                  </w:pPr>
                  <w:r>
                    <w:rPr>
                      <w:szCs w:val="21"/>
                      <w:u w:val="single"/>
                    </w:rPr>
                    <w:t>废布袋</w:t>
                  </w:r>
                </w:p>
              </w:tc>
            </w:tr>
            <w:tr>
              <w:trPr>
                <w:trHeight w:val="120" w:hRule="atLeast"/>
                <w:jc w:val="center"/>
              </w:trPr>
              <w:tc>
                <w:tcPr>
                  <w:tcW w:w="1116" w:type="dxa"/>
                  <w:vMerge w:val="continue"/>
                  <w:vAlign w:val="center"/>
                </w:tcPr>
                <w:p>
                  <w:pPr>
                    <w:tabs>
                      <w:tab w:val="left" w:pos="4620"/>
                    </w:tabs>
                    <w:adjustRightInd w:val="0"/>
                    <w:snapToGrid w:val="0"/>
                    <w:jc w:val="center"/>
                    <w:rPr>
                      <w:szCs w:val="21"/>
                      <w:u w:val="single"/>
                    </w:rPr>
                  </w:pPr>
                </w:p>
              </w:tc>
              <w:tc>
                <w:tcPr>
                  <w:tcW w:w="1116" w:type="dxa"/>
                  <w:vMerge w:val="continue"/>
                  <w:vAlign w:val="center"/>
                </w:tcPr>
                <w:p>
                  <w:pPr>
                    <w:tabs>
                      <w:tab w:val="left" w:pos="4620"/>
                    </w:tabs>
                    <w:adjustRightInd w:val="0"/>
                    <w:snapToGrid w:val="0"/>
                    <w:jc w:val="center"/>
                    <w:rPr>
                      <w:szCs w:val="21"/>
                      <w:u w:val="single"/>
                    </w:rPr>
                  </w:pPr>
                </w:p>
              </w:tc>
              <w:tc>
                <w:tcPr>
                  <w:tcW w:w="3218" w:type="dxa"/>
                  <w:vMerge w:val="restart"/>
                  <w:vAlign w:val="center"/>
                </w:tcPr>
                <w:p>
                  <w:pPr>
                    <w:tabs>
                      <w:tab w:val="left" w:pos="4620"/>
                    </w:tabs>
                    <w:adjustRightInd w:val="0"/>
                    <w:snapToGrid w:val="0"/>
                    <w:jc w:val="center"/>
                    <w:rPr>
                      <w:szCs w:val="21"/>
                      <w:u w:val="single"/>
                    </w:rPr>
                  </w:pPr>
                  <w:r>
                    <w:rPr>
                      <w:szCs w:val="21"/>
                      <w:u w:val="single"/>
                    </w:rPr>
                    <w:t>设备维护</w:t>
                  </w:r>
                </w:p>
              </w:tc>
              <w:tc>
                <w:tcPr>
                  <w:tcW w:w="3469" w:type="dxa"/>
                  <w:vAlign w:val="center"/>
                </w:tcPr>
                <w:p>
                  <w:pPr>
                    <w:tabs>
                      <w:tab w:val="left" w:pos="4620"/>
                    </w:tabs>
                    <w:adjustRightInd w:val="0"/>
                    <w:snapToGrid w:val="0"/>
                    <w:jc w:val="center"/>
                    <w:rPr>
                      <w:szCs w:val="21"/>
                      <w:u w:val="single"/>
                    </w:rPr>
                  </w:pPr>
                  <w:r>
                    <w:rPr>
                      <w:szCs w:val="21"/>
                      <w:u w:val="single"/>
                    </w:rPr>
                    <w:t>废</w:t>
                  </w:r>
                  <w:r>
                    <w:rPr>
                      <w:rFonts w:hint="eastAsia"/>
                      <w:szCs w:val="21"/>
                      <w:u w:val="single"/>
                    </w:rPr>
                    <w:t>机</w:t>
                  </w:r>
                  <w:r>
                    <w:rPr>
                      <w:szCs w:val="21"/>
                      <w:u w:val="single"/>
                    </w:rPr>
                    <w:t>油</w:t>
                  </w:r>
                </w:p>
              </w:tc>
            </w:tr>
            <w:tr>
              <w:trPr>
                <w:trHeight w:val="120" w:hRule="atLeast"/>
                <w:jc w:val="center"/>
              </w:trPr>
              <w:tc>
                <w:tcPr>
                  <w:tcW w:w="1116" w:type="dxa"/>
                  <w:vMerge w:val="continue"/>
                  <w:vAlign w:val="center"/>
                </w:tcPr>
                <w:p>
                  <w:pPr>
                    <w:tabs>
                      <w:tab w:val="left" w:pos="4620"/>
                    </w:tabs>
                    <w:adjustRightInd w:val="0"/>
                    <w:snapToGrid w:val="0"/>
                    <w:jc w:val="center"/>
                    <w:rPr>
                      <w:szCs w:val="21"/>
                      <w:u w:val="single"/>
                    </w:rPr>
                  </w:pPr>
                </w:p>
              </w:tc>
              <w:tc>
                <w:tcPr>
                  <w:tcW w:w="1116" w:type="dxa"/>
                  <w:vMerge w:val="continue"/>
                  <w:vAlign w:val="center"/>
                </w:tcPr>
                <w:p>
                  <w:pPr>
                    <w:tabs>
                      <w:tab w:val="left" w:pos="4620"/>
                    </w:tabs>
                    <w:adjustRightInd w:val="0"/>
                    <w:snapToGrid w:val="0"/>
                    <w:jc w:val="center"/>
                    <w:rPr>
                      <w:szCs w:val="21"/>
                      <w:u w:val="single"/>
                    </w:rPr>
                  </w:pPr>
                </w:p>
              </w:tc>
              <w:tc>
                <w:tcPr>
                  <w:tcW w:w="3218" w:type="dxa"/>
                  <w:vMerge w:val="continue"/>
                  <w:vAlign w:val="center"/>
                </w:tcPr>
                <w:p>
                  <w:pPr>
                    <w:tabs>
                      <w:tab w:val="left" w:pos="4620"/>
                    </w:tabs>
                    <w:adjustRightInd w:val="0"/>
                    <w:snapToGrid w:val="0"/>
                    <w:jc w:val="center"/>
                    <w:rPr>
                      <w:szCs w:val="21"/>
                      <w:u w:val="single"/>
                    </w:rPr>
                  </w:pPr>
                </w:p>
              </w:tc>
              <w:tc>
                <w:tcPr>
                  <w:tcW w:w="3469" w:type="dxa"/>
                  <w:vAlign w:val="center"/>
                </w:tcPr>
                <w:p>
                  <w:pPr>
                    <w:tabs>
                      <w:tab w:val="left" w:pos="4620"/>
                    </w:tabs>
                    <w:adjustRightInd w:val="0"/>
                    <w:snapToGrid w:val="0"/>
                    <w:jc w:val="center"/>
                    <w:rPr>
                      <w:szCs w:val="21"/>
                      <w:u w:val="single"/>
                    </w:rPr>
                  </w:pPr>
                  <w:r>
                    <w:rPr>
                      <w:szCs w:val="21"/>
                      <w:u w:val="single"/>
                    </w:rPr>
                    <w:t>含油手套及抹布</w:t>
                  </w:r>
                </w:p>
              </w:tc>
            </w:tr>
          </w:tbl>
          <w:p/>
        </w:tc>
      </w:tr>
      <w:tr>
        <w:trPr>
          <w:trHeight w:val="2819" w:hRule="atLeast"/>
          <w:jc w:val="center"/>
        </w:trPr>
        <w:tc>
          <w:tcPr>
            <w:tcW w:w="711" w:type="dxa"/>
            <w:tcBorders>
              <w:top w:val="single" w:color="auto" w:sz="4" w:space="0"/>
              <w:left w:val="single" w:color="auto" w:sz="8" w:space="0"/>
              <w:bottom w:val="single" w:color="auto" w:sz="8" w:space="0"/>
              <w:right w:val="single" w:color="auto" w:sz="4" w:space="0"/>
            </w:tcBorders>
            <w:vAlign w:val="center"/>
          </w:tcPr>
          <w:p>
            <w:pPr>
              <w:pStyle w:val="16"/>
              <w:adjustRightInd w:val="0"/>
              <w:snapToGrid w:val="0"/>
              <w:spacing w:before="0" w:beforeAutospacing="0" w:after="0" w:afterAutospacing="0"/>
              <w:jc w:val="center"/>
              <w:rPr>
                <w:rFonts w:ascii="Times New Roman" w:hAnsi="Times New Roman" w:cs="Times New Roman"/>
                <w:sz w:val="21"/>
                <w:szCs w:val="21"/>
              </w:rPr>
            </w:pPr>
            <w:r>
              <w:rPr>
                <w:rFonts w:ascii="Times New Roman" w:hAnsi="Times New Roman" w:cs="Times New Roman"/>
                <w:bCs/>
                <w:sz w:val="21"/>
                <w:szCs w:val="21"/>
              </w:rPr>
              <w:t>与项目有关的原有环境污染问题</w:t>
            </w:r>
          </w:p>
        </w:tc>
        <w:tc>
          <w:tcPr>
            <w:tcW w:w="9139" w:type="dxa"/>
            <w:tcBorders>
              <w:top w:val="single" w:color="auto" w:sz="4" w:space="0"/>
              <w:left w:val="single" w:color="auto" w:sz="4" w:space="0"/>
              <w:bottom w:val="single" w:color="auto" w:sz="8" w:space="0"/>
              <w:right w:val="single" w:color="auto" w:sz="8" w:space="0"/>
            </w:tcBorders>
            <w:vAlign w:val="top"/>
          </w:tcPr>
          <w:p>
            <w:pPr>
              <w:pStyle w:val="9"/>
              <w:ind w:firstLine="480"/>
              <w:rPr>
                <w:rFonts w:cs="Times New Roman"/>
                <w:u w:val="single"/>
              </w:rPr>
            </w:pPr>
            <w:r>
              <w:rPr>
                <w:rFonts w:hint="eastAsia" w:cs="Times New Roman"/>
                <w:u w:val="single"/>
              </w:rPr>
              <w:t>一、现有工程情况</w:t>
            </w:r>
          </w:p>
          <w:p>
            <w:pPr>
              <w:pStyle w:val="9"/>
              <w:ind w:firstLine="480"/>
              <w:rPr>
                <w:rFonts w:cs="Times New Roman"/>
                <w:u w:val="single"/>
              </w:rPr>
            </w:pPr>
            <w:r>
              <w:rPr>
                <w:rFonts w:hint="eastAsia" w:cs="Times New Roman"/>
                <w:u w:val="single"/>
              </w:rPr>
              <w:t>柳河县康华牧业有限责任公司位于吉林省柳河经济开发区钓鱼台四区，公司是年屠宰1200万只商品鸡项目。项目主要建筑物有屠宰车间、冷藏库、污水处理站、办公楼、锅炉房及仓库等，企业拥有一条从检验、屠宰、拔毛、内脏摘取、胴体分割分到装生产线。企业运行良好，锅炉运行情况较好，现有锅炉燃料使用量约为1000t/a。锅炉全年共计运行319天，每天运行11个小时。</w:t>
            </w:r>
          </w:p>
          <w:p>
            <w:pPr>
              <w:pStyle w:val="9"/>
              <w:ind w:firstLine="480"/>
              <w:rPr>
                <w:rFonts w:cs="Times New Roman"/>
              </w:rPr>
            </w:pPr>
            <w:r>
              <w:rPr>
                <w:rFonts w:hint="eastAsia" w:cs="Times New Roman"/>
                <w:u w:val="single"/>
              </w:rPr>
              <w:t>柳河县康华牧业有限责任公司于2012年将自己全部厂房及设备全部租赁给柳河耘垦牧业有限公司经营，由耘垦牧业完成环评及环保验收工作，与2012年8月取得环评批复，批复号为柳环审(书)字【2012】36号文；并于同年2012年12月完成环保验收工作，验收编号为柳县站验监测报告字(2012)第01号。后由于耘垦牧业经营不善，房租租赁到期后，将所有手续转手给柳河县康华牧业有限责任公司。由康华牧业继续经营，康华牧业在2017年对柳河县康华牧业有限责任公司污水处理站进行扩建，取得环评批复，批复号为柳环审字【2017】16号文；并于同年10月27日完成环保验收工作。2023年5月，吉林省博世环境安全技术服务有限公司编制完成了《柳河县康华牧业有限责任公司危废暂存间建设项目环境影响评价报告表》，并于2023年7月4日取得了通化市生态环境局柳河县分局柳环审字【2023】15号文批复；于2023年12月21日完成项目环保验收工作。2021年12月29日取得排污许可证。</w:t>
            </w:r>
          </w:p>
          <w:p>
            <w:pPr>
              <w:pStyle w:val="9"/>
              <w:ind w:firstLine="480"/>
              <w:rPr>
                <w:rFonts w:cs="Times New Roman"/>
                <w:u w:val="single"/>
              </w:rPr>
            </w:pPr>
            <w:r>
              <w:rPr>
                <w:rFonts w:hint="eastAsia" w:cs="Times New Roman"/>
                <w:u w:val="single"/>
              </w:rPr>
              <w:t>二、现有工程产排污情况</w:t>
            </w:r>
          </w:p>
          <w:p>
            <w:pPr>
              <w:pStyle w:val="9"/>
              <w:ind w:firstLine="480"/>
              <w:rPr>
                <w:rFonts w:cs="Times New Roman"/>
                <w:u w:val="single"/>
              </w:rPr>
            </w:pPr>
            <w:r>
              <w:rPr>
                <w:rFonts w:hint="eastAsia" w:cs="Times New Roman"/>
                <w:u w:val="single"/>
              </w:rPr>
              <w:t>本次现有工程污染物产排污情况依据例行监测数据。</w:t>
            </w:r>
          </w:p>
          <w:p>
            <w:pPr>
              <w:pStyle w:val="9"/>
              <w:ind w:firstLine="480"/>
              <w:rPr>
                <w:rFonts w:cs="Times New Roman"/>
                <w:u w:val="single"/>
              </w:rPr>
            </w:pPr>
            <w:r>
              <w:rPr>
                <w:rFonts w:hint="eastAsia" w:cs="Times New Roman"/>
                <w:u w:val="single"/>
              </w:rPr>
              <w:t>（1）废水</w:t>
            </w:r>
          </w:p>
          <w:p>
            <w:pPr>
              <w:pStyle w:val="9"/>
              <w:ind w:firstLine="480"/>
              <w:rPr>
                <w:rFonts w:cs="Times New Roman"/>
                <w:u w:val="single"/>
              </w:rPr>
            </w:pPr>
            <w:r>
              <w:rPr>
                <w:rFonts w:ascii="宋体" w:hAnsi="宋体" w:cs="宋体"/>
                <w:u w:val="single"/>
              </w:rPr>
              <w:t>厂区内所有的污水全部进入</w:t>
            </w:r>
            <w:r>
              <w:rPr>
                <w:rFonts w:hint="eastAsia" w:ascii="宋体" w:hAnsi="宋体" w:cs="宋体"/>
                <w:u w:val="single"/>
              </w:rPr>
              <w:t>厂区内</w:t>
            </w:r>
            <w:r>
              <w:rPr>
                <w:rFonts w:ascii="宋体" w:hAnsi="宋体" w:cs="宋体"/>
                <w:u w:val="single"/>
              </w:rPr>
              <w:t>污水处理站，污水经</w:t>
            </w:r>
            <w:r>
              <w:rPr>
                <w:rFonts w:hint="eastAsia" w:ascii="宋体" w:hAnsi="宋体" w:cs="宋体"/>
                <w:u w:val="single"/>
              </w:rPr>
              <w:t>“粗(细)格栅+生物接触氧化+水解酸化+消毒工艺”</w:t>
            </w:r>
            <w:r>
              <w:rPr>
                <w:rFonts w:ascii="宋体" w:hAnsi="宋体" w:cs="宋体"/>
                <w:u w:val="single"/>
              </w:rPr>
              <w:t>处理满足《肉类加工工业水污染物排放标准》</w:t>
            </w:r>
            <w:r>
              <w:rPr>
                <w:rFonts w:hint="eastAsia" w:ascii="宋体" w:hAnsi="宋体" w:cs="宋体"/>
                <w:u w:val="single"/>
              </w:rPr>
              <w:t>（</w:t>
            </w:r>
            <w:r>
              <w:rPr>
                <w:rFonts w:eastAsia="Times New Roman" w:cs="Times New Roman"/>
                <w:u w:val="single"/>
              </w:rPr>
              <w:t>GB13457-92</w:t>
            </w:r>
            <w:r>
              <w:rPr>
                <w:rFonts w:hint="eastAsia" w:ascii="宋体" w:hAnsi="宋体" w:cs="宋体"/>
                <w:u w:val="single"/>
              </w:rPr>
              <w:t>）</w:t>
            </w:r>
            <w:r>
              <w:rPr>
                <w:rFonts w:ascii="宋体" w:hAnsi="宋体" w:cs="宋体"/>
                <w:u w:val="single"/>
              </w:rPr>
              <w:t>中</w:t>
            </w:r>
            <w:r>
              <w:rPr>
                <w:rFonts w:hint="eastAsia" w:ascii="宋体" w:hAnsi="宋体" w:cs="宋体"/>
                <w:u w:val="single"/>
              </w:rPr>
              <w:t>三</w:t>
            </w:r>
            <w:r>
              <w:rPr>
                <w:rFonts w:ascii="宋体" w:hAnsi="宋体" w:cs="宋体"/>
                <w:u w:val="single"/>
              </w:rPr>
              <w:t>级标准后</w:t>
            </w:r>
            <w:r>
              <w:rPr>
                <w:rFonts w:hint="eastAsia" w:ascii="宋体" w:hAnsi="宋体" w:cs="宋体"/>
                <w:u w:val="single"/>
              </w:rPr>
              <w:t>排入柳河县污水处理厂，处理达标后</w:t>
            </w:r>
            <w:r>
              <w:rPr>
                <w:rFonts w:ascii="宋体" w:hAnsi="宋体" w:cs="宋体"/>
                <w:u w:val="single"/>
              </w:rPr>
              <w:t>排入一统河</w:t>
            </w:r>
            <w:r>
              <w:rPr>
                <w:rFonts w:hint="eastAsia" w:ascii="宋体" w:hAnsi="宋体" w:cs="宋体"/>
                <w:u w:val="single"/>
              </w:rPr>
              <w:t>。</w:t>
            </w:r>
          </w:p>
          <w:p>
            <w:pPr>
              <w:pStyle w:val="9"/>
              <w:spacing w:line="240" w:lineRule="auto"/>
              <w:ind w:firstLine="0" w:firstLineChars="0"/>
              <w:jc w:val="center"/>
              <w:rPr>
                <w:rFonts w:cs="Times New Roman"/>
                <w:u w:val="single"/>
              </w:rPr>
            </w:pPr>
            <w:r>
              <w:rPr>
                <w:rFonts w:hint="eastAsia" w:cs="Times New Roman"/>
                <w:u w:val="single"/>
              </w:rPr>
              <w:t>表15  废水总排口排放情况一览表  单位：mg/L</w:t>
            </w:r>
          </w:p>
          <w:tbl>
            <w:tblPr>
              <w:tblW w:w="8923"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484"/>
              <w:gridCol w:w="1271"/>
              <w:gridCol w:w="1219"/>
              <w:gridCol w:w="1692"/>
              <w:gridCol w:w="1503"/>
              <w:gridCol w:w="1754"/>
            </w:tblGrid>
            <w:tr>
              <w:trPr>
                <w:trHeight w:val="340" w:hRule="atLeast"/>
              </w:trPr>
              <w:tc>
                <w:tcPr>
                  <w:tcW w:w="2755" w:type="dxa"/>
                  <w:gridSpan w:val="2"/>
                  <w:tcBorders>
                    <w:tl2br w:val="nil"/>
                    <w:tr2bl w:val="nil"/>
                  </w:tcBorders>
                  <w:vAlign w:val="center"/>
                </w:tcPr>
                <w:p>
                  <w:pPr>
                    <w:tabs>
                      <w:tab w:val="left" w:pos="4620"/>
                    </w:tabs>
                    <w:adjustRightInd w:val="0"/>
                    <w:snapToGrid w:val="0"/>
                    <w:jc w:val="center"/>
                    <w:rPr>
                      <w:szCs w:val="21"/>
                      <w:u w:val="single"/>
                    </w:rPr>
                  </w:pPr>
                  <w:r>
                    <w:rPr>
                      <w:szCs w:val="21"/>
                      <w:u w:val="single"/>
                    </w:rPr>
                    <w:t>监测日期</w:t>
                  </w:r>
                </w:p>
              </w:tc>
              <w:tc>
                <w:tcPr>
                  <w:tcW w:w="121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悬浮物</w:t>
                  </w:r>
                </w:p>
              </w:tc>
              <w:tc>
                <w:tcPr>
                  <w:tcW w:w="1692"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五日生化需氧量</w:t>
                  </w:r>
                </w:p>
              </w:tc>
              <w:tc>
                <w:tcPr>
                  <w:tcW w:w="150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动植物油</w:t>
                  </w:r>
                </w:p>
              </w:tc>
              <w:tc>
                <w:tcPr>
                  <w:tcW w:w="1754"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大肠菌群数</w:t>
                  </w:r>
                </w:p>
                <w:p>
                  <w:pPr>
                    <w:tabs>
                      <w:tab w:val="left" w:pos="4620"/>
                    </w:tabs>
                    <w:adjustRightInd w:val="0"/>
                    <w:snapToGrid w:val="0"/>
                    <w:jc w:val="center"/>
                    <w:rPr>
                      <w:szCs w:val="21"/>
                      <w:u w:val="single"/>
                    </w:rPr>
                  </w:pPr>
                  <w:r>
                    <w:rPr>
                      <w:rFonts w:hint="eastAsia"/>
                      <w:szCs w:val="21"/>
                      <w:u w:val="single"/>
                    </w:rPr>
                    <w:t>MPN/L</w:t>
                  </w:r>
                </w:p>
              </w:tc>
            </w:tr>
            <w:tr>
              <w:trPr>
                <w:trHeight w:val="340" w:hRule="atLeast"/>
              </w:trPr>
              <w:tc>
                <w:tcPr>
                  <w:tcW w:w="1484" w:type="dxa"/>
                  <w:vMerge w:val="restart"/>
                  <w:tcBorders>
                    <w:tl2br w:val="nil"/>
                    <w:tr2bl w:val="nil"/>
                  </w:tcBorders>
                  <w:vAlign w:val="center"/>
                </w:tcPr>
                <w:p>
                  <w:pPr>
                    <w:tabs>
                      <w:tab w:val="left" w:pos="4620"/>
                    </w:tabs>
                    <w:adjustRightInd w:val="0"/>
                    <w:snapToGrid w:val="0"/>
                    <w:jc w:val="center"/>
                    <w:rPr>
                      <w:szCs w:val="21"/>
                      <w:u w:val="single"/>
                    </w:rPr>
                  </w:pPr>
                  <w:r>
                    <w:rPr>
                      <w:szCs w:val="21"/>
                      <w:u w:val="single"/>
                    </w:rPr>
                    <w:t>20</w:t>
                  </w:r>
                  <w:r>
                    <w:rPr>
                      <w:rFonts w:hint="eastAsia"/>
                      <w:szCs w:val="21"/>
                      <w:u w:val="single"/>
                    </w:rPr>
                    <w:t>26.5.16</w:t>
                  </w:r>
                </w:p>
              </w:tc>
              <w:tc>
                <w:tcPr>
                  <w:tcW w:w="1271" w:type="dxa"/>
                  <w:tcBorders>
                    <w:tl2br w:val="nil"/>
                    <w:tr2bl w:val="nil"/>
                  </w:tcBorders>
                  <w:vAlign w:val="center"/>
                </w:tcPr>
                <w:p>
                  <w:pPr>
                    <w:tabs>
                      <w:tab w:val="left" w:pos="4620"/>
                    </w:tabs>
                    <w:adjustRightInd w:val="0"/>
                    <w:snapToGrid w:val="0"/>
                    <w:jc w:val="center"/>
                    <w:rPr>
                      <w:szCs w:val="21"/>
                      <w:u w:val="single"/>
                    </w:rPr>
                  </w:pPr>
                  <w:r>
                    <w:rPr>
                      <w:szCs w:val="21"/>
                      <w:u w:val="single"/>
                    </w:rPr>
                    <w:t>第一次</w:t>
                  </w:r>
                </w:p>
              </w:tc>
              <w:tc>
                <w:tcPr>
                  <w:tcW w:w="121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9</w:t>
                  </w:r>
                </w:p>
              </w:tc>
              <w:tc>
                <w:tcPr>
                  <w:tcW w:w="1692"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8.0</w:t>
                  </w:r>
                </w:p>
              </w:tc>
              <w:tc>
                <w:tcPr>
                  <w:tcW w:w="150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0.36</w:t>
                  </w:r>
                </w:p>
              </w:tc>
              <w:tc>
                <w:tcPr>
                  <w:tcW w:w="1754"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630</w:t>
                  </w:r>
                </w:p>
              </w:tc>
            </w:tr>
            <w:tr>
              <w:trPr>
                <w:trHeight w:val="340" w:hRule="atLeast"/>
              </w:trPr>
              <w:tc>
                <w:tcPr>
                  <w:tcW w:w="1484" w:type="dxa"/>
                  <w:vMerge w:val="continue"/>
                  <w:tcBorders>
                    <w:tl2br w:val="nil"/>
                    <w:tr2bl w:val="nil"/>
                  </w:tcBorders>
                  <w:vAlign w:val="center"/>
                </w:tcPr>
                <w:p>
                  <w:pPr>
                    <w:tabs>
                      <w:tab w:val="left" w:pos="4620"/>
                    </w:tabs>
                    <w:adjustRightInd w:val="0"/>
                    <w:snapToGrid w:val="0"/>
                    <w:jc w:val="center"/>
                    <w:rPr>
                      <w:szCs w:val="21"/>
                      <w:u w:val="single"/>
                    </w:rPr>
                  </w:pPr>
                </w:p>
              </w:tc>
              <w:tc>
                <w:tcPr>
                  <w:tcW w:w="1271" w:type="dxa"/>
                  <w:tcBorders>
                    <w:tl2br w:val="nil"/>
                    <w:tr2bl w:val="nil"/>
                  </w:tcBorders>
                  <w:vAlign w:val="center"/>
                </w:tcPr>
                <w:p>
                  <w:pPr>
                    <w:adjustRightInd w:val="0"/>
                    <w:snapToGrid w:val="0"/>
                    <w:jc w:val="center"/>
                    <w:rPr>
                      <w:szCs w:val="21"/>
                      <w:u w:val="single"/>
                    </w:rPr>
                  </w:pPr>
                  <w:r>
                    <w:rPr>
                      <w:szCs w:val="21"/>
                      <w:u w:val="single"/>
                    </w:rPr>
                    <w:t>第二次</w:t>
                  </w:r>
                </w:p>
              </w:tc>
              <w:tc>
                <w:tcPr>
                  <w:tcW w:w="121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10</w:t>
                  </w:r>
                </w:p>
              </w:tc>
              <w:tc>
                <w:tcPr>
                  <w:tcW w:w="1692"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7.5</w:t>
                  </w:r>
                </w:p>
              </w:tc>
              <w:tc>
                <w:tcPr>
                  <w:tcW w:w="150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0.33</w:t>
                  </w:r>
                </w:p>
              </w:tc>
              <w:tc>
                <w:tcPr>
                  <w:tcW w:w="1754"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700</w:t>
                  </w:r>
                </w:p>
              </w:tc>
            </w:tr>
            <w:tr>
              <w:trPr>
                <w:trHeight w:val="340" w:hRule="atLeast"/>
              </w:trPr>
              <w:tc>
                <w:tcPr>
                  <w:tcW w:w="1484" w:type="dxa"/>
                  <w:vMerge w:val="continue"/>
                  <w:tcBorders>
                    <w:tl2br w:val="nil"/>
                    <w:tr2bl w:val="nil"/>
                  </w:tcBorders>
                  <w:vAlign w:val="center"/>
                </w:tcPr>
                <w:p>
                  <w:pPr>
                    <w:tabs>
                      <w:tab w:val="left" w:pos="4620"/>
                    </w:tabs>
                    <w:adjustRightInd w:val="0"/>
                    <w:snapToGrid w:val="0"/>
                    <w:jc w:val="center"/>
                    <w:rPr>
                      <w:szCs w:val="21"/>
                      <w:u w:val="single"/>
                    </w:rPr>
                  </w:pPr>
                </w:p>
              </w:tc>
              <w:tc>
                <w:tcPr>
                  <w:tcW w:w="1271" w:type="dxa"/>
                  <w:tcBorders>
                    <w:tl2br w:val="nil"/>
                    <w:tr2bl w:val="nil"/>
                  </w:tcBorders>
                  <w:vAlign w:val="center"/>
                </w:tcPr>
                <w:p>
                  <w:pPr>
                    <w:adjustRightInd w:val="0"/>
                    <w:snapToGrid w:val="0"/>
                    <w:jc w:val="center"/>
                    <w:rPr>
                      <w:szCs w:val="21"/>
                      <w:u w:val="single"/>
                    </w:rPr>
                  </w:pPr>
                  <w:r>
                    <w:rPr>
                      <w:szCs w:val="21"/>
                      <w:u w:val="single"/>
                    </w:rPr>
                    <w:t>第三次</w:t>
                  </w:r>
                </w:p>
              </w:tc>
              <w:tc>
                <w:tcPr>
                  <w:tcW w:w="121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10</w:t>
                  </w:r>
                </w:p>
              </w:tc>
              <w:tc>
                <w:tcPr>
                  <w:tcW w:w="1692"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7.9</w:t>
                  </w:r>
                </w:p>
              </w:tc>
              <w:tc>
                <w:tcPr>
                  <w:tcW w:w="150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0.35</w:t>
                  </w:r>
                </w:p>
              </w:tc>
              <w:tc>
                <w:tcPr>
                  <w:tcW w:w="1754"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690</w:t>
                  </w:r>
                </w:p>
              </w:tc>
            </w:tr>
            <w:tr>
              <w:trPr>
                <w:trHeight w:val="340" w:hRule="atLeast"/>
              </w:trPr>
              <w:tc>
                <w:tcPr>
                  <w:tcW w:w="2755" w:type="dxa"/>
                  <w:gridSpan w:val="2"/>
                  <w:tcBorders>
                    <w:tl2br w:val="nil"/>
                    <w:tr2bl w:val="nil"/>
                  </w:tcBorders>
                  <w:vAlign w:val="center"/>
                </w:tcPr>
                <w:p>
                  <w:pPr>
                    <w:tabs>
                      <w:tab w:val="left" w:pos="4620"/>
                    </w:tabs>
                    <w:adjustRightInd w:val="0"/>
                    <w:snapToGrid w:val="0"/>
                    <w:jc w:val="center"/>
                    <w:rPr>
                      <w:szCs w:val="21"/>
                      <w:u w:val="single"/>
                    </w:rPr>
                  </w:pPr>
                  <w:r>
                    <w:rPr>
                      <w:szCs w:val="21"/>
                      <w:u w:val="single"/>
                    </w:rPr>
                    <w:t>标准限值</w:t>
                  </w:r>
                </w:p>
              </w:tc>
              <w:tc>
                <w:tcPr>
                  <w:tcW w:w="121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300</w:t>
                  </w:r>
                </w:p>
              </w:tc>
              <w:tc>
                <w:tcPr>
                  <w:tcW w:w="1692"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250</w:t>
                  </w:r>
                </w:p>
              </w:tc>
              <w:tc>
                <w:tcPr>
                  <w:tcW w:w="150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50</w:t>
                  </w:r>
                </w:p>
              </w:tc>
              <w:tc>
                <w:tcPr>
                  <w:tcW w:w="1754"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w:t>
                  </w:r>
                </w:p>
              </w:tc>
            </w:tr>
            <w:tr>
              <w:trPr>
                <w:trHeight w:val="340" w:hRule="atLeast"/>
              </w:trPr>
              <w:tc>
                <w:tcPr>
                  <w:tcW w:w="2755" w:type="dxa"/>
                  <w:gridSpan w:val="2"/>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排水协议</w:t>
                  </w:r>
                </w:p>
              </w:tc>
              <w:tc>
                <w:tcPr>
                  <w:tcW w:w="121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w:t>
                  </w:r>
                </w:p>
              </w:tc>
              <w:tc>
                <w:tcPr>
                  <w:tcW w:w="1692"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170</w:t>
                  </w:r>
                </w:p>
              </w:tc>
              <w:tc>
                <w:tcPr>
                  <w:tcW w:w="150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w:t>
                  </w:r>
                </w:p>
              </w:tc>
              <w:tc>
                <w:tcPr>
                  <w:tcW w:w="1754"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w:t>
                  </w:r>
                </w:p>
              </w:tc>
            </w:tr>
            <w:tr>
              <w:trPr>
                <w:trHeight w:val="340" w:hRule="atLeast"/>
              </w:trPr>
              <w:tc>
                <w:tcPr>
                  <w:tcW w:w="2755" w:type="dxa"/>
                  <w:gridSpan w:val="2"/>
                  <w:tcBorders>
                    <w:tl2br w:val="nil"/>
                    <w:tr2bl w:val="nil"/>
                  </w:tcBorders>
                  <w:vAlign w:val="center"/>
                </w:tcPr>
                <w:p>
                  <w:pPr>
                    <w:tabs>
                      <w:tab w:val="left" w:pos="4620"/>
                    </w:tabs>
                    <w:adjustRightInd w:val="0"/>
                    <w:snapToGrid w:val="0"/>
                    <w:jc w:val="center"/>
                    <w:rPr>
                      <w:szCs w:val="21"/>
                      <w:u w:val="single"/>
                    </w:rPr>
                  </w:pPr>
                  <w:r>
                    <w:rPr>
                      <w:szCs w:val="21"/>
                      <w:u w:val="single"/>
                    </w:rPr>
                    <w:t>是否达标</w:t>
                  </w:r>
                </w:p>
              </w:tc>
              <w:tc>
                <w:tcPr>
                  <w:tcW w:w="1219" w:type="dxa"/>
                  <w:tcBorders>
                    <w:tl2br w:val="nil"/>
                    <w:tr2bl w:val="nil"/>
                  </w:tcBorders>
                  <w:vAlign w:val="center"/>
                </w:tcPr>
                <w:p>
                  <w:pPr>
                    <w:adjustRightInd w:val="0"/>
                    <w:snapToGrid w:val="0"/>
                    <w:jc w:val="center"/>
                    <w:rPr>
                      <w:szCs w:val="21"/>
                      <w:u w:val="single"/>
                    </w:rPr>
                  </w:pPr>
                  <w:r>
                    <w:rPr>
                      <w:szCs w:val="21"/>
                      <w:u w:val="single"/>
                    </w:rPr>
                    <w:t>达标</w:t>
                  </w:r>
                </w:p>
              </w:tc>
              <w:tc>
                <w:tcPr>
                  <w:tcW w:w="1692" w:type="dxa"/>
                  <w:tcBorders>
                    <w:tl2br w:val="nil"/>
                    <w:tr2bl w:val="nil"/>
                  </w:tcBorders>
                  <w:vAlign w:val="center"/>
                </w:tcPr>
                <w:p>
                  <w:pPr>
                    <w:adjustRightInd w:val="0"/>
                    <w:snapToGrid w:val="0"/>
                    <w:jc w:val="center"/>
                    <w:rPr>
                      <w:szCs w:val="21"/>
                      <w:u w:val="single"/>
                    </w:rPr>
                  </w:pPr>
                  <w:r>
                    <w:rPr>
                      <w:szCs w:val="21"/>
                      <w:u w:val="single"/>
                    </w:rPr>
                    <w:t>达标</w:t>
                  </w:r>
                </w:p>
              </w:tc>
              <w:tc>
                <w:tcPr>
                  <w:tcW w:w="1503" w:type="dxa"/>
                  <w:tcBorders>
                    <w:tl2br w:val="nil"/>
                    <w:tr2bl w:val="nil"/>
                  </w:tcBorders>
                  <w:vAlign w:val="center"/>
                </w:tcPr>
                <w:p>
                  <w:pPr>
                    <w:tabs>
                      <w:tab w:val="left" w:pos="4620"/>
                    </w:tabs>
                    <w:adjustRightInd w:val="0"/>
                    <w:snapToGrid w:val="0"/>
                    <w:jc w:val="center"/>
                    <w:rPr>
                      <w:szCs w:val="21"/>
                      <w:u w:val="single"/>
                    </w:rPr>
                  </w:pPr>
                  <w:r>
                    <w:rPr>
                      <w:szCs w:val="21"/>
                      <w:u w:val="single"/>
                    </w:rPr>
                    <w:t>达标</w:t>
                  </w:r>
                </w:p>
              </w:tc>
              <w:tc>
                <w:tcPr>
                  <w:tcW w:w="1754" w:type="dxa"/>
                  <w:tcBorders>
                    <w:tl2br w:val="nil"/>
                    <w:tr2bl w:val="nil"/>
                  </w:tcBorders>
                  <w:vAlign w:val="center"/>
                </w:tcPr>
                <w:p>
                  <w:pPr>
                    <w:tabs>
                      <w:tab w:val="left" w:pos="4620"/>
                    </w:tabs>
                    <w:adjustRightInd w:val="0"/>
                    <w:snapToGrid w:val="0"/>
                    <w:jc w:val="center"/>
                    <w:rPr>
                      <w:szCs w:val="21"/>
                      <w:u w:val="single"/>
                    </w:rPr>
                  </w:pPr>
                  <w:r>
                    <w:rPr>
                      <w:szCs w:val="21"/>
                      <w:u w:val="single"/>
                    </w:rPr>
                    <w:t>达标</w:t>
                  </w:r>
                </w:p>
              </w:tc>
            </w:tr>
          </w:tbl>
          <w:p>
            <w:pPr>
              <w:pStyle w:val="9"/>
              <w:ind w:firstLine="480"/>
              <w:rPr>
                <w:rFonts w:cs="Times New Roman"/>
                <w:u w:val="single"/>
              </w:rPr>
            </w:pPr>
            <w:r>
              <w:rPr>
                <w:rFonts w:hint="eastAsia" w:cs="Times New Roman"/>
                <w:u w:val="single"/>
              </w:rPr>
              <w:t>（2）废气</w:t>
            </w:r>
          </w:p>
          <w:p>
            <w:pPr>
              <w:pStyle w:val="9"/>
              <w:ind w:firstLine="480"/>
              <w:rPr>
                <w:rFonts w:cs="Times New Roman"/>
                <w:u w:val="single"/>
              </w:rPr>
            </w:pPr>
            <w:r>
              <w:rPr>
                <w:rFonts w:hint="eastAsia" w:cs="Times New Roman"/>
                <w:u w:val="single"/>
              </w:rPr>
              <w:t>现有工程生产、生活用热由一台4.0t/h生物质锅炉提供，锅炉烟气采取</w:t>
            </w:r>
            <w:r>
              <w:rPr>
                <w:rFonts w:hint="eastAsia"/>
                <w:u w:val="single"/>
              </w:rPr>
              <w:t>陶瓷多管除尘器+布袋除尘器</w:t>
            </w:r>
            <w:r>
              <w:rPr>
                <w:rFonts w:hint="eastAsia" w:cs="Times New Roman"/>
                <w:u w:val="single"/>
              </w:rPr>
              <w:t>，烟气通过36m高排气筒排放。污水处理站产生恶臭气体经活性炭吸附后，经15m排气筒排放。项目有组织排放情况详见下表。</w:t>
            </w:r>
          </w:p>
          <w:p>
            <w:pPr>
              <w:pStyle w:val="9"/>
              <w:spacing w:line="240" w:lineRule="auto"/>
              <w:ind w:firstLine="0" w:firstLineChars="0"/>
              <w:jc w:val="center"/>
              <w:rPr>
                <w:rFonts w:cs="Times New Roman"/>
                <w:u w:val="single"/>
              </w:rPr>
            </w:pPr>
            <w:r>
              <w:rPr>
                <w:rFonts w:hint="eastAsia" w:cs="Times New Roman"/>
                <w:u w:val="single"/>
              </w:rPr>
              <w:t>表16  锅炉烟气有组织排放情况一览表</w:t>
            </w:r>
          </w:p>
          <w:tbl>
            <w:tblPr>
              <w:tblW w:w="8919"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67"/>
              <w:gridCol w:w="1274"/>
              <w:gridCol w:w="1010"/>
              <w:gridCol w:w="1111"/>
              <w:gridCol w:w="1324"/>
              <w:gridCol w:w="1572"/>
              <w:gridCol w:w="1561"/>
            </w:tblGrid>
            <w:tr>
              <w:trPr>
                <w:trHeight w:val="340" w:hRule="atLeast"/>
              </w:trPr>
              <w:tc>
                <w:tcPr>
                  <w:tcW w:w="2341" w:type="dxa"/>
                  <w:gridSpan w:val="2"/>
                  <w:vMerge w:val="restart"/>
                  <w:tcBorders>
                    <w:tl2br w:val="nil"/>
                    <w:tr2bl w:val="nil"/>
                  </w:tcBorders>
                  <w:vAlign w:val="center"/>
                </w:tcPr>
                <w:p>
                  <w:pPr>
                    <w:tabs>
                      <w:tab w:val="left" w:pos="4620"/>
                    </w:tabs>
                    <w:adjustRightInd w:val="0"/>
                    <w:snapToGrid w:val="0"/>
                    <w:jc w:val="center"/>
                    <w:rPr>
                      <w:szCs w:val="21"/>
                      <w:u w:val="single"/>
                    </w:rPr>
                  </w:pPr>
                  <w:r>
                    <w:rPr>
                      <w:szCs w:val="21"/>
                      <w:u w:val="single"/>
                    </w:rPr>
                    <w:t>监测日期</w:t>
                  </w:r>
                </w:p>
              </w:tc>
              <w:tc>
                <w:tcPr>
                  <w:tcW w:w="6578" w:type="dxa"/>
                  <w:gridSpan w:val="5"/>
                  <w:tcBorders>
                    <w:tl2br w:val="nil"/>
                    <w:tr2bl w:val="nil"/>
                  </w:tcBorders>
                  <w:vAlign w:val="center"/>
                </w:tcPr>
                <w:p>
                  <w:pPr>
                    <w:tabs>
                      <w:tab w:val="left" w:pos="4620"/>
                    </w:tabs>
                    <w:adjustRightInd w:val="0"/>
                    <w:snapToGrid w:val="0"/>
                    <w:jc w:val="center"/>
                    <w:rPr>
                      <w:szCs w:val="21"/>
                      <w:u w:val="single"/>
                    </w:rPr>
                  </w:pPr>
                  <w:r>
                    <w:rPr>
                      <w:szCs w:val="21"/>
                      <w:u w:val="single"/>
                    </w:rPr>
                    <w:t>锅炉</w:t>
                  </w:r>
                  <w:r>
                    <w:rPr>
                      <w:rFonts w:hint="eastAsia"/>
                      <w:szCs w:val="21"/>
                      <w:u w:val="single"/>
                    </w:rPr>
                    <w:t>烟气</w:t>
                  </w:r>
                  <w:r>
                    <w:rPr>
                      <w:szCs w:val="21"/>
                      <w:u w:val="single"/>
                    </w:rPr>
                    <w:t>排气筒（mg/m</w:t>
                  </w:r>
                  <w:r>
                    <w:rPr>
                      <w:szCs w:val="21"/>
                      <w:u w:val="single"/>
                      <w:vertAlign w:val="superscript"/>
                    </w:rPr>
                    <w:t>3</w:t>
                  </w:r>
                  <w:r>
                    <w:rPr>
                      <w:szCs w:val="21"/>
                      <w:u w:val="single"/>
                    </w:rPr>
                    <w:t>）</w:t>
                  </w:r>
                </w:p>
              </w:tc>
            </w:tr>
            <w:tr>
              <w:trPr>
                <w:trHeight w:val="340" w:hRule="atLeast"/>
              </w:trPr>
              <w:tc>
                <w:tcPr>
                  <w:tcW w:w="2341" w:type="dxa"/>
                  <w:gridSpan w:val="2"/>
                  <w:vMerge w:val="continue"/>
                  <w:tcBorders>
                    <w:tl2br w:val="nil"/>
                    <w:tr2bl w:val="nil"/>
                  </w:tcBorders>
                  <w:vAlign w:val="center"/>
                </w:tcPr>
                <w:p>
                  <w:pPr>
                    <w:tabs>
                      <w:tab w:val="left" w:pos="4620"/>
                    </w:tabs>
                    <w:adjustRightInd w:val="0"/>
                    <w:snapToGrid w:val="0"/>
                    <w:jc w:val="center"/>
                    <w:rPr>
                      <w:szCs w:val="21"/>
                      <w:u w:val="single"/>
                    </w:rPr>
                  </w:pPr>
                </w:p>
              </w:tc>
              <w:tc>
                <w:tcPr>
                  <w:tcW w:w="1010" w:type="dxa"/>
                  <w:vMerge w:val="restart"/>
                  <w:tcBorders>
                    <w:tl2br w:val="nil"/>
                    <w:tr2bl w:val="nil"/>
                  </w:tcBorders>
                  <w:vAlign w:val="center"/>
                </w:tcPr>
                <w:p>
                  <w:pPr>
                    <w:tabs>
                      <w:tab w:val="left" w:pos="4620"/>
                    </w:tabs>
                    <w:adjustRightInd w:val="0"/>
                    <w:snapToGrid w:val="0"/>
                    <w:jc w:val="center"/>
                    <w:rPr>
                      <w:szCs w:val="21"/>
                      <w:u w:val="single"/>
                    </w:rPr>
                  </w:pPr>
                  <w:r>
                    <w:rPr>
                      <w:szCs w:val="21"/>
                      <w:u w:val="single"/>
                    </w:rPr>
                    <w:t>颗粒物</w:t>
                  </w:r>
                </w:p>
              </w:tc>
              <w:tc>
                <w:tcPr>
                  <w:tcW w:w="1111" w:type="dxa"/>
                  <w:vMerge w:val="restart"/>
                  <w:tcBorders>
                    <w:tl2br w:val="nil"/>
                    <w:tr2bl w:val="nil"/>
                  </w:tcBorders>
                  <w:vAlign w:val="center"/>
                </w:tcPr>
                <w:p>
                  <w:pPr>
                    <w:tabs>
                      <w:tab w:val="left" w:pos="4620"/>
                    </w:tabs>
                    <w:adjustRightInd w:val="0"/>
                    <w:snapToGrid w:val="0"/>
                    <w:jc w:val="center"/>
                    <w:rPr>
                      <w:szCs w:val="21"/>
                      <w:u w:val="single"/>
                    </w:rPr>
                  </w:pPr>
                  <w:r>
                    <w:rPr>
                      <w:szCs w:val="21"/>
                      <w:u w:val="single"/>
                    </w:rPr>
                    <w:t>SO</w:t>
                  </w:r>
                  <w:r>
                    <w:rPr>
                      <w:szCs w:val="21"/>
                      <w:u w:val="single"/>
                      <w:vertAlign w:val="subscript"/>
                    </w:rPr>
                    <w:t>2</w:t>
                  </w:r>
                </w:p>
              </w:tc>
              <w:tc>
                <w:tcPr>
                  <w:tcW w:w="1324" w:type="dxa"/>
                  <w:vMerge w:val="restart"/>
                  <w:tcBorders>
                    <w:tl2br w:val="nil"/>
                    <w:tr2bl w:val="nil"/>
                  </w:tcBorders>
                  <w:vAlign w:val="center"/>
                </w:tcPr>
                <w:p>
                  <w:pPr>
                    <w:tabs>
                      <w:tab w:val="left" w:pos="4620"/>
                    </w:tabs>
                    <w:adjustRightInd w:val="0"/>
                    <w:snapToGrid w:val="0"/>
                    <w:jc w:val="center"/>
                    <w:rPr>
                      <w:szCs w:val="21"/>
                      <w:u w:val="single"/>
                    </w:rPr>
                  </w:pPr>
                  <w:r>
                    <w:rPr>
                      <w:szCs w:val="21"/>
                      <w:u w:val="single"/>
                    </w:rPr>
                    <w:t>NOx</w:t>
                  </w:r>
                </w:p>
              </w:tc>
              <w:tc>
                <w:tcPr>
                  <w:tcW w:w="1572" w:type="dxa"/>
                  <w:vMerge w:val="restart"/>
                  <w:tcBorders>
                    <w:tl2br w:val="nil"/>
                    <w:tr2bl w:val="nil"/>
                  </w:tcBorders>
                  <w:vAlign w:val="center"/>
                </w:tcPr>
                <w:p>
                  <w:pPr>
                    <w:tabs>
                      <w:tab w:val="left" w:pos="4620"/>
                    </w:tabs>
                    <w:adjustRightInd w:val="0"/>
                    <w:snapToGrid w:val="0"/>
                    <w:jc w:val="center"/>
                    <w:rPr>
                      <w:szCs w:val="21"/>
                      <w:u w:val="single"/>
                    </w:rPr>
                  </w:pPr>
                  <w:r>
                    <w:rPr>
                      <w:szCs w:val="21"/>
                      <w:u w:val="single"/>
                    </w:rPr>
                    <w:t>汞及其化合物</w:t>
                  </w:r>
                </w:p>
              </w:tc>
              <w:tc>
                <w:tcPr>
                  <w:tcW w:w="1561" w:type="dxa"/>
                  <w:vMerge w:val="restart"/>
                  <w:tcBorders>
                    <w:tl2br w:val="nil"/>
                    <w:tr2bl w:val="nil"/>
                  </w:tcBorders>
                  <w:vAlign w:val="center"/>
                </w:tcPr>
                <w:p>
                  <w:pPr>
                    <w:tabs>
                      <w:tab w:val="left" w:pos="4620"/>
                    </w:tabs>
                    <w:adjustRightInd w:val="0"/>
                    <w:snapToGrid w:val="0"/>
                    <w:jc w:val="center"/>
                    <w:rPr>
                      <w:szCs w:val="21"/>
                      <w:u w:val="single"/>
                    </w:rPr>
                  </w:pPr>
                  <w:r>
                    <w:rPr>
                      <w:szCs w:val="21"/>
                      <w:u w:val="single"/>
                    </w:rPr>
                    <w:t>烟气黑度（级）</w:t>
                  </w:r>
                </w:p>
              </w:tc>
            </w:tr>
            <w:tr>
              <w:trPr>
                <w:trHeight w:val="340" w:hRule="atLeast"/>
              </w:trPr>
              <w:tc>
                <w:tcPr>
                  <w:tcW w:w="2341" w:type="dxa"/>
                  <w:gridSpan w:val="2"/>
                  <w:vMerge w:val="continue"/>
                  <w:tcBorders>
                    <w:tl2br w:val="nil"/>
                    <w:tr2bl w:val="nil"/>
                  </w:tcBorders>
                  <w:vAlign w:val="center"/>
                </w:tcPr>
                <w:p>
                  <w:pPr>
                    <w:tabs>
                      <w:tab w:val="left" w:pos="4620"/>
                    </w:tabs>
                    <w:adjustRightInd w:val="0"/>
                    <w:snapToGrid w:val="0"/>
                    <w:jc w:val="center"/>
                    <w:rPr>
                      <w:szCs w:val="21"/>
                      <w:u w:val="single"/>
                    </w:rPr>
                  </w:pPr>
                </w:p>
              </w:tc>
              <w:tc>
                <w:tcPr>
                  <w:tcW w:w="1010" w:type="dxa"/>
                  <w:vMerge w:val="continue"/>
                  <w:tcBorders>
                    <w:tl2br w:val="nil"/>
                    <w:tr2bl w:val="nil"/>
                  </w:tcBorders>
                  <w:vAlign w:val="center"/>
                </w:tcPr>
                <w:p>
                  <w:pPr>
                    <w:tabs>
                      <w:tab w:val="left" w:pos="4620"/>
                    </w:tabs>
                    <w:adjustRightInd w:val="0"/>
                    <w:snapToGrid w:val="0"/>
                    <w:jc w:val="center"/>
                    <w:rPr>
                      <w:szCs w:val="21"/>
                      <w:u w:val="single"/>
                    </w:rPr>
                  </w:pPr>
                </w:p>
              </w:tc>
              <w:tc>
                <w:tcPr>
                  <w:tcW w:w="1111" w:type="dxa"/>
                  <w:vMerge w:val="continue"/>
                  <w:tcBorders>
                    <w:tl2br w:val="nil"/>
                    <w:tr2bl w:val="nil"/>
                  </w:tcBorders>
                  <w:vAlign w:val="center"/>
                </w:tcPr>
                <w:p>
                  <w:pPr>
                    <w:tabs>
                      <w:tab w:val="left" w:pos="4620"/>
                    </w:tabs>
                    <w:adjustRightInd w:val="0"/>
                    <w:snapToGrid w:val="0"/>
                    <w:jc w:val="center"/>
                    <w:rPr>
                      <w:szCs w:val="21"/>
                      <w:u w:val="single"/>
                    </w:rPr>
                  </w:pPr>
                </w:p>
              </w:tc>
              <w:tc>
                <w:tcPr>
                  <w:tcW w:w="1324" w:type="dxa"/>
                  <w:vMerge w:val="continue"/>
                  <w:tcBorders>
                    <w:tl2br w:val="nil"/>
                    <w:tr2bl w:val="nil"/>
                  </w:tcBorders>
                  <w:vAlign w:val="center"/>
                </w:tcPr>
                <w:p>
                  <w:pPr>
                    <w:tabs>
                      <w:tab w:val="left" w:pos="4620"/>
                    </w:tabs>
                    <w:adjustRightInd w:val="0"/>
                    <w:snapToGrid w:val="0"/>
                    <w:jc w:val="center"/>
                    <w:rPr>
                      <w:szCs w:val="21"/>
                      <w:u w:val="single"/>
                    </w:rPr>
                  </w:pPr>
                </w:p>
              </w:tc>
              <w:tc>
                <w:tcPr>
                  <w:tcW w:w="1572" w:type="dxa"/>
                  <w:vMerge w:val="continue"/>
                  <w:tcBorders>
                    <w:tl2br w:val="nil"/>
                    <w:tr2bl w:val="nil"/>
                  </w:tcBorders>
                  <w:vAlign w:val="center"/>
                </w:tcPr>
                <w:p>
                  <w:pPr>
                    <w:tabs>
                      <w:tab w:val="left" w:pos="4620"/>
                    </w:tabs>
                    <w:adjustRightInd w:val="0"/>
                    <w:snapToGrid w:val="0"/>
                    <w:jc w:val="center"/>
                    <w:rPr>
                      <w:szCs w:val="21"/>
                      <w:u w:val="single"/>
                    </w:rPr>
                  </w:pPr>
                </w:p>
              </w:tc>
              <w:tc>
                <w:tcPr>
                  <w:tcW w:w="1561" w:type="dxa"/>
                  <w:vMerge w:val="continue"/>
                  <w:tcBorders>
                    <w:tl2br w:val="nil"/>
                    <w:tr2bl w:val="nil"/>
                  </w:tcBorders>
                  <w:vAlign w:val="center"/>
                </w:tcPr>
                <w:p>
                  <w:pPr>
                    <w:tabs>
                      <w:tab w:val="left" w:pos="4620"/>
                    </w:tabs>
                    <w:adjustRightInd w:val="0"/>
                    <w:snapToGrid w:val="0"/>
                    <w:jc w:val="center"/>
                    <w:rPr>
                      <w:szCs w:val="21"/>
                      <w:u w:val="single"/>
                    </w:rPr>
                  </w:pPr>
                </w:p>
              </w:tc>
            </w:tr>
            <w:tr>
              <w:trPr>
                <w:trHeight w:val="340" w:hRule="atLeast"/>
              </w:trPr>
              <w:tc>
                <w:tcPr>
                  <w:tcW w:w="1067" w:type="dxa"/>
                  <w:vMerge w:val="restart"/>
                  <w:tcBorders>
                    <w:tl2br w:val="nil"/>
                    <w:tr2bl w:val="nil"/>
                  </w:tcBorders>
                  <w:vAlign w:val="center"/>
                </w:tcPr>
                <w:p>
                  <w:pPr>
                    <w:tabs>
                      <w:tab w:val="left" w:pos="4620"/>
                    </w:tabs>
                    <w:adjustRightInd w:val="0"/>
                    <w:snapToGrid w:val="0"/>
                    <w:jc w:val="center"/>
                    <w:rPr>
                      <w:szCs w:val="21"/>
                      <w:u w:val="single"/>
                    </w:rPr>
                  </w:pPr>
                  <w:r>
                    <w:rPr>
                      <w:szCs w:val="21"/>
                      <w:u w:val="single"/>
                    </w:rPr>
                    <w:t>2026.5.16</w:t>
                  </w:r>
                </w:p>
              </w:tc>
              <w:tc>
                <w:tcPr>
                  <w:tcW w:w="1274" w:type="dxa"/>
                  <w:tcBorders>
                    <w:tl2br w:val="nil"/>
                    <w:tr2bl w:val="nil"/>
                  </w:tcBorders>
                  <w:vAlign w:val="center"/>
                </w:tcPr>
                <w:p>
                  <w:pPr>
                    <w:tabs>
                      <w:tab w:val="left" w:pos="4620"/>
                    </w:tabs>
                    <w:adjustRightInd w:val="0"/>
                    <w:snapToGrid w:val="0"/>
                    <w:jc w:val="center"/>
                    <w:rPr>
                      <w:szCs w:val="21"/>
                      <w:u w:val="single"/>
                    </w:rPr>
                  </w:pPr>
                  <w:r>
                    <w:rPr>
                      <w:szCs w:val="21"/>
                      <w:u w:val="single"/>
                    </w:rPr>
                    <w:t>第一次</w:t>
                  </w:r>
                </w:p>
              </w:tc>
              <w:tc>
                <w:tcPr>
                  <w:tcW w:w="1010" w:type="dxa"/>
                  <w:tcBorders>
                    <w:tl2br w:val="nil"/>
                    <w:tr2bl w:val="nil"/>
                  </w:tcBorders>
                  <w:vAlign w:val="center"/>
                </w:tcPr>
                <w:p>
                  <w:pPr>
                    <w:tabs>
                      <w:tab w:val="left" w:pos="4620"/>
                    </w:tabs>
                    <w:adjustRightInd w:val="0"/>
                    <w:snapToGrid w:val="0"/>
                    <w:jc w:val="center"/>
                    <w:rPr>
                      <w:szCs w:val="21"/>
                      <w:u w:val="single"/>
                    </w:rPr>
                  </w:pPr>
                  <w:r>
                    <w:rPr>
                      <w:szCs w:val="21"/>
                      <w:u w:val="single"/>
                    </w:rPr>
                    <w:t>4</w:t>
                  </w:r>
                </w:p>
              </w:tc>
              <w:tc>
                <w:tcPr>
                  <w:tcW w:w="1111" w:type="dxa"/>
                  <w:tcBorders>
                    <w:tl2br w:val="nil"/>
                    <w:tr2bl w:val="nil"/>
                  </w:tcBorders>
                  <w:vAlign w:val="center"/>
                </w:tcPr>
                <w:p>
                  <w:pPr>
                    <w:tabs>
                      <w:tab w:val="left" w:pos="4620"/>
                    </w:tabs>
                    <w:adjustRightInd w:val="0"/>
                    <w:snapToGrid w:val="0"/>
                    <w:jc w:val="center"/>
                    <w:rPr>
                      <w:szCs w:val="21"/>
                      <w:u w:val="single"/>
                    </w:rPr>
                  </w:pPr>
                  <w:r>
                    <w:rPr>
                      <w:szCs w:val="21"/>
                      <w:u w:val="single"/>
                    </w:rPr>
                    <w:t>2</w:t>
                  </w:r>
                </w:p>
              </w:tc>
              <w:tc>
                <w:tcPr>
                  <w:tcW w:w="1324" w:type="dxa"/>
                  <w:tcBorders>
                    <w:tl2br w:val="nil"/>
                    <w:tr2bl w:val="nil"/>
                  </w:tcBorders>
                  <w:vAlign w:val="center"/>
                </w:tcPr>
                <w:p>
                  <w:pPr>
                    <w:tabs>
                      <w:tab w:val="left" w:pos="4620"/>
                    </w:tabs>
                    <w:adjustRightInd w:val="0"/>
                    <w:snapToGrid w:val="0"/>
                    <w:jc w:val="center"/>
                    <w:rPr>
                      <w:szCs w:val="21"/>
                      <w:u w:val="single"/>
                    </w:rPr>
                  </w:pPr>
                  <w:r>
                    <w:rPr>
                      <w:szCs w:val="21"/>
                      <w:u w:val="single"/>
                    </w:rPr>
                    <w:t>33</w:t>
                  </w:r>
                </w:p>
              </w:tc>
              <w:tc>
                <w:tcPr>
                  <w:tcW w:w="1572" w:type="dxa"/>
                  <w:tcBorders>
                    <w:tl2br w:val="nil"/>
                    <w:tr2bl w:val="nil"/>
                  </w:tcBorders>
                  <w:vAlign w:val="center"/>
                </w:tcPr>
                <w:p>
                  <w:pPr>
                    <w:tabs>
                      <w:tab w:val="left" w:pos="4620"/>
                    </w:tabs>
                    <w:adjustRightInd w:val="0"/>
                    <w:snapToGrid w:val="0"/>
                    <w:jc w:val="center"/>
                    <w:rPr>
                      <w:szCs w:val="21"/>
                      <w:u w:val="single"/>
                    </w:rPr>
                  </w:pPr>
                  <w:r>
                    <w:rPr>
                      <w:szCs w:val="21"/>
                      <w:u w:val="single"/>
                    </w:rPr>
                    <w:t>未检出</w:t>
                  </w:r>
                </w:p>
              </w:tc>
              <w:tc>
                <w:tcPr>
                  <w:tcW w:w="1561" w:type="dxa"/>
                  <w:tcBorders>
                    <w:tl2br w:val="nil"/>
                    <w:tr2bl w:val="nil"/>
                  </w:tcBorders>
                  <w:vAlign w:val="center"/>
                </w:tcPr>
                <w:p>
                  <w:pPr>
                    <w:tabs>
                      <w:tab w:val="left" w:pos="4620"/>
                    </w:tabs>
                    <w:adjustRightInd w:val="0"/>
                    <w:snapToGrid w:val="0"/>
                    <w:jc w:val="center"/>
                    <w:rPr>
                      <w:szCs w:val="21"/>
                      <w:u w:val="single"/>
                    </w:rPr>
                  </w:pPr>
                  <w:r>
                    <w:rPr>
                      <w:szCs w:val="21"/>
                      <w:u w:val="single"/>
                    </w:rPr>
                    <w:t>＜1</w:t>
                  </w:r>
                </w:p>
              </w:tc>
            </w:tr>
            <w:tr>
              <w:trPr>
                <w:trHeight w:val="340" w:hRule="atLeast"/>
              </w:trPr>
              <w:tc>
                <w:tcPr>
                  <w:tcW w:w="1067" w:type="dxa"/>
                  <w:vMerge w:val="continue"/>
                  <w:tcBorders>
                    <w:tl2br w:val="nil"/>
                    <w:tr2bl w:val="nil"/>
                  </w:tcBorders>
                  <w:vAlign w:val="center"/>
                </w:tcPr>
                <w:p>
                  <w:pPr>
                    <w:tabs>
                      <w:tab w:val="left" w:pos="4620"/>
                    </w:tabs>
                    <w:adjustRightInd w:val="0"/>
                    <w:snapToGrid w:val="0"/>
                    <w:jc w:val="center"/>
                    <w:rPr>
                      <w:szCs w:val="21"/>
                      <w:u w:val="single"/>
                    </w:rPr>
                  </w:pPr>
                </w:p>
              </w:tc>
              <w:tc>
                <w:tcPr>
                  <w:tcW w:w="1274" w:type="dxa"/>
                  <w:tcBorders>
                    <w:tl2br w:val="nil"/>
                    <w:tr2bl w:val="nil"/>
                  </w:tcBorders>
                  <w:vAlign w:val="center"/>
                </w:tcPr>
                <w:p>
                  <w:pPr>
                    <w:adjustRightInd w:val="0"/>
                    <w:snapToGrid w:val="0"/>
                    <w:jc w:val="center"/>
                    <w:rPr>
                      <w:szCs w:val="21"/>
                      <w:u w:val="single"/>
                    </w:rPr>
                  </w:pPr>
                  <w:r>
                    <w:rPr>
                      <w:szCs w:val="21"/>
                      <w:u w:val="single"/>
                    </w:rPr>
                    <w:t>第二次</w:t>
                  </w:r>
                </w:p>
              </w:tc>
              <w:tc>
                <w:tcPr>
                  <w:tcW w:w="1010" w:type="dxa"/>
                  <w:tcBorders>
                    <w:tl2br w:val="nil"/>
                    <w:tr2bl w:val="nil"/>
                  </w:tcBorders>
                  <w:vAlign w:val="center"/>
                </w:tcPr>
                <w:p>
                  <w:pPr>
                    <w:tabs>
                      <w:tab w:val="left" w:pos="4620"/>
                    </w:tabs>
                    <w:adjustRightInd w:val="0"/>
                    <w:snapToGrid w:val="0"/>
                    <w:jc w:val="center"/>
                    <w:rPr>
                      <w:szCs w:val="21"/>
                      <w:u w:val="single"/>
                    </w:rPr>
                  </w:pPr>
                  <w:r>
                    <w:rPr>
                      <w:szCs w:val="21"/>
                      <w:u w:val="single"/>
                    </w:rPr>
                    <w:t>8</w:t>
                  </w:r>
                </w:p>
              </w:tc>
              <w:tc>
                <w:tcPr>
                  <w:tcW w:w="1111" w:type="dxa"/>
                  <w:tcBorders>
                    <w:tl2br w:val="nil"/>
                    <w:tr2bl w:val="nil"/>
                  </w:tcBorders>
                  <w:vAlign w:val="center"/>
                </w:tcPr>
                <w:p>
                  <w:pPr>
                    <w:tabs>
                      <w:tab w:val="left" w:pos="4620"/>
                    </w:tabs>
                    <w:adjustRightInd w:val="0"/>
                    <w:snapToGrid w:val="0"/>
                    <w:jc w:val="center"/>
                    <w:rPr>
                      <w:szCs w:val="21"/>
                      <w:u w:val="single"/>
                    </w:rPr>
                  </w:pPr>
                  <w:r>
                    <w:rPr>
                      <w:szCs w:val="21"/>
                      <w:u w:val="single"/>
                    </w:rPr>
                    <w:t>1</w:t>
                  </w:r>
                </w:p>
              </w:tc>
              <w:tc>
                <w:tcPr>
                  <w:tcW w:w="1324" w:type="dxa"/>
                  <w:tcBorders>
                    <w:tl2br w:val="nil"/>
                    <w:tr2bl w:val="nil"/>
                  </w:tcBorders>
                  <w:vAlign w:val="center"/>
                </w:tcPr>
                <w:p>
                  <w:pPr>
                    <w:tabs>
                      <w:tab w:val="left" w:pos="4620"/>
                    </w:tabs>
                    <w:adjustRightInd w:val="0"/>
                    <w:snapToGrid w:val="0"/>
                    <w:jc w:val="center"/>
                    <w:rPr>
                      <w:szCs w:val="21"/>
                      <w:u w:val="single"/>
                    </w:rPr>
                  </w:pPr>
                  <w:r>
                    <w:rPr>
                      <w:szCs w:val="21"/>
                      <w:u w:val="single"/>
                    </w:rPr>
                    <w:t>62</w:t>
                  </w:r>
                </w:p>
              </w:tc>
              <w:tc>
                <w:tcPr>
                  <w:tcW w:w="1572" w:type="dxa"/>
                  <w:tcBorders>
                    <w:tl2br w:val="nil"/>
                    <w:tr2bl w:val="nil"/>
                  </w:tcBorders>
                  <w:vAlign w:val="center"/>
                </w:tcPr>
                <w:p>
                  <w:pPr>
                    <w:adjustRightInd w:val="0"/>
                    <w:snapToGrid w:val="0"/>
                    <w:jc w:val="center"/>
                    <w:rPr>
                      <w:szCs w:val="21"/>
                      <w:u w:val="single"/>
                    </w:rPr>
                  </w:pPr>
                  <w:r>
                    <w:rPr>
                      <w:szCs w:val="21"/>
                      <w:u w:val="single"/>
                    </w:rPr>
                    <w:t>未检出</w:t>
                  </w:r>
                </w:p>
              </w:tc>
              <w:tc>
                <w:tcPr>
                  <w:tcW w:w="1561" w:type="dxa"/>
                  <w:tcBorders>
                    <w:tl2br w:val="nil"/>
                    <w:tr2bl w:val="nil"/>
                  </w:tcBorders>
                  <w:vAlign w:val="center"/>
                </w:tcPr>
                <w:p>
                  <w:pPr>
                    <w:tabs>
                      <w:tab w:val="left" w:pos="4620"/>
                    </w:tabs>
                    <w:adjustRightInd w:val="0"/>
                    <w:snapToGrid w:val="0"/>
                    <w:jc w:val="center"/>
                    <w:rPr>
                      <w:szCs w:val="21"/>
                      <w:u w:val="single"/>
                    </w:rPr>
                  </w:pPr>
                  <w:r>
                    <w:rPr>
                      <w:szCs w:val="21"/>
                      <w:u w:val="single"/>
                    </w:rPr>
                    <w:t>＜1</w:t>
                  </w:r>
                </w:p>
              </w:tc>
            </w:tr>
            <w:tr>
              <w:trPr>
                <w:trHeight w:val="340" w:hRule="atLeast"/>
              </w:trPr>
              <w:tc>
                <w:tcPr>
                  <w:tcW w:w="1067" w:type="dxa"/>
                  <w:vMerge w:val="continue"/>
                  <w:tcBorders>
                    <w:tl2br w:val="nil"/>
                    <w:tr2bl w:val="nil"/>
                  </w:tcBorders>
                  <w:vAlign w:val="center"/>
                </w:tcPr>
                <w:p>
                  <w:pPr>
                    <w:tabs>
                      <w:tab w:val="left" w:pos="4620"/>
                    </w:tabs>
                    <w:adjustRightInd w:val="0"/>
                    <w:snapToGrid w:val="0"/>
                    <w:jc w:val="center"/>
                    <w:rPr>
                      <w:szCs w:val="21"/>
                      <w:u w:val="single"/>
                    </w:rPr>
                  </w:pPr>
                </w:p>
              </w:tc>
              <w:tc>
                <w:tcPr>
                  <w:tcW w:w="1274" w:type="dxa"/>
                  <w:tcBorders>
                    <w:tl2br w:val="nil"/>
                    <w:tr2bl w:val="nil"/>
                  </w:tcBorders>
                  <w:vAlign w:val="center"/>
                </w:tcPr>
                <w:p>
                  <w:pPr>
                    <w:adjustRightInd w:val="0"/>
                    <w:snapToGrid w:val="0"/>
                    <w:jc w:val="center"/>
                    <w:rPr>
                      <w:szCs w:val="21"/>
                      <w:u w:val="single"/>
                    </w:rPr>
                  </w:pPr>
                  <w:r>
                    <w:rPr>
                      <w:szCs w:val="21"/>
                      <w:u w:val="single"/>
                    </w:rPr>
                    <w:t>第三次</w:t>
                  </w:r>
                </w:p>
              </w:tc>
              <w:tc>
                <w:tcPr>
                  <w:tcW w:w="1010" w:type="dxa"/>
                  <w:tcBorders>
                    <w:tl2br w:val="nil"/>
                    <w:tr2bl w:val="nil"/>
                  </w:tcBorders>
                  <w:vAlign w:val="center"/>
                </w:tcPr>
                <w:p>
                  <w:pPr>
                    <w:tabs>
                      <w:tab w:val="left" w:pos="4620"/>
                    </w:tabs>
                    <w:adjustRightInd w:val="0"/>
                    <w:snapToGrid w:val="0"/>
                    <w:jc w:val="center"/>
                    <w:rPr>
                      <w:szCs w:val="21"/>
                      <w:u w:val="single"/>
                    </w:rPr>
                  </w:pPr>
                  <w:r>
                    <w:rPr>
                      <w:szCs w:val="21"/>
                      <w:u w:val="single"/>
                    </w:rPr>
                    <w:t>7</w:t>
                  </w:r>
                </w:p>
              </w:tc>
              <w:tc>
                <w:tcPr>
                  <w:tcW w:w="1111" w:type="dxa"/>
                  <w:tcBorders>
                    <w:tl2br w:val="nil"/>
                    <w:tr2bl w:val="nil"/>
                  </w:tcBorders>
                  <w:vAlign w:val="center"/>
                </w:tcPr>
                <w:p>
                  <w:pPr>
                    <w:tabs>
                      <w:tab w:val="left" w:pos="4620"/>
                    </w:tabs>
                    <w:adjustRightInd w:val="0"/>
                    <w:snapToGrid w:val="0"/>
                    <w:jc w:val="center"/>
                    <w:rPr>
                      <w:szCs w:val="21"/>
                      <w:u w:val="single"/>
                    </w:rPr>
                  </w:pPr>
                  <w:r>
                    <w:rPr>
                      <w:szCs w:val="21"/>
                      <w:u w:val="single"/>
                    </w:rPr>
                    <w:t>1</w:t>
                  </w:r>
                </w:p>
              </w:tc>
              <w:tc>
                <w:tcPr>
                  <w:tcW w:w="1324" w:type="dxa"/>
                  <w:tcBorders>
                    <w:tl2br w:val="nil"/>
                    <w:tr2bl w:val="nil"/>
                  </w:tcBorders>
                  <w:vAlign w:val="center"/>
                </w:tcPr>
                <w:p>
                  <w:pPr>
                    <w:tabs>
                      <w:tab w:val="left" w:pos="4620"/>
                    </w:tabs>
                    <w:adjustRightInd w:val="0"/>
                    <w:snapToGrid w:val="0"/>
                    <w:jc w:val="center"/>
                    <w:rPr>
                      <w:szCs w:val="21"/>
                      <w:u w:val="single"/>
                    </w:rPr>
                  </w:pPr>
                  <w:r>
                    <w:rPr>
                      <w:szCs w:val="21"/>
                      <w:u w:val="single"/>
                    </w:rPr>
                    <w:t>67</w:t>
                  </w:r>
                </w:p>
              </w:tc>
              <w:tc>
                <w:tcPr>
                  <w:tcW w:w="1572" w:type="dxa"/>
                  <w:tcBorders>
                    <w:tl2br w:val="nil"/>
                    <w:tr2bl w:val="nil"/>
                  </w:tcBorders>
                  <w:vAlign w:val="center"/>
                </w:tcPr>
                <w:p>
                  <w:pPr>
                    <w:adjustRightInd w:val="0"/>
                    <w:snapToGrid w:val="0"/>
                    <w:jc w:val="center"/>
                    <w:rPr>
                      <w:szCs w:val="21"/>
                      <w:u w:val="single"/>
                    </w:rPr>
                  </w:pPr>
                  <w:r>
                    <w:rPr>
                      <w:szCs w:val="21"/>
                      <w:u w:val="single"/>
                    </w:rPr>
                    <w:t>未检出</w:t>
                  </w:r>
                </w:p>
              </w:tc>
              <w:tc>
                <w:tcPr>
                  <w:tcW w:w="1561" w:type="dxa"/>
                  <w:tcBorders>
                    <w:tl2br w:val="nil"/>
                    <w:tr2bl w:val="nil"/>
                  </w:tcBorders>
                  <w:vAlign w:val="center"/>
                </w:tcPr>
                <w:p>
                  <w:pPr>
                    <w:tabs>
                      <w:tab w:val="left" w:pos="4620"/>
                    </w:tabs>
                    <w:adjustRightInd w:val="0"/>
                    <w:snapToGrid w:val="0"/>
                    <w:jc w:val="center"/>
                    <w:rPr>
                      <w:szCs w:val="21"/>
                      <w:u w:val="single"/>
                    </w:rPr>
                  </w:pPr>
                  <w:r>
                    <w:rPr>
                      <w:szCs w:val="21"/>
                      <w:u w:val="single"/>
                    </w:rPr>
                    <w:t>＜1</w:t>
                  </w:r>
                </w:p>
              </w:tc>
            </w:tr>
            <w:tr>
              <w:trPr>
                <w:trHeight w:val="340" w:hRule="atLeast"/>
              </w:trPr>
              <w:tc>
                <w:tcPr>
                  <w:tcW w:w="2341" w:type="dxa"/>
                  <w:gridSpan w:val="2"/>
                  <w:tcBorders>
                    <w:tl2br w:val="nil"/>
                    <w:tr2bl w:val="nil"/>
                  </w:tcBorders>
                  <w:vAlign w:val="center"/>
                </w:tcPr>
                <w:p>
                  <w:pPr>
                    <w:tabs>
                      <w:tab w:val="left" w:pos="4620"/>
                    </w:tabs>
                    <w:adjustRightInd w:val="0"/>
                    <w:snapToGrid w:val="0"/>
                    <w:jc w:val="center"/>
                    <w:rPr>
                      <w:szCs w:val="21"/>
                      <w:u w:val="single"/>
                    </w:rPr>
                  </w:pPr>
                  <w:r>
                    <w:rPr>
                      <w:szCs w:val="21"/>
                      <w:u w:val="single"/>
                    </w:rPr>
                    <w:t>标准限值</w:t>
                  </w:r>
                </w:p>
              </w:tc>
              <w:tc>
                <w:tcPr>
                  <w:tcW w:w="1010" w:type="dxa"/>
                  <w:tcBorders>
                    <w:tl2br w:val="nil"/>
                    <w:tr2bl w:val="nil"/>
                  </w:tcBorders>
                  <w:vAlign w:val="center"/>
                </w:tcPr>
                <w:p>
                  <w:pPr>
                    <w:tabs>
                      <w:tab w:val="left" w:pos="4620"/>
                    </w:tabs>
                    <w:adjustRightInd w:val="0"/>
                    <w:snapToGrid w:val="0"/>
                    <w:jc w:val="center"/>
                    <w:rPr>
                      <w:szCs w:val="21"/>
                      <w:u w:val="single"/>
                    </w:rPr>
                  </w:pPr>
                  <w:r>
                    <w:rPr>
                      <w:szCs w:val="21"/>
                      <w:u w:val="single"/>
                    </w:rPr>
                    <w:t>50</w:t>
                  </w:r>
                </w:p>
              </w:tc>
              <w:tc>
                <w:tcPr>
                  <w:tcW w:w="1111" w:type="dxa"/>
                  <w:tcBorders>
                    <w:tl2br w:val="nil"/>
                    <w:tr2bl w:val="nil"/>
                  </w:tcBorders>
                  <w:vAlign w:val="center"/>
                </w:tcPr>
                <w:p>
                  <w:pPr>
                    <w:tabs>
                      <w:tab w:val="left" w:pos="4620"/>
                    </w:tabs>
                    <w:adjustRightInd w:val="0"/>
                    <w:snapToGrid w:val="0"/>
                    <w:jc w:val="center"/>
                    <w:rPr>
                      <w:szCs w:val="21"/>
                      <w:u w:val="single"/>
                    </w:rPr>
                  </w:pPr>
                  <w:r>
                    <w:rPr>
                      <w:szCs w:val="21"/>
                      <w:u w:val="single"/>
                    </w:rPr>
                    <w:t>300</w:t>
                  </w:r>
                </w:p>
              </w:tc>
              <w:tc>
                <w:tcPr>
                  <w:tcW w:w="1324" w:type="dxa"/>
                  <w:tcBorders>
                    <w:tl2br w:val="nil"/>
                    <w:tr2bl w:val="nil"/>
                  </w:tcBorders>
                  <w:vAlign w:val="center"/>
                </w:tcPr>
                <w:p>
                  <w:pPr>
                    <w:tabs>
                      <w:tab w:val="left" w:pos="4620"/>
                    </w:tabs>
                    <w:adjustRightInd w:val="0"/>
                    <w:snapToGrid w:val="0"/>
                    <w:jc w:val="center"/>
                    <w:rPr>
                      <w:szCs w:val="21"/>
                      <w:u w:val="single"/>
                    </w:rPr>
                  </w:pPr>
                  <w:r>
                    <w:rPr>
                      <w:szCs w:val="21"/>
                      <w:u w:val="single"/>
                    </w:rPr>
                    <w:t>300</w:t>
                  </w:r>
                </w:p>
              </w:tc>
              <w:tc>
                <w:tcPr>
                  <w:tcW w:w="1572" w:type="dxa"/>
                  <w:tcBorders>
                    <w:tl2br w:val="nil"/>
                    <w:tr2bl w:val="nil"/>
                  </w:tcBorders>
                  <w:vAlign w:val="center"/>
                </w:tcPr>
                <w:p>
                  <w:pPr>
                    <w:tabs>
                      <w:tab w:val="left" w:pos="4620"/>
                    </w:tabs>
                    <w:adjustRightInd w:val="0"/>
                    <w:snapToGrid w:val="0"/>
                    <w:jc w:val="center"/>
                    <w:rPr>
                      <w:szCs w:val="21"/>
                      <w:u w:val="single"/>
                    </w:rPr>
                  </w:pPr>
                  <w:r>
                    <w:rPr>
                      <w:szCs w:val="21"/>
                      <w:u w:val="single"/>
                    </w:rPr>
                    <w:t>0.05</w:t>
                  </w:r>
                </w:p>
              </w:tc>
              <w:tc>
                <w:tcPr>
                  <w:tcW w:w="1561" w:type="dxa"/>
                  <w:tcBorders>
                    <w:tl2br w:val="nil"/>
                    <w:tr2bl w:val="nil"/>
                  </w:tcBorders>
                  <w:vAlign w:val="center"/>
                </w:tcPr>
                <w:p>
                  <w:pPr>
                    <w:tabs>
                      <w:tab w:val="left" w:pos="4620"/>
                    </w:tabs>
                    <w:adjustRightInd w:val="0"/>
                    <w:snapToGrid w:val="0"/>
                    <w:jc w:val="center"/>
                    <w:rPr>
                      <w:szCs w:val="21"/>
                      <w:u w:val="single"/>
                    </w:rPr>
                  </w:pPr>
                  <w:r>
                    <w:rPr>
                      <w:szCs w:val="21"/>
                      <w:u w:val="single"/>
                    </w:rPr>
                    <w:t>1</w:t>
                  </w:r>
                </w:p>
              </w:tc>
            </w:tr>
            <w:tr>
              <w:trPr>
                <w:trHeight w:val="340" w:hRule="atLeast"/>
              </w:trPr>
              <w:tc>
                <w:tcPr>
                  <w:tcW w:w="2341" w:type="dxa"/>
                  <w:gridSpan w:val="2"/>
                  <w:tcBorders>
                    <w:tl2br w:val="nil"/>
                    <w:tr2bl w:val="nil"/>
                  </w:tcBorders>
                  <w:vAlign w:val="center"/>
                </w:tcPr>
                <w:p>
                  <w:pPr>
                    <w:tabs>
                      <w:tab w:val="left" w:pos="4620"/>
                    </w:tabs>
                    <w:adjustRightInd w:val="0"/>
                    <w:snapToGrid w:val="0"/>
                    <w:jc w:val="center"/>
                    <w:rPr>
                      <w:szCs w:val="21"/>
                      <w:u w:val="single"/>
                    </w:rPr>
                  </w:pPr>
                  <w:r>
                    <w:rPr>
                      <w:szCs w:val="21"/>
                      <w:u w:val="single"/>
                    </w:rPr>
                    <w:t>是否达标</w:t>
                  </w:r>
                </w:p>
              </w:tc>
              <w:tc>
                <w:tcPr>
                  <w:tcW w:w="1010" w:type="dxa"/>
                  <w:tcBorders>
                    <w:tl2br w:val="nil"/>
                    <w:tr2bl w:val="nil"/>
                  </w:tcBorders>
                  <w:vAlign w:val="center"/>
                </w:tcPr>
                <w:p>
                  <w:pPr>
                    <w:tabs>
                      <w:tab w:val="left" w:pos="4620"/>
                    </w:tabs>
                    <w:adjustRightInd w:val="0"/>
                    <w:snapToGrid w:val="0"/>
                    <w:jc w:val="center"/>
                    <w:rPr>
                      <w:szCs w:val="21"/>
                      <w:u w:val="single"/>
                    </w:rPr>
                  </w:pPr>
                  <w:r>
                    <w:rPr>
                      <w:szCs w:val="21"/>
                      <w:u w:val="single"/>
                    </w:rPr>
                    <w:t>达标</w:t>
                  </w:r>
                </w:p>
              </w:tc>
              <w:tc>
                <w:tcPr>
                  <w:tcW w:w="1111" w:type="dxa"/>
                  <w:tcBorders>
                    <w:tl2br w:val="nil"/>
                    <w:tr2bl w:val="nil"/>
                  </w:tcBorders>
                  <w:vAlign w:val="center"/>
                </w:tcPr>
                <w:p>
                  <w:pPr>
                    <w:tabs>
                      <w:tab w:val="left" w:pos="4620"/>
                    </w:tabs>
                    <w:adjustRightInd w:val="0"/>
                    <w:snapToGrid w:val="0"/>
                    <w:jc w:val="center"/>
                    <w:rPr>
                      <w:szCs w:val="21"/>
                      <w:u w:val="single"/>
                    </w:rPr>
                  </w:pPr>
                  <w:r>
                    <w:rPr>
                      <w:szCs w:val="21"/>
                      <w:u w:val="single"/>
                    </w:rPr>
                    <w:t>达标</w:t>
                  </w:r>
                </w:p>
              </w:tc>
              <w:tc>
                <w:tcPr>
                  <w:tcW w:w="1324" w:type="dxa"/>
                  <w:tcBorders>
                    <w:tl2br w:val="nil"/>
                    <w:tr2bl w:val="nil"/>
                  </w:tcBorders>
                  <w:vAlign w:val="center"/>
                </w:tcPr>
                <w:p>
                  <w:pPr>
                    <w:tabs>
                      <w:tab w:val="left" w:pos="4620"/>
                    </w:tabs>
                    <w:adjustRightInd w:val="0"/>
                    <w:snapToGrid w:val="0"/>
                    <w:jc w:val="center"/>
                    <w:rPr>
                      <w:szCs w:val="21"/>
                      <w:u w:val="single"/>
                    </w:rPr>
                  </w:pPr>
                  <w:r>
                    <w:rPr>
                      <w:szCs w:val="21"/>
                      <w:u w:val="single"/>
                    </w:rPr>
                    <w:t>达标</w:t>
                  </w:r>
                </w:p>
              </w:tc>
              <w:tc>
                <w:tcPr>
                  <w:tcW w:w="1572" w:type="dxa"/>
                  <w:tcBorders>
                    <w:tl2br w:val="nil"/>
                    <w:tr2bl w:val="nil"/>
                  </w:tcBorders>
                  <w:vAlign w:val="center"/>
                </w:tcPr>
                <w:p>
                  <w:pPr>
                    <w:tabs>
                      <w:tab w:val="left" w:pos="4620"/>
                    </w:tabs>
                    <w:adjustRightInd w:val="0"/>
                    <w:snapToGrid w:val="0"/>
                    <w:jc w:val="center"/>
                    <w:rPr>
                      <w:szCs w:val="21"/>
                      <w:u w:val="single"/>
                    </w:rPr>
                  </w:pPr>
                  <w:r>
                    <w:rPr>
                      <w:szCs w:val="21"/>
                      <w:u w:val="single"/>
                    </w:rPr>
                    <w:t>达标</w:t>
                  </w:r>
                </w:p>
              </w:tc>
              <w:tc>
                <w:tcPr>
                  <w:tcW w:w="1561" w:type="dxa"/>
                  <w:tcBorders>
                    <w:tl2br w:val="nil"/>
                    <w:tr2bl w:val="nil"/>
                  </w:tcBorders>
                  <w:vAlign w:val="center"/>
                </w:tcPr>
                <w:p>
                  <w:pPr>
                    <w:tabs>
                      <w:tab w:val="left" w:pos="4620"/>
                    </w:tabs>
                    <w:adjustRightInd w:val="0"/>
                    <w:snapToGrid w:val="0"/>
                    <w:jc w:val="center"/>
                    <w:rPr>
                      <w:szCs w:val="21"/>
                      <w:u w:val="single"/>
                    </w:rPr>
                  </w:pPr>
                  <w:r>
                    <w:rPr>
                      <w:szCs w:val="21"/>
                      <w:u w:val="single"/>
                    </w:rPr>
                    <w:t>达标</w:t>
                  </w:r>
                </w:p>
              </w:tc>
            </w:tr>
          </w:tbl>
          <w:p>
            <w:pPr>
              <w:pStyle w:val="9"/>
              <w:spacing w:line="240" w:lineRule="auto"/>
              <w:ind w:firstLine="0" w:firstLineChars="0"/>
              <w:jc w:val="center"/>
              <w:rPr>
                <w:rFonts w:cs="Times New Roman"/>
                <w:u w:val="single"/>
              </w:rPr>
            </w:pPr>
          </w:p>
          <w:p>
            <w:pPr>
              <w:pStyle w:val="9"/>
              <w:spacing w:line="240" w:lineRule="auto"/>
              <w:ind w:firstLine="0" w:firstLineChars="0"/>
              <w:jc w:val="center"/>
              <w:rPr>
                <w:rFonts w:cs="Times New Roman"/>
                <w:u w:val="single"/>
              </w:rPr>
            </w:pPr>
            <w:r>
              <w:rPr>
                <w:rFonts w:hint="eastAsia" w:cs="Times New Roman"/>
                <w:u w:val="single"/>
              </w:rPr>
              <w:t>表17  污水处理站废气有组织排放情况一览表</w:t>
            </w:r>
          </w:p>
          <w:tbl>
            <w:tblPr>
              <w:tblW w:w="8919"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96"/>
              <w:gridCol w:w="1127"/>
              <w:gridCol w:w="1291"/>
              <w:gridCol w:w="1278"/>
              <w:gridCol w:w="1357"/>
              <w:gridCol w:w="1313"/>
              <w:gridCol w:w="1357"/>
            </w:tblGrid>
            <w:tr>
              <w:trPr>
                <w:trHeight w:val="340" w:hRule="atLeast"/>
              </w:trPr>
              <w:tc>
                <w:tcPr>
                  <w:tcW w:w="2323" w:type="dxa"/>
                  <w:gridSpan w:val="2"/>
                  <w:vMerge w:val="restart"/>
                  <w:tcBorders>
                    <w:tl2br w:val="nil"/>
                    <w:tr2bl w:val="nil"/>
                  </w:tcBorders>
                  <w:vAlign w:val="center"/>
                </w:tcPr>
                <w:p>
                  <w:pPr>
                    <w:tabs>
                      <w:tab w:val="left" w:pos="4620"/>
                    </w:tabs>
                    <w:adjustRightInd w:val="0"/>
                    <w:snapToGrid w:val="0"/>
                    <w:jc w:val="center"/>
                    <w:rPr>
                      <w:szCs w:val="21"/>
                      <w:u w:val="single"/>
                    </w:rPr>
                  </w:pPr>
                  <w:r>
                    <w:rPr>
                      <w:szCs w:val="21"/>
                      <w:u w:val="single"/>
                    </w:rPr>
                    <w:t>监测日期</w:t>
                  </w:r>
                </w:p>
              </w:tc>
              <w:tc>
                <w:tcPr>
                  <w:tcW w:w="2569" w:type="dxa"/>
                  <w:gridSpan w:val="2"/>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氨</w:t>
                  </w:r>
                </w:p>
              </w:tc>
              <w:tc>
                <w:tcPr>
                  <w:tcW w:w="2670" w:type="dxa"/>
                  <w:gridSpan w:val="2"/>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硫化氢</w:t>
                  </w:r>
                </w:p>
              </w:tc>
              <w:tc>
                <w:tcPr>
                  <w:tcW w:w="1357"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臭气浓度</w:t>
                  </w:r>
                </w:p>
              </w:tc>
            </w:tr>
            <w:tr>
              <w:trPr>
                <w:trHeight w:val="312" w:hRule="atLeast"/>
              </w:trPr>
              <w:tc>
                <w:tcPr>
                  <w:tcW w:w="2323" w:type="dxa"/>
                  <w:gridSpan w:val="2"/>
                  <w:vMerge w:val="continue"/>
                  <w:tcBorders>
                    <w:tl2br w:val="nil"/>
                    <w:tr2bl w:val="nil"/>
                  </w:tcBorders>
                  <w:vAlign w:val="center"/>
                </w:tcPr>
                <w:p>
                  <w:pPr>
                    <w:tabs>
                      <w:tab w:val="left" w:pos="4620"/>
                    </w:tabs>
                    <w:adjustRightInd w:val="0"/>
                    <w:snapToGrid w:val="0"/>
                    <w:jc w:val="center"/>
                    <w:rPr>
                      <w:szCs w:val="21"/>
                      <w:u w:val="single"/>
                    </w:rPr>
                  </w:pPr>
                </w:p>
              </w:tc>
              <w:tc>
                <w:tcPr>
                  <w:tcW w:w="1291"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排放浓度</w:t>
                  </w:r>
                </w:p>
                <w:p>
                  <w:pPr>
                    <w:tabs>
                      <w:tab w:val="left" w:pos="4620"/>
                    </w:tabs>
                    <w:adjustRightInd w:val="0"/>
                    <w:snapToGrid w:val="0"/>
                    <w:jc w:val="center"/>
                    <w:rPr>
                      <w:szCs w:val="21"/>
                      <w:u w:val="single"/>
                    </w:rPr>
                  </w:pPr>
                  <w:r>
                    <w:rPr>
                      <w:rFonts w:hint="eastAsia"/>
                      <w:szCs w:val="21"/>
                      <w:u w:val="single"/>
                    </w:rPr>
                    <w:t>（mg/m</w:t>
                  </w:r>
                  <w:r>
                    <w:rPr>
                      <w:rFonts w:hint="eastAsia"/>
                      <w:szCs w:val="21"/>
                      <w:u w:val="single"/>
                      <w:vertAlign w:val="superscript"/>
                    </w:rPr>
                    <w:t>3</w:t>
                  </w:r>
                  <w:r>
                    <w:rPr>
                      <w:rFonts w:hint="eastAsia"/>
                      <w:szCs w:val="21"/>
                      <w:u w:val="single"/>
                    </w:rPr>
                    <w:t>）</w:t>
                  </w:r>
                </w:p>
              </w:tc>
              <w:tc>
                <w:tcPr>
                  <w:tcW w:w="1278"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排放速率</w:t>
                  </w:r>
                </w:p>
                <w:p>
                  <w:pPr>
                    <w:tabs>
                      <w:tab w:val="left" w:pos="4620"/>
                    </w:tabs>
                    <w:adjustRightInd w:val="0"/>
                    <w:snapToGrid w:val="0"/>
                    <w:jc w:val="center"/>
                    <w:rPr>
                      <w:szCs w:val="21"/>
                      <w:u w:val="single"/>
                    </w:rPr>
                  </w:pPr>
                  <w:r>
                    <w:rPr>
                      <w:rFonts w:hint="eastAsia"/>
                      <w:szCs w:val="21"/>
                      <w:u w:val="single"/>
                    </w:rPr>
                    <w:t>（kg/h）</w:t>
                  </w:r>
                </w:p>
              </w:tc>
              <w:tc>
                <w:tcPr>
                  <w:tcW w:w="1357"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排放浓度</w:t>
                  </w:r>
                </w:p>
                <w:p>
                  <w:pPr>
                    <w:tabs>
                      <w:tab w:val="left" w:pos="4620"/>
                    </w:tabs>
                    <w:adjustRightInd w:val="0"/>
                    <w:snapToGrid w:val="0"/>
                    <w:jc w:val="center"/>
                    <w:rPr>
                      <w:szCs w:val="21"/>
                      <w:u w:val="single"/>
                    </w:rPr>
                  </w:pPr>
                  <w:r>
                    <w:rPr>
                      <w:rFonts w:hint="eastAsia"/>
                      <w:szCs w:val="21"/>
                      <w:u w:val="single"/>
                    </w:rPr>
                    <w:t>（mg/m</w:t>
                  </w:r>
                  <w:r>
                    <w:rPr>
                      <w:rFonts w:hint="eastAsia"/>
                      <w:szCs w:val="21"/>
                      <w:u w:val="single"/>
                      <w:vertAlign w:val="superscript"/>
                    </w:rPr>
                    <w:t>3</w:t>
                  </w:r>
                  <w:r>
                    <w:rPr>
                      <w:rFonts w:hint="eastAsia"/>
                      <w:szCs w:val="21"/>
                      <w:u w:val="single"/>
                    </w:rPr>
                    <w:t>）</w:t>
                  </w:r>
                </w:p>
              </w:tc>
              <w:tc>
                <w:tcPr>
                  <w:tcW w:w="131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排放速率</w:t>
                  </w:r>
                </w:p>
                <w:p>
                  <w:pPr>
                    <w:tabs>
                      <w:tab w:val="left" w:pos="4620"/>
                    </w:tabs>
                    <w:adjustRightInd w:val="0"/>
                    <w:snapToGrid w:val="0"/>
                    <w:jc w:val="center"/>
                    <w:rPr>
                      <w:szCs w:val="21"/>
                      <w:u w:val="single"/>
                    </w:rPr>
                  </w:pPr>
                  <w:r>
                    <w:rPr>
                      <w:rFonts w:hint="eastAsia"/>
                      <w:szCs w:val="21"/>
                      <w:u w:val="single"/>
                    </w:rPr>
                    <w:t>（kg/h）</w:t>
                  </w:r>
                </w:p>
              </w:tc>
              <w:tc>
                <w:tcPr>
                  <w:tcW w:w="1357"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排放浓度</w:t>
                  </w:r>
                </w:p>
                <w:p>
                  <w:pPr>
                    <w:tabs>
                      <w:tab w:val="left" w:pos="4620"/>
                    </w:tabs>
                    <w:adjustRightInd w:val="0"/>
                    <w:snapToGrid w:val="0"/>
                    <w:jc w:val="center"/>
                    <w:rPr>
                      <w:szCs w:val="21"/>
                      <w:u w:val="single"/>
                    </w:rPr>
                  </w:pPr>
                  <w:r>
                    <w:rPr>
                      <w:rFonts w:hint="eastAsia"/>
                      <w:szCs w:val="21"/>
                      <w:u w:val="single"/>
                    </w:rPr>
                    <w:t>（mg/m</w:t>
                  </w:r>
                  <w:r>
                    <w:rPr>
                      <w:rFonts w:hint="eastAsia"/>
                      <w:szCs w:val="21"/>
                      <w:u w:val="single"/>
                      <w:vertAlign w:val="superscript"/>
                    </w:rPr>
                    <w:t>3</w:t>
                  </w:r>
                  <w:r>
                    <w:rPr>
                      <w:rFonts w:hint="eastAsia"/>
                      <w:szCs w:val="21"/>
                      <w:u w:val="single"/>
                    </w:rPr>
                    <w:t>）</w:t>
                  </w:r>
                </w:p>
              </w:tc>
            </w:tr>
            <w:tr>
              <w:trPr>
                <w:trHeight w:val="340" w:hRule="atLeast"/>
              </w:trPr>
              <w:tc>
                <w:tcPr>
                  <w:tcW w:w="1196" w:type="dxa"/>
                  <w:vMerge w:val="restart"/>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2026.1.9</w:t>
                  </w:r>
                </w:p>
              </w:tc>
              <w:tc>
                <w:tcPr>
                  <w:tcW w:w="1127" w:type="dxa"/>
                  <w:tcBorders>
                    <w:tl2br w:val="nil"/>
                    <w:tr2bl w:val="nil"/>
                  </w:tcBorders>
                  <w:vAlign w:val="center"/>
                </w:tcPr>
                <w:p>
                  <w:pPr>
                    <w:tabs>
                      <w:tab w:val="left" w:pos="4620"/>
                    </w:tabs>
                    <w:adjustRightInd w:val="0"/>
                    <w:snapToGrid w:val="0"/>
                    <w:jc w:val="center"/>
                    <w:rPr>
                      <w:szCs w:val="21"/>
                      <w:u w:val="single"/>
                    </w:rPr>
                  </w:pPr>
                  <w:r>
                    <w:rPr>
                      <w:szCs w:val="21"/>
                      <w:u w:val="single"/>
                    </w:rPr>
                    <w:t>第一次</w:t>
                  </w:r>
                </w:p>
              </w:tc>
              <w:tc>
                <w:tcPr>
                  <w:tcW w:w="1291"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133</w:t>
                  </w:r>
                </w:p>
              </w:tc>
              <w:tc>
                <w:tcPr>
                  <w:tcW w:w="1278"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1.10</w:t>
                  </w:r>
                </w:p>
              </w:tc>
              <w:tc>
                <w:tcPr>
                  <w:tcW w:w="1357"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9.65</w:t>
                  </w:r>
                </w:p>
              </w:tc>
              <w:tc>
                <w:tcPr>
                  <w:tcW w:w="131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0.078</w:t>
                  </w:r>
                </w:p>
              </w:tc>
              <w:tc>
                <w:tcPr>
                  <w:tcW w:w="1357"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977</w:t>
                  </w:r>
                </w:p>
              </w:tc>
            </w:tr>
            <w:tr>
              <w:trPr>
                <w:trHeight w:val="340" w:hRule="atLeast"/>
              </w:trPr>
              <w:tc>
                <w:tcPr>
                  <w:tcW w:w="1196" w:type="dxa"/>
                  <w:vMerge w:val="continue"/>
                  <w:tcBorders>
                    <w:tl2br w:val="nil"/>
                    <w:tr2bl w:val="nil"/>
                  </w:tcBorders>
                  <w:vAlign w:val="center"/>
                </w:tcPr>
                <w:p>
                  <w:pPr>
                    <w:tabs>
                      <w:tab w:val="left" w:pos="4620"/>
                    </w:tabs>
                    <w:adjustRightInd w:val="0"/>
                    <w:snapToGrid w:val="0"/>
                    <w:jc w:val="center"/>
                    <w:rPr>
                      <w:szCs w:val="21"/>
                      <w:u w:val="single"/>
                    </w:rPr>
                  </w:pPr>
                </w:p>
              </w:tc>
              <w:tc>
                <w:tcPr>
                  <w:tcW w:w="1127" w:type="dxa"/>
                  <w:tcBorders>
                    <w:tl2br w:val="nil"/>
                    <w:tr2bl w:val="nil"/>
                  </w:tcBorders>
                  <w:vAlign w:val="center"/>
                </w:tcPr>
                <w:p>
                  <w:pPr>
                    <w:adjustRightInd w:val="0"/>
                    <w:snapToGrid w:val="0"/>
                    <w:jc w:val="center"/>
                    <w:rPr>
                      <w:szCs w:val="21"/>
                      <w:u w:val="single"/>
                    </w:rPr>
                  </w:pPr>
                  <w:r>
                    <w:rPr>
                      <w:szCs w:val="21"/>
                      <w:u w:val="single"/>
                    </w:rPr>
                    <w:t>第二次</w:t>
                  </w:r>
                </w:p>
              </w:tc>
              <w:tc>
                <w:tcPr>
                  <w:tcW w:w="1291"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135</w:t>
                  </w:r>
                </w:p>
              </w:tc>
              <w:tc>
                <w:tcPr>
                  <w:tcW w:w="1278"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1.10</w:t>
                  </w:r>
                </w:p>
              </w:tc>
              <w:tc>
                <w:tcPr>
                  <w:tcW w:w="1357"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9.76</w:t>
                  </w:r>
                </w:p>
              </w:tc>
              <w:tc>
                <w:tcPr>
                  <w:tcW w:w="131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0.080</w:t>
                  </w:r>
                </w:p>
              </w:tc>
              <w:tc>
                <w:tcPr>
                  <w:tcW w:w="1357"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1122</w:t>
                  </w:r>
                </w:p>
              </w:tc>
            </w:tr>
            <w:tr>
              <w:trPr>
                <w:trHeight w:val="340" w:hRule="atLeast"/>
              </w:trPr>
              <w:tc>
                <w:tcPr>
                  <w:tcW w:w="1196" w:type="dxa"/>
                  <w:vMerge w:val="continue"/>
                  <w:tcBorders>
                    <w:tl2br w:val="nil"/>
                    <w:tr2bl w:val="nil"/>
                  </w:tcBorders>
                  <w:vAlign w:val="center"/>
                </w:tcPr>
                <w:p>
                  <w:pPr>
                    <w:tabs>
                      <w:tab w:val="left" w:pos="4620"/>
                    </w:tabs>
                    <w:adjustRightInd w:val="0"/>
                    <w:snapToGrid w:val="0"/>
                    <w:jc w:val="center"/>
                    <w:rPr>
                      <w:szCs w:val="21"/>
                      <w:u w:val="single"/>
                    </w:rPr>
                  </w:pPr>
                </w:p>
              </w:tc>
              <w:tc>
                <w:tcPr>
                  <w:tcW w:w="1127" w:type="dxa"/>
                  <w:tcBorders>
                    <w:tl2br w:val="nil"/>
                    <w:tr2bl w:val="nil"/>
                  </w:tcBorders>
                  <w:vAlign w:val="center"/>
                </w:tcPr>
                <w:p>
                  <w:pPr>
                    <w:adjustRightInd w:val="0"/>
                    <w:snapToGrid w:val="0"/>
                    <w:jc w:val="center"/>
                    <w:rPr>
                      <w:szCs w:val="21"/>
                      <w:u w:val="single"/>
                    </w:rPr>
                  </w:pPr>
                  <w:r>
                    <w:rPr>
                      <w:szCs w:val="21"/>
                      <w:u w:val="single"/>
                    </w:rPr>
                    <w:t>第三次</w:t>
                  </w:r>
                </w:p>
              </w:tc>
              <w:tc>
                <w:tcPr>
                  <w:tcW w:w="1291"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135</w:t>
                  </w:r>
                </w:p>
              </w:tc>
              <w:tc>
                <w:tcPr>
                  <w:tcW w:w="1278"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1.12</w:t>
                  </w:r>
                </w:p>
              </w:tc>
              <w:tc>
                <w:tcPr>
                  <w:tcW w:w="1357"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9.75</w:t>
                  </w:r>
                </w:p>
              </w:tc>
              <w:tc>
                <w:tcPr>
                  <w:tcW w:w="131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0.081</w:t>
                  </w:r>
                </w:p>
              </w:tc>
              <w:tc>
                <w:tcPr>
                  <w:tcW w:w="1357"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977</w:t>
                  </w:r>
                </w:p>
              </w:tc>
            </w:tr>
            <w:tr>
              <w:trPr>
                <w:trHeight w:val="340" w:hRule="atLeast"/>
              </w:trPr>
              <w:tc>
                <w:tcPr>
                  <w:tcW w:w="2323" w:type="dxa"/>
                  <w:gridSpan w:val="2"/>
                  <w:tcBorders>
                    <w:tl2br w:val="nil"/>
                    <w:tr2bl w:val="nil"/>
                  </w:tcBorders>
                  <w:vAlign w:val="center"/>
                </w:tcPr>
                <w:p>
                  <w:pPr>
                    <w:tabs>
                      <w:tab w:val="left" w:pos="4620"/>
                    </w:tabs>
                    <w:adjustRightInd w:val="0"/>
                    <w:snapToGrid w:val="0"/>
                    <w:jc w:val="center"/>
                    <w:rPr>
                      <w:szCs w:val="21"/>
                      <w:u w:val="single"/>
                    </w:rPr>
                  </w:pPr>
                  <w:r>
                    <w:rPr>
                      <w:szCs w:val="21"/>
                      <w:u w:val="single"/>
                    </w:rPr>
                    <w:t>标准限值</w:t>
                  </w:r>
                </w:p>
              </w:tc>
              <w:tc>
                <w:tcPr>
                  <w:tcW w:w="1291"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w:t>
                  </w:r>
                </w:p>
              </w:tc>
              <w:tc>
                <w:tcPr>
                  <w:tcW w:w="1278"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4.9</w:t>
                  </w:r>
                </w:p>
              </w:tc>
              <w:tc>
                <w:tcPr>
                  <w:tcW w:w="1357"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w:t>
                  </w:r>
                </w:p>
              </w:tc>
              <w:tc>
                <w:tcPr>
                  <w:tcW w:w="131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0.33</w:t>
                  </w:r>
                </w:p>
              </w:tc>
              <w:tc>
                <w:tcPr>
                  <w:tcW w:w="1357"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2000</w:t>
                  </w:r>
                </w:p>
              </w:tc>
            </w:tr>
            <w:tr>
              <w:trPr>
                <w:trHeight w:val="340" w:hRule="atLeast"/>
              </w:trPr>
              <w:tc>
                <w:tcPr>
                  <w:tcW w:w="2323" w:type="dxa"/>
                  <w:gridSpan w:val="2"/>
                  <w:tcBorders>
                    <w:tl2br w:val="nil"/>
                    <w:tr2bl w:val="nil"/>
                  </w:tcBorders>
                  <w:vAlign w:val="center"/>
                </w:tcPr>
                <w:p>
                  <w:pPr>
                    <w:tabs>
                      <w:tab w:val="left" w:pos="4620"/>
                    </w:tabs>
                    <w:adjustRightInd w:val="0"/>
                    <w:snapToGrid w:val="0"/>
                    <w:jc w:val="center"/>
                    <w:rPr>
                      <w:szCs w:val="21"/>
                      <w:u w:val="single"/>
                    </w:rPr>
                  </w:pPr>
                  <w:r>
                    <w:rPr>
                      <w:szCs w:val="21"/>
                      <w:u w:val="single"/>
                    </w:rPr>
                    <w:t>是否达标</w:t>
                  </w:r>
                </w:p>
              </w:tc>
              <w:tc>
                <w:tcPr>
                  <w:tcW w:w="1291" w:type="dxa"/>
                  <w:tcBorders>
                    <w:tl2br w:val="nil"/>
                    <w:tr2bl w:val="nil"/>
                  </w:tcBorders>
                  <w:vAlign w:val="center"/>
                </w:tcPr>
                <w:p>
                  <w:pPr>
                    <w:tabs>
                      <w:tab w:val="left" w:pos="4620"/>
                    </w:tabs>
                    <w:adjustRightInd w:val="0"/>
                    <w:snapToGrid w:val="0"/>
                    <w:jc w:val="center"/>
                    <w:rPr>
                      <w:szCs w:val="21"/>
                      <w:u w:val="single"/>
                    </w:rPr>
                  </w:pPr>
                  <w:r>
                    <w:rPr>
                      <w:szCs w:val="21"/>
                      <w:u w:val="single"/>
                    </w:rPr>
                    <w:t>达标</w:t>
                  </w:r>
                </w:p>
              </w:tc>
              <w:tc>
                <w:tcPr>
                  <w:tcW w:w="1278" w:type="dxa"/>
                  <w:tcBorders>
                    <w:tl2br w:val="nil"/>
                    <w:tr2bl w:val="nil"/>
                  </w:tcBorders>
                  <w:vAlign w:val="center"/>
                </w:tcPr>
                <w:p>
                  <w:pPr>
                    <w:tabs>
                      <w:tab w:val="left" w:pos="4620"/>
                    </w:tabs>
                    <w:adjustRightInd w:val="0"/>
                    <w:snapToGrid w:val="0"/>
                    <w:jc w:val="center"/>
                    <w:rPr>
                      <w:szCs w:val="21"/>
                      <w:u w:val="single"/>
                    </w:rPr>
                  </w:pPr>
                  <w:r>
                    <w:rPr>
                      <w:szCs w:val="21"/>
                      <w:u w:val="single"/>
                    </w:rPr>
                    <w:t>达标</w:t>
                  </w:r>
                </w:p>
              </w:tc>
              <w:tc>
                <w:tcPr>
                  <w:tcW w:w="1357" w:type="dxa"/>
                  <w:tcBorders>
                    <w:tl2br w:val="nil"/>
                    <w:tr2bl w:val="nil"/>
                  </w:tcBorders>
                  <w:vAlign w:val="center"/>
                </w:tcPr>
                <w:p>
                  <w:pPr>
                    <w:tabs>
                      <w:tab w:val="left" w:pos="4620"/>
                    </w:tabs>
                    <w:adjustRightInd w:val="0"/>
                    <w:snapToGrid w:val="0"/>
                    <w:jc w:val="center"/>
                    <w:rPr>
                      <w:szCs w:val="21"/>
                      <w:u w:val="single"/>
                    </w:rPr>
                  </w:pPr>
                  <w:r>
                    <w:rPr>
                      <w:szCs w:val="21"/>
                      <w:u w:val="single"/>
                    </w:rPr>
                    <w:t>达标</w:t>
                  </w:r>
                </w:p>
              </w:tc>
              <w:tc>
                <w:tcPr>
                  <w:tcW w:w="1313" w:type="dxa"/>
                  <w:tcBorders>
                    <w:tl2br w:val="nil"/>
                    <w:tr2bl w:val="nil"/>
                  </w:tcBorders>
                  <w:vAlign w:val="center"/>
                </w:tcPr>
                <w:p>
                  <w:pPr>
                    <w:tabs>
                      <w:tab w:val="left" w:pos="4620"/>
                    </w:tabs>
                    <w:adjustRightInd w:val="0"/>
                    <w:snapToGrid w:val="0"/>
                    <w:jc w:val="center"/>
                    <w:rPr>
                      <w:szCs w:val="21"/>
                      <w:u w:val="single"/>
                    </w:rPr>
                  </w:pPr>
                  <w:r>
                    <w:rPr>
                      <w:szCs w:val="21"/>
                      <w:u w:val="single"/>
                    </w:rPr>
                    <w:t>达标</w:t>
                  </w:r>
                </w:p>
              </w:tc>
              <w:tc>
                <w:tcPr>
                  <w:tcW w:w="1357" w:type="dxa"/>
                  <w:tcBorders>
                    <w:tl2br w:val="nil"/>
                    <w:tr2bl w:val="nil"/>
                  </w:tcBorders>
                  <w:vAlign w:val="center"/>
                </w:tcPr>
                <w:p>
                  <w:pPr>
                    <w:tabs>
                      <w:tab w:val="left" w:pos="4620"/>
                    </w:tabs>
                    <w:adjustRightInd w:val="0"/>
                    <w:snapToGrid w:val="0"/>
                    <w:jc w:val="center"/>
                    <w:rPr>
                      <w:szCs w:val="21"/>
                      <w:u w:val="single"/>
                    </w:rPr>
                  </w:pPr>
                  <w:r>
                    <w:rPr>
                      <w:szCs w:val="21"/>
                      <w:u w:val="single"/>
                    </w:rPr>
                    <w:t>达标</w:t>
                  </w:r>
                </w:p>
              </w:tc>
            </w:tr>
          </w:tbl>
          <w:p>
            <w:pPr>
              <w:pStyle w:val="9"/>
              <w:ind w:firstLine="480"/>
              <w:rPr>
                <w:rFonts w:cs="Times New Roman"/>
                <w:u w:val="single"/>
              </w:rPr>
            </w:pPr>
            <w:r>
              <w:rPr>
                <w:rFonts w:hint="eastAsia" w:cs="Times New Roman"/>
                <w:u w:val="single"/>
              </w:rPr>
              <w:t>生物质锅炉烟气经过处理后，污染物的排放浓度均满足《锅炉大气污染物排放标准》（GB13271-2014）中的标准要求。污水处理站废气排放浓度满足《恶臭污染物排放标准》（GB14554-93）中新建污染源二级排放标准限值要求。</w:t>
            </w:r>
          </w:p>
          <w:p>
            <w:pPr>
              <w:pStyle w:val="9"/>
              <w:ind w:firstLine="480"/>
              <w:rPr>
                <w:rFonts w:cs="Times New Roman"/>
                <w:u w:val="single"/>
              </w:rPr>
            </w:pPr>
          </w:p>
          <w:p>
            <w:pPr>
              <w:pStyle w:val="9"/>
              <w:spacing w:line="240" w:lineRule="auto"/>
              <w:ind w:firstLine="0" w:firstLineChars="0"/>
              <w:jc w:val="center"/>
              <w:rPr>
                <w:rFonts w:cs="Times New Roman"/>
                <w:u w:val="single"/>
              </w:rPr>
            </w:pPr>
            <w:r>
              <w:rPr>
                <w:rFonts w:hint="eastAsia" w:cs="Times New Roman"/>
                <w:u w:val="single"/>
              </w:rPr>
              <w:t>表18  厂界无组织废气排放情况一览表  单位：mg/m</w:t>
            </w:r>
            <w:r>
              <w:rPr>
                <w:rFonts w:hint="eastAsia" w:cs="Times New Roman"/>
                <w:u w:val="single"/>
                <w:vertAlign w:val="superscript"/>
              </w:rPr>
              <w:t>3</w:t>
            </w:r>
          </w:p>
          <w:tbl>
            <w:tblPr>
              <w:tblW w:w="8918"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496"/>
              <w:gridCol w:w="1440"/>
              <w:gridCol w:w="1312"/>
              <w:gridCol w:w="1319"/>
              <w:gridCol w:w="1300"/>
              <w:gridCol w:w="1043"/>
              <w:gridCol w:w="1008"/>
            </w:tblGrid>
            <w:tr>
              <w:trPr>
                <w:trHeight w:val="340" w:hRule="atLeast"/>
              </w:trPr>
              <w:tc>
                <w:tcPr>
                  <w:tcW w:w="1496" w:type="dxa"/>
                  <w:vMerge w:val="restart"/>
                  <w:tcBorders>
                    <w:tl2br w:val="nil"/>
                    <w:tr2bl w:val="nil"/>
                  </w:tcBorders>
                  <w:vAlign w:val="center"/>
                </w:tcPr>
                <w:p>
                  <w:pPr>
                    <w:tabs>
                      <w:tab w:val="left" w:pos="4620"/>
                    </w:tabs>
                    <w:adjustRightInd w:val="0"/>
                    <w:snapToGrid w:val="0"/>
                    <w:jc w:val="center"/>
                    <w:rPr>
                      <w:szCs w:val="21"/>
                      <w:u w:val="single"/>
                    </w:rPr>
                  </w:pPr>
                  <w:r>
                    <w:rPr>
                      <w:szCs w:val="21"/>
                      <w:u w:val="single"/>
                    </w:rPr>
                    <w:t>监测点位</w:t>
                  </w:r>
                </w:p>
              </w:tc>
              <w:tc>
                <w:tcPr>
                  <w:tcW w:w="1440" w:type="dxa"/>
                  <w:vMerge w:val="restart"/>
                  <w:tcBorders>
                    <w:tl2br w:val="nil"/>
                    <w:tr2bl w:val="nil"/>
                  </w:tcBorders>
                  <w:vAlign w:val="center"/>
                </w:tcPr>
                <w:p>
                  <w:pPr>
                    <w:tabs>
                      <w:tab w:val="left" w:pos="4620"/>
                    </w:tabs>
                    <w:adjustRightInd w:val="0"/>
                    <w:snapToGrid w:val="0"/>
                    <w:jc w:val="center"/>
                    <w:rPr>
                      <w:szCs w:val="21"/>
                      <w:u w:val="single"/>
                    </w:rPr>
                  </w:pPr>
                  <w:r>
                    <w:rPr>
                      <w:szCs w:val="21"/>
                      <w:u w:val="single"/>
                    </w:rPr>
                    <w:t>监测项目</w:t>
                  </w:r>
                </w:p>
              </w:tc>
              <w:tc>
                <w:tcPr>
                  <w:tcW w:w="3931" w:type="dxa"/>
                  <w:gridSpan w:val="3"/>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2026.1.9</w:t>
                  </w:r>
                </w:p>
              </w:tc>
              <w:tc>
                <w:tcPr>
                  <w:tcW w:w="1043" w:type="dxa"/>
                  <w:vMerge w:val="restart"/>
                  <w:tcBorders>
                    <w:tl2br w:val="nil"/>
                    <w:tr2bl w:val="nil"/>
                  </w:tcBorders>
                  <w:vAlign w:val="center"/>
                </w:tcPr>
                <w:p>
                  <w:pPr>
                    <w:tabs>
                      <w:tab w:val="left" w:pos="4620"/>
                    </w:tabs>
                    <w:adjustRightInd w:val="0"/>
                    <w:snapToGrid w:val="0"/>
                    <w:jc w:val="center"/>
                    <w:rPr>
                      <w:szCs w:val="21"/>
                      <w:u w:val="single"/>
                    </w:rPr>
                  </w:pPr>
                  <w:r>
                    <w:rPr>
                      <w:szCs w:val="21"/>
                      <w:u w:val="single"/>
                    </w:rPr>
                    <w:t>标准限值</w:t>
                  </w:r>
                </w:p>
              </w:tc>
              <w:tc>
                <w:tcPr>
                  <w:tcW w:w="1008" w:type="dxa"/>
                  <w:vMerge w:val="restart"/>
                  <w:tcBorders>
                    <w:tl2br w:val="nil"/>
                    <w:tr2bl w:val="nil"/>
                  </w:tcBorders>
                  <w:vAlign w:val="center"/>
                </w:tcPr>
                <w:p>
                  <w:pPr>
                    <w:tabs>
                      <w:tab w:val="left" w:pos="4620"/>
                    </w:tabs>
                    <w:adjustRightInd w:val="0"/>
                    <w:snapToGrid w:val="0"/>
                    <w:jc w:val="center"/>
                    <w:rPr>
                      <w:szCs w:val="21"/>
                      <w:u w:val="single"/>
                    </w:rPr>
                  </w:pPr>
                  <w:r>
                    <w:rPr>
                      <w:szCs w:val="21"/>
                      <w:u w:val="single"/>
                    </w:rPr>
                    <w:t>是否达标</w:t>
                  </w:r>
                </w:p>
              </w:tc>
            </w:tr>
            <w:tr>
              <w:trPr>
                <w:trHeight w:val="340" w:hRule="atLeast"/>
              </w:trPr>
              <w:tc>
                <w:tcPr>
                  <w:tcW w:w="1496" w:type="dxa"/>
                  <w:vMerge w:val="continue"/>
                  <w:tcBorders>
                    <w:tl2br w:val="nil"/>
                    <w:tr2bl w:val="nil"/>
                  </w:tcBorders>
                  <w:vAlign w:val="center"/>
                </w:tcPr>
                <w:p>
                  <w:pPr>
                    <w:tabs>
                      <w:tab w:val="left" w:pos="4620"/>
                    </w:tabs>
                    <w:adjustRightInd w:val="0"/>
                    <w:snapToGrid w:val="0"/>
                    <w:jc w:val="center"/>
                    <w:rPr>
                      <w:szCs w:val="21"/>
                      <w:u w:val="single"/>
                    </w:rPr>
                  </w:pPr>
                </w:p>
              </w:tc>
              <w:tc>
                <w:tcPr>
                  <w:tcW w:w="1440" w:type="dxa"/>
                  <w:vMerge w:val="continue"/>
                  <w:tcBorders>
                    <w:tl2br w:val="nil"/>
                    <w:tr2bl w:val="nil"/>
                  </w:tcBorders>
                  <w:vAlign w:val="center"/>
                </w:tcPr>
                <w:p>
                  <w:pPr>
                    <w:tabs>
                      <w:tab w:val="left" w:pos="4620"/>
                    </w:tabs>
                    <w:adjustRightInd w:val="0"/>
                    <w:snapToGrid w:val="0"/>
                    <w:jc w:val="center"/>
                    <w:rPr>
                      <w:szCs w:val="21"/>
                      <w:u w:val="single"/>
                    </w:rPr>
                  </w:pPr>
                </w:p>
              </w:tc>
              <w:tc>
                <w:tcPr>
                  <w:tcW w:w="1312" w:type="dxa"/>
                  <w:tcBorders>
                    <w:tl2br w:val="nil"/>
                    <w:tr2bl w:val="nil"/>
                  </w:tcBorders>
                  <w:vAlign w:val="center"/>
                </w:tcPr>
                <w:p>
                  <w:pPr>
                    <w:tabs>
                      <w:tab w:val="left" w:pos="4620"/>
                    </w:tabs>
                    <w:adjustRightInd w:val="0"/>
                    <w:snapToGrid w:val="0"/>
                    <w:jc w:val="center"/>
                    <w:rPr>
                      <w:szCs w:val="21"/>
                      <w:u w:val="single"/>
                    </w:rPr>
                  </w:pPr>
                  <w:r>
                    <w:rPr>
                      <w:szCs w:val="21"/>
                      <w:u w:val="single"/>
                    </w:rPr>
                    <w:t>第1次</w:t>
                  </w:r>
                </w:p>
              </w:tc>
              <w:tc>
                <w:tcPr>
                  <w:tcW w:w="1319" w:type="dxa"/>
                  <w:tcBorders>
                    <w:tl2br w:val="nil"/>
                    <w:tr2bl w:val="nil"/>
                  </w:tcBorders>
                  <w:vAlign w:val="center"/>
                </w:tcPr>
                <w:p>
                  <w:pPr>
                    <w:tabs>
                      <w:tab w:val="left" w:pos="4620"/>
                    </w:tabs>
                    <w:adjustRightInd w:val="0"/>
                    <w:snapToGrid w:val="0"/>
                    <w:jc w:val="center"/>
                    <w:rPr>
                      <w:szCs w:val="21"/>
                      <w:u w:val="single"/>
                    </w:rPr>
                  </w:pPr>
                  <w:r>
                    <w:rPr>
                      <w:szCs w:val="21"/>
                      <w:u w:val="single"/>
                    </w:rPr>
                    <w:t>第2次</w:t>
                  </w:r>
                </w:p>
              </w:tc>
              <w:tc>
                <w:tcPr>
                  <w:tcW w:w="1300" w:type="dxa"/>
                  <w:tcBorders>
                    <w:tl2br w:val="nil"/>
                    <w:tr2bl w:val="nil"/>
                  </w:tcBorders>
                  <w:vAlign w:val="center"/>
                </w:tcPr>
                <w:p>
                  <w:pPr>
                    <w:tabs>
                      <w:tab w:val="left" w:pos="4620"/>
                    </w:tabs>
                    <w:adjustRightInd w:val="0"/>
                    <w:snapToGrid w:val="0"/>
                    <w:jc w:val="center"/>
                    <w:rPr>
                      <w:szCs w:val="21"/>
                      <w:u w:val="single"/>
                    </w:rPr>
                  </w:pPr>
                  <w:r>
                    <w:rPr>
                      <w:szCs w:val="21"/>
                      <w:u w:val="single"/>
                    </w:rPr>
                    <w:t>第3次</w:t>
                  </w:r>
                </w:p>
              </w:tc>
              <w:tc>
                <w:tcPr>
                  <w:tcW w:w="1043" w:type="dxa"/>
                  <w:vMerge w:val="continue"/>
                  <w:tcBorders>
                    <w:tl2br w:val="nil"/>
                    <w:tr2bl w:val="nil"/>
                  </w:tcBorders>
                  <w:vAlign w:val="center"/>
                </w:tcPr>
                <w:p>
                  <w:pPr>
                    <w:tabs>
                      <w:tab w:val="left" w:pos="4620"/>
                    </w:tabs>
                    <w:adjustRightInd w:val="0"/>
                    <w:snapToGrid w:val="0"/>
                    <w:jc w:val="center"/>
                    <w:rPr>
                      <w:szCs w:val="21"/>
                      <w:u w:val="single"/>
                    </w:rPr>
                  </w:pPr>
                </w:p>
              </w:tc>
              <w:tc>
                <w:tcPr>
                  <w:tcW w:w="1008" w:type="dxa"/>
                  <w:vMerge w:val="continue"/>
                  <w:tcBorders>
                    <w:tl2br w:val="nil"/>
                    <w:tr2bl w:val="nil"/>
                  </w:tcBorders>
                  <w:vAlign w:val="center"/>
                </w:tcPr>
                <w:p>
                  <w:pPr>
                    <w:tabs>
                      <w:tab w:val="left" w:pos="4620"/>
                    </w:tabs>
                    <w:adjustRightInd w:val="0"/>
                    <w:snapToGrid w:val="0"/>
                    <w:jc w:val="center"/>
                    <w:rPr>
                      <w:szCs w:val="21"/>
                      <w:u w:val="single"/>
                    </w:rPr>
                  </w:pPr>
                </w:p>
              </w:tc>
            </w:tr>
            <w:tr>
              <w:trPr>
                <w:trHeight w:val="454" w:hRule="atLeast"/>
              </w:trPr>
              <w:tc>
                <w:tcPr>
                  <w:tcW w:w="1496" w:type="dxa"/>
                  <w:vMerge w:val="restart"/>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厂界上风向</w:t>
                  </w:r>
                </w:p>
              </w:tc>
              <w:tc>
                <w:tcPr>
                  <w:tcW w:w="144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颗粒物</w:t>
                  </w:r>
                </w:p>
              </w:tc>
              <w:tc>
                <w:tcPr>
                  <w:tcW w:w="1312"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0.121</w:t>
                  </w:r>
                </w:p>
              </w:tc>
              <w:tc>
                <w:tcPr>
                  <w:tcW w:w="131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0.131</w:t>
                  </w:r>
                </w:p>
              </w:tc>
              <w:tc>
                <w:tcPr>
                  <w:tcW w:w="130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0.119</w:t>
                  </w:r>
                </w:p>
              </w:tc>
              <w:tc>
                <w:tcPr>
                  <w:tcW w:w="104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1.0</w:t>
                  </w:r>
                </w:p>
              </w:tc>
              <w:tc>
                <w:tcPr>
                  <w:tcW w:w="1008"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达标</w:t>
                  </w:r>
                </w:p>
              </w:tc>
            </w:tr>
            <w:tr>
              <w:trPr>
                <w:trHeight w:val="454" w:hRule="atLeast"/>
              </w:trPr>
              <w:tc>
                <w:tcPr>
                  <w:tcW w:w="1496" w:type="dxa"/>
                  <w:vMerge w:val="continue"/>
                  <w:tcBorders>
                    <w:tl2br w:val="nil"/>
                    <w:tr2bl w:val="nil"/>
                  </w:tcBorders>
                  <w:vAlign w:val="center"/>
                </w:tcPr>
                <w:p>
                  <w:pPr>
                    <w:tabs>
                      <w:tab w:val="left" w:pos="4620"/>
                    </w:tabs>
                    <w:adjustRightInd w:val="0"/>
                    <w:snapToGrid w:val="0"/>
                    <w:jc w:val="center"/>
                    <w:rPr>
                      <w:szCs w:val="21"/>
                      <w:u w:val="single"/>
                    </w:rPr>
                  </w:pPr>
                </w:p>
              </w:tc>
              <w:tc>
                <w:tcPr>
                  <w:tcW w:w="144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氨</w:t>
                  </w:r>
                </w:p>
              </w:tc>
              <w:tc>
                <w:tcPr>
                  <w:tcW w:w="1312"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0.114</w:t>
                  </w:r>
                </w:p>
              </w:tc>
              <w:tc>
                <w:tcPr>
                  <w:tcW w:w="131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0.109</w:t>
                  </w:r>
                </w:p>
              </w:tc>
              <w:tc>
                <w:tcPr>
                  <w:tcW w:w="130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0.120</w:t>
                  </w:r>
                </w:p>
              </w:tc>
              <w:tc>
                <w:tcPr>
                  <w:tcW w:w="104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1.5</w:t>
                  </w:r>
                </w:p>
              </w:tc>
              <w:tc>
                <w:tcPr>
                  <w:tcW w:w="1008" w:type="dxa"/>
                  <w:tcBorders>
                    <w:tl2br w:val="nil"/>
                    <w:tr2bl w:val="nil"/>
                  </w:tcBorders>
                  <w:vAlign w:val="center"/>
                </w:tcPr>
                <w:p>
                  <w:pPr>
                    <w:adjustRightInd w:val="0"/>
                    <w:snapToGrid w:val="0"/>
                    <w:jc w:val="center"/>
                    <w:rPr>
                      <w:szCs w:val="21"/>
                      <w:u w:val="single"/>
                    </w:rPr>
                  </w:pPr>
                  <w:r>
                    <w:rPr>
                      <w:rFonts w:hint="eastAsia"/>
                      <w:szCs w:val="21"/>
                      <w:u w:val="single"/>
                    </w:rPr>
                    <w:t>达标</w:t>
                  </w:r>
                </w:p>
              </w:tc>
            </w:tr>
            <w:tr>
              <w:trPr>
                <w:trHeight w:val="454" w:hRule="atLeast"/>
              </w:trPr>
              <w:tc>
                <w:tcPr>
                  <w:tcW w:w="1496" w:type="dxa"/>
                  <w:vMerge w:val="continue"/>
                  <w:tcBorders>
                    <w:tl2br w:val="nil"/>
                    <w:tr2bl w:val="nil"/>
                  </w:tcBorders>
                  <w:vAlign w:val="center"/>
                </w:tcPr>
                <w:p>
                  <w:pPr>
                    <w:tabs>
                      <w:tab w:val="left" w:pos="4620"/>
                    </w:tabs>
                    <w:adjustRightInd w:val="0"/>
                    <w:snapToGrid w:val="0"/>
                    <w:jc w:val="center"/>
                    <w:rPr>
                      <w:szCs w:val="21"/>
                      <w:u w:val="single"/>
                    </w:rPr>
                  </w:pPr>
                </w:p>
              </w:tc>
              <w:tc>
                <w:tcPr>
                  <w:tcW w:w="144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硫化氢</w:t>
                  </w:r>
                </w:p>
              </w:tc>
              <w:tc>
                <w:tcPr>
                  <w:tcW w:w="1312"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0.004</w:t>
                  </w:r>
                </w:p>
              </w:tc>
              <w:tc>
                <w:tcPr>
                  <w:tcW w:w="131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0.007</w:t>
                  </w:r>
                </w:p>
              </w:tc>
              <w:tc>
                <w:tcPr>
                  <w:tcW w:w="130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0.005</w:t>
                  </w:r>
                </w:p>
              </w:tc>
              <w:tc>
                <w:tcPr>
                  <w:tcW w:w="104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0.06</w:t>
                  </w:r>
                </w:p>
              </w:tc>
              <w:tc>
                <w:tcPr>
                  <w:tcW w:w="1008" w:type="dxa"/>
                  <w:tcBorders>
                    <w:tl2br w:val="nil"/>
                    <w:tr2bl w:val="nil"/>
                  </w:tcBorders>
                  <w:vAlign w:val="center"/>
                </w:tcPr>
                <w:p>
                  <w:pPr>
                    <w:adjustRightInd w:val="0"/>
                    <w:snapToGrid w:val="0"/>
                    <w:jc w:val="center"/>
                    <w:rPr>
                      <w:szCs w:val="21"/>
                      <w:u w:val="single"/>
                    </w:rPr>
                  </w:pPr>
                  <w:r>
                    <w:rPr>
                      <w:rFonts w:hint="eastAsia"/>
                      <w:szCs w:val="21"/>
                      <w:u w:val="single"/>
                    </w:rPr>
                    <w:t>达标</w:t>
                  </w:r>
                </w:p>
              </w:tc>
            </w:tr>
            <w:tr>
              <w:trPr>
                <w:trHeight w:val="454" w:hRule="atLeast"/>
              </w:trPr>
              <w:tc>
                <w:tcPr>
                  <w:tcW w:w="1496" w:type="dxa"/>
                  <w:vMerge w:val="continue"/>
                  <w:tcBorders>
                    <w:tl2br w:val="nil"/>
                    <w:tr2bl w:val="nil"/>
                  </w:tcBorders>
                  <w:vAlign w:val="center"/>
                </w:tcPr>
                <w:p>
                  <w:pPr>
                    <w:tabs>
                      <w:tab w:val="left" w:pos="4620"/>
                    </w:tabs>
                    <w:adjustRightInd w:val="0"/>
                    <w:snapToGrid w:val="0"/>
                    <w:jc w:val="center"/>
                    <w:rPr>
                      <w:szCs w:val="21"/>
                      <w:u w:val="single"/>
                    </w:rPr>
                  </w:pPr>
                </w:p>
              </w:tc>
              <w:tc>
                <w:tcPr>
                  <w:tcW w:w="144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臭气浓度</w:t>
                  </w:r>
                </w:p>
              </w:tc>
              <w:tc>
                <w:tcPr>
                  <w:tcW w:w="1312"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＜10</w:t>
                  </w:r>
                </w:p>
              </w:tc>
              <w:tc>
                <w:tcPr>
                  <w:tcW w:w="1319" w:type="dxa"/>
                  <w:tcBorders>
                    <w:tl2br w:val="nil"/>
                    <w:tr2bl w:val="nil"/>
                  </w:tcBorders>
                  <w:vAlign w:val="center"/>
                </w:tcPr>
                <w:p>
                  <w:pPr>
                    <w:adjustRightInd w:val="0"/>
                    <w:snapToGrid w:val="0"/>
                    <w:jc w:val="center"/>
                    <w:rPr>
                      <w:szCs w:val="21"/>
                      <w:u w:val="single"/>
                    </w:rPr>
                  </w:pPr>
                  <w:r>
                    <w:rPr>
                      <w:rFonts w:hint="eastAsia"/>
                      <w:szCs w:val="21"/>
                      <w:u w:val="single"/>
                    </w:rPr>
                    <w:t>＜10</w:t>
                  </w:r>
                </w:p>
              </w:tc>
              <w:tc>
                <w:tcPr>
                  <w:tcW w:w="1300" w:type="dxa"/>
                  <w:tcBorders>
                    <w:tl2br w:val="nil"/>
                    <w:tr2bl w:val="nil"/>
                  </w:tcBorders>
                  <w:vAlign w:val="center"/>
                </w:tcPr>
                <w:p>
                  <w:pPr>
                    <w:adjustRightInd w:val="0"/>
                    <w:snapToGrid w:val="0"/>
                    <w:jc w:val="center"/>
                    <w:rPr>
                      <w:szCs w:val="21"/>
                      <w:u w:val="single"/>
                    </w:rPr>
                  </w:pPr>
                  <w:r>
                    <w:rPr>
                      <w:rFonts w:hint="eastAsia"/>
                      <w:szCs w:val="21"/>
                      <w:u w:val="single"/>
                    </w:rPr>
                    <w:t>＜10</w:t>
                  </w:r>
                </w:p>
              </w:tc>
              <w:tc>
                <w:tcPr>
                  <w:tcW w:w="104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20</w:t>
                  </w:r>
                </w:p>
              </w:tc>
              <w:tc>
                <w:tcPr>
                  <w:tcW w:w="1008" w:type="dxa"/>
                  <w:tcBorders>
                    <w:tl2br w:val="nil"/>
                    <w:tr2bl w:val="nil"/>
                  </w:tcBorders>
                  <w:vAlign w:val="center"/>
                </w:tcPr>
                <w:p>
                  <w:pPr>
                    <w:adjustRightInd w:val="0"/>
                    <w:snapToGrid w:val="0"/>
                    <w:jc w:val="center"/>
                    <w:rPr>
                      <w:szCs w:val="21"/>
                      <w:u w:val="single"/>
                    </w:rPr>
                  </w:pPr>
                  <w:r>
                    <w:rPr>
                      <w:rFonts w:hint="eastAsia"/>
                      <w:szCs w:val="21"/>
                      <w:u w:val="single"/>
                    </w:rPr>
                    <w:t>达标</w:t>
                  </w:r>
                </w:p>
              </w:tc>
            </w:tr>
            <w:tr>
              <w:trPr>
                <w:trHeight w:val="454" w:hRule="atLeast"/>
              </w:trPr>
              <w:tc>
                <w:tcPr>
                  <w:tcW w:w="1496" w:type="dxa"/>
                  <w:vMerge w:val="restart"/>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厂界下风向1</w:t>
                  </w:r>
                </w:p>
              </w:tc>
              <w:tc>
                <w:tcPr>
                  <w:tcW w:w="144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颗粒物</w:t>
                  </w:r>
                </w:p>
              </w:tc>
              <w:tc>
                <w:tcPr>
                  <w:tcW w:w="1312"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0.136</w:t>
                  </w:r>
                </w:p>
              </w:tc>
              <w:tc>
                <w:tcPr>
                  <w:tcW w:w="131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0.143</w:t>
                  </w:r>
                </w:p>
              </w:tc>
              <w:tc>
                <w:tcPr>
                  <w:tcW w:w="130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0.150</w:t>
                  </w:r>
                </w:p>
              </w:tc>
              <w:tc>
                <w:tcPr>
                  <w:tcW w:w="104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1.0</w:t>
                  </w:r>
                </w:p>
              </w:tc>
              <w:tc>
                <w:tcPr>
                  <w:tcW w:w="1008"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达标</w:t>
                  </w:r>
                </w:p>
              </w:tc>
            </w:tr>
            <w:tr>
              <w:trPr>
                <w:trHeight w:val="454" w:hRule="atLeast"/>
              </w:trPr>
              <w:tc>
                <w:tcPr>
                  <w:tcW w:w="1496" w:type="dxa"/>
                  <w:vMerge w:val="continue"/>
                  <w:tcBorders>
                    <w:tl2br w:val="nil"/>
                    <w:tr2bl w:val="nil"/>
                  </w:tcBorders>
                  <w:vAlign w:val="center"/>
                </w:tcPr>
                <w:p>
                  <w:pPr>
                    <w:tabs>
                      <w:tab w:val="left" w:pos="4620"/>
                    </w:tabs>
                    <w:adjustRightInd w:val="0"/>
                    <w:snapToGrid w:val="0"/>
                    <w:jc w:val="center"/>
                    <w:rPr>
                      <w:szCs w:val="21"/>
                      <w:u w:val="single"/>
                    </w:rPr>
                  </w:pPr>
                </w:p>
              </w:tc>
              <w:tc>
                <w:tcPr>
                  <w:tcW w:w="144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氨</w:t>
                  </w:r>
                </w:p>
              </w:tc>
              <w:tc>
                <w:tcPr>
                  <w:tcW w:w="1312"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0.201</w:t>
                  </w:r>
                </w:p>
              </w:tc>
              <w:tc>
                <w:tcPr>
                  <w:tcW w:w="131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0.211</w:t>
                  </w:r>
                </w:p>
              </w:tc>
              <w:tc>
                <w:tcPr>
                  <w:tcW w:w="130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0.221</w:t>
                  </w:r>
                </w:p>
              </w:tc>
              <w:tc>
                <w:tcPr>
                  <w:tcW w:w="104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1.5</w:t>
                  </w:r>
                </w:p>
              </w:tc>
              <w:tc>
                <w:tcPr>
                  <w:tcW w:w="1008" w:type="dxa"/>
                  <w:tcBorders>
                    <w:tl2br w:val="nil"/>
                    <w:tr2bl w:val="nil"/>
                  </w:tcBorders>
                  <w:vAlign w:val="center"/>
                </w:tcPr>
                <w:p>
                  <w:pPr>
                    <w:adjustRightInd w:val="0"/>
                    <w:snapToGrid w:val="0"/>
                    <w:jc w:val="center"/>
                    <w:rPr>
                      <w:szCs w:val="21"/>
                      <w:u w:val="single"/>
                    </w:rPr>
                  </w:pPr>
                  <w:r>
                    <w:rPr>
                      <w:rFonts w:hint="eastAsia"/>
                      <w:szCs w:val="21"/>
                      <w:u w:val="single"/>
                    </w:rPr>
                    <w:t>达标</w:t>
                  </w:r>
                </w:p>
              </w:tc>
            </w:tr>
            <w:tr>
              <w:trPr>
                <w:trHeight w:val="454" w:hRule="atLeast"/>
              </w:trPr>
              <w:tc>
                <w:tcPr>
                  <w:tcW w:w="1496" w:type="dxa"/>
                  <w:vMerge w:val="continue"/>
                  <w:tcBorders>
                    <w:tl2br w:val="nil"/>
                    <w:tr2bl w:val="nil"/>
                  </w:tcBorders>
                  <w:vAlign w:val="center"/>
                </w:tcPr>
                <w:p>
                  <w:pPr>
                    <w:tabs>
                      <w:tab w:val="left" w:pos="4620"/>
                    </w:tabs>
                    <w:adjustRightInd w:val="0"/>
                    <w:snapToGrid w:val="0"/>
                    <w:jc w:val="center"/>
                    <w:rPr>
                      <w:szCs w:val="21"/>
                      <w:u w:val="single"/>
                    </w:rPr>
                  </w:pPr>
                </w:p>
              </w:tc>
              <w:tc>
                <w:tcPr>
                  <w:tcW w:w="144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硫化氢</w:t>
                  </w:r>
                </w:p>
              </w:tc>
              <w:tc>
                <w:tcPr>
                  <w:tcW w:w="1312"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0.007</w:t>
                  </w:r>
                </w:p>
              </w:tc>
              <w:tc>
                <w:tcPr>
                  <w:tcW w:w="131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0.009</w:t>
                  </w:r>
                </w:p>
              </w:tc>
              <w:tc>
                <w:tcPr>
                  <w:tcW w:w="130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0.008</w:t>
                  </w:r>
                </w:p>
              </w:tc>
              <w:tc>
                <w:tcPr>
                  <w:tcW w:w="104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0.06</w:t>
                  </w:r>
                </w:p>
              </w:tc>
              <w:tc>
                <w:tcPr>
                  <w:tcW w:w="1008" w:type="dxa"/>
                  <w:tcBorders>
                    <w:tl2br w:val="nil"/>
                    <w:tr2bl w:val="nil"/>
                  </w:tcBorders>
                  <w:vAlign w:val="center"/>
                </w:tcPr>
                <w:p>
                  <w:pPr>
                    <w:adjustRightInd w:val="0"/>
                    <w:snapToGrid w:val="0"/>
                    <w:jc w:val="center"/>
                    <w:rPr>
                      <w:szCs w:val="21"/>
                      <w:u w:val="single"/>
                    </w:rPr>
                  </w:pPr>
                  <w:r>
                    <w:rPr>
                      <w:rFonts w:hint="eastAsia"/>
                      <w:szCs w:val="21"/>
                      <w:u w:val="single"/>
                    </w:rPr>
                    <w:t>达标</w:t>
                  </w:r>
                </w:p>
              </w:tc>
            </w:tr>
            <w:tr>
              <w:trPr>
                <w:trHeight w:val="454" w:hRule="atLeast"/>
              </w:trPr>
              <w:tc>
                <w:tcPr>
                  <w:tcW w:w="1496" w:type="dxa"/>
                  <w:vMerge w:val="continue"/>
                  <w:tcBorders>
                    <w:tl2br w:val="nil"/>
                    <w:tr2bl w:val="nil"/>
                  </w:tcBorders>
                  <w:vAlign w:val="center"/>
                </w:tcPr>
                <w:p>
                  <w:pPr>
                    <w:tabs>
                      <w:tab w:val="left" w:pos="4620"/>
                    </w:tabs>
                    <w:adjustRightInd w:val="0"/>
                    <w:snapToGrid w:val="0"/>
                    <w:jc w:val="center"/>
                    <w:rPr>
                      <w:szCs w:val="21"/>
                      <w:u w:val="single"/>
                    </w:rPr>
                  </w:pPr>
                </w:p>
              </w:tc>
              <w:tc>
                <w:tcPr>
                  <w:tcW w:w="144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臭气浓度</w:t>
                  </w:r>
                </w:p>
              </w:tc>
              <w:tc>
                <w:tcPr>
                  <w:tcW w:w="1312"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11</w:t>
                  </w:r>
                </w:p>
              </w:tc>
              <w:tc>
                <w:tcPr>
                  <w:tcW w:w="131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11</w:t>
                  </w:r>
                </w:p>
              </w:tc>
              <w:tc>
                <w:tcPr>
                  <w:tcW w:w="130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12</w:t>
                  </w:r>
                </w:p>
              </w:tc>
              <w:tc>
                <w:tcPr>
                  <w:tcW w:w="104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20</w:t>
                  </w:r>
                </w:p>
              </w:tc>
              <w:tc>
                <w:tcPr>
                  <w:tcW w:w="1008" w:type="dxa"/>
                  <w:tcBorders>
                    <w:tl2br w:val="nil"/>
                    <w:tr2bl w:val="nil"/>
                  </w:tcBorders>
                  <w:vAlign w:val="center"/>
                </w:tcPr>
                <w:p>
                  <w:pPr>
                    <w:adjustRightInd w:val="0"/>
                    <w:snapToGrid w:val="0"/>
                    <w:jc w:val="center"/>
                    <w:rPr>
                      <w:szCs w:val="21"/>
                      <w:u w:val="single"/>
                    </w:rPr>
                  </w:pPr>
                  <w:r>
                    <w:rPr>
                      <w:rFonts w:hint="eastAsia"/>
                      <w:szCs w:val="21"/>
                      <w:u w:val="single"/>
                    </w:rPr>
                    <w:t>达标</w:t>
                  </w:r>
                </w:p>
              </w:tc>
            </w:tr>
            <w:tr>
              <w:trPr>
                <w:trHeight w:val="454" w:hRule="atLeast"/>
              </w:trPr>
              <w:tc>
                <w:tcPr>
                  <w:tcW w:w="1496" w:type="dxa"/>
                  <w:vMerge w:val="restart"/>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厂界下风向2</w:t>
                  </w:r>
                </w:p>
              </w:tc>
              <w:tc>
                <w:tcPr>
                  <w:tcW w:w="144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颗粒物</w:t>
                  </w:r>
                </w:p>
              </w:tc>
              <w:tc>
                <w:tcPr>
                  <w:tcW w:w="1312"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0.153</w:t>
                  </w:r>
                </w:p>
              </w:tc>
              <w:tc>
                <w:tcPr>
                  <w:tcW w:w="131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0.167</w:t>
                  </w:r>
                </w:p>
              </w:tc>
              <w:tc>
                <w:tcPr>
                  <w:tcW w:w="130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0.163</w:t>
                  </w:r>
                </w:p>
              </w:tc>
              <w:tc>
                <w:tcPr>
                  <w:tcW w:w="104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1.0</w:t>
                  </w:r>
                </w:p>
              </w:tc>
              <w:tc>
                <w:tcPr>
                  <w:tcW w:w="1008"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达标</w:t>
                  </w:r>
                </w:p>
              </w:tc>
            </w:tr>
            <w:tr>
              <w:trPr>
                <w:trHeight w:val="454" w:hRule="atLeast"/>
              </w:trPr>
              <w:tc>
                <w:tcPr>
                  <w:tcW w:w="1496" w:type="dxa"/>
                  <w:vMerge w:val="continue"/>
                  <w:tcBorders>
                    <w:tl2br w:val="nil"/>
                    <w:tr2bl w:val="nil"/>
                  </w:tcBorders>
                  <w:vAlign w:val="center"/>
                </w:tcPr>
                <w:p>
                  <w:pPr>
                    <w:tabs>
                      <w:tab w:val="left" w:pos="4620"/>
                    </w:tabs>
                    <w:adjustRightInd w:val="0"/>
                    <w:snapToGrid w:val="0"/>
                    <w:jc w:val="center"/>
                    <w:rPr>
                      <w:szCs w:val="21"/>
                      <w:u w:val="single"/>
                    </w:rPr>
                  </w:pPr>
                </w:p>
              </w:tc>
              <w:tc>
                <w:tcPr>
                  <w:tcW w:w="144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氨</w:t>
                  </w:r>
                </w:p>
              </w:tc>
              <w:tc>
                <w:tcPr>
                  <w:tcW w:w="1312"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0.266</w:t>
                  </w:r>
                </w:p>
              </w:tc>
              <w:tc>
                <w:tcPr>
                  <w:tcW w:w="131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0.273</w:t>
                  </w:r>
                </w:p>
              </w:tc>
              <w:tc>
                <w:tcPr>
                  <w:tcW w:w="130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0.286</w:t>
                  </w:r>
                </w:p>
              </w:tc>
              <w:tc>
                <w:tcPr>
                  <w:tcW w:w="104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1.5</w:t>
                  </w:r>
                </w:p>
              </w:tc>
              <w:tc>
                <w:tcPr>
                  <w:tcW w:w="1008" w:type="dxa"/>
                  <w:tcBorders>
                    <w:tl2br w:val="nil"/>
                    <w:tr2bl w:val="nil"/>
                  </w:tcBorders>
                  <w:vAlign w:val="center"/>
                </w:tcPr>
                <w:p>
                  <w:pPr>
                    <w:adjustRightInd w:val="0"/>
                    <w:snapToGrid w:val="0"/>
                    <w:jc w:val="center"/>
                    <w:rPr>
                      <w:szCs w:val="21"/>
                      <w:u w:val="single"/>
                    </w:rPr>
                  </w:pPr>
                  <w:r>
                    <w:rPr>
                      <w:rFonts w:hint="eastAsia"/>
                      <w:szCs w:val="21"/>
                      <w:u w:val="single"/>
                    </w:rPr>
                    <w:t>达标</w:t>
                  </w:r>
                </w:p>
              </w:tc>
            </w:tr>
            <w:tr>
              <w:trPr>
                <w:trHeight w:val="454" w:hRule="atLeast"/>
              </w:trPr>
              <w:tc>
                <w:tcPr>
                  <w:tcW w:w="1496" w:type="dxa"/>
                  <w:vMerge w:val="continue"/>
                  <w:tcBorders>
                    <w:tl2br w:val="nil"/>
                    <w:tr2bl w:val="nil"/>
                  </w:tcBorders>
                  <w:vAlign w:val="center"/>
                </w:tcPr>
                <w:p>
                  <w:pPr>
                    <w:tabs>
                      <w:tab w:val="left" w:pos="4620"/>
                    </w:tabs>
                    <w:adjustRightInd w:val="0"/>
                    <w:snapToGrid w:val="0"/>
                    <w:jc w:val="center"/>
                    <w:rPr>
                      <w:szCs w:val="21"/>
                      <w:u w:val="single"/>
                    </w:rPr>
                  </w:pPr>
                </w:p>
              </w:tc>
              <w:tc>
                <w:tcPr>
                  <w:tcW w:w="144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硫化氢</w:t>
                  </w:r>
                </w:p>
              </w:tc>
              <w:tc>
                <w:tcPr>
                  <w:tcW w:w="1312"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0.010</w:t>
                  </w:r>
                </w:p>
              </w:tc>
              <w:tc>
                <w:tcPr>
                  <w:tcW w:w="131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0.012</w:t>
                  </w:r>
                </w:p>
              </w:tc>
              <w:tc>
                <w:tcPr>
                  <w:tcW w:w="130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0.010</w:t>
                  </w:r>
                </w:p>
              </w:tc>
              <w:tc>
                <w:tcPr>
                  <w:tcW w:w="104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0.06</w:t>
                  </w:r>
                </w:p>
              </w:tc>
              <w:tc>
                <w:tcPr>
                  <w:tcW w:w="1008" w:type="dxa"/>
                  <w:tcBorders>
                    <w:tl2br w:val="nil"/>
                    <w:tr2bl w:val="nil"/>
                  </w:tcBorders>
                  <w:vAlign w:val="center"/>
                </w:tcPr>
                <w:p>
                  <w:pPr>
                    <w:adjustRightInd w:val="0"/>
                    <w:snapToGrid w:val="0"/>
                    <w:jc w:val="center"/>
                    <w:rPr>
                      <w:szCs w:val="21"/>
                      <w:u w:val="single"/>
                    </w:rPr>
                  </w:pPr>
                  <w:r>
                    <w:rPr>
                      <w:rFonts w:hint="eastAsia"/>
                      <w:szCs w:val="21"/>
                      <w:u w:val="single"/>
                    </w:rPr>
                    <w:t>达标</w:t>
                  </w:r>
                </w:p>
              </w:tc>
            </w:tr>
            <w:tr>
              <w:trPr>
                <w:trHeight w:val="454" w:hRule="atLeast"/>
              </w:trPr>
              <w:tc>
                <w:tcPr>
                  <w:tcW w:w="1496" w:type="dxa"/>
                  <w:vMerge w:val="continue"/>
                  <w:tcBorders>
                    <w:tl2br w:val="nil"/>
                    <w:tr2bl w:val="nil"/>
                  </w:tcBorders>
                  <w:vAlign w:val="center"/>
                </w:tcPr>
                <w:p>
                  <w:pPr>
                    <w:tabs>
                      <w:tab w:val="left" w:pos="4620"/>
                    </w:tabs>
                    <w:adjustRightInd w:val="0"/>
                    <w:snapToGrid w:val="0"/>
                    <w:jc w:val="center"/>
                    <w:rPr>
                      <w:szCs w:val="21"/>
                      <w:u w:val="single"/>
                    </w:rPr>
                  </w:pPr>
                </w:p>
              </w:tc>
              <w:tc>
                <w:tcPr>
                  <w:tcW w:w="144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臭气浓度</w:t>
                  </w:r>
                </w:p>
              </w:tc>
              <w:tc>
                <w:tcPr>
                  <w:tcW w:w="1312"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13</w:t>
                  </w:r>
                </w:p>
              </w:tc>
              <w:tc>
                <w:tcPr>
                  <w:tcW w:w="131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14</w:t>
                  </w:r>
                </w:p>
              </w:tc>
              <w:tc>
                <w:tcPr>
                  <w:tcW w:w="130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13</w:t>
                  </w:r>
                </w:p>
              </w:tc>
              <w:tc>
                <w:tcPr>
                  <w:tcW w:w="104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20</w:t>
                  </w:r>
                </w:p>
              </w:tc>
              <w:tc>
                <w:tcPr>
                  <w:tcW w:w="1008" w:type="dxa"/>
                  <w:tcBorders>
                    <w:tl2br w:val="nil"/>
                    <w:tr2bl w:val="nil"/>
                  </w:tcBorders>
                  <w:vAlign w:val="center"/>
                </w:tcPr>
                <w:p>
                  <w:pPr>
                    <w:adjustRightInd w:val="0"/>
                    <w:snapToGrid w:val="0"/>
                    <w:jc w:val="center"/>
                    <w:rPr>
                      <w:szCs w:val="21"/>
                      <w:u w:val="single"/>
                    </w:rPr>
                  </w:pPr>
                  <w:r>
                    <w:rPr>
                      <w:rFonts w:hint="eastAsia"/>
                      <w:szCs w:val="21"/>
                      <w:u w:val="single"/>
                    </w:rPr>
                    <w:t>达标</w:t>
                  </w:r>
                </w:p>
              </w:tc>
            </w:tr>
            <w:tr>
              <w:trPr>
                <w:trHeight w:val="454" w:hRule="atLeast"/>
              </w:trPr>
              <w:tc>
                <w:tcPr>
                  <w:tcW w:w="1496" w:type="dxa"/>
                  <w:vMerge w:val="restart"/>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厂界下风向3</w:t>
                  </w:r>
                </w:p>
              </w:tc>
              <w:tc>
                <w:tcPr>
                  <w:tcW w:w="144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颗粒物</w:t>
                  </w:r>
                </w:p>
              </w:tc>
              <w:tc>
                <w:tcPr>
                  <w:tcW w:w="1312"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0.176</w:t>
                  </w:r>
                </w:p>
              </w:tc>
              <w:tc>
                <w:tcPr>
                  <w:tcW w:w="131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0.173</w:t>
                  </w:r>
                </w:p>
              </w:tc>
              <w:tc>
                <w:tcPr>
                  <w:tcW w:w="130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0.186</w:t>
                  </w:r>
                </w:p>
              </w:tc>
              <w:tc>
                <w:tcPr>
                  <w:tcW w:w="104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1.0</w:t>
                  </w:r>
                </w:p>
              </w:tc>
              <w:tc>
                <w:tcPr>
                  <w:tcW w:w="1008"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达标</w:t>
                  </w:r>
                </w:p>
              </w:tc>
            </w:tr>
            <w:tr>
              <w:trPr>
                <w:trHeight w:val="454" w:hRule="atLeast"/>
              </w:trPr>
              <w:tc>
                <w:tcPr>
                  <w:tcW w:w="1496" w:type="dxa"/>
                  <w:vMerge w:val="continue"/>
                  <w:tcBorders>
                    <w:tl2br w:val="nil"/>
                    <w:tr2bl w:val="nil"/>
                  </w:tcBorders>
                  <w:vAlign w:val="center"/>
                </w:tcPr>
                <w:p>
                  <w:pPr>
                    <w:tabs>
                      <w:tab w:val="left" w:pos="4620"/>
                    </w:tabs>
                    <w:adjustRightInd w:val="0"/>
                    <w:snapToGrid w:val="0"/>
                    <w:jc w:val="center"/>
                    <w:rPr>
                      <w:szCs w:val="21"/>
                      <w:u w:val="single"/>
                    </w:rPr>
                  </w:pPr>
                </w:p>
              </w:tc>
              <w:tc>
                <w:tcPr>
                  <w:tcW w:w="144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氨</w:t>
                  </w:r>
                </w:p>
              </w:tc>
              <w:tc>
                <w:tcPr>
                  <w:tcW w:w="1312"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0.347</w:t>
                  </w:r>
                </w:p>
              </w:tc>
              <w:tc>
                <w:tcPr>
                  <w:tcW w:w="131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0.356</w:t>
                  </w:r>
                </w:p>
              </w:tc>
              <w:tc>
                <w:tcPr>
                  <w:tcW w:w="130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0.362</w:t>
                  </w:r>
                </w:p>
              </w:tc>
              <w:tc>
                <w:tcPr>
                  <w:tcW w:w="104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1.5</w:t>
                  </w:r>
                </w:p>
              </w:tc>
              <w:tc>
                <w:tcPr>
                  <w:tcW w:w="1008" w:type="dxa"/>
                  <w:tcBorders>
                    <w:tl2br w:val="nil"/>
                    <w:tr2bl w:val="nil"/>
                  </w:tcBorders>
                  <w:vAlign w:val="center"/>
                </w:tcPr>
                <w:p>
                  <w:pPr>
                    <w:adjustRightInd w:val="0"/>
                    <w:snapToGrid w:val="0"/>
                    <w:jc w:val="center"/>
                    <w:rPr>
                      <w:szCs w:val="21"/>
                      <w:u w:val="single"/>
                    </w:rPr>
                  </w:pPr>
                  <w:r>
                    <w:rPr>
                      <w:rFonts w:hint="eastAsia"/>
                      <w:szCs w:val="21"/>
                      <w:u w:val="single"/>
                    </w:rPr>
                    <w:t>达标</w:t>
                  </w:r>
                </w:p>
              </w:tc>
            </w:tr>
            <w:tr>
              <w:trPr>
                <w:trHeight w:val="454" w:hRule="atLeast"/>
              </w:trPr>
              <w:tc>
                <w:tcPr>
                  <w:tcW w:w="1496" w:type="dxa"/>
                  <w:vMerge w:val="continue"/>
                  <w:tcBorders>
                    <w:tl2br w:val="nil"/>
                    <w:tr2bl w:val="nil"/>
                  </w:tcBorders>
                  <w:vAlign w:val="center"/>
                </w:tcPr>
                <w:p>
                  <w:pPr>
                    <w:tabs>
                      <w:tab w:val="left" w:pos="4620"/>
                    </w:tabs>
                    <w:adjustRightInd w:val="0"/>
                    <w:snapToGrid w:val="0"/>
                    <w:jc w:val="center"/>
                    <w:rPr>
                      <w:szCs w:val="21"/>
                      <w:u w:val="single"/>
                    </w:rPr>
                  </w:pPr>
                </w:p>
              </w:tc>
              <w:tc>
                <w:tcPr>
                  <w:tcW w:w="144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硫化氢</w:t>
                  </w:r>
                </w:p>
              </w:tc>
              <w:tc>
                <w:tcPr>
                  <w:tcW w:w="1312"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0.012</w:t>
                  </w:r>
                </w:p>
              </w:tc>
              <w:tc>
                <w:tcPr>
                  <w:tcW w:w="131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0.015</w:t>
                  </w:r>
                </w:p>
              </w:tc>
              <w:tc>
                <w:tcPr>
                  <w:tcW w:w="130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0.014</w:t>
                  </w:r>
                </w:p>
              </w:tc>
              <w:tc>
                <w:tcPr>
                  <w:tcW w:w="104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0.06</w:t>
                  </w:r>
                </w:p>
              </w:tc>
              <w:tc>
                <w:tcPr>
                  <w:tcW w:w="1008" w:type="dxa"/>
                  <w:tcBorders>
                    <w:tl2br w:val="nil"/>
                    <w:tr2bl w:val="nil"/>
                  </w:tcBorders>
                  <w:vAlign w:val="center"/>
                </w:tcPr>
                <w:p>
                  <w:pPr>
                    <w:adjustRightInd w:val="0"/>
                    <w:snapToGrid w:val="0"/>
                    <w:jc w:val="center"/>
                    <w:rPr>
                      <w:szCs w:val="21"/>
                      <w:u w:val="single"/>
                    </w:rPr>
                  </w:pPr>
                  <w:r>
                    <w:rPr>
                      <w:rFonts w:hint="eastAsia"/>
                      <w:szCs w:val="21"/>
                      <w:u w:val="single"/>
                    </w:rPr>
                    <w:t>达标</w:t>
                  </w:r>
                </w:p>
              </w:tc>
            </w:tr>
            <w:tr>
              <w:trPr>
                <w:trHeight w:val="454" w:hRule="atLeast"/>
              </w:trPr>
              <w:tc>
                <w:tcPr>
                  <w:tcW w:w="1496" w:type="dxa"/>
                  <w:vMerge w:val="continue"/>
                  <w:tcBorders>
                    <w:tl2br w:val="nil"/>
                    <w:tr2bl w:val="nil"/>
                  </w:tcBorders>
                  <w:vAlign w:val="center"/>
                </w:tcPr>
                <w:p>
                  <w:pPr>
                    <w:tabs>
                      <w:tab w:val="left" w:pos="4620"/>
                    </w:tabs>
                    <w:adjustRightInd w:val="0"/>
                    <w:snapToGrid w:val="0"/>
                    <w:jc w:val="center"/>
                    <w:rPr>
                      <w:szCs w:val="21"/>
                      <w:u w:val="single"/>
                    </w:rPr>
                  </w:pPr>
                </w:p>
              </w:tc>
              <w:tc>
                <w:tcPr>
                  <w:tcW w:w="144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臭气浓度</w:t>
                  </w:r>
                </w:p>
              </w:tc>
              <w:tc>
                <w:tcPr>
                  <w:tcW w:w="1312"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15</w:t>
                  </w:r>
                </w:p>
              </w:tc>
              <w:tc>
                <w:tcPr>
                  <w:tcW w:w="131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16</w:t>
                  </w:r>
                </w:p>
              </w:tc>
              <w:tc>
                <w:tcPr>
                  <w:tcW w:w="1300"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16</w:t>
                  </w:r>
                </w:p>
              </w:tc>
              <w:tc>
                <w:tcPr>
                  <w:tcW w:w="1043"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20</w:t>
                  </w:r>
                </w:p>
              </w:tc>
              <w:tc>
                <w:tcPr>
                  <w:tcW w:w="1008" w:type="dxa"/>
                  <w:tcBorders>
                    <w:tl2br w:val="nil"/>
                    <w:tr2bl w:val="nil"/>
                  </w:tcBorders>
                  <w:vAlign w:val="center"/>
                </w:tcPr>
                <w:p>
                  <w:pPr>
                    <w:adjustRightInd w:val="0"/>
                    <w:snapToGrid w:val="0"/>
                    <w:jc w:val="center"/>
                    <w:rPr>
                      <w:szCs w:val="21"/>
                      <w:u w:val="single"/>
                    </w:rPr>
                  </w:pPr>
                  <w:r>
                    <w:rPr>
                      <w:rFonts w:hint="eastAsia"/>
                      <w:szCs w:val="21"/>
                      <w:u w:val="single"/>
                    </w:rPr>
                    <w:t>达标</w:t>
                  </w:r>
                </w:p>
              </w:tc>
            </w:tr>
          </w:tbl>
          <w:p>
            <w:pPr>
              <w:pStyle w:val="9"/>
              <w:ind w:firstLine="480"/>
              <w:rPr>
                <w:rFonts w:cs="Times New Roman"/>
                <w:u w:val="single"/>
              </w:rPr>
            </w:pPr>
            <w:r>
              <w:rPr>
                <w:rFonts w:hint="eastAsia" w:cs="Times New Roman"/>
                <w:u w:val="single"/>
              </w:rPr>
              <w:t>厂界无组织废气颗粒物排放浓度满足《大气污染物综合排放标准》（GB16297-1996）中新建污染源二级标无组织准排放限值要求，氨、硫化氢、臭气浓度排放浓度满足《恶臭污染物排放标准》（GB14554-93）中新建污染源二级无组织标准限值要求。</w:t>
            </w:r>
          </w:p>
          <w:p>
            <w:pPr>
              <w:pStyle w:val="9"/>
              <w:ind w:firstLine="480"/>
              <w:rPr>
                <w:rFonts w:cs="Times New Roman"/>
                <w:u w:val="single"/>
              </w:rPr>
            </w:pPr>
            <w:r>
              <w:rPr>
                <w:rFonts w:hint="eastAsia" w:cs="Times New Roman"/>
                <w:u w:val="single"/>
              </w:rPr>
              <w:t>（3）噪声</w:t>
            </w:r>
          </w:p>
          <w:p>
            <w:pPr>
              <w:pStyle w:val="9"/>
              <w:ind w:firstLine="480"/>
              <w:rPr>
                <w:rFonts w:cs="Times New Roman"/>
                <w:u w:val="single"/>
              </w:rPr>
            </w:pPr>
            <w:r>
              <w:rPr>
                <w:rFonts w:hint="eastAsia" w:cs="Times New Roman"/>
                <w:u w:val="single"/>
              </w:rPr>
              <w:t>生产设备噪声经过墙体噪声屏蔽、隔声和空间距离衰减，边界噪声达标。</w:t>
            </w:r>
          </w:p>
          <w:p>
            <w:pPr>
              <w:pStyle w:val="9"/>
              <w:spacing w:line="240" w:lineRule="auto"/>
              <w:ind w:firstLine="0" w:firstLineChars="0"/>
              <w:jc w:val="center"/>
              <w:rPr>
                <w:rFonts w:cs="Times New Roman"/>
                <w:u w:val="single"/>
              </w:rPr>
            </w:pPr>
            <w:r>
              <w:rPr>
                <w:rFonts w:hint="eastAsia" w:cs="Times New Roman"/>
                <w:u w:val="single"/>
              </w:rPr>
              <w:t>表19  厂界无组织废气排放情况一览表</w:t>
            </w:r>
          </w:p>
          <w:tbl>
            <w:tblPr>
              <w:tblW w:w="8921"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3139"/>
              <w:gridCol w:w="2931"/>
              <w:gridCol w:w="2851"/>
            </w:tblGrid>
            <w:tr>
              <w:trPr>
                <w:trHeight w:val="340" w:hRule="atLeast"/>
              </w:trPr>
              <w:tc>
                <w:tcPr>
                  <w:tcW w:w="3139" w:type="dxa"/>
                  <w:vMerge w:val="restart"/>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监测点位</w:t>
                  </w:r>
                </w:p>
              </w:tc>
              <w:tc>
                <w:tcPr>
                  <w:tcW w:w="5782" w:type="dxa"/>
                  <w:gridSpan w:val="2"/>
                  <w:tcBorders>
                    <w:tl2br w:val="nil"/>
                    <w:tr2bl w:val="nil"/>
                  </w:tcBorders>
                  <w:vAlign w:val="center"/>
                </w:tcPr>
                <w:p>
                  <w:pPr>
                    <w:tabs>
                      <w:tab w:val="left" w:pos="4620"/>
                    </w:tabs>
                    <w:adjustRightInd w:val="0"/>
                    <w:snapToGrid w:val="0"/>
                    <w:jc w:val="center"/>
                    <w:rPr>
                      <w:szCs w:val="21"/>
                      <w:u w:val="single"/>
                    </w:rPr>
                  </w:pPr>
                  <w:r>
                    <w:rPr>
                      <w:rFonts w:hint="eastAsia"/>
                      <w:color w:val="000000"/>
                      <w:szCs w:val="21"/>
                      <w:u w:val="single"/>
                    </w:rPr>
                    <w:t>2026.8.30</w:t>
                  </w:r>
                </w:p>
              </w:tc>
            </w:tr>
            <w:tr>
              <w:trPr>
                <w:trHeight w:val="340" w:hRule="atLeast"/>
              </w:trPr>
              <w:tc>
                <w:tcPr>
                  <w:tcW w:w="3139" w:type="dxa"/>
                  <w:vMerge w:val="continue"/>
                  <w:tcBorders>
                    <w:tl2br w:val="nil"/>
                    <w:tr2bl w:val="nil"/>
                  </w:tcBorders>
                  <w:vAlign w:val="center"/>
                </w:tcPr>
                <w:p>
                  <w:pPr>
                    <w:tabs>
                      <w:tab w:val="left" w:pos="4620"/>
                    </w:tabs>
                    <w:adjustRightInd w:val="0"/>
                    <w:snapToGrid w:val="0"/>
                    <w:jc w:val="center"/>
                    <w:rPr>
                      <w:szCs w:val="21"/>
                      <w:u w:val="single"/>
                    </w:rPr>
                  </w:pPr>
                </w:p>
              </w:tc>
              <w:tc>
                <w:tcPr>
                  <w:tcW w:w="2931"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昼间</w:t>
                  </w:r>
                </w:p>
              </w:tc>
              <w:tc>
                <w:tcPr>
                  <w:tcW w:w="2851"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夜间</w:t>
                  </w:r>
                </w:p>
              </w:tc>
            </w:tr>
            <w:tr>
              <w:trPr>
                <w:trHeight w:val="340" w:hRule="atLeast"/>
              </w:trPr>
              <w:tc>
                <w:tcPr>
                  <w:tcW w:w="313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东厂界外1m处</w:t>
                  </w:r>
                </w:p>
              </w:tc>
              <w:tc>
                <w:tcPr>
                  <w:tcW w:w="2931"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52</w:t>
                  </w:r>
                </w:p>
              </w:tc>
              <w:tc>
                <w:tcPr>
                  <w:tcW w:w="2851"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43</w:t>
                  </w:r>
                </w:p>
              </w:tc>
            </w:tr>
            <w:tr>
              <w:trPr>
                <w:trHeight w:val="340" w:hRule="atLeast"/>
              </w:trPr>
              <w:tc>
                <w:tcPr>
                  <w:tcW w:w="313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南厂界外1m处</w:t>
                  </w:r>
                </w:p>
              </w:tc>
              <w:tc>
                <w:tcPr>
                  <w:tcW w:w="2931"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53</w:t>
                  </w:r>
                </w:p>
              </w:tc>
              <w:tc>
                <w:tcPr>
                  <w:tcW w:w="2851"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42</w:t>
                  </w:r>
                </w:p>
              </w:tc>
            </w:tr>
            <w:tr>
              <w:trPr>
                <w:trHeight w:val="340" w:hRule="atLeast"/>
              </w:trPr>
              <w:tc>
                <w:tcPr>
                  <w:tcW w:w="313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西厂界外1m处</w:t>
                  </w:r>
                </w:p>
              </w:tc>
              <w:tc>
                <w:tcPr>
                  <w:tcW w:w="2931"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52</w:t>
                  </w:r>
                </w:p>
              </w:tc>
              <w:tc>
                <w:tcPr>
                  <w:tcW w:w="2851"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43</w:t>
                  </w:r>
                </w:p>
              </w:tc>
            </w:tr>
            <w:tr>
              <w:trPr>
                <w:trHeight w:val="340" w:hRule="atLeast"/>
              </w:trPr>
              <w:tc>
                <w:tcPr>
                  <w:tcW w:w="313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北厂界外1m处</w:t>
                  </w:r>
                </w:p>
              </w:tc>
              <w:tc>
                <w:tcPr>
                  <w:tcW w:w="2931"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53</w:t>
                  </w:r>
                </w:p>
              </w:tc>
              <w:tc>
                <w:tcPr>
                  <w:tcW w:w="2851"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41</w:t>
                  </w:r>
                </w:p>
              </w:tc>
            </w:tr>
            <w:tr>
              <w:trPr>
                <w:trHeight w:val="340" w:hRule="atLeast"/>
              </w:trPr>
              <w:tc>
                <w:tcPr>
                  <w:tcW w:w="313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标准限值</w:t>
                  </w:r>
                </w:p>
              </w:tc>
              <w:tc>
                <w:tcPr>
                  <w:tcW w:w="2931"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65</w:t>
                  </w:r>
                </w:p>
              </w:tc>
              <w:tc>
                <w:tcPr>
                  <w:tcW w:w="2851"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55</w:t>
                  </w:r>
                </w:p>
              </w:tc>
            </w:tr>
            <w:tr>
              <w:trPr>
                <w:trHeight w:val="340" w:hRule="atLeast"/>
              </w:trPr>
              <w:tc>
                <w:tcPr>
                  <w:tcW w:w="3139"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是否达标</w:t>
                  </w:r>
                </w:p>
              </w:tc>
              <w:tc>
                <w:tcPr>
                  <w:tcW w:w="2931"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达标</w:t>
                  </w:r>
                </w:p>
              </w:tc>
              <w:tc>
                <w:tcPr>
                  <w:tcW w:w="2851" w:type="dxa"/>
                  <w:tcBorders>
                    <w:tl2br w:val="nil"/>
                    <w:tr2bl w:val="nil"/>
                  </w:tcBorders>
                  <w:vAlign w:val="center"/>
                </w:tcPr>
                <w:p>
                  <w:pPr>
                    <w:tabs>
                      <w:tab w:val="left" w:pos="4620"/>
                    </w:tabs>
                    <w:adjustRightInd w:val="0"/>
                    <w:snapToGrid w:val="0"/>
                    <w:jc w:val="center"/>
                    <w:rPr>
                      <w:szCs w:val="21"/>
                      <w:u w:val="single"/>
                    </w:rPr>
                  </w:pPr>
                  <w:r>
                    <w:rPr>
                      <w:rFonts w:hint="eastAsia"/>
                      <w:szCs w:val="21"/>
                      <w:u w:val="single"/>
                    </w:rPr>
                    <w:t>达标</w:t>
                  </w:r>
                </w:p>
              </w:tc>
            </w:tr>
          </w:tbl>
          <w:p>
            <w:pPr>
              <w:pStyle w:val="9"/>
              <w:ind w:firstLine="480"/>
              <w:rPr>
                <w:rFonts w:cs="Times New Roman"/>
                <w:u w:val="single"/>
              </w:rPr>
            </w:pPr>
            <w:r>
              <w:rPr>
                <w:rFonts w:hint="eastAsia" w:cs="Times New Roman"/>
                <w:u w:val="single"/>
              </w:rPr>
              <w:t>现有工程厂界噪声各监测点位均满足《工业企业厂界环境噪声排放标准》（GB12384-2008）3类区标准要求。</w:t>
            </w:r>
          </w:p>
          <w:p>
            <w:pPr>
              <w:pStyle w:val="9"/>
              <w:ind w:firstLine="480"/>
              <w:rPr>
                <w:rFonts w:cs="Times New Roman"/>
                <w:u w:val="single"/>
              </w:rPr>
            </w:pPr>
            <w:r>
              <w:rPr>
                <w:rFonts w:hint="eastAsia" w:cs="Times New Roman"/>
                <w:u w:val="single"/>
              </w:rPr>
              <w:t>（4）固体废物</w:t>
            </w:r>
          </w:p>
          <w:p>
            <w:pPr>
              <w:pStyle w:val="9"/>
              <w:ind w:firstLine="480"/>
              <w:rPr>
                <w:rFonts w:cs="Times New Roman"/>
                <w:u w:val="single"/>
              </w:rPr>
            </w:pPr>
            <w:r>
              <w:rPr>
                <w:rFonts w:hint="eastAsia" w:cs="Times New Roman"/>
                <w:u w:val="single"/>
              </w:rPr>
              <w:t>屠宰产生的内脏等废弃物、死鸡和污水处理站污泥集中收集，委托市政部门定期清运；锅炉灰渣及除尘器收集粉尘外运</w:t>
            </w:r>
            <w:r>
              <w:rPr>
                <w:rFonts w:hint="eastAsia" w:cs="Times New Roman"/>
                <w:u w:val="single"/>
                <w:lang w:eastAsia="zh-CN"/>
              </w:rPr>
              <w:t>当作</w:t>
            </w:r>
            <w:r>
              <w:rPr>
                <w:rFonts w:hint="eastAsia" w:cs="Times New Roman"/>
                <w:u w:val="single"/>
              </w:rPr>
              <w:t>农肥；废布袋由厂家更换回收；废试剂瓶、实验废液、废活性炭、监测废液、废机油等危险废物集中收集，暂存于现有危废间，定期委托有资质单位拉运处理。职工生活垃圾集中堆放，由环卫部门统一外运，未产生二次污染。</w:t>
            </w:r>
          </w:p>
          <w:p>
            <w:pPr>
              <w:pStyle w:val="9"/>
              <w:ind w:firstLine="480"/>
              <w:rPr>
                <w:rFonts w:cs="Times New Roman"/>
                <w:u w:val="single"/>
              </w:rPr>
            </w:pPr>
            <w:r>
              <w:rPr>
                <w:rFonts w:hint="eastAsia" w:cs="Times New Roman"/>
                <w:u w:val="single"/>
              </w:rPr>
              <w:t>现有工程的污染物核算全部依托验收数据和理性检测数据。</w:t>
            </w:r>
          </w:p>
          <w:p>
            <w:pPr>
              <w:pStyle w:val="9"/>
              <w:spacing w:line="240" w:lineRule="auto"/>
              <w:ind w:firstLine="0" w:firstLineChars="0"/>
              <w:jc w:val="center"/>
              <w:rPr>
                <w:rFonts w:cs="Times New Roman"/>
                <w:u w:val="single"/>
              </w:rPr>
            </w:pPr>
            <w:r>
              <w:rPr>
                <w:rFonts w:hint="eastAsia" w:cs="Times New Roman"/>
                <w:u w:val="single"/>
              </w:rPr>
              <w:t>表20  现有工程污染物核算一览表</w:t>
            </w:r>
          </w:p>
          <w:tbl>
            <w:tblPr>
              <w:tblW w:w="8918"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1411"/>
              <w:gridCol w:w="3596"/>
              <w:gridCol w:w="3911"/>
            </w:tblGrid>
            <w:tr>
              <w:trPr>
                <w:trHeight w:val="340" w:hRule="atLeast"/>
              </w:trPr>
              <w:tc>
                <w:tcPr>
                  <w:tcW w:w="1411" w:type="dxa"/>
                  <w:vAlign w:val="center"/>
                </w:tcPr>
                <w:p>
                  <w:pPr>
                    <w:pStyle w:val="22"/>
                    <w:rPr>
                      <w:u w:val="single"/>
                    </w:rPr>
                  </w:pPr>
                  <w:r>
                    <w:rPr>
                      <w:rFonts w:hint="eastAsia"/>
                      <w:u w:val="single"/>
                    </w:rPr>
                    <w:t>类别</w:t>
                  </w:r>
                </w:p>
              </w:tc>
              <w:tc>
                <w:tcPr>
                  <w:tcW w:w="3596" w:type="dxa"/>
                  <w:vAlign w:val="center"/>
                </w:tcPr>
                <w:p>
                  <w:pPr>
                    <w:pStyle w:val="22"/>
                    <w:rPr>
                      <w:u w:val="single"/>
                    </w:rPr>
                  </w:pPr>
                  <w:r>
                    <w:rPr>
                      <w:rFonts w:hint="eastAsia"/>
                      <w:u w:val="single"/>
                    </w:rPr>
                    <w:t>污染物名称</w:t>
                  </w:r>
                </w:p>
              </w:tc>
              <w:tc>
                <w:tcPr>
                  <w:tcW w:w="3911" w:type="dxa"/>
                  <w:vAlign w:val="center"/>
                </w:tcPr>
                <w:p>
                  <w:pPr>
                    <w:pStyle w:val="22"/>
                    <w:rPr>
                      <w:u w:val="single"/>
                    </w:rPr>
                  </w:pPr>
                  <w:r>
                    <w:rPr>
                      <w:rFonts w:hint="eastAsia"/>
                      <w:u w:val="single"/>
                    </w:rPr>
                    <w:t>实际排放量（t/a）</w:t>
                  </w:r>
                </w:p>
              </w:tc>
            </w:tr>
            <w:tr>
              <w:trPr>
                <w:trHeight w:val="340" w:hRule="atLeast"/>
              </w:trPr>
              <w:tc>
                <w:tcPr>
                  <w:tcW w:w="1411" w:type="dxa"/>
                  <w:vMerge w:val="restart"/>
                  <w:vAlign w:val="center"/>
                </w:tcPr>
                <w:p>
                  <w:pPr>
                    <w:pStyle w:val="22"/>
                    <w:rPr>
                      <w:u w:val="single"/>
                    </w:rPr>
                  </w:pPr>
                  <w:r>
                    <w:rPr>
                      <w:rFonts w:hint="eastAsia"/>
                      <w:u w:val="single"/>
                    </w:rPr>
                    <w:t>锅炉烟气</w:t>
                  </w:r>
                </w:p>
              </w:tc>
              <w:tc>
                <w:tcPr>
                  <w:tcW w:w="3596" w:type="dxa"/>
                  <w:vAlign w:val="center"/>
                </w:tcPr>
                <w:p>
                  <w:pPr>
                    <w:pStyle w:val="22"/>
                    <w:rPr>
                      <w:u w:val="single"/>
                    </w:rPr>
                  </w:pPr>
                  <w:r>
                    <w:rPr>
                      <w:rFonts w:hint="eastAsia"/>
                      <w:u w:val="single"/>
                    </w:rPr>
                    <w:t>颗粒物</w:t>
                  </w:r>
                </w:p>
              </w:tc>
              <w:tc>
                <w:tcPr>
                  <w:tcW w:w="3911" w:type="dxa"/>
                  <w:vAlign w:val="center"/>
                </w:tcPr>
                <w:p>
                  <w:pPr>
                    <w:pStyle w:val="22"/>
                    <w:rPr>
                      <w:u w:val="single"/>
                    </w:rPr>
                  </w:pPr>
                  <w:r>
                    <w:rPr>
                      <w:rFonts w:hint="eastAsia"/>
                      <w:u w:val="single"/>
                    </w:rPr>
                    <w:t>0.348</w:t>
                  </w:r>
                </w:p>
              </w:tc>
            </w:tr>
            <w:tr>
              <w:trPr>
                <w:trHeight w:val="340" w:hRule="atLeast"/>
              </w:trPr>
              <w:tc>
                <w:tcPr>
                  <w:tcW w:w="1411" w:type="dxa"/>
                  <w:vMerge w:val="continue"/>
                  <w:vAlign w:val="center"/>
                </w:tcPr>
                <w:p>
                  <w:pPr>
                    <w:pStyle w:val="22"/>
                    <w:rPr>
                      <w:u w:val="single"/>
                    </w:rPr>
                  </w:pPr>
                </w:p>
              </w:tc>
              <w:tc>
                <w:tcPr>
                  <w:tcW w:w="3596" w:type="dxa"/>
                  <w:vAlign w:val="center"/>
                </w:tcPr>
                <w:p>
                  <w:pPr>
                    <w:pStyle w:val="22"/>
                    <w:rPr>
                      <w:u w:val="single"/>
                    </w:rPr>
                  </w:pPr>
                  <w:r>
                    <w:rPr>
                      <w:rFonts w:hint="eastAsia"/>
                      <w:u w:val="single"/>
                    </w:rPr>
                    <w:t>二氧化硫</w:t>
                  </w:r>
                </w:p>
              </w:tc>
              <w:tc>
                <w:tcPr>
                  <w:tcW w:w="3911" w:type="dxa"/>
                  <w:vAlign w:val="center"/>
                </w:tcPr>
                <w:p>
                  <w:pPr>
                    <w:pStyle w:val="22"/>
                    <w:rPr>
                      <w:u w:val="single"/>
                    </w:rPr>
                  </w:pPr>
                  <w:r>
                    <w:rPr>
                      <w:rFonts w:hint="eastAsia"/>
                      <w:u w:val="single"/>
                    </w:rPr>
                    <w:t>0.139</w:t>
                  </w:r>
                </w:p>
              </w:tc>
            </w:tr>
            <w:tr>
              <w:trPr>
                <w:trHeight w:val="340" w:hRule="atLeast"/>
              </w:trPr>
              <w:tc>
                <w:tcPr>
                  <w:tcW w:w="1411" w:type="dxa"/>
                  <w:vMerge w:val="continue"/>
                  <w:vAlign w:val="center"/>
                </w:tcPr>
                <w:p>
                  <w:pPr>
                    <w:pStyle w:val="22"/>
                    <w:rPr>
                      <w:u w:val="single"/>
                    </w:rPr>
                  </w:pPr>
                </w:p>
              </w:tc>
              <w:tc>
                <w:tcPr>
                  <w:tcW w:w="3596" w:type="dxa"/>
                  <w:vAlign w:val="center"/>
                </w:tcPr>
                <w:p>
                  <w:pPr>
                    <w:pStyle w:val="22"/>
                    <w:rPr>
                      <w:u w:val="single"/>
                    </w:rPr>
                  </w:pPr>
                  <w:r>
                    <w:rPr>
                      <w:rFonts w:hint="eastAsia"/>
                      <w:u w:val="single"/>
                    </w:rPr>
                    <w:t>氮氧化物</w:t>
                  </w:r>
                </w:p>
              </w:tc>
              <w:tc>
                <w:tcPr>
                  <w:tcW w:w="3911" w:type="dxa"/>
                  <w:vAlign w:val="center"/>
                </w:tcPr>
                <w:p>
                  <w:pPr>
                    <w:pStyle w:val="22"/>
                    <w:rPr>
                      <w:u w:val="single"/>
                    </w:rPr>
                  </w:pPr>
                  <w:r>
                    <w:rPr>
                      <w:rFonts w:hint="eastAsia"/>
                      <w:u w:val="single"/>
                    </w:rPr>
                    <w:t>3.247</w:t>
                  </w:r>
                </w:p>
              </w:tc>
            </w:tr>
            <w:tr>
              <w:trPr>
                <w:trHeight w:val="340" w:hRule="atLeast"/>
              </w:trPr>
              <w:tc>
                <w:tcPr>
                  <w:tcW w:w="1411" w:type="dxa"/>
                  <w:vMerge w:val="restart"/>
                  <w:vAlign w:val="center"/>
                </w:tcPr>
                <w:p>
                  <w:pPr>
                    <w:pStyle w:val="22"/>
                    <w:rPr>
                      <w:u w:val="single"/>
                    </w:rPr>
                  </w:pPr>
                  <w:r>
                    <w:rPr>
                      <w:rFonts w:hint="eastAsia"/>
                      <w:u w:val="single"/>
                    </w:rPr>
                    <w:t>污水处理站废气</w:t>
                  </w:r>
                </w:p>
              </w:tc>
              <w:tc>
                <w:tcPr>
                  <w:tcW w:w="3596" w:type="dxa"/>
                  <w:vAlign w:val="center"/>
                </w:tcPr>
                <w:p>
                  <w:pPr>
                    <w:pStyle w:val="22"/>
                    <w:rPr>
                      <w:u w:val="single"/>
                    </w:rPr>
                  </w:pPr>
                  <w:r>
                    <w:rPr>
                      <w:rFonts w:hint="eastAsia"/>
                      <w:u w:val="single"/>
                    </w:rPr>
                    <w:t>氨</w:t>
                  </w:r>
                </w:p>
              </w:tc>
              <w:tc>
                <w:tcPr>
                  <w:tcW w:w="3911" w:type="dxa"/>
                  <w:vAlign w:val="center"/>
                </w:tcPr>
                <w:p>
                  <w:pPr>
                    <w:pStyle w:val="22"/>
                    <w:rPr>
                      <w:u w:val="single"/>
                    </w:rPr>
                  </w:pPr>
                  <w:r>
                    <w:rPr>
                      <w:rFonts w:hint="eastAsia"/>
                      <w:u w:val="single"/>
                    </w:rPr>
                    <w:t>0.234</w:t>
                  </w:r>
                </w:p>
              </w:tc>
            </w:tr>
            <w:tr>
              <w:trPr>
                <w:trHeight w:val="340" w:hRule="atLeast"/>
              </w:trPr>
              <w:tc>
                <w:tcPr>
                  <w:tcW w:w="1411" w:type="dxa"/>
                  <w:vMerge w:val="continue"/>
                  <w:vAlign w:val="center"/>
                </w:tcPr>
                <w:p>
                  <w:pPr>
                    <w:pStyle w:val="22"/>
                    <w:rPr>
                      <w:u w:val="single"/>
                    </w:rPr>
                  </w:pPr>
                </w:p>
              </w:tc>
              <w:tc>
                <w:tcPr>
                  <w:tcW w:w="3596" w:type="dxa"/>
                  <w:vAlign w:val="center"/>
                </w:tcPr>
                <w:p>
                  <w:pPr>
                    <w:pStyle w:val="22"/>
                    <w:rPr>
                      <w:u w:val="single"/>
                    </w:rPr>
                  </w:pPr>
                  <w:r>
                    <w:rPr>
                      <w:rFonts w:hint="eastAsia"/>
                      <w:u w:val="single"/>
                    </w:rPr>
                    <w:t>硫化氢</w:t>
                  </w:r>
                </w:p>
              </w:tc>
              <w:tc>
                <w:tcPr>
                  <w:tcW w:w="3911" w:type="dxa"/>
                  <w:vAlign w:val="center"/>
                </w:tcPr>
                <w:p>
                  <w:pPr>
                    <w:pStyle w:val="22"/>
                    <w:rPr>
                      <w:u w:val="single"/>
                    </w:rPr>
                  </w:pPr>
                  <w:r>
                    <w:rPr>
                      <w:rFonts w:hint="eastAsia"/>
                      <w:u w:val="single"/>
                    </w:rPr>
                    <w:t>0.017</w:t>
                  </w:r>
                </w:p>
              </w:tc>
            </w:tr>
            <w:tr>
              <w:trPr>
                <w:trHeight w:val="340" w:hRule="atLeast"/>
              </w:trPr>
              <w:tc>
                <w:tcPr>
                  <w:tcW w:w="1411" w:type="dxa"/>
                  <w:vMerge w:val="restart"/>
                  <w:vAlign w:val="center"/>
                </w:tcPr>
                <w:p>
                  <w:pPr>
                    <w:pStyle w:val="22"/>
                    <w:rPr>
                      <w:u w:val="single"/>
                    </w:rPr>
                  </w:pPr>
                  <w:r>
                    <w:rPr>
                      <w:rFonts w:hint="eastAsia"/>
                      <w:u w:val="single"/>
                    </w:rPr>
                    <w:t>废水</w:t>
                  </w:r>
                </w:p>
              </w:tc>
              <w:tc>
                <w:tcPr>
                  <w:tcW w:w="3596" w:type="dxa"/>
                  <w:vAlign w:val="center"/>
                </w:tcPr>
                <w:p>
                  <w:pPr>
                    <w:pStyle w:val="22"/>
                    <w:rPr>
                      <w:u w:val="single"/>
                    </w:rPr>
                  </w:pPr>
                  <w:r>
                    <w:rPr>
                      <w:rFonts w:hint="eastAsia"/>
                      <w:u w:val="single"/>
                    </w:rPr>
                    <w:t>COD</w:t>
                  </w:r>
                </w:p>
              </w:tc>
              <w:tc>
                <w:tcPr>
                  <w:tcW w:w="3911" w:type="dxa"/>
                  <w:vAlign w:val="center"/>
                </w:tcPr>
                <w:p>
                  <w:pPr>
                    <w:pStyle w:val="22"/>
                    <w:rPr>
                      <w:u w:val="single"/>
                    </w:rPr>
                  </w:pPr>
                  <w:r>
                    <w:rPr>
                      <w:rFonts w:hint="eastAsia"/>
                      <w:u w:val="single"/>
                    </w:rPr>
                    <w:t>10.4</w:t>
                  </w:r>
                </w:p>
              </w:tc>
            </w:tr>
            <w:tr>
              <w:trPr>
                <w:trHeight w:val="340" w:hRule="atLeast"/>
              </w:trPr>
              <w:tc>
                <w:tcPr>
                  <w:tcW w:w="1411" w:type="dxa"/>
                  <w:vMerge w:val="continue"/>
                  <w:vAlign w:val="center"/>
                </w:tcPr>
                <w:p>
                  <w:pPr>
                    <w:pStyle w:val="22"/>
                    <w:rPr>
                      <w:u w:val="single"/>
                    </w:rPr>
                  </w:pPr>
                </w:p>
              </w:tc>
              <w:tc>
                <w:tcPr>
                  <w:tcW w:w="3596" w:type="dxa"/>
                  <w:vAlign w:val="center"/>
                </w:tcPr>
                <w:p>
                  <w:pPr>
                    <w:pStyle w:val="22"/>
                    <w:rPr>
                      <w:u w:val="single"/>
                    </w:rPr>
                  </w:pPr>
                  <w:r>
                    <w:rPr>
                      <w:rFonts w:hint="eastAsia"/>
                      <w:u w:val="single"/>
                    </w:rPr>
                    <w:t>BOD</w:t>
                  </w:r>
                  <w:r>
                    <w:rPr>
                      <w:rFonts w:hint="eastAsia"/>
                      <w:u w:val="single"/>
                      <w:vertAlign w:val="subscript"/>
                    </w:rPr>
                    <w:t>5</w:t>
                  </w:r>
                </w:p>
              </w:tc>
              <w:tc>
                <w:tcPr>
                  <w:tcW w:w="3911" w:type="dxa"/>
                  <w:vAlign w:val="center"/>
                </w:tcPr>
                <w:p>
                  <w:pPr>
                    <w:pStyle w:val="22"/>
                    <w:rPr>
                      <w:u w:val="single"/>
                    </w:rPr>
                  </w:pPr>
                  <w:r>
                    <w:rPr>
                      <w:rFonts w:hint="eastAsia"/>
                      <w:u w:val="single"/>
                    </w:rPr>
                    <w:t>3.47</w:t>
                  </w:r>
                </w:p>
              </w:tc>
            </w:tr>
            <w:tr>
              <w:trPr>
                <w:trHeight w:val="340" w:hRule="atLeast"/>
              </w:trPr>
              <w:tc>
                <w:tcPr>
                  <w:tcW w:w="1411" w:type="dxa"/>
                  <w:vMerge w:val="continue"/>
                  <w:vAlign w:val="center"/>
                </w:tcPr>
                <w:p>
                  <w:pPr>
                    <w:pStyle w:val="22"/>
                    <w:rPr>
                      <w:u w:val="single"/>
                    </w:rPr>
                  </w:pPr>
                </w:p>
              </w:tc>
              <w:tc>
                <w:tcPr>
                  <w:tcW w:w="3596" w:type="dxa"/>
                  <w:vAlign w:val="center"/>
                </w:tcPr>
                <w:p>
                  <w:pPr>
                    <w:pStyle w:val="22"/>
                    <w:rPr>
                      <w:u w:val="single"/>
                    </w:rPr>
                  </w:pPr>
                  <w:r>
                    <w:rPr>
                      <w:rFonts w:hint="eastAsia"/>
                      <w:u w:val="single"/>
                    </w:rPr>
                    <w:t>SS</w:t>
                  </w:r>
                </w:p>
              </w:tc>
              <w:tc>
                <w:tcPr>
                  <w:tcW w:w="3911" w:type="dxa"/>
                  <w:vAlign w:val="center"/>
                </w:tcPr>
                <w:p>
                  <w:pPr>
                    <w:pStyle w:val="22"/>
                    <w:rPr>
                      <w:u w:val="single"/>
                    </w:rPr>
                  </w:pPr>
                  <w:r>
                    <w:rPr>
                      <w:rFonts w:hint="eastAsia"/>
                      <w:u w:val="single"/>
                    </w:rPr>
                    <w:t>3.47</w:t>
                  </w:r>
                </w:p>
              </w:tc>
            </w:tr>
            <w:tr>
              <w:trPr>
                <w:trHeight w:val="340" w:hRule="atLeast"/>
              </w:trPr>
              <w:tc>
                <w:tcPr>
                  <w:tcW w:w="1411" w:type="dxa"/>
                  <w:vMerge w:val="continue"/>
                  <w:vAlign w:val="center"/>
                </w:tcPr>
                <w:p>
                  <w:pPr>
                    <w:pStyle w:val="22"/>
                    <w:rPr>
                      <w:u w:val="single"/>
                    </w:rPr>
                  </w:pPr>
                </w:p>
              </w:tc>
              <w:tc>
                <w:tcPr>
                  <w:tcW w:w="3596" w:type="dxa"/>
                  <w:vAlign w:val="center"/>
                </w:tcPr>
                <w:p>
                  <w:pPr>
                    <w:pStyle w:val="22"/>
                    <w:rPr>
                      <w:u w:val="single"/>
                    </w:rPr>
                  </w:pPr>
                  <w:r>
                    <w:rPr>
                      <w:rFonts w:hint="eastAsia"/>
                      <w:u w:val="single"/>
                    </w:rPr>
                    <w:t>氨氮</w:t>
                  </w:r>
                </w:p>
              </w:tc>
              <w:tc>
                <w:tcPr>
                  <w:tcW w:w="3911" w:type="dxa"/>
                  <w:vAlign w:val="center"/>
                </w:tcPr>
                <w:p>
                  <w:pPr>
                    <w:pStyle w:val="22"/>
                    <w:rPr>
                      <w:u w:val="single"/>
                    </w:rPr>
                  </w:pPr>
                  <w:r>
                    <w:rPr>
                      <w:rFonts w:hint="eastAsia"/>
                      <w:u w:val="single"/>
                    </w:rPr>
                    <w:t>2.6</w:t>
                  </w:r>
                </w:p>
              </w:tc>
            </w:tr>
            <w:tr>
              <w:trPr>
                <w:trHeight w:val="340" w:hRule="atLeast"/>
              </w:trPr>
              <w:tc>
                <w:tcPr>
                  <w:tcW w:w="1411" w:type="dxa"/>
                  <w:vMerge w:val="continue"/>
                  <w:vAlign w:val="center"/>
                </w:tcPr>
                <w:p>
                  <w:pPr>
                    <w:pStyle w:val="22"/>
                    <w:rPr>
                      <w:u w:val="single"/>
                    </w:rPr>
                  </w:pPr>
                </w:p>
              </w:tc>
              <w:tc>
                <w:tcPr>
                  <w:tcW w:w="3596" w:type="dxa"/>
                  <w:vAlign w:val="center"/>
                </w:tcPr>
                <w:p>
                  <w:pPr>
                    <w:pStyle w:val="22"/>
                    <w:rPr>
                      <w:u w:val="single"/>
                    </w:rPr>
                  </w:pPr>
                  <w:r>
                    <w:rPr>
                      <w:rFonts w:hint="eastAsia"/>
                      <w:u w:val="single"/>
                    </w:rPr>
                    <w:t>动植物油</w:t>
                  </w:r>
                </w:p>
              </w:tc>
              <w:tc>
                <w:tcPr>
                  <w:tcW w:w="3911" w:type="dxa"/>
                  <w:vAlign w:val="center"/>
                </w:tcPr>
                <w:p>
                  <w:pPr>
                    <w:pStyle w:val="22"/>
                    <w:rPr>
                      <w:u w:val="single"/>
                    </w:rPr>
                  </w:pPr>
                  <w:r>
                    <w:rPr>
                      <w:rFonts w:hint="eastAsia"/>
                      <w:u w:val="single"/>
                    </w:rPr>
                    <w:t>2.6</w:t>
                  </w:r>
                </w:p>
              </w:tc>
            </w:tr>
            <w:tr>
              <w:trPr>
                <w:trHeight w:val="340" w:hRule="atLeast"/>
              </w:trPr>
              <w:tc>
                <w:tcPr>
                  <w:tcW w:w="1411" w:type="dxa"/>
                  <w:vMerge w:val="restart"/>
                  <w:vAlign w:val="center"/>
                </w:tcPr>
                <w:p>
                  <w:pPr>
                    <w:pStyle w:val="22"/>
                    <w:rPr>
                      <w:u w:val="single"/>
                    </w:rPr>
                  </w:pPr>
                  <w:r>
                    <w:rPr>
                      <w:rFonts w:hint="eastAsia"/>
                      <w:u w:val="single"/>
                    </w:rPr>
                    <w:t>固体废物</w:t>
                  </w:r>
                </w:p>
              </w:tc>
              <w:tc>
                <w:tcPr>
                  <w:tcW w:w="3596" w:type="dxa"/>
                  <w:vAlign w:val="center"/>
                </w:tcPr>
                <w:p>
                  <w:pPr>
                    <w:pStyle w:val="22"/>
                    <w:rPr>
                      <w:u w:val="single"/>
                    </w:rPr>
                  </w:pPr>
                  <w:r>
                    <w:rPr>
                      <w:rFonts w:hint="eastAsia"/>
                      <w:u w:val="single"/>
                    </w:rPr>
                    <w:t>炉渣</w:t>
                  </w:r>
                </w:p>
              </w:tc>
              <w:tc>
                <w:tcPr>
                  <w:tcW w:w="3911" w:type="dxa"/>
                  <w:vAlign w:val="center"/>
                </w:tcPr>
                <w:p>
                  <w:pPr>
                    <w:pStyle w:val="22"/>
                    <w:rPr>
                      <w:u w:val="single"/>
                    </w:rPr>
                  </w:pPr>
                  <w:r>
                    <w:rPr>
                      <w:rFonts w:hint="eastAsia"/>
                      <w:u w:val="single"/>
                    </w:rPr>
                    <w:t>15</w:t>
                  </w:r>
                </w:p>
              </w:tc>
            </w:tr>
            <w:tr>
              <w:trPr>
                <w:trHeight w:val="340" w:hRule="atLeast"/>
              </w:trPr>
              <w:tc>
                <w:tcPr>
                  <w:tcW w:w="1411" w:type="dxa"/>
                  <w:vMerge w:val="continue"/>
                  <w:vAlign w:val="center"/>
                </w:tcPr>
                <w:p>
                  <w:pPr>
                    <w:pStyle w:val="22"/>
                    <w:rPr>
                      <w:u w:val="single"/>
                    </w:rPr>
                  </w:pPr>
                </w:p>
              </w:tc>
              <w:tc>
                <w:tcPr>
                  <w:tcW w:w="3596" w:type="dxa"/>
                  <w:vAlign w:val="center"/>
                </w:tcPr>
                <w:p>
                  <w:pPr>
                    <w:pStyle w:val="22"/>
                    <w:rPr>
                      <w:u w:val="single"/>
                    </w:rPr>
                  </w:pPr>
                  <w:r>
                    <w:rPr>
                      <w:rFonts w:hint="eastAsia"/>
                      <w:u w:val="single"/>
                    </w:rPr>
                    <w:t>除尘灰</w:t>
                  </w:r>
                </w:p>
              </w:tc>
              <w:tc>
                <w:tcPr>
                  <w:tcW w:w="3911" w:type="dxa"/>
                  <w:vAlign w:val="center"/>
                </w:tcPr>
                <w:p>
                  <w:pPr>
                    <w:pStyle w:val="22"/>
                    <w:rPr>
                      <w:u w:val="single"/>
                    </w:rPr>
                  </w:pPr>
                  <w:r>
                    <w:rPr>
                      <w:rFonts w:hint="eastAsia"/>
                      <w:u w:val="single"/>
                    </w:rPr>
                    <w:t>13.22</w:t>
                  </w:r>
                </w:p>
              </w:tc>
            </w:tr>
            <w:tr>
              <w:trPr>
                <w:trHeight w:val="340" w:hRule="atLeast"/>
              </w:trPr>
              <w:tc>
                <w:tcPr>
                  <w:tcW w:w="1411" w:type="dxa"/>
                  <w:vMerge w:val="continue"/>
                  <w:vAlign w:val="center"/>
                </w:tcPr>
                <w:p>
                  <w:pPr>
                    <w:pStyle w:val="22"/>
                    <w:rPr>
                      <w:u w:val="single"/>
                    </w:rPr>
                  </w:pPr>
                </w:p>
              </w:tc>
              <w:tc>
                <w:tcPr>
                  <w:tcW w:w="3596" w:type="dxa"/>
                  <w:vAlign w:val="center"/>
                </w:tcPr>
                <w:p>
                  <w:pPr>
                    <w:pStyle w:val="22"/>
                    <w:rPr>
                      <w:u w:val="single"/>
                    </w:rPr>
                  </w:pPr>
                  <w:r>
                    <w:rPr>
                      <w:rFonts w:hint="eastAsia"/>
                      <w:u w:val="single"/>
                    </w:rPr>
                    <w:t>生活垃圾</w:t>
                  </w:r>
                </w:p>
              </w:tc>
              <w:tc>
                <w:tcPr>
                  <w:tcW w:w="3911" w:type="dxa"/>
                  <w:vAlign w:val="center"/>
                </w:tcPr>
                <w:p>
                  <w:pPr>
                    <w:pStyle w:val="22"/>
                    <w:rPr>
                      <w:u w:val="single"/>
                    </w:rPr>
                  </w:pPr>
                  <w:r>
                    <w:rPr>
                      <w:rFonts w:hint="eastAsia"/>
                      <w:u w:val="single"/>
                    </w:rPr>
                    <w:t>2.0</w:t>
                  </w:r>
                </w:p>
              </w:tc>
            </w:tr>
            <w:tr>
              <w:trPr>
                <w:trHeight w:val="340" w:hRule="atLeast"/>
              </w:trPr>
              <w:tc>
                <w:tcPr>
                  <w:tcW w:w="1411" w:type="dxa"/>
                  <w:vMerge w:val="continue"/>
                  <w:vAlign w:val="center"/>
                </w:tcPr>
                <w:p>
                  <w:pPr>
                    <w:pStyle w:val="22"/>
                    <w:rPr>
                      <w:u w:val="single"/>
                    </w:rPr>
                  </w:pPr>
                </w:p>
              </w:tc>
              <w:tc>
                <w:tcPr>
                  <w:tcW w:w="3596" w:type="dxa"/>
                  <w:vAlign w:val="center"/>
                </w:tcPr>
                <w:p>
                  <w:pPr>
                    <w:pStyle w:val="22"/>
                    <w:rPr>
                      <w:u w:val="single"/>
                    </w:rPr>
                  </w:pPr>
                  <w:r>
                    <w:rPr>
                      <w:rFonts w:hint="eastAsia"/>
                      <w:u w:val="single"/>
                    </w:rPr>
                    <w:t>污水处理站污泥</w:t>
                  </w:r>
                </w:p>
              </w:tc>
              <w:tc>
                <w:tcPr>
                  <w:tcW w:w="3911" w:type="dxa"/>
                  <w:vAlign w:val="center"/>
                </w:tcPr>
                <w:p>
                  <w:pPr>
                    <w:pStyle w:val="22"/>
                    <w:rPr>
                      <w:u w:val="single"/>
                    </w:rPr>
                  </w:pPr>
                  <w:r>
                    <w:rPr>
                      <w:rFonts w:hint="eastAsia"/>
                      <w:u w:val="single"/>
                    </w:rPr>
                    <w:t>0.5</w:t>
                  </w:r>
                </w:p>
              </w:tc>
            </w:tr>
            <w:tr>
              <w:trPr>
                <w:trHeight w:val="340" w:hRule="atLeast"/>
              </w:trPr>
              <w:tc>
                <w:tcPr>
                  <w:tcW w:w="1411" w:type="dxa"/>
                  <w:vMerge w:val="continue"/>
                  <w:vAlign w:val="center"/>
                </w:tcPr>
                <w:p>
                  <w:pPr>
                    <w:pStyle w:val="22"/>
                    <w:rPr>
                      <w:u w:val="single"/>
                    </w:rPr>
                  </w:pPr>
                </w:p>
              </w:tc>
              <w:tc>
                <w:tcPr>
                  <w:tcW w:w="3596" w:type="dxa"/>
                  <w:vAlign w:val="center"/>
                </w:tcPr>
                <w:p>
                  <w:pPr>
                    <w:pStyle w:val="22"/>
                    <w:rPr>
                      <w:u w:val="single"/>
                    </w:rPr>
                  </w:pPr>
                  <w:r>
                    <w:rPr>
                      <w:rFonts w:hint="eastAsia"/>
                      <w:u w:val="single"/>
                    </w:rPr>
                    <w:t>屠宰废弃物</w:t>
                  </w:r>
                </w:p>
              </w:tc>
              <w:tc>
                <w:tcPr>
                  <w:tcW w:w="3911" w:type="dxa"/>
                  <w:vAlign w:val="center"/>
                </w:tcPr>
                <w:p>
                  <w:pPr>
                    <w:pStyle w:val="22"/>
                    <w:rPr>
                      <w:u w:val="single"/>
                    </w:rPr>
                  </w:pPr>
                  <w:r>
                    <w:rPr>
                      <w:rFonts w:hint="eastAsia"/>
                      <w:u w:val="single"/>
                    </w:rPr>
                    <w:t>338</w:t>
                  </w:r>
                </w:p>
              </w:tc>
            </w:tr>
            <w:tr>
              <w:trPr>
                <w:trHeight w:val="340" w:hRule="atLeast"/>
              </w:trPr>
              <w:tc>
                <w:tcPr>
                  <w:tcW w:w="1411" w:type="dxa"/>
                  <w:vMerge w:val="continue"/>
                  <w:vAlign w:val="center"/>
                </w:tcPr>
                <w:p>
                  <w:pPr>
                    <w:pStyle w:val="22"/>
                    <w:rPr>
                      <w:u w:val="single"/>
                    </w:rPr>
                  </w:pPr>
                </w:p>
              </w:tc>
              <w:tc>
                <w:tcPr>
                  <w:tcW w:w="3596" w:type="dxa"/>
                  <w:vAlign w:val="center"/>
                </w:tcPr>
                <w:p>
                  <w:pPr>
                    <w:pStyle w:val="22"/>
                    <w:rPr>
                      <w:u w:val="single"/>
                    </w:rPr>
                  </w:pPr>
                  <w:r>
                    <w:rPr>
                      <w:rFonts w:hint="eastAsia"/>
                      <w:u w:val="single"/>
                    </w:rPr>
                    <w:t>死鸡</w:t>
                  </w:r>
                </w:p>
              </w:tc>
              <w:tc>
                <w:tcPr>
                  <w:tcW w:w="3911" w:type="dxa"/>
                  <w:vAlign w:val="center"/>
                </w:tcPr>
                <w:p>
                  <w:pPr>
                    <w:pStyle w:val="22"/>
                    <w:rPr>
                      <w:u w:val="single"/>
                    </w:rPr>
                  </w:pPr>
                  <w:r>
                    <w:rPr>
                      <w:rFonts w:hint="eastAsia"/>
                      <w:u w:val="single"/>
                    </w:rPr>
                    <w:t>2.0</w:t>
                  </w:r>
                </w:p>
              </w:tc>
            </w:tr>
            <w:tr>
              <w:trPr>
                <w:trHeight w:val="340" w:hRule="atLeast"/>
              </w:trPr>
              <w:tc>
                <w:tcPr>
                  <w:tcW w:w="1411" w:type="dxa"/>
                  <w:vMerge w:val="continue"/>
                  <w:vAlign w:val="center"/>
                </w:tcPr>
                <w:p>
                  <w:pPr>
                    <w:pStyle w:val="22"/>
                    <w:rPr>
                      <w:u w:val="single"/>
                    </w:rPr>
                  </w:pPr>
                </w:p>
              </w:tc>
              <w:tc>
                <w:tcPr>
                  <w:tcW w:w="3596" w:type="dxa"/>
                  <w:vAlign w:val="center"/>
                </w:tcPr>
                <w:p>
                  <w:pPr>
                    <w:pStyle w:val="22"/>
                    <w:rPr>
                      <w:u w:val="single"/>
                    </w:rPr>
                  </w:pPr>
                  <w:r>
                    <w:rPr>
                      <w:rFonts w:hint="eastAsia"/>
                      <w:u w:val="single"/>
                    </w:rPr>
                    <w:t>废布袋</w:t>
                  </w:r>
                </w:p>
              </w:tc>
              <w:tc>
                <w:tcPr>
                  <w:tcW w:w="3911" w:type="dxa"/>
                  <w:vAlign w:val="center"/>
                </w:tcPr>
                <w:p>
                  <w:pPr>
                    <w:pStyle w:val="22"/>
                    <w:rPr>
                      <w:u w:val="single"/>
                    </w:rPr>
                  </w:pPr>
                  <w:r>
                    <w:rPr>
                      <w:rFonts w:hint="eastAsia"/>
                      <w:u w:val="single"/>
                    </w:rPr>
                    <w:t>0.5</w:t>
                  </w:r>
                </w:p>
              </w:tc>
            </w:tr>
            <w:tr>
              <w:trPr>
                <w:trHeight w:val="340" w:hRule="atLeast"/>
              </w:trPr>
              <w:tc>
                <w:tcPr>
                  <w:tcW w:w="1411" w:type="dxa"/>
                  <w:vMerge w:val="continue"/>
                  <w:vAlign w:val="center"/>
                </w:tcPr>
                <w:p>
                  <w:pPr>
                    <w:pStyle w:val="22"/>
                    <w:rPr>
                      <w:u w:val="single"/>
                    </w:rPr>
                  </w:pPr>
                </w:p>
              </w:tc>
              <w:tc>
                <w:tcPr>
                  <w:tcW w:w="3596" w:type="dxa"/>
                  <w:vAlign w:val="center"/>
                </w:tcPr>
                <w:p>
                  <w:pPr>
                    <w:pStyle w:val="22"/>
                    <w:rPr>
                      <w:u w:val="single"/>
                    </w:rPr>
                  </w:pPr>
                  <w:r>
                    <w:rPr>
                      <w:rFonts w:hint="eastAsia"/>
                      <w:u w:val="single"/>
                    </w:rPr>
                    <w:t>废活性炭</w:t>
                  </w:r>
                </w:p>
              </w:tc>
              <w:tc>
                <w:tcPr>
                  <w:tcW w:w="3911" w:type="dxa"/>
                  <w:vAlign w:val="center"/>
                </w:tcPr>
                <w:p>
                  <w:pPr>
                    <w:pStyle w:val="22"/>
                    <w:rPr>
                      <w:u w:val="single"/>
                    </w:rPr>
                  </w:pPr>
                  <w:r>
                    <w:rPr>
                      <w:rFonts w:hint="eastAsia"/>
                      <w:u w:val="single"/>
                    </w:rPr>
                    <w:t>0.5</w:t>
                  </w:r>
                </w:p>
              </w:tc>
            </w:tr>
            <w:tr>
              <w:trPr>
                <w:trHeight w:val="340" w:hRule="atLeast"/>
              </w:trPr>
              <w:tc>
                <w:tcPr>
                  <w:tcW w:w="1411" w:type="dxa"/>
                  <w:vMerge w:val="continue"/>
                  <w:vAlign w:val="center"/>
                </w:tcPr>
                <w:p>
                  <w:pPr>
                    <w:pStyle w:val="22"/>
                    <w:rPr>
                      <w:u w:val="single"/>
                    </w:rPr>
                  </w:pPr>
                </w:p>
              </w:tc>
              <w:tc>
                <w:tcPr>
                  <w:tcW w:w="3596" w:type="dxa"/>
                  <w:vAlign w:val="center"/>
                </w:tcPr>
                <w:p>
                  <w:pPr>
                    <w:pStyle w:val="22"/>
                    <w:rPr>
                      <w:u w:val="single"/>
                    </w:rPr>
                  </w:pPr>
                  <w:r>
                    <w:rPr>
                      <w:rFonts w:hint="eastAsia"/>
                      <w:u w:val="single"/>
                    </w:rPr>
                    <w:t>实验、监测废液</w:t>
                  </w:r>
                </w:p>
              </w:tc>
              <w:tc>
                <w:tcPr>
                  <w:tcW w:w="3911" w:type="dxa"/>
                  <w:vAlign w:val="center"/>
                </w:tcPr>
                <w:p>
                  <w:pPr>
                    <w:pStyle w:val="22"/>
                    <w:rPr>
                      <w:u w:val="single"/>
                    </w:rPr>
                  </w:pPr>
                  <w:r>
                    <w:rPr>
                      <w:rFonts w:hint="eastAsia"/>
                      <w:u w:val="single"/>
                    </w:rPr>
                    <w:t>1.5</w:t>
                  </w:r>
                </w:p>
              </w:tc>
            </w:tr>
            <w:tr>
              <w:trPr>
                <w:trHeight w:val="340" w:hRule="atLeast"/>
              </w:trPr>
              <w:tc>
                <w:tcPr>
                  <w:tcW w:w="1411" w:type="dxa"/>
                  <w:vMerge w:val="continue"/>
                  <w:vAlign w:val="center"/>
                </w:tcPr>
                <w:p>
                  <w:pPr>
                    <w:pStyle w:val="22"/>
                    <w:rPr>
                      <w:u w:val="single"/>
                    </w:rPr>
                  </w:pPr>
                </w:p>
              </w:tc>
              <w:tc>
                <w:tcPr>
                  <w:tcW w:w="3596" w:type="dxa"/>
                  <w:vAlign w:val="center"/>
                </w:tcPr>
                <w:p>
                  <w:pPr>
                    <w:pStyle w:val="22"/>
                    <w:rPr>
                      <w:u w:val="single"/>
                    </w:rPr>
                  </w:pPr>
                  <w:r>
                    <w:rPr>
                      <w:rFonts w:hint="eastAsia"/>
                      <w:u w:val="single"/>
                    </w:rPr>
                    <w:t>废弃试剂瓶</w:t>
                  </w:r>
                </w:p>
              </w:tc>
              <w:tc>
                <w:tcPr>
                  <w:tcW w:w="3911" w:type="dxa"/>
                  <w:vAlign w:val="center"/>
                </w:tcPr>
                <w:p>
                  <w:pPr>
                    <w:pStyle w:val="22"/>
                    <w:rPr>
                      <w:u w:val="single"/>
                    </w:rPr>
                  </w:pPr>
                  <w:r>
                    <w:rPr>
                      <w:rFonts w:hint="eastAsia"/>
                      <w:u w:val="single"/>
                    </w:rPr>
                    <w:t>2.0</w:t>
                  </w:r>
                </w:p>
              </w:tc>
            </w:tr>
            <w:tr>
              <w:trPr>
                <w:trHeight w:val="340" w:hRule="atLeast"/>
              </w:trPr>
              <w:tc>
                <w:tcPr>
                  <w:tcW w:w="1411" w:type="dxa"/>
                  <w:vMerge w:val="continue"/>
                  <w:vAlign w:val="center"/>
                </w:tcPr>
                <w:p>
                  <w:pPr>
                    <w:pStyle w:val="22"/>
                    <w:rPr>
                      <w:u w:val="single"/>
                    </w:rPr>
                  </w:pPr>
                </w:p>
              </w:tc>
              <w:tc>
                <w:tcPr>
                  <w:tcW w:w="3596" w:type="dxa"/>
                  <w:vAlign w:val="center"/>
                </w:tcPr>
                <w:p>
                  <w:pPr>
                    <w:pStyle w:val="22"/>
                    <w:rPr>
                      <w:u w:val="single"/>
                    </w:rPr>
                  </w:pPr>
                  <w:r>
                    <w:rPr>
                      <w:rFonts w:hint="eastAsia"/>
                      <w:u w:val="single"/>
                    </w:rPr>
                    <w:t>废机油</w:t>
                  </w:r>
                </w:p>
              </w:tc>
              <w:tc>
                <w:tcPr>
                  <w:tcW w:w="3911" w:type="dxa"/>
                  <w:vAlign w:val="center"/>
                </w:tcPr>
                <w:p>
                  <w:pPr>
                    <w:pStyle w:val="22"/>
                    <w:rPr>
                      <w:u w:val="single"/>
                    </w:rPr>
                  </w:pPr>
                  <w:r>
                    <w:rPr>
                      <w:rFonts w:hint="eastAsia"/>
                      <w:u w:val="single"/>
                    </w:rPr>
                    <w:t>1.0</w:t>
                  </w:r>
                </w:p>
              </w:tc>
            </w:tr>
          </w:tbl>
          <w:p>
            <w:pPr>
              <w:pStyle w:val="9"/>
              <w:ind w:firstLine="480"/>
              <w:rPr>
                <w:rFonts w:cs="Times New Roman"/>
                <w:u w:val="single"/>
              </w:rPr>
            </w:pPr>
            <w:r>
              <w:rPr>
                <w:rFonts w:hint="eastAsia" w:cs="Times New Roman"/>
                <w:u w:val="single"/>
              </w:rPr>
              <w:t>三、现有环评批复及验收落实情况</w:t>
            </w:r>
          </w:p>
          <w:p>
            <w:pPr>
              <w:pStyle w:val="9"/>
              <w:ind w:firstLine="480"/>
              <w:rPr>
                <w:rFonts w:cs="Times New Roman"/>
                <w:u w:val="single"/>
              </w:rPr>
            </w:pPr>
            <w:r>
              <w:rPr>
                <w:rFonts w:hint="eastAsia" w:cs="Times New Roman"/>
                <w:u w:val="single"/>
              </w:rPr>
              <w:t>项目现有环评批复及验收落实情况详见下表。</w:t>
            </w:r>
          </w:p>
          <w:p>
            <w:pPr>
              <w:pStyle w:val="9"/>
              <w:spacing w:line="240" w:lineRule="auto"/>
              <w:ind w:firstLine="0" w:firstLineChars="0"/>
              <w:jc w:val="center"/>
              <w:rPr>
                <w:rFonts w:cs="Times New Roman"/>
                <w:u w:val="single"/>
              </w:rPr>
            </w:pPr>
            <w:r>
              <w:rPr>
                <w:rFonts w:hint="eastAsia" w:cs="Times New Roman"/>
                <w:u w:val="single"/>
              </w:rPr>
              <w:t>表21  环评批复落实情况</w:t>
            </w:r>
          </w:p>
          <w:tbl>
            <w:tblPr>
              <w:tblW w:w="8918"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51"/>
              <w:gridCol w:w="4545"/>
              <w:gridCol w:w="3622"/>
            </w:tblGrid>
            <w:tr>
              <w:trPr>
                <w:trHeight w:val="340" w:hRule="atLeast"/>
              </w:trPr>
              <w:tc>
                <w:tcPr>
                  <w:tcW w:w="751" w:type="dxa"/>
                  <w:tcBorders>
                    <w:tl2br w:val="nil"/>
                    <w:tr2bl w:val="nil"/>
                  </w:tcBorders>
                  <w:vAlign w:val="center"/>
                </w:tcPr>
                <w:p>
                  <w:pPr>
                    <w:pStyle w:val="22"/>
                    <w:rPr>
                      <w:u w:val="single"/>
                    </w:rPr>
                  </w:pPr>
                  <w:r>
                    <w:rPr>
                      <w:u w:val="single"/>
                    </w:rPr>
                    <w:t>序号</w:t>
                  </w:r>
                </w:p>
              </w:tc>
              <w:tc>
                <w:tcPr>
                  <w:tcW w:w="4545" w:type="dxa"/>
                  <w:tcBorders>
                    <w:tl2br w:val="nil"/>
                    <w:tr2bl w:val="nil"/>
                  </w:tcBorders>
                  <w:vAlign w:val="center"/>
                </w:tcPr>
                <w:p>
                  <w:pPr>
                    <w:pStyle w:val="22"/>
                    <w:rPr>
                      <w:u w:val="single"/>
                    </w:rPr>
                  </w:pPr>
                  <w:r>
                    <w:rPr>
                      <w:u w:val="single"/>
                    </w:rPr>
                    <w:t>环评批复要求</w:t>
                  </w:r>
                </w:p>
              </w:tc>
              <w:tc>
                <w:tcPr>
                  <w:tcW w:w="3622" w:type="dxa"/>
                  <w:tcBorders>
                    <w:tl2br w:val="nil"/>
                    <w:tr2bl w:val="nil"/>
                  </w:tcBorders>
                  <w:vAlign w:val="center"/>
                </w:tcPr>
                <w:p>
                  <w:pPr>
                    <w:pStyle w:val="22"/>
                    <w:rPr>
                      <w:u w:val="single"/>
                    </w:rPr>
                  </w:pPr>
                  <w:r>
                    <w:rPr>
                      <w:u w:val="single"/>
                    </w:rPr>
                    <w:t>落实情况</w:t>
                  </w:r>
                </w:p>
              </w:tc>
            </w:tr>
            <w:tr>
              <w:trPr>
                <w:trHeight w:val="340" w:hRule="atLeast"/>
              </w:trPr>
              <w:tc>
                <w:tcPr>
                  <w:tcW w:w="751" w:type="dxa"/>
                  <w:tcBorders>
                    <w:tl2br w:val="nil"/>
                    <w:tr2bl w:val="nil"/>
                  </w:tcBorders>
                  <w:vAlign w:val="center"/>
                </w:tcPr>
                <w:p>
                  <w:pPr>
                    <w:pStyle w:val="22"/>
                    <w:rPr>
                      <w:u w:val="single"/>
                    </w:rPr>
                  </w:pPr>
                  <w:r>
                    <w:rPr>
                      <w:u w:val="single"/>
                    </w:rPr>
                    <w:t>1</w:t>
                  </w:r>
                </w:p>
              </w:tc>
              <w:tc>
                <w:tcPr>
                  <w:tcW w:w="4545" w:type="dxa"/>
                  <w:tcBorders>
                    <w:tl2br w:val="nil"/>
                    <w:tr2bl w:val="nil"/>
                  </w:tcBorders>
                  <w:vAlign w:val="center"/>
                </w:tcPr>
                <w:p>
                  <w:pPr>
                    <w:pStyle w:val="22"/>
                    <w:rPr>
                      <w:u w:val="single"/>
                    </w:rPr>
                  </w:pPr>
                  <w:r>
                    <w:rPr>
                      <w:u w:val="single"/>
                    </w:rPr>
                    <w:t>建设污水处理站，生产、生活废水全部进入污水处理站，污水满足《肉类加工工业污染物排放标准》(GB13457-92)中一级排放标准后，排入一统河。排污口设置标志牌、规范化设置排污口，安装COD、氨氮在线监测装</w:t>
                  </w:r>
                </w:p>
                <w:p>
                  <w:pPr>
                    <w:pStyle w:val="22"/>
                    <w:rPr>
                      <w:u w:val="single"/>
                    </w:rPr>
                  </w:pPr>
                  <w:r>
                    <w:rPr>
                      <w:u w:val="single"/>
                    </w:rPr>
                    <w:t>置。</w:t>
                  </w:r>
                </w:p>
              </w:tc>
              <w:tc>
                <w:tcPr>
                  <w:tcW w:w="3622" w:type="dxa"/>
                  <w:tcBorders>
                    <w:tl2br w:val="nil"/>
                    <w:tr2bl w:val="nil"/>
                  </w:tcBorders>
                  <w:vAlign w:val="center"/>
                </w:tcPr>
                <w:p>
                  <w:pPr>
                    <w:pStyle w:val="22"/>
                    <w:rPr>
                      <w:u w:val="single"/>
                    </w:rPr>
                  </w:pPr>
                  <w:r>
                    <w:rPr>
                      <w:u w:val="single"/>
                    </w:rPr>
                    <w:t>已落实。生产、生活废水全部进入污水处理站，污水满足《肉类加工工业污染物排放标准》(GB13457-92)中</w:t>
                  </w:r>
                  <w:r>
                    <w:rPr>
                      <w:rFonts w:hint="eastAsia"/>
                      <w:u w:val="single"/>
                    </w:rPr>
                    <w:t>三</w:t>
                  </w:r>
                  <w:r>
                    <w:rPr>
                      <w:u w:val="single"/>
                    </w:rPr>
                    <w:t>级排放标准后</w:t>
                  </w:r>
                  <w:r>
                    <w:rPr>
                      <w:rFonts w:hint="eastAsia"/>
                      <w:u w:val="single"/>
                    </w:rPr>
                    <w:t>进入柳河县污水处理厂，处理达标后排入一统河</w:t>
                  </w:r>
                  <w:r>
                    <w:rPr>
                      <w:u w:val="single"/>
                    </w:rPr>
                    <w:t>。</w:t>
                  </w:r>
                </w:p>
              </w:tc>
            </w:tr>
            <w:tr>
              <w:trPr>
                <w:trHeight w:val="340" w:hRule="atLeast"/>
              </w:trPr>
              <w:tc>
                <w:tcPr>
                  <w:tcW w:w="751" w:type="dxa"/>
                  <w:tcBorders>
                    <w:tl2br w:val="nil"/>
                    <w:tr2bl w:val="nil"/>
                  </w:tcBorders>
                  <w:vAlign w:val="center"/>
                </w:tcPr>
                <w:p>
                  <w:pPr>
                    <w:pStyle w:val="22"/>
                    <w:rPr>
                      <w:u w:val="single"/>
                    </w:rPr>
                  </w:pPr>
                  <w:r>
                    <w:rPr>
                      <w:u w:val="single"/>
                    </w:rPr>
                    <w:t>2</w:t>
                  </w:r>
                </w:p>
              </w:tc>
              <w:tc>
                <w:tcPr>
                  <w:tcW w:w="4545" w:type="dxa"/>
                  <w:tcBorders>
                    <w:tl2br w:val="nil"/>
                    <w:tr2bl w:val="nil"/>
                  </w:tcBorders>
                  <w:vAlign w:val="center"/>
                </w:tcPr>
                <w:p>
                  <w:pPr>
                    <w:pStyle w:val="22"/>
                    <w:rPr>
                      <w:u w:val="single"/>
                    </w:rPr>
                  </w:pPr>
                  <w:r>
                    <w:rPr>
                      <w:u w:val="single"/>
                    </w:rPr>
                    <w:t>本项目生产和取暖锅炉使用1台4t/h蒸汽锅炉，要配置陶瓷多管除尘器+布袋除尘器，锅炉烟囱高度不得低于35米，锅炉烟气中各污染物排放要达到GB13271-2001《锅炉大气污染物排放标准》中二类区II时段标准要求。</w:t>
                  </w:r>
                </w:p>
                <w:p>
                  <w:pPr>
                    <w:pStyle w:val="22"/>
                    <w:rPr>
                      <w:u w:val="single"/>
                    </w:rPr>
                  </w:pPr>
                  <w:r>
                    <w:rPr>
                      <w:u w:val="single"/>
                    </w:rPr>
                    <w:t>污水处理站格栅间、污水提升泵房及污泥处理系统产生的恶臭气体，经污水站排风系统安装的活性炭吸附装置吸附净化后，要满足《恶臭污染物排放标准》(GB14554-93)中二级排放标准要求，并由15m高排气筒排放。</w:t>
                  </w:r>
                </w:p>
              </w:tc>
              <w:tc>
                <w:tcPr>
                  <w:tcW w:w="3622" w:type="dxa"/>
                  <w:tcBorders>
                    <w:tl2br w:val="nil"/>
                    <w:tr2bl w:val="nil"/>
                  </w:tcBorders>
                  <w:vAlign w:val="center"/>
                </w:tcPr>
                <w:p>
                  <w:pPr>
                    <w:pStyle w:val="22"/>
                    <w:rPr>
                      <w:u w:val="single"/>
                    </w:rPr>
                  </w:pPr>
                  <w:r>
                    <w:rPr>
                      <w:u w:val="single"/>
                    </w:rPr>
                    <w:t>已落实。</w:t>
                  </w:r>
                  <w:r>
                    <w:rPr>
                      <w:rFonts w:hint="eastAsia"/>
                      <w:u w:val="single"/>
                    </w:rPr>
                    <w:t>锅炉废气经</w:t>
                  </w:r>
                  <w:r>
                    <w:rPr>
                      <w:u w:val="single"/>
                    </w:rPr>
                    <w:t>陶瓷多管除尘器+布袋除尘器</w:t>
                  </w:r>
                  <w:r>
                    <w:rPr>
                      <w:rFonts w:hint="eastAsia"/>
                      <w:u w:val="single"/>
                    </w:rPr>
                    <w:t>处理后</w:t>
                  </w:r>
                  <w:r>
                    <w:rPr>
                      <w:u w:val="single"/>
                    </w:rPr>
                    <w:t>各污染物</w:t>
                  </w:r>
                  <w:r>
                    <w:rPr>
                      <w:rFonts w:hint="eastAsia"/>
                      <w:u w:val="single"/>
                    </w:rPr>
                    <w:t>满足</w:t>
                  </w:r>
                  <w:r>
                    <w:rPr>
                      <w:u w:val="single"/>
                    </w:rPr>
                    <w:t>《锅炉大气污染物排放标准》</w:t>
                  </w:r>
                  <w:r>
                    <w:rPr>
                      <w:rFonts w:hint="eastAsia"/>
                      <w:u w:val="single"/>
                    </w:rPr>
                    <w:t>（</w:t>
                  </w:r>
                  <w:r>
                    <w:rPr>
                      <w:u w:val="single"/>
                    </w:rPr>
                    <w:t>GB13271-20</w:t>
                  </w:r>
                  <w:r>
                    <w:rPr>
                      <w:rFonts w:hint="eastAsia"/>
                      <w:u w:val="single"/>
                    </w:rPr>
                    <w:t>14）</w:t>
                  </w:r>
                  <w:r>
                    <w:rPr>
                      <w:u w:val="single"/>
                    </w:rPr>
                    <w:t>中</w:t>
                  </w:r>
                  <w:r>
                    <w:rPr>
                      <w:rFonts w:hint="eastAsia"/>
                      <w:u w:val="single"/>
                    </w:rPr>
                    <w:t>新建标准限值</w:t>
                  </w:r>
                  <w:r>
                    <w:rPr>
                      <w:u w:val="single"/>
                    </w:rPr>
                    <w:t>要求</w:t>
                  </w:r>
                  <w:r>
                    <w:rPr>
                      <w:rFonts w:hint="eastAsia"/>
                      <w:u w:val="single"/>
                    </w:rPr>
                    <w:t>后经36m烟囱排放</w:t>
                  </w:r>
                  <w:r>
                    <w:rPr>
                      <w:u w:val="single"/>
                    </w:rPr>
                    <w:t>。</w:t>
                  </w:r>
                </w:p>
                <w:p>
                  <w:pPr>
                    <w:pStyle w:val="22"/>
                    <w:rPr>
                      <w:u w:val="single"/>
                    </w:rPr>
                  </w:pPr>
                  <w:r>
                    <w:rPr>
                      <w:u w:val="single"/>
                    </w:rPr>
                    <w:t>污水处理站</w:t>
                  </w:r>
                  <w:r>
                    <w:rPr>
                      <w:rFonts w:hint="eastAsia"/>
                      <w:u w:val="single"/>
                    </w:rPr>
                    <w:t>废气集中收集经</w:t>
                  </w:r>
                  <w:r>
                    <w:rPr>
                      <w:u w:val="single"/>
                    </w:rPr>
                    <w:t>活性炭吸附装置</w:t>
                  </w:r>
                  <w:r>
                    <w:rPr>
                      <w:rFonts w:hint="eastAsia"/>
                      <w:u w:val="single"/>
                    </w:rPr>
                    <w:t>处理后</w:t>
                  </w:r>
                  <w:r>
                    <w:rPr>
                      <w:u w:val="single"/>
                    </w:rPr>
                    <w:t>满足《恶臭污染物排放标准》(GB14554-93)中二级排放标准要求，并由15m高排气筒排放。</w:t>
                  </w:r>
                </w:p>
              </w:tc>
            </w:tr>
            <w:tr>
              <w:trPr>
                <w:trHeight w:val="340" w:hRule="atLeast"/>
              </w:trPr>
              <w:tc>
                <w:tcPr>
                  <w:tcW w:w="751" w:type="dxa"/>
                  <w:tcBorders>
                    <w:tl2br w:val="nil"/>
                    <w:tr2bl w:val="nil"/>
                  </w:tcBorders>
                  <w:vAlign w:val="center"/>
                </w:tcPr>
                <w:p>
                  <w:pPr>
                    <w:pStyle w:val="22"/>
                    <w:rPr>
                      <w:u w:val="single"/>
                    </w:rPr>
                  </w:pPr>
                  <w:r>
                    <w:rPr>
                      <w:u w:val="single"/>
                    </w:rPr>
                    <w:t>3</w:t>
                  </w:r>
                </w:p>
              </w:tc>
              <w:tc>
                <w:tcPr>
                  <w:tcW w:w="4545" w:type="dxa"/>
                  <w:tcBorders>
                    <w:tl2br w:val="nil"/>
                    <w:tr2bl w:val="nil"/>
                  </w:tcBorders>
                  <w:vAlign w:val="center"/>
                </w:tcPr>
                <w:p>
                  <w:pPr>
                    <w:pStyle w:val="22"/>
                    <w:rPr>
                      <w:u w:val="single"/>
                    </w:rPr>
                  </w:pPr>
                  <w:r>
                    <w:rPr>
                      <w:u w:val="single"/>
                    </w:rPr>
                    <w:t>风机、水泵等产生噪声的设备，要做减振、防噪处理，厂界噪声排放要达到GB12348一2008《工业企业厂界环境噪声排放标准》的3类标准要求。</w:t>
                  </w:r>
                </w:p>
              </w:tc>
              <w:tc>
                <w:tcPr>
                  <w:tcW w:w="3622" w:type="dxa"/>
                  <w:tcBorders>
                    <w:tl2br w:val="nil"/>
                    <w:tr2bl w:val="nil"/>
                  </w:tcBorders>
                  <w:vAlign w:val="center"/>
                </w:tcPr>
                <w:p>
                  <w:pPr>
                    <w:pStyle w:val="22"/>
                    <w:rPr>
                      <w:u w:val="single"/>
                    </w:rPr>
                  </w:pPr>
                  <w:r>
                    <w:rPr>
                      <w:u w:val="single"/>
                    </w:rPr>
                    <w:t>已落实。车间采取了密闭、隔音、减振等措施，噪声、振动能够达标排放。</w:t>
                  </w:r>
                </w:p>
              </w:tc>
            </w:tr>
            <w:tr>
              <w:trPr>
                <w:trHeight w:val="340" w:hRule="atLeast"/>
              </w:trPr>
              <w:tc>
                <w:tcPr>
                  <w:tcW w:w="751" w:type="dxa"/>
                  <w:tcBorders>
                    <w:tl2br w:val="nil"/>
                    <w:tr2bl w:val="nil"/>
                  </w:tcBorders>
                  <w:vAlign w:val="center"/>
                </w:tcPr>
                <w:p>
                  <w:pPr>
                    <w:pStyle w:val="22"/>
                    <w:rPr>
                      <w:u w:val="single"/>
                    </w:rPr>
                  </w:pPr>
                  <w:r>
                    <w:rPr>
                      <w:rFonts w:hint="eastAsia"/>
                      <w:u w:val="single"/>
                    </w:rPr>
                    <w:t>4</w:t>
                  </w:r>
                </w:p>
              </w:tc>
              <w:tc>
                <w:tcPr>
                  <w:tcW w:w="4545" w:type="dxa"/>
                  <w:tcBorders>
                    <w:tl2br w:val="nil"/>
                    <w:tr2bl w:val="nil"/>
                  </w:tcBorders>
                  <w:vAlign w:val="center"/>
                </w:tcPr>
                <w:p>
                  <w:pPr>
                    <w:pStyle w:val="22"/>
                    <w:rPr>
                      <w:u w:val="single"/>
                    </w:rPr>
                  </w:pPr>
                  <w:r>
                    <w:rPr>
                      <w:u w:val="single"/>
                    </w:rPr>
                    <w:t>固体废物要分类收集处理。建设防雨淋、防渗漏固体废物临时储藏间</w:t>
                  </w:r>
                  <w:r>
                    <w:rPr>
                      <w:rFonts w:hint="eastAsia"/>
                      <w:u w:val="single"/>
                    </w:rPr>
                    <w:t>；</w:t>
                  </w:r>
                  <w:r>
                    <w:rPr>
                      <w:u w:val="single"/>
                    </w:rPr>
                    <w:t>鸡粪便、屠宰车问的内容物和鸡毛要集中收集外卖</w:t>
                  </w:r>
                  <w:r>
                    <w:rPr>
                      <w:rFonts w:hint="eastAsia"/>
                      <w:u w:val="single"/>
                    </w:rPr>
                    <w:t>；</w:t>
                  </w:r>
                  <w:r>
                    <w:rPr>
                      <w:u w:val="single"/>
                    </w:rPr>
                    <w:t>锅炉渣要外卖制砖或铺路</w:t>
                  </w:r>
                  <w:r>
                    <w:rPr>
                      <w:rFonts w:hint="eastAsia"/>
                      <w:u w:val="single"/>
                    </w:rPr>
                    <w:t>；</w:t>
                  </w:r>
                  <w:r>
                    <w:rPr>
                      <w:u w:val="single"/>
                    </w:rPr>
                    <w:t>生活垃圾按环卫部门要求收集处理。病、死鸡尸体处置采用安全填埋井。填埋井应为混凝土结构，深度大于2m，直径1m，井口加盖密封。井填满后，须用粘土填埋压实并封口。</w:t>
                  </w:r>
                </w:p>
              </w:tc>
              <w:tc>
                <w:tcPr>
                  <w:tcW w:w="3622" w:type="dxa"/>
                  <w:tcBorders>
                    <w:tl2br w:val="nil"/>
                    <w:tr2bl w:val="nil"/>
                  </w:tcBorders>
                  <w:vAlign w:val="center"/>
                </w:tcPr>
                <w:p>
                  <w:pPr>
                    <w:pStyle w:val="22"/>
                    <w:rPr>
                      <w:u w:val="single"/>
                    </w:rPr>
                  </w:pPr>
                  <w:r>
                    <w:rPr>
                      <w:rFonts w:hint="eastAsia"/>
                      <w:u w:val="single"/>
                    </w:rPr>
                    <w:t>已落实。屠宰产生的内脏等废弃物、死鸡和污水处理站污泥集中收集，委托市政部门定期清运；锅炉灰渣及除尘器收集粉尘外运</w:t>
                  </w:r>
                  <w:r>
                    <w:rPr>
                      <w:rFonts w:hint="eastAsia"/>
                      <w:u w:val="single"/>
                      <w:lang w:eastAsia="zh-CN"/>
                    </w:rPr>
                    <w:t>当作</w:t>
                  </w:r>
                  <w:r>
                    <w:rPr>
                      <w:rFonts w:hint="eastAsia"/>
                      <w:u w:val="single"/>
                    </w:rPr>
                    <w:t>农肥；废布袋由厂家更换回收；废试剂瓶、实验废液、废活性炭、监测废液、废机油等危险废物集中收集，暂存于现有危废间，定期委托有资质单位拉运处理。职工生活垃圾集中堆放，由环卫部门统一外运，未产生二次污染。</w:t>
                  </w:r>
                </w:p>
              </w:tc>
            </w:tr>
          </w:tbl>
          <w:p>
            <w:pPr>
              <w:pStyle w:val="9"/>
              <w:spacing w:line="240" w:lineRule="auto"/>
              <w:ind w:firstLine="0" w:firstLineChars="0"/>
              <w:jc w:val="center"/>
              <w:rPr>
                <w:rFonts w:cs="Times New Roman"/>
                <w:u w:val="single"/>
              </w:rPr>
            </w:pPr>
            <w:r>
              <w:rPr>
                <w:rFonts w:hint="eastAsia" w:cs="Times New Roman"/>
                <w:u w:val="single"/>
              </w:rPr>
              <w:t>表22  验收意见落实情况</w:t>
            </w:r>
          </w:p>
          <w:tbl>
            <w:tblPr>
              <w:tblW w:w="8918"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47"/>
              <w:gridCol w:w="4545"/>
              <w:gridCol w:w="3626"/>
            </w:tblGrid>
            <w:tr>
              <w:trPr>
                <w:trHeight w:val="340" w:hRule="atLeast"/>
              </w:trPr>
              <w:tc>
                <w:tcPr>
                  <w:tcW w:w="747" w:type="dxa"/>
                  <w:tcBorders>
                    <w:tl2br w:val="nil"/>
                    <w:tr2bl w:val="nil"/>
                  </w:tcBorders>
                  <w:vAlign w:val="center"/>
                </w:tcPr>
                <w:p>
                  <w:pPr>
                    <w:pStyle w:val="22"/>
                    <w:rPr>
                      <w:u w:val="single"/>
                    </w:rPr>
                  </w:pPr>
                  <w:r>
                    <w:rPr>
                      <w:rFonts w:hint="eastAsia"/>
                      <w:u w:val="single"/>
                    </w:rPr>
                    <w:t>序号</w:t>
                  </w:r>
                </w:p>
              </w:tc>
              <w:tc>
                <w:tcPr>
                  <w:tcW w:w="4545" w:type="dxa"/>
                  <w:tcBorders>
                    <w:tl2br w:val="nil"/>
                    <w:tr2bl w:val="nil"/>
                  </w:tcBorders>
                  <w:vAlign w:val="center"/>
                </w:tcPr>
                <w:p>
                  <w:pPr>
                    <w:pStyle w:val="22"/>
                    <w:rPr>
                      <w:u w:val="single"/>
                    </w:rPr>
                  </w:pPr>
                  <w:r>
                    <w:rPr>
                      <w:rFonts w:hint="eastAsia"/>
                      <w:u w:val="single"/>
                    </w:rPr>
                    <w:t>验收意见要求</w:t>
                  </w:r>
                </w:p>
              </w:tc>
              <w:tc>
                <w:tcPr>
                  <w:tcW w:w="3626" w:type="dxa"/>
                  <w:tcBorders>
                    <w:tl2br w:val="nil"/>
                    <w:tr2bl w:val="nil"/>
                  </w:tcBorders>
                  <w:vAlign w:val="center"/>
                </w:tcPr>
                <w:p>
                  <w:pPr>
                    <w:pStyle w:val="22"/>
                    <w:rPr>
                      <w:u w:val="single"/>
                    </w:rPr>
                  </w:pPr>
                  <w:r>
                    <w:rPr>
                      <w:rFonts w:hint="eastAsia"/>
                      <w:u w:val="single"/>
                    </w:rPr>
                    <w:t>落实情况</w:t>
                  </w:r>
                </w:p>
              </w:tc>
            </w:tr>
            <w:tr>
              <w:trPr>
                <w:trHeight w:val="340" w:hRule="atLeast"/>
              </w:trPr>
              <w:tc>
                <w:tcPr>
                  <w:tcW w:w="747" w:type="dxa"/>
                  <w:tcBorders>
                    <w:tl2br w:val="nil"/>
                    <w:tr2bl w:val="nil"/>
                  </w:tcBorders>
                  <w:vAlign w:val="center"/>
                </w:tcPr>
                <w:p>
                  <w:pPr>
                    <w:pStyle w:val="22"/>
                    <w:rPr>
                      <w:u w:val="single"/>
                    </w:rPr>
                  </w:pPr>
                  <w:r>
                    <w:rPr>
                      <w:rFonts w:hint="eastAsia"/>
                      <w:u w:val="single"/>
                    </w:rPr>
                    <w:t>1</w:t>
                  </w:r>
                </w:p>
              </w:tc>
              <w:tc>
                <w:tcPr>
                  <w:tcW w:w="4545" w:type="dxa"/>
                  <w:tcBorders>
                    <w:tl2br w:val="nil"/>
                    <w:tr2bl w:val="nil"/>
                  </w:tcBorders>
                  <w:vAlign w:val="center"/>
                </w:tcPr>
                <w:p>
                  <w:pPr>
                    <w:pStyle w:val="22"/>
                    <w:rPr>
                      <w:u w:val="single"/>
                    </w:rPr>
                  </w:pPr>
                  <w:r>
                    <w:rPr>
                      <w:rFonts w:hint="eastAsia"/>
                      <w:u w:val="single"/>
                    </w:rPr>
                    <w:t>污水处理站要安装活性炭吸附装置，格栅间、污水提升泵房及污泥处理系统产生的恶臭气体，经污水站排风系统安装的活性炭吸附装置吸附净化后，经15m高排气筒排放。</w:t>
                  </w:r>
                </w:p>
              </w:tc>
              <w:tc>
                <w:tcPr>
                  <w:tcW w:w="3626" w:type="dxa"/>
                  <w:tcBorders>
                    <w:tl2br w:val="nil"/>
                    <w:tr2bl w:val="nil"/>
                  </w:tcBorders>
                  <w:vAlign w:val="center"/>
                </w:tcPr>
                <w:p>
                  <w:pPr>
                    <w:pStyle w:val="22"/>
                    <w:rPr>
                      <w:u w:val="single"/>
                    </w:rPr>
                  </w:pPr>
                  <w:r>
                    <w:rPr>
                      <w:u w:val="single"/>
                    </w:rPr>
                    <w:t>污水处理站</w:t>
                  </w:r>
                  <w:r>
                    <w:rPr>
                      <w:rFonts w:hint="eastAsia"/>
                      <w:u w:val="single"/>
                    </w:rPr>
                    <w:t>废气集中收集经</w:t>
                  </w:r>
                  <w:r>
                    <w:rPr>
                      <w:u w:val="single"/>
                    </w:rPr>
                    <w:t>活性炭吸附装置</w:t>
                  </w:r>
                  <w:r>
                    <w:rPr>
                      <w:rFonts w:hint="eastAsia"/>
                      <w:u w:val="single"/>
                    </w:rPr>
                    <w:t>处理后</w:t>
                  </w:r>
                  <w:r>
                    <w:rPr>
                      <w:u w:val="single"/>
                    </w:rPr>
                    <w:t>满足《恶臭污染物排放标准》(GB14554-93)中二级排放标准要求，并由15m高排气筒排放。</w:t>
                  </w:r>
                </w:p>
              </w:tc>
            </w:tr>
            <w:tr>
              <w:trPr>
                <w:trHeight w:val="340" w:hRule="atLeast"/>
              </w:trPr>
              <w:tc>
                <w:tcPr>
                  <w:tcW w:w="747" w:type="dxa"/>
                  <w:tcBorders>
                    <w:tl2br w:val="nil"/>
                    <w:tr2bl w:val="nil"/>
                  </w:tcBorders>
                  <w:vAlign w:val="center"/>
                </w:tcPr>
                <w:p>
                  <w:pPr>
                    <w:pStyle w:val="22"/>
                    <w:rPr>
                      <w:u w:val="single"/>
                    </w:rPr>
                  </w:pPr>
                  <w:r>
                    <w:rPr>
                      <w:rFonts w:hint="eastAsia"/>
                      <w:u w:val="single"/>
                    </w:rPr>
                    <w:t>2</w:t>
                  </w:r>
                </w:p>
              </w:tc>
              <w:tc>
                <w:tcPr>
                  <w:tcW w:w="4545" w:type="dxa"/>
                  <w:tcBorders>
                    <w:tl2br w:val="nil"/>
                    <w:tr2bl w:val="nil"/>
                  </w:tcBorders>
                  <w:vAlign w:val="center"/>
                </w:tcPr>
                <w:p>
                  <w:pPr>
                    <w:pStyle w:val="22"/>
                    <w:rPr>
                      <w:u w:val="single"/>
                    </w:rPr>
                  </w:pPr>
                  <w:r>
                    <w:rPr>
                      <w:rFonts w:hint="eastAsia"/>
                      <w:u w:val="single"/>
                    </w:rPr>
                    <w:t>在2013年5月前将锅炉烟囱加高至35米。</w:t>
                  </w:r>
                </w:p>
              </w:tc>
              <w:tc>
                <w:tcPr>
                  <w:tcW w:w="3626" w:type="dxa"/>
                  <w:tcBorders>
                    <w:tl2br w:val="nil"/>
                    <w:tr2bl w:val="nil"/>
                  </w:tcBorders>
                  <w:vAlign w:val="center"/>
                </w:tcPr>
                <w:p>
                  <w:pPr>
                    <w:pStyle w:val="22"/>
                    <w:rPr>
                      <w:u w:val="single"/>
                    </w:rPr>
                  </w:pPr>
                  <w:r>
                    <w:rPr>
                      <w:rFonts w:hint="eastAsia"/>
                      <w:u w:val="single"/>
                    </w:rPr>
                    <w:t>锅炉废气经</w:t>
                  </w:r>
                  <w:r>
                    <w:rPr>
                      <w:u w:val="single"/>
                    </w:rPr>
                    <w:t>陶瓷多管除尘器+布袋除尘器</w:t>
                  </w:r>
                  <w:r>
                    <w:rPr>
                      <w:rFonts w:hint="eastAsia"/>
                      <w:u w:val="single"/>
                    </w:rPr>
                    <w:t>处理后</w:t>
                  </w:r>
                  <w:r>
                    <w:rPr>
                      <w:u w:val="single"/>
                    </w:rPr>
                    <w:t>各污染物</w:t>
                  </w:r>
                  <w:r>
                    <w:rPr>
                      <w:rFonts w:hint="eastAsia"/>
                      <w:u w:val="single"/>
                    </w:rPr>
                    <w:t>满足</w:t>
                  </w:r>
                  <w:r>
                    <w:rPr>
                      <w:u w:val="single"/>
                    </w:rPr>
                    <w:t>《锅炉大气污染物排放标准》</w:t>
                  </w:r>
                  <w:r>
                    <w:rPr>
                      <w:rFonts w:hint="eastAsia"/>
                      <w:u w:val="single"/>
                    </w:rPr>
                    <w:t>（</w:t>
                  </w:r>
                  <w:r>
                    <w:rPr>
                      <w:u w:val="single"/>
                    </w:rPr>
                    <w:t>GB13271-20</w:t>
                  </w:r>
                  <w:r>
                    <w:rPr>
                      <w:rFonts w:hint="eastAsia"/>
                      <w:u w:val="single"/>
                    </w:rPr>
                    <w:t>14）</w:t>
                  </w:r>
                  <w:r>
                    <w:rPr>
                      <w:u w:val="single"/>
                    </w:rPr>
                    <w:t>中</w:t>
                  </w:r>
                  <w:r>
                    <w:rPr>
                      <w:rFonts w:hint="eastAsia"/>
                      <w:u w:val="single"/>
                    </w:rPr>
                    <w:t>新建标准限值</w:t>
                  </w:r>
                  <w:r>
                    <w:rPr>
                      <w:u w:val="single"/>
                    </w:rPr>
                    <w:t>要求</w:t>
                  </w:r>
                  <w:r>
                    <w:rPr>
                      <w:rFonts w:hint="eastAsia"/>
                      <w:u w:val="single"/>
                    </w:rPr>
                    <w:t>后经36m烟囱排放</w:t>
                  </w:r>
                  <w:r>
                    <w:rPr>
                      <w:u w:val="single"/>
                    </w:rPr>
                    <w:t>。</w:t>
                  </w:r>
                </w:p>
              </w:tc>
            </w:tr>
            <w:tr>
              <w:trPr>
                <w:trHeight w:val="340" w:hRule="atLeast"/>
              </w:trPr>
              <w:tc>
                <w:tcPr>
                  <w:tcW w:w="747" w:type="dxa"/>
                  <w:tcBorders>
                    <w:tl2br w:val="nil"/>
                    <w:tr2bl w:val="nil"/>
                  </w:tcBorders>
                  <w:vAlign w:val="center"/>
                </w:tcPr>
                <w:p>
                  <w:pPr>
                    <w:pStyle w:val="22"/>
                    <w:rPr>
                      <w:u w:val="single"/>
                    </w:rPr>
                  </w:pPr>
                  <w:r>
                    <w:rPr>
                      <w:rFonts w:hint="eastAsia"/>
                      <w:u w:val="single"/>
                    </w:rPr>
                    <w:t>3</w:t>
                  </w:r>
                </w:p>
              </w:tc>
              <w:tc>
                <w:tcPr>
                  <w:tcW w:w="4545" w:type="dxa"/>
                  <w:tcBorders>
                    <w:tl2br w:val="nil"/>
                    <w:tr2bl w:val="nil"/>
                  </w:tcBorders>
                  <w:vAlign w:val="center"/>
                </w:tcPr>
                <w:p>
                  <w:pPr>
                    <w:pStyle w:val="22"/>
                    <w:rPr>
                      <w:u w:val="single"/>
                    </w:rPr>
                  </w:pPr>
                  <w:r>
                    <w:rPr>
                      <w:rFonts w:hint="eastAsia"/>
                      <w:u w:val="single"/>
                    </w:rPr>
                    <w:t>加强管理，要对风险防范预案进行演练，认真落实和执行项目环评报告中提出的环境风险防范措施及环境管理和环境监测方案。</w:t>
                  </w:r>
                </w:p>
              </w:tc>
              <w:tc>
                <w:tcPr>
                  <w:tcW w:w="3626" w:type="dxa"/>
                  <w:tcBorders>
                    <w:tl2br w:val="nil"/>
                    <w:tr2bl w:val="nil"/>
                  </w:tcBorders>
                  <w:vAlign w:val="center"/>
                </w:tcPr>
                <w:p>
                  <w:pPr>
                    <w:pStyle w:val="22"/>
                    <w:rPr>
                      <w:u w:val="single"/>
                    </w:rPr>
                  </w:pPr>
                  <w:r>
                    <w:rPr>
                      <w:rFonts w:hint="eastAsia"/>
                      <w:u w:val="single"/>
                    </w:rPr>
                    <w:t>企业严格落实风险防范措施。</w:t>
                  </w:r>
                </w:p>
              </w:tc>
            </w:tr>
            <w:tr>
              <w:trPr>
                <w:trHeight w:val="340" w:hRule="atLeast"/>
              </w:trPr>
              <w:tc>
                <w:tcPr>
                  <w:tcW w:w="747" w:type="dxa"/>
                  <w:tcBorders>
                    <w:tl2br w:val="nil"/>
                    <w:tr2bl w:val="nil"/>
                  </w:tcBorders>
                  <w:vAlign w:val="center"/>
                </w:tcPr>
                <w:p>
                  <w:pPr>
                    <w:pStyle w:val="22"/>
                    <w:rPr>
                      <w:u w:val="single"/>
                    </w:rPr>
                  </w:pPr>
                  <w:r>
                    <w:rPr>
                      <w:rFonts w:hint="eastAsia"/>
                      <w:u w:val="single"/>
                    </w:rPr>
                    <w:t>4</w:t>
                  </w:r>
                </w:p>
              </w:tc>
              <w:tc>
                <w:tcPr>
                  <w:tcW w:w="4545" w:type="dxa"/>
                  <w:tcBorders>
                    <w:tl2br w:val="nil"/>
                    <w:tr2bl w:val="nil"/>
                  </w:tcBorders>
                  <w:vAlign w:val="center"/>
                </w:tcPr>
                <w:p>
                  <w:pPr>
                    <w:pStyle w:val="22"/>
                    <w:rPr>
                      <w:u w:val="single"/>
                    </w:rPr>
                  </w:pPr>
                  <w:r>
                    <w:rPr>
                      <w:rFonts w:hint="eastAsia"/>
                      <w:u w:val="single"/>
                    </w:rPr>
                    <w:t>加强生产过程固体废弃物暂存管理工作，确保不产生二次污染。</w:t>
                  </w:r>
                </w:p>
              </w:tc>
              <w:tc>
                <w:tcPr>
                  <w:tcW w:w="3626" w:type="dxa"/>
                  <w:tcBorders>
                    <w:tl2br w:val="nil"/>
                    <w:tr2bl w:val="nil"/>
                  </w:tcBorders>
                  <w:vAlign w:val="center"/>
                </w:tcPr>
                <w:p>
                  <w:pPr>
                    <w:pStyle w:val="22"/>
                    <w:rPr>
                      <w:u w:val="single"/>
                    </w:rPr>
                  </w:pPr>
                  <w:r>
                    <w:rPr>
                      <w:rFonts w:hint="eastAsia"/>
                      <w:u w:val="single"/>
                    </w:rPr>
                    <w:t>加强了固体废弃物暂存管理工作，未产生二次污染。</w:t>
                  </w:r>
                </w:p>
              </w:tc>
            </w:tr>
          </w:tbl>
          <w:p>
            <w:pPr>
              <w:pStyle w:val="9"/>
              <w:ind w:firstLine="480"/>
              <w:rPr>
                <w:rFonts w:cs="Times New Roman"/>
                <w:u w:val="single"/>
              </w:rPr>
            </w:pPr>
            <w:r>
              <w:rPr>
                <w:rFonts w:hint="eastAsia" w:cs="Times New Roman"/>
                <w:u w:val="single"/>
              </w:rPr>
              <w:t>四、现存问题及整改建议</w:t>
            </w:r>
          </w:p>
          <w:p>
            <w:pPr>
              <w:pStyle w:val="9"/>
              <w:ind w:firstLine="480"/>
              <w:rPr>
                <w:rFonts w:cs="Times New Roman"/>
                <w:u w:val="single"/>
              </w:rPr>
            </w:pPr>
            <w:r>
              <w:rPr>
                <w:rFonts w:cs="Times New Roman"/>
                <w:u w:val="single"/>
              </w:rPr>
              <w:t>柳河县康华牧业有限责任公司为畜禽屠宰企业。生产生活用热依托一台4.0t/h生物质</w:t>
            </w:r>
            <w:r>
              <w:rPr>
                <w:rFonts w:hint="eastAsia" w:cs="Times New Roman"/>
                <w:u w:val="single"/>
              </w:rPr>
              <w:t>蒸汽</w:t>
            </w:r>
            <w:r>
              <w:rPr>
                <w:rFonts w:cs="Times New Roman"/>
                <w:u w:val="single"/>
              </w:rPr>
              <w:t>锅炉。</w:t>
            </w:r>
            <w:r>
              <w:rPr>
                <w:rFonts w:hint="eastAsia" w:cs="Times New Roman"/>
                <w:u w:val="single"/>
              </w:rPr>
              <w:t>现有锅炉于2018年投产使用，运行状况良好，不属于淘汰设备。今年</w:t>
            </w:r>
            <w:r>
              <w:rPr>
                <w:rFonts w:cs="Times New Roman"/>
                <w:u w:val="single"/>
              </w:rPr>
              <w:t>由于现有锅炉运行投用时间较长，能耗较高，生产运行成本居高不下，为了节能降耗，故决定拆除重建。</w:t>
            </w:r>
          </w:p>
          <w:p>
            <w:pPr>
              <w:pStyle w:val="9"/>
              <w:ind w:firstLine="480"/>
              <w:rPr>
                <w:rFonts w:cs="Times New Roman"/>
                <w:color w:val="000000"/>
              </w:rPr>
            </w:pPr>
          </w:p>
          <w:p/>
        </w:tc>
      </w:tr>
    </w:tbl>
    <w:p>
      <w:pPr>
        <w:widowControl/>
        <w:jc w:val="left"/>
        <w:rPr>
          <w:snapToGrid w:val="0"/>
          <w:kern w:val="0"/>
          <w:sz w:val="36"/>
          <w:szCs w:val="36"/>
        </w:rPr>
        <w:sectPr>
          <w:pgSz w:w="11906" w:h="16838"/>
          <w:pgMar w:top="1418" w:right="1134" w:bottom="1418" w:left="1134" w:header="851" w:footer="851" w:gutter="0"/>
          <w:cols w:space="720" w:num="1"/>
        </w:sectPr>
      </w:pPr>
    </w:p>
    <w:p>
      <w:pPr>
        <w:pStyle w:val="16"/>
        <w:jc w:val="center"/>
        <w:outlineLvl w:val="0"/>
        <w:rPr>
          <w:rFonts w:ascii="Times New Roman" w:hAnsi="Times New Roman" w:cs="Times New Roman"/>
          <w:snapToGrid w:val="0"/>
          <w:sz w:val="30"/>
          <w:szCs w:val="30"/>
        </w:rPr>
      </w:pPr>
      <w:r>
        <w:rPr>
          <w:rFonts w:ascii="Times New Roman" w:hAnsi="Times New Roman" w:cs="Times New Roman"/>
          <w:snapToGrid w:val="0"/>
          <w:sz w:val="30"/>
          <w:szCs w:val="30"/>
        </w:rPr>
        <w:t>三、区域环境质量现状、环境保护目标及评价标准</w:t>
      </w:r>
    </w:p>
    <w:tbl>
      <w:tblPr>
        <w:tblW w:w="9812"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right w:w="108" w:type="dxa"/>
        </w:tblCellMar>
      </w:tblPr>
      <w:tblGrid>
        <w:gridCol w:w="708"/>
        <w:gridCol w:w="9104"/>
      </w:tblGrid>
      <w:tr>
        <w:trPr>
          <w:trHeight w:val="2906" w:hRule="atLeast"/>
          <w:jc w:val="center"/>
        </w:trPr>
        <w:tc>
          <w:tcPr>
            <w:tcW w:w="708" w:type="dxa"/>
            <w:tcBorders>
              <w:top w:val="single" w:color="auto" w:sz="8" w:space="0"/>
              <w:left w:val="single" w:color="auto" w:sz="8" w:space="0"/>
              <w:bottom w:val="single" w:color="auto" w:sz="4" w:space="0"/>
              <w:right w:val="single" w:color="auto" w:sz="4" w:space="0"/>
            </w:tcBorders>
            <w:vAlign w:val="center"/>
          </w:tcPr>
          <w:p>
            <w:pPr>
              <w:adjustRightInd w:val="0"/>
              <w:snapToGrid w:val="0"/>
              <w:jc w:val="center"/>
              <w:rPr>
                <w:kern w:val="0"/>
                <w:szCs w:val="21"/>
              </w:rPr>
            </w:pPr>
            <w:r>
              <w:rPr>
                <w:kern w:val="0"/>
                <w:szCs w:val="21"/>
              </w:rPr>
              <w:t>区域环境质量现状</w:t>
            </w:r>
          </w:p>
        </w:tc>
        <w:tc>
          <w:tcPr>
            <w:tcW w:w="9104" w:type="dxa"/>
            <w:tcBorders>
              <w:top w:val="single" w:color="auto" w:sz="8" w:space="0"/>
              <w:left w:val="single" w:color="auto" w:sz="4" w:space="0"/>
              <w:bottom w:val="single" w:color="auto" w:sz="4" w:space="0"/>
              <w:right w:val="single" w:color="auto" w:sz="8" w:space="0"/>
            </w:tcBorders>
            <w:vAlign w:val="top"/>
          </w:tcPr>
          <w:p>
            <w:pPr>
              <w:adjustRightInd w:val="0"/>
              <w:snapToGrid w:val="0"/>
              <w:spacing w:line="360" w:lineRule="auto"/>
              <w:ind w:firstLine="482" w:firstLineChars="200"/>
              <w:rPr>
                <w:b/>
                <w:bCs/>
                <w:sz w:val="24"/>
              </w:rPr>
            </w:pPr>
            <w:r>
              <w:rPr>
                <w:b/>
                <w:bCs/>
                <w:sz w:val="24"/>
              </w:rPr>
              <w:t>1、环境空气质量现状</w:t>
            </w:r>
          </w:p>
          <w:p>
            <w:pPr>
              <w:autoSpaceDE w:val="0"/>
              <w:autoSpaceDN w:val="0"/>
              <w:adjustRightInd w:val="0"/>
              <w:snapToGrid w:val="0"/>
              <w:spacing w:line="360" w:lineRule="auto"/>
              <w:ind w:firstLine="480" w:firstLineChars="200"/>
              <w:rPr>
                <w:rFonts w:eastAsia="宋体"/>
                <w:color w:val="000000"/>
                <w:sz w:val="24"/>
              </w:rPr>
            </w:pPr>
            <w:r>
              <w:rPr>
                <w:rFonts w:eastAsia="宋体"/>
                <w:bCs/>
                <w:color w:val="000000"/>
                <w:sz w:val="24"/>
              </w:rPr>
              <w:t>根据吉林省生态环境厅发布的《吉林省202</w:t>
            </w:r>
            <w:r>
              <w:rPr>
                <w:rFonts w:hint="eastAsia" w:eastAsia="宋体"/>
                <w:bCs/>
                <w:color w:val="000000"/>
                <w:sz w:val="24"/>
              </w:rPr>
              <w:t>5</w:t>
            </w:r>
            <w:r>
              <w:rPr>
                <w:rFonts w:eastAsia="宋体"/>
                <w:bCs/>
                <w:color w:val="000000"/>
                <w:sz w:val="24"/>
              </w:rPr>
              <w:t>年生态环境状况公报》，</w:t>
            </w:r>
            <w:r>
              <w:rPr>
                <w:rFonts w:hint="eastAsia" w:eastAsia="宋体"/>
                <w:bCs/>
                <w:color w:val="000000"/>
                <w:sz w:val="24"/>
              </w:rPr>
              <w:t>通化</w:t>
            </w:r>
            <w:r>
              <w:rPr>
                <w:rFonts w:hint="eastAsia"/>
                <w:color w:val="000000"/>
                <w:sz w:val="24"/>
              </w:rPr>
              <w:t>市</w:t>
            </w:r>
            <w:r>
              <w:rPr>
                <w:color w:val="000000"/>
                <w:sz w:val="24"/>
              </w:rPr>
              <w:t>202</w:t>
            </w:r>
            <w:r>
              <w:rPr>
                <w:rFonts w:hint="eastAsia"/>
                <w:color w:val="000000"/>
                <w:sz w:val="24"/>
              </w:rPr>
              <w:t>5</w:t>
            </w:r>
            <w:r>
              <w:rPr>
                <w:color w:val="000000"/>
                <w:sz w:val="24"/>
              </w:rPr>
              <w:t>年SO</w:t>
            </w:r>
            <w:r>
              <w:rPr>
                <w:color w:val="000000"/>
                <w:sz w:val="24"/>
                <w:vertAlign w:val="subscript"/>
              </w:rPr>
              <w:t>2</w:t>
            </w:r>
            <w:r>
              <w:rPr>
                <w:color w:val="000000"/>
                <w:sz w:val="24"/>
              </w:rPr>
              <w:t>、NO</w:t>
            </w:r>
            <w:r>
              <w:rPr>
                <w:color w:val="000000"/>
                <w:sz w:val="24"/>
                <w:vertAlign w:val="subscript"/>
              </w:rPr>
              <w:t>2</w:t>
            </w:r>
            <w:r>
              <w:rPr>
                <w:color w:val="000000"/>
                <w:sz w:val="24"/>
              </w:rPr>
              <w:t>、PM</w:t>
            </w:r>
            <w:r>
              <w:rPr>
                <w:color w:val="000000"/>
                <w:sz w:val="24"/>
                <w:vertAlign w:val="subscript"/>
              </w:rPr>
              <w:t>10</w:t>
            </w:r>
            <w:r>
              <w:rPr>
                <w:color w:val="000000"/>
                <w:sz w:val="24"/>
              </w:rPr>
              <w:t>、PM</w:t>
            </w:r>
            <w:r>
              <w:rPr>
                <w:color w:val="000000"/>
                <w:sz w:val="24"/>
                <w:vertAlign w:val="subscript"/>
              </w:rPr>
              <w:t>2.5</w:t>
            </w:r>
            <w:r>
              <w:rPr>
                <w:color w:val="000000"/>
                <w:sz w:val="24"/>
              </w:rPr>
              <w:t>年均浓度分别为</w:t>
            </w:r>
            <w:r>
              <w:rPr>
                <w:rFonts w:hint="eastAsia"/>
                <w:color w:val="000000"/>
                <w:sz w:val="24"/>
              </w:rPr>
              <w:t>12</w:t>
            </w:r>
            <w:r>
              <w:rPr>
                <w:color w:val="000000"/>
                <w:sz w:val="24"/>
              </w:rPr>
              <w:t>µg/m</w:t>
            </w:r>
            <w:r>
              <w:rPr>
                <w:color w:val="000000"/>
                <w:sz w:val="24"/>
                <w:vertAlign w:val="superscript"/>
              </w:rPr>
              <w:t>3</w:t>
            </w:r>
            <w:r>
              <w:rPr>
                <w:color w:val="000000"/>
                <w:sz w:val="24"/>
              </w:rPr>
              <w:t>、</w:t>
            </w:r>
            <w:r>
              <w:rPr>
                <w:rFonts w:hint="eastAsia"/>
                <w:color w:val="000000"/>
                <w:sz w:val="24"/>
              </w:rPr>
              <w:t>21</w:t>
            </w:r>
            <w:r>
              <w:rPr>
                <w:color w:val="000000"/>
                <w:sz w:val="24"/>
              </w:rPr>
              <w:t>µg/m</w:t>
            </w:r>
            <w:r>
              <w:rPr>
                <w:color w:val="000000"/>
                <w:sz w:val="24"/>
                <w:vertAlign w:val="superscript"/>
              </w:rPr>
              <w:t>3</w:t>
            </w:r>
            <w:r>
              <w:rPr>
                <w:color w:val="000000"/>
                <w:sz w:val="24"/>
              </w:rPr>
              <w:t>、</w:t>
            </w:r>
            <w:r>
              <w:rPr>
                <w:rFonts w:hint="eastAsia"/>
                <w:color w:val="000000"/>
                <w:sz w:val="24"/>
              </w:rPr>
              <w:t>38</w:t>
            </w:r>
            <w:r>
              <w:rPr>
                <w:color w:val="000000"/>
                <w:sz w:val="24"/>
              </w:rPr>
              <w:t>µg/m</w:t>
            </w:r>
            <w:r>
              <w:rPr>
                <w:color w:val="000000"/>
                <w:sz w:val="24"/>
                <w:vertAlign w:val="superscript"/>
              </w:rPr>
              <w:t>3</w:t>
            </w:r>
            <w:r>
              <w:rPr>
                <w:color w:val="000000"/>
                <w:sz w:val="24"/>
              </w:rPr>
              <w:t>、</w:t>
            </w:r>
            <w:r>
              <w:rPr>
                <w:rFonts w:hint="eastAsia"/>
                <w:color w:val="000000"/>
                <w:sz w:val="24"/>
              </w:rPr>
              <w:t>21.8</w:t>
            </w:r>
            <w:r>
              <w:rPr>
                <w:color w:val="000000"/>
                <w:sz w:val="24"/>
              </w:rPr>
              <w:t>µg/m</w:t>
            </w:r>
            <w:r>
              <w:rPr>
                <w:color w:val="000000"/>
                <w:sz w:val="24"/>
                <w:vertAlign w:val="superscript"/>
              </w:rPr>
              <w:t>3</w:t>
            </w:r>
            <w:r>
              <w:rPr>
                <w:color w:val="000000"/>
                <w:sz w:val="24"/>
              </w:rPr>
              <w:t>；CO24小时平均第95百分位数</w:t>
            </w:r>
            <w:r>
              <w:rPr>
                <w:rFonts w:hint="eastAsia"/>
                <w:color w:val="000000"/>
                <w:sz w:val="24"/>
              </w:rPr>
              <w:t>浓度</w:t>
            </w:r>
            <w:r>
              <w:rPr>
                <w:color w:val="000000"/>
                <w:sz w:val="24"/>
              </w:rPr>
              <w:t>为</w:t>
            </w:r>
            <w:r>
              <w:rPr>
                <w:rFonts w:hint="eastAsia"/>
                <w:color w:val="000000"/>
                <w:sz w:val="24"/>
              </w:rPr>
              <w:t>1.2</w:t>
            </w:r>
            <w:r>
              <w:rPr>
                <w:color w:val="000000"/>
                <w:sz w:val="24"/>
              </w:rPr>
              <w:t>mg/m</w:t>
            </w:r>
            <w:r>
              <w:rPr>
                <w:color w:val="000000"/>
                <w:sz w:val="24"/>
                <w:vertAlign w:val="superscript"/>
              </w:rPr>
              <w:t>3</w:t>
            </w:r>
            <w:r>
              <w:rPr>
                <w:color w:val="000000"/>
                <w:sz w:val="24"/>
              </w:rPr>
              <w:t>，O</w:t>
            </w:r>
            <w:r>
              <w:rPr>
                <w:color w:val="000000"/>
                <w:sz w:val="24"/>
                <w:vertAlign w:val="subscript"/>
              </w:rPr>
              <w:t>3</w:t>
            </w:r>
            <w:r>
              <w:rPr>
                <w:color w:val="000000"/>
                <w:sz w:val="24"/>
              </w:rPr>
              <w:t>日最大8小时平均第90百分位数</w:t>
            </w:r>
            <w:r>
              <w:rPr>
                <w:rFonts w:hint="eastAsia"/>
                <w:color w:val="000000"/>
                <w:sz w:val="24"/>
              </w:rPr>
              <w:t>浓度</w:t>
            </w:r>
            <w:r>
              <w:rPr>
                <w:color w:val="000000"/>
                <w:sz w:val="24"/>
              </w:rPr>
              <w:t>为1</w:t>
            </w:r>
            <w:r>
              <w:rPr>
                <w:rFonts w:hint="eastAsia"/>
                <w:color w:val="000000"/>
                <w:sz w:val="24"/>
              </w:rPr>
              <w:t>25</w:t>
            </w:r>
            <w:r>
              <w:rPr>
                <w:color w:val="000000"/>
                <w:sz w:val="24"/>
              </w:rPr>
              <w:t>μg/m</w:t>
            </w:r>
            <w:r>
              <w:rPr>
                <w:color w:val="000000"/>
                <w:sz w:val="24"/>
                <w:vertAlign w:val="superscript"/>
              </w:rPr>
              <w:t>3</w:t>
            </w:r>
            <w:r>
              <w:rPr>
                <w:color w:val="000000"/>
                <w:sz w:val="24"/>
              </w:rPr>
              <w:t>；</w:t>
            </w:r>
            <w:r>
              <w:rPr>
                <w:rFonts w:hint="eastAsia"/>
                <w:color w:val="000000"/>
                <w:sz w:val="24"/>
              </w:rPr>
              <w:t>依据</w:t>
            </w:r>
            <w:r>
              <w:rPr>
                <w:rFonts w:eastAsia="宋体"/>
                <w:bCs/>
                <w:color w:val="000000"/>
                <w:sz w:val="24"/>
              </w:rPr>
              <w:t>《环境空气质量标准》（GB3095-</w:t>
            </w:r>
            <w:r>
              <w:rPr>
                <w:rFonts w:hint="eastAsia" w:eastAsia="宋体"/>
                <w:bCs/>
                <w:color w:val="000000"/>
                <w:sz w:val="24"/>
              </w:rPr>
              <w:t>2026</w:t>
            </w:r>
            <w:r>
              <w:rPr>
                <w:rFonts w:eastAsia="宋体"/>
                <w:bCs/>
                <w:color w:val="000000"/>
                <w:sz w:val="24"/>
              </w:rPr>
              <w:t>）中的</w:t>
            </w:r>
            <w:r>
              <w:rPr>
                <w:rFonts w:hint="eastAsia" w:eastAsia="宋体"/>
                <w:bCs/>
                <w:color w:val="000000"/>
                <w:sz w:val="24"/>
              </w:rPr>
              <w:t>过渡阶段</w:t>
            </w:r>
            <w:r>
              <w:rPr>
                <w:rFonts w:eastAsia="宋体"/>
                <w:bCs/>
                <w:color w:val="000000"/>
                <w:sz w:val="24"/>
              </w:rPr>
              <w:t>二级标准</w:t>
            </w:r>
            <w:r>
              <w:rPr>
                <w:rFonts w:hint="eastAsia" w:eastAsia="宋体"/>
                <w:bCs/>
                <w:color w:val="000000"/>
                <w:sz w:val="24"/>
              </w:rPr>
              <w:t>进行达标区判断。</w:t>
            </w:r>
          </w:p>
          <w:p>
            <w:pPr>
              <w:tabs>
                <w:tab w:val="left" w:pos="0"/>
              </w:tabs>
              <w:jc w:val="center"/>
              <w:rPr>
                <w:rFonts w:eastAsia="宋体"/>
                <w:bCs/>
                <w:color w:val="000000"/>
                <w:sz w:val="24"/>
              </w:rPr>
            </w:pPr>
            <w:r>
              <w:rPr>
                <w:bCs/>
                <w:color w:val="000000"/>
                <w:sz w:val="24"/>
              </w:rPr>
              <w:t>表</w:t>
            </w:r>
            <w:r>
              <w:rPr>
                <w:rFonts w:hint="eastAsia"/>
                <w:bCs/>
                <w:color w:val="000000"/>
                <w:sz w:val="24"/>
              </w:rPr>
              <w:t>23</w:t>
            </w:r>
            <w:r>
              <w:rPr>
                <w:bCs/>
                <w:color w:val="000000"/>
                <w:sz w:val="24"/>
              </w:rPr>
              <w:t xml:space="preserve">  </w:t>
            </w:r>
            <w:r>
              <w:rPr>
                <w:rFonts w:hint="eastAsia" w:eastAsia="宋体"/>
                <w:bCs/>
                <w:color w:val="000000"/>
                <w:sz w:val="24"/>
              </w:rPr>
              <w:t>通化市</w:t>
            </w:r>
            <w:r>
              <w:rPr>
                <w:rFonts w:eastAsia="宋体"/>
                <w:bCs/>
                <w:color w:val="000000"/>
                <w:sz w:val="24"/>
              </w:rPr>
              <w:t>环境空气质量现状</w:t>
            </w:r>
          </w:p>
          <w:tbl>
            <w:tblPr>
              <w:tblW w:w="888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1018"/>
              <w:gridCol w:w="2826"/>
              <w:gridCol w:w="1336"/>
              <w:gridCol w:w="1364"/>
              <w:gridCol w:w="1148"/>
              <w:gridCol w:w="1196"/>
            </w:tblGrid>
            <w:tr>
              <w:trPr>
                <w:trHeight w:val="340" w:hRule="atLeast"/>
                <w:jc w:val="center"/>
              </w:trPr>
              <w:tc>
                <w:tcPr>
                  <w:tcW w:w="1018" w:type="dxa"/>
                  <w:tcMar>
                    <w:left w:w="0" w:type="dxa"/>
                    <w:right w:w="0" w:type="dxa"/>
                  </w:tcMar>
                  <w:vAlign w:val="center"/>
                </w:tcPr>
                <w:p>
                  <w:pPr>
                    <w:pStyle w:val="36"/>
                    <w:rPr>
                      <w:rFonts w:eastAsia="宋体"/>
                      <w:color w:val="000000"/>
                    </w:rPr>
                  </w:pPr>
                  <w:r>
                    <w:rPr>
                      <w:rFonts w:eastAsia="宋体"/>
                      <w:color w:val="000000"/>
                    </w:rPr>
                    <w:t>污染物</w:t>
                  </w:r>
                </w:p>
              </w:tc>
              <w:tc>
                <w:tcPr>
                  <w:tcW w:w="2826" w:type="dxa"/>
                  <w:tcMar>
                    <w:left w:w="0" w:type="dxa"/>
                    <w:right w:w="0" w:type="dxa"/>
                  </w:tcMar>
                  <w:vAlign w:val="center"/>
                </w:tcPr>
                <w:p>
                  <w:pPr>
                    <w:pStyle w:val="36"/>
                    <w:rPr>
                      <w:rFonts w:eastAsia="宋体"/>
                      <w:color w:val="000000"/>
                    </w:rPr>
                  </w:pPr>
                  <w:r>
                    <w:rPr>
                      <w:rFonts w:eastAsia="宋体"/>
                      <w:color w:val="000000"/>
                    </w:rPr>
                    <w:t>年评价指标</w:t>
                  </w:r>
                </w:p>
              </w:tc>
              <w:tc>
                <w:tcPr>
                  <w:tcW w:w="1336" w:type="dxa"/>
                  <w:vAlign w:val="center"/>
                </w:tcPr>
                <w:p>
                  <w:pPr>
                    <w:pStyle w:val="36"/>
                    <w:rPr>
                      <w:rFonts w:eastAsia="宋体"/>
                      <w:color w:val="000000"/>
                      <w:kern w:val="0"/>
                    </w:rPr>
                  </w:pPr>
                  <w:r>
                    <w:rPr>
                      <w:rFonts w:eastAsia="宋体"/>
                      <w:color w:val="000000"/>
                      <w:kern w:val="0"/>
                    </w:rPr>
                    <w:t>现状浓度（</w:t>
                  </w:r>
                  <w:r>
                    <w:rPr>
                      <w:rFonts w:eastAsia="宋体"/>
                      <w:color w:val="000000"/>
                    </w:rPr>
                    <w:t>μg/m</w:t>
                  </w:r>
                  <w:r>
                    <w:rPr>
                      <w:rFonts w:eastAsia="宋体"/>
                      <w:color w:val="000000"/>
                      <w:vertAlign w:val="superscript"/>
                    </w:rPr>
                    <w:t>3</w:t>
                  </w:r>
                  <w:r>
                    <w:rPr>
                      <w:rFonts w:eastAsia="宋体"/>
                      <w:color w:val="000000"/>
                      <w:kern w:val="0"/>
                    </w:rPr>
                    <w:t>）</w:t>
                  </w:r>
                </w:p>
              </w:tc>
              <w:tc>
                <w:tcPr>
                  <w:tcW w:w="1364" w:type="dxa"/>
                  <w:vAlign w:val="center"/>
                </w:tcPr>
                <w:p>
                  <w:pPr>
                    <w:pStyle w:val="36"/>
                    <w:rPr>
                      <w:rFonts w:eastAsia="宋体"/>
                      <w:color w:val="000000"/>
                      <w:kern w:val="0"/>
                    </w:rPr>
                  </w:pPr>
                  <w:r>
                    <w:rPr>
                      <w:rFonts w:eastAsia="宋体"/>
                      <w:color w:val="000000"/>
                      <w:kern w:val="0"/>
                    </w:rPr>
                    <w:t>标准值（</w:t>
                  </w:r>
                  <w:r>
                    <w:rPr>
                      <w:rFonts w:eastAsia="宋体"/>
                      <w:color w:val="000000"/>
                    </w:rPr>
                    <w:t>μg/m</w:t>
                  </w:r>
                  <w:r>
                    <w:rPr>
                      <w:rFonts w:eastAsia="宋体"/>
                      <w:color w:val="000000"/>
                      <w:vertAlign w:val="superscript"/>
                    </w:rPr>
                    <w:t>3</w:t>
                  </w:r>
                  <w:r>
                    <w:rPr>
                      <w:rFonts w:eastAsia="宋体"/>
                      <w:color w:val="000000"/>
                      <w:kern w:val="0"/>
                    </w:rPr>
                    <w:t>）</w:t>
                  </w:r>
                </w:p>
              </w:tc>
              <w:tc>
                <w:tcPr>
                  <w:tcW w:w="1148" w:type="dxa"/>
                  <w:vAlign w:val="center"/>
                </w:tcPr>
                <w:p>
                  <w:pPr>
                    <w:pStyle w:val="36"/>
                    <w:rPr>
                      <w:rFonts w:eastAsia="宋体"/>
                      <w:color w:val="000000"/>
                      <w:kern w:val="0"/>
                    </w:rPr>
                  </w:pPr>
                  <w:r>
                    <w:rPr>
                      <w:rFonts w:eastAsia="宋体"/>
                      <w:color w:val="000000"/>
                      <w:kern w:val="0"/>
                    </w:rPr>
                    <w:t>占标率</w:t>
                  </w:r>
                  <w:r>
                    <w:rPr>
                      <w:rFonts w:hint="eastAsia" w:eastAsia="宋体"/>
                      <w:color w:val="000000"/>
                      <w:kern w:val="0"/>
                    </w:rPr>
                    <w:t>（%）</w:t>
                  </w:r>
                </w:p>
              </w:tc>
              <w:tc>
                <w:tcPr>
                  <w:tcW w:w="1196" w:type="dxa"/>
                  <w:vAlign w:val="center"/>
                </w:tcPr>
                <w:p>
                  <w:pPr>
                    <w:pStyle w:val="36"/>
                    <w:rPr>
                      <w:rFonts w:eastAsia="宋体"/>
                      <w:color w:val="000000"/>
                      <w:kern w:val="0"/>
                    </w:rPr>
                  </w:pPr>
                  <w:r>
                    <w:rPr>
                      <w:rFonts w:eastAsia="宋体"/>
                      <w:color w:val="000000"/>
                      <w:kern w:val="0"/>
                    </w:rPr>
                    <w:t>达标情况</w:t>
                  </w:r>
                </w:p>
              </w:tc>
            </w:tr>
            <w:tr>
              <w:trPr>
                <w:trHeight w:val="340" w:hRule="atLeast"/>
                <w:jc w:val="center"/>
              </w:trPr>
              <w:tc>
                <w:tcPr>
                  <w:tcW w:w="1018" w:type="dxa"/>
                  <w:tcMar>
                    <w:left w:w="0" w:type="dxa"/>
                    <w:right w:w="0" w:type="dxa"/>
                  </w:tcMar>
                  <w:vAlign w:val="center"/>
                </w:tcPr>
                <w:p>
                  <w:pPr>
                    <w:pStyle w:val="36"/>
                    <w:rPr>
                      <w:rFonts w:eastAsia="宋体"/>
                      <w:color w:val="000000"/>
                    </w:rPr>
                  </w:pPr>
                  <w:r>
                    <w:rPr>
                      <w:rFonts w:eastAsia="宋体"/>
                      <w:color w:val="000000"/>
                    </w:rPr>
                    <w:t>PM</w:t>
                  </w:r>
                  <w:r>
                    <w:rPr>
                      <w:rFonts w:eastAsia="宋体"/>
                      <w:color w:val="000000"/>
                      <w:vertAlign w:val="subscript"/>
                    </w:rPr>
                    <w:t>10</w:t>
                  </w:r>
                </w:p>
              </w:tc>
              <w:tc>
                <w:tcPr>
                  <w:tcW w:w="2826" w:type="dxa"/>
                  <w:vMerge w:val="restart"/>
                  <w:tcMar>
                    <w:left w:w="0" w:type="dxa"/>
                    <w:right w:w="0" w:type="dxa"/>
                  </w:tcMar>
                  <w:vAlign w:val="center"/>
                </w:tcPr>
                <w:p>
                  <w:pPr>
                    <w:pStyle w:val="36"/>
                    <w:rPr>
                      <w:rFonts w:eastAsia="宋体"/>
                      <w:color w:val="000000"/>
                    </w:rPr>
                  </w:pPr>
                  <w:r>
                    <w:rPr>
                      <w:rFonts w:eastAsia="宋体"/>
                      <w:color w:val="000000"/>
                    </w:rPr>
                    <w:t>年平均质量浓度</w:t>
                  </w:r>
                </w:p>
              </w:tc>
              <w:tc>
                <w:tcPr>
                  <w:tcW w:w="1336" w:type="dxa"/>
                  <w:vAlign w:val="center"/>
                </w:tcPr>
                <w:p>
                  <w:pPr>
                    <w:pStyle w:val="37"/>
                    <w:widowControl/>
                    <w:adjustRightInd w:val="0"/>
                    <w:snapToGrid w:val="0"/>
                    <w:ind w:left="147" w:right="137"/>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38</w:t>
                  </w:r>
                </w:p>
              </w:tc>
              <w:tc>
                <w:tcPr>
                  <w:tcW w:w="1364" w:type="dxa"/>
                  <w:vAlign w:val="center"/>
                </w:tcPr>
                <w:p>
                  <w:pPr>
                    <w:pStyle w:val="37"/>
                    <w:widowControl/>
                    <w:adjustRightInd w:val="0"/>
                    <w:snapToGrid w:val="0"/>
                    <w:ind w:left="12" w:right="1"/>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60</w:t>
                  </w:r>
                </w:p>
              </w:tc>
              <w:tc>
                <w:tcPr>
                  <w:tcW w:w="1148" w:type="dxa"/>
                  <w:vAlign w:val="center"/>
                </w:tcPr>
                <w:p>
                  <w:pPr>
                    <w:adjustRightInd w:val="0"/>
                    <w:snapToGrid w:val="0"/>
                    <w:jc w:val="center"/>
                    <w:rPr>
                      <w:rFonts w:eastAsia="宋体"/>
                      <w:color w:val="000000"/>
                      <w:szCs w:val="21"/>
                    </w:rPr>
                  </w:pPr>
                  <w:r>
                    <w:rPr>
                      <w:rFonts w:hint="eastAsia" w:eastAsia="宋体"/>
                      <w:color w:val="000000"/>
                      <w:szCs w:val="21"/>
                    </w:rPr>
                    <w:t>63.3</w:t>
                  </w:r>
                </w:p>
              </w:tc>
              <w:tc>
                <w:tcPr>
                  <w:tcW w:w="1196" w:type="dxa"/>
                  <w:vAlign w:val="center"/>
                </w:tcPr>
                <w:p>
                  <w:pPr>
                    <w:pStyle w:val="36"/>
                    <w:rPr>
                      <w:rFonts w:eastAsia="宋体"/>
                      <w:color w:val="000000"/>
                    </w:rPr>
                  </w:pPr>
                  <w:r>
                    <w:rPr>
                      <w:rFonts w:hint="eastAsia" w:eastAsia="宋体"/>
                      <w:color w:val="000000"/>
                    </w:rPr>
                    <w:t>达标</w:t>
                  </w:r>
                </w:p>
              </w:tc>
            </w:tr>
            <w:tr>
              <w:trPr>
                <w:trHeight w:val="340" w:hRule="atLeast"/>
                <w:jc w:val="center"/>
              </w:trPr>
              <w:tc>
                <w:tcPr>
                  <w:tcW w:w="1018" w:type="dxa"/>
                  <w:tcMar>
                    <w:left w:w="0" w:type="dxa"/>
                    <w:right w:w="0" w:type="dxa"/>
                  </w:tcMar>
                  <w:vAlign w:val="center"/>
                </w:tcPr>
                <w:p>
                  <w:pPr>
                    <w:pStyle w:val="36"/>
                    <w:rPr>
                      <w:rFonts w:eastAsia="宋体"/>
                      <w:color w:val="000000"/>
                    </w:rPr>
                  </w:pPr>
                  <w:r>
                    <w:rPr>
                      <w:rFonts w:eastAsia="宋体"/>
                      <w:color w:val="000000"/>
                    </w:rPr>
                    <w:t>PM</w:t>
                  </w:r>
                  <w:r>
                    <w:rPr>
                      <w:rFonts w:eastAsia="宋体"/>
                      <w:color w:val="000000"/>
                      <w:vertAlign w:val="subscript"/>
                    </w:rPr>
                    <w:t>2.5</w:t>
                  </w:r>
                </w:p>
              </w:tc>
              <w:tc>
                <w:tcPr>
                  <w:tcW w:w="2826" w:type="dxa"/>
                  <w:vMerge w:val="continue"/>
                  <w:tcMar>
                    <w:left w:w="0" w:type="dxa"/>
                    <w:right w:w="0" w:type="dxa"/>
                  </w:tcMar>
                  <w:vAlign w:val="center"/>
                </w:tcPr>
                <w:p>
                  <w:pPr>
                    <w:pStyle w:val="36"/>
                    <w:rPr>
                      <w:rFonts w:eastAsia="宋体"/>
                      <w:color w:val="000000"/>
                    </w:rPr>
                  </w:pPr>
                </w:p>
              </w:tc>
              <w:tc>
                <w:tcPr>
                  <w:tcW w:w="1336" w:type="dxa"/>
                  <w:vAlign w:val="center"/>
                </w:tcPr>
                <w:p>
                  <w:pPr>
                    <w:pStyle w:val="37"/>
                    <w:widowControl/>
                    <w:adjustRightInd w:val="0"/>
                    <w:snapToGrid w:val="0"/>
                    <w:ind w:left="145" w:right="137"/>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21.8</w:t>
                  </w:r>
                </w:p>
              </w:tc>
              <w:tc>
                <w:tcPr>
                  <w:tcW w:w="1364" w:type="dxa"/>
                  <w:vAlign w:val="center"/>
                </w:tcPr>
                <w:p>
                  <w:pPr>
                    <w:pStyle w:val="37"/>
                    <w:widowControl/>
                    <w:adjustRightInd w:val="0"/>
                    <w:snapToGrid w:val="0"/>
                    <w:ind w:left="12" w:right="1"/>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30</w:t>
                  </w:r>
                </w:p>
              </w:tc>
              <w:tc>
                <w:tcPr>
                  <w:tcW w:w="1148" w:type="dxa"/>
                  <w:vAlign w:val="center"/>
                </w:tcPr>
                <w:p>
                  <w:pPr>
                    <w:adjustRightInd w:val="0"/>
                    <w:snapToGrid w:val="0"/>
                    <w:jc w:val="center"/>
                    <w:rPr>
                      <w:rFonts w:eastAsia="宋体"/>
                      <w:color w:val="000000"/>
                      <w:szCs w:val="21"/>
                    </w:rPr>
                  </w:pPr>
                  <w:r>
                    <w:rPr>
                      <w:rFonts w:hint="eastAsia" w:eastAsia="宋体"/>
                      <w:color w:val="000000"/>
                      <w:szCs w:val="21"/>
                    </w:rPr>
                    <w:t>72.7</w:t>
                  </w:r>
                </w:p>
              </w:tc>
              <w:tc>
                <w:tcPr>
                  <w:tcW w:w="1196" w:type="dxa"/>
                  <w:vAlign w:val="center"/>
                </w:tcPr>
                <w:p>
                  <w:pPr>
                    <w:jc w:val="center"/>
                    <w:rPr>
                      <w:rFonts w:eastAsia="宋体"/>
                      <w:color w:val="000000"/>
                      <w:szCs w:val="21"/>
                    </w:rPr>
                  </w:pPr>
                  <w:r>
                    <w:rPr>
                      <w:rFonts w:hint="eastAsia" w:eastAsia="宋体"/>
                      <w:color w:val="000000"/>
                      <w:szCs w:val="21"/>
                    </w:rPr>
                    <w:t>达标</w:t>
                  </w:r>
                </w:p>
              </w:tc>
            </w:tr>
            <w:tr>
              <w:trPr>
                <w:trHeight w:val="340" w:hRule="atLeast"/>
                <w:jc w:val="center"/>
              </w:trPr>
              <w:tc>
                <w:tcPr>
                  <w:tcW w:w="1018" w:type="dxa"/>
                  <w:tcMar>
                    <w:left w:w="0" w:type="dxa"/>
                    <w:right w:w="0" w:type="dxa"/>
                  </w:tcMar>
                  <w:vAlign w:val="center"/>
                </w:tcPr>
                <w:p>
                  <w:pPr>
                    <w:pStyle w:val="36"/>
                    <w:rPr>
                      <w:rFonts w:eastAsia="宋体"/>
                      <w:color w:val="000000"/>
                    </w:rPr>
                  </w:pPr>
                  <w:r>
                    <w:rPr>
                      <w:rFonts w:eastAsia="宋体"/>
                      <w:color w:val="000000"/>
                    </w:rPr>
                    <w:t>SO</w:t>
                  </w:r>
                  <w:r>
                    <w:rPr>
                      <w:rFonts w:eastAsia="宋体"/>
                      <w:color w:val="000000"/>
                      <w:vertAlign w:val="subscript"/>
                    </w:rPr>
                    <w:t>2</w:t>
                  </w:r>
                </w:p>
              </w:tc>
              <w:tc>
                <w:tcPr>
                  <w:tcW w:w="2826" w:type="dxa"/>
                  <w:vMerge w:val="continue"/>
                  <w:tcMar>
                    <w:left w:w="0" w:type="dxa"/>
                    <w:right w:w="0" w:type="dxa"/>
                  </w:tcMar>
                  <w:vAlign w:val="center"/>
                </w:tcPr>
                <w:p>
                  <w:pPr>
                    <w:pStyle w:val="36"/>
                    <w:rPr>
                      <w:rFonts w:eastAsia="宋体"/>
                      <w:color w:val="000000"/>
                    </w:rPr>
                  </w:pPr>
                </w:p>
              </w:tc>
              <w:tc>
                <w:tcPr>
                  <w:tcW w:w="1336" w:type="dxa"/>
                  <w:vAlign w:val="center"/>
                </w:tcPr>
                <w:p>
                  <w:pPr>
                    <w:pStyle w:val="37"/>
                    <w:widowControl/>
                    <w:adjustRightInd w:val="0"/>
                    <w:snapToGrid w:val="0"/>
                    <w:ind w:left="147" w:right="137"/>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12</w:t>
                  </w:r>
                </w:p>
              </w:tc>
              <w:tc>
                <w:tcPr>
                  <w:tcW w:w="1364" w:type="dxa"/>
                  <w:vAlign w:val="center"/>
                </w:tcPr>
                <w:p>
                  <w:pPr>
                    <w:pStyle w:val="37"/>
                    <w:widowControl/>
                    <w:adjustRightInd w:val="0"/>
                    <w:snapToGrid w:val="0"/>
                    <w:ind w:left="12" w:right="1"/>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60</w:t>
                  </w:r>
                </w:p>
              </w:tc>
              <w:tc>
                <w:tcPr>
                  <w:tcW w:w="1148" w:type="dxa"/>
                  <w:vAlign w:val="center"/>
                </w:tcPr>
                <w:p>
                  <w:pPr>
                    <w:adjustRightInd w:val="0"/>
                    <w:snapToGrid w:val="0"/>
                    <w:jc w:val="center"/>
                    <w:rPr>
                      <w:rFonts w:eastAsia="宋体"/>
                      <w:color w:val="000000"/>
                      <w:szCs w:val="21"/>
                    </w:rPr>
                  </w:pPr>
                  <w:r>
                    <w:rPr>
                      <w:rFonts w:hint="eastAsia" w:eastAsia="宋体"/>
                      <w:color w:val="000000"/>
                      <w:szCs w:val="21"/>
                    </w:rPr>
                    <w:t>20.0</w:t>
                  </w:r>
                </w:p>
              </w:tc>
              <w:tc>
                <w:tcPr>
                  <w:tcW w:w="1196" w:type="dxa"/>
                  <w:vAlign w:val="center"/>
                </w:tcPr>
                <w:p>
                  <w:pPr>
                    <w:jc w:val="center"/>
                    <w:rPr>
                      <w:rFonts w:eastAsia="宋体"/>
                      <w:color w:val="000000"/>
                      <w:szCs w:val="21"/>
                    </w:rPr>
                  </w:pPr>
                  <w:r>
                    <w:rPr>
                      <w:rFonts w:hint="eastAsia" w:eastAsia="宋体"/>
                      <w:color w:val="000000"/>
                      <w:szCs w:val="21"/>
                    </w:rPr>
                    <w:t>达标</w:t>
                  </w:r>
                </w:p>
              </w:tc>
            </w:tr>
            <w:tr>
              <w:trPr>
                <w:trHeight w:val="340" w:hRule="atLeast"/>
                <w:jc w:val="center"/>
              </w:trPr>
              <w:tc>
                <w:tcPr>
                  <w:tcW w:w="1018" w:type="dxa"/>
                  <w:tcMar>
                    <w:left w:w="0" w:type="dxa"/>
                    <w:right w:w="0" w:type="dxa"/>
                  </w:tcMar>
                  <w:vAlign w:val="center"/>
                </w:tcPr>
                <w:p>
                  <w:pPr>
                    <w:pStyle w:val="36"/>
                    <w:rPr>
                      <w:rFonts w:eastAsia="宋体"/>
                      <w:color w:val="000000"/>
                    </w:rPr>
                  </w:pPr>
                  <w:r>
                    <w:rPr>
                      <w:rFonts w:eastAsia="宋体"/>
                      <w:color w:val="000000"/>
                    </w:rPr>
                    <w:t>NO</w:t>
                  </w:r>
                  <w:r>
                    <w:rPr>
                      <w:rFonts w:eastAsia="宋体"/>
                      <w:color w:val="000000"/>
                      <w:vertAlign w:val="subscript"/>
                    </w:rPr>
                    <w:t>2</w:t>
                  </w:r>
                </w:p>
              </w:tc>
              <w:tc>
                <w:tcPr>
                  <w:tcW w:w="2826" w:type="dxa"/>
                  <w:vMerge w:val="continue"/>
                  <w:tcMar>
                    <w:left w:w="0" w:type="dxa"/>
                    <w:right w:w="0" w:type="dxa"/>
                  </w:tcMar>
                  <w:vAlign w:val="center"/>
                </w:tcPr>
                <w:p>
                  <w:pPr>
                    <w:pStyle w:val="36"/>
                    <w:rPr>
                      <w:rFonts w:eastAsia="宋体"/>
                      <w:color w:val="000000"/>
                    </w:rPr>
                  </w:pPr>
                </w:p>
              </w:tc>
              <w:tc>
                <w:tcPr>
                  <w:tcW w:w="1336" w:type="dxa"/>
                  <w:vAlign w:val="center"/>
                </w:tcPr>
                <w:p>
                  <w:pPr>
                    <w:pStyle w:val="37"/>
                    <w:widowControl/>
                    <w:adjustRightInd w:val="0"/>
                    <w:snapToGrid w:val="0"/>
                    <w:ind w:left="147" w:right="137"/>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21</w:t>
                  </w:r>
                </w:p>
              </w:tc>
              <w:tc>
                <w:tcPr>
                  <w:tcW w:w="1364" w:type="dxa"/>
                  <w:vAlign w:val="center"/>
                </w:tcPr>
                <w:p>
                  <w:pPr>
                    <w:pStyle w:val="37"/>
                    <w:widowControl/>
                    <w:adjustRightInd w:val="0"/>
                    <w:snapToGrid w:val="0"/>
                    <w:ind w:left="12" w:right="1"/>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40</w:t>
                  </w:r>
                </w:p>
              </w:tc>
              <w:tc>
                <w:tcPr>
                  <w:tcW w:w="1148" w:type="dxa"/>
                  <w:vAlign w:val="center"/>
                </w:tcPr>
                <w:p>
                  <w:pPr>
                    <w:adjustRightInd w:val="0"/>
                    <w:snapToGrid w:val="0"/>
                    <w:jc w:val="center"/>
                    <w:rPr>
                      <w:rFonts w:eastAsia="宋体"/>
                      <w:color w:val="000000"/>
                      <w:szCs w:val="21"/>
                    </w:rPr>
                  </w:pPr>
                  <w:r>
                    <w:rPr>
                      <w:rFonts w:hint="eastAsia" w:eastAsia="宋体"/>
                      <w:color w:val="000000"/>
                      <w:szCs w:val="21"/>
                    </w:rPr>
                    <w:t>52.5</w:t>
                  </w:r>
                </w:p>
              </w:tc>
              <w:tc>
                <w:tcPr>
                  <w:tcW w:w="1196" w:type="dxa"/>
                  <w:vAlign w:val="center"/>
                </w:tcPr>
                <w:p>
                  <w:pPr>
                    <w:jc w:val="center"/>
                    <w:rPr>
                      <w:rFonts w:eastAsia="宋体"/>
                      <w:color w:val="000000"/>
                      <w:szCs w:val="21"/>
                    </w:rPr>
                  </w:pPr>
                  <w:r>
                    <w:rPr>
                      <w:rFonts w:hint="eastAsia" w:eastAsia="宋体"/>
                      <w:color w:val="000000"/>
                      <w:szCs w:val="21"/>
                    </w:rPr>
                    <w:t>达标</w:t>
                  </w:r>
                </w:p>
              </w:tc>
            </w:tr>
            <w:tr>
              <w:trPr>
                <w:trHeight w:val="340" w:hRule="atLeast"/>
                <w:jc w:val="center"/>
              </w:trPr>
              <w:tc>
                <w:tcPr>
                  <w:tcW w:w="1018" w:type="dxa"/>
                  <w:tcMar>
                    <w:left w:w="0" w:type="dxa"/>
                    <w:right w:w="0" w:type="dxa"/>
                  </w:tcMar>
                  <w:vAlign w:val="center"/>
                </w:tcPr>
                <w:p>
                  <w:pPr>
                    <w:pStyle w:val="36"/>
                    <w:rPr>
                      <w:rFonts w:eastAsia="宋体"/>
                      <w:color w:val="000000"/>
                    </w:rPr>
                  </w:pPr>
                  <w:r>
                    <w:rPr>
                      <w:rFonts w:eastAsia="宋体"/>
                      <w:color w:val="000000"/>
                    </w:rPr>
                    <w:t>CO</w:t>
                  </w:r>
                </w:p>
              </w:tc>
              <w:tc>
                <w:tcPr>
                  <w:tcW w:w="2826" w:type="dxa"/>
                  <w:tcMar>
                    <w:left w:w="0" w:type="dxa"/>
                    <w:right w:w="0" w:type="dxa"/>
                  </w:tcMar>
                  <w:vAlign w:val="center"/>
                </w:tcPr>
                <w:p>
                  <w:pPr>
                    <w:pStyle w:val="36"/>
                    <w:rPr>
                      <w:rFonts w:eastAsia="宋体"/>
                      <w:color w:val="000000"/>
                    </w:rPr>
                  </w:pPr>
                  <w:r>
                    <w:rPr>
                      <w:rFonts w:eastAsia="宋体"/>
                      <w:color w:val="000000"/>
                    </w:rPr>
                    <w:t>95百分位数年均浓度</w:t>
                  </w:r>
                </w:p>
              </w:tc>
              <w:tc>
                <w:tcPr>
                  <w:tcW w:w="1336" w:type="dxa"/>
                  <w:vAlign w:val="center"/>
                </w:tcPr>
                <w:p>
                  <w:pPr>
                    <w:pStyle w:val="37"/>
                    <w:widowControl/>
                    <w:adjustRightInd w:val="0"/>
                    <w:snapToGrid w:val="0"/>
                    <w:ind w:left="147" w:right="137"/>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1200</w:t>
                  </w:r>
                </w:p>
              </w:tc>
              <w:tc>
                <w:tcPr>
                  <w:tcW w:w="1364" w:type="dxa"/>
                  <w:vAlign w:val="center"/>
                </w:tcPr>
                <w:p>
                  <w:pPr>
                    <w:pStyle w:val="37"/>
                    <w:widowControl/>
                    <w:adjustRightInd w:val="0"/>
                    <w:snapToGrid w:val="0"/>
                    <w:ind w:left="11"/>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4000</w:t>
                  </w:r>
                </w:p>
              </w:tc>
              <w:tc>
                <w:tcPr>
                  <w:tcW w:w="1148" w:type="dxa"/>
                  <w:vAlign w:val="center"/>
                </w:tcPr>
                <w:p>
                  <w:pPr>
                    <w:adjustRightInd w:val="0"/>
                    <w:snapToGrid w:val="0"/>
                    <w:jc w:val="center"/>
                    <w:rPr>
                      <w:rFonts w:eastAsia="宋体"/>
                      <w:color w:val="000000"/>
                      <w:szCs w:val="21"/>
                    </w:rPr>
                  </w:pPr>
                  <w:r>
                    <w:rPr>
                      <w:rFonts w:hint="eastAsia" w:eastAsia="宋体"/>
                      <w:color w:val="000000"/>
                      <w:szCs w:val="21"/>
                    </w:rPr>
                    <w:t>30.0</w:t>
                  </w:r>
                </w:p>
              </w:tc>
              <w:tc>
                <w:tcPr>
                  <w:tcW w:w="1196" w:type="dxa"/>
                  <w:vAlign w:val="center"/>
                </w:tcPr>
                <w:p>
                  <w:pPr>
                    <w:jc w:val="center"/>
                    <w:rPr>
                      <w:rFonts w:eastAsia="宋体"/>
                      <w:color w:val="000000"/>
                      <w:szCs w:val="21"/>
                    </w:rPr>
                  </w:pPr>
                  <w:r>
                    <w:rPr>
                      <w:rFonts w:hint="eastAsia" w:eastAsia="宋体"/>
                      <w:color w:val="000000"/>
                      <w:szCs w:val="21"/>
                    </w:rPr>
                    <w:t>达标</w:t>
                  </w:r>
                </w:p>
              </w:tc>
            </w:tr>
            <w:tr>
              <w:trPr>
                <w:trHeight w:val="340" w:hRule="atLeast"/>
                <w:jc w:val="center"/>
              </w:trPr>
              <w:tc>
                <w:tcPr>
                  <w:tcW w:w="1018" w:type="dxa"/>
                  <w:tcMar>
                    <w:left w:w="0" w:type="dxa"/>
                    <w:right w:w="0" w:type="dxa"/>
                  </w:tcMar>
                  <w:vAlign w:val="center"/>
                </w:tcPr>
                <w:p>
                  <w:pPr>
                    <w:pStyle w:val="36"/>
                    <w:rPr>
                      <w:rFonts w:eastAsia="宋体"/>
                      <w:color w:val="000000"/>
                      <w:vertAlign w:val="subscript"/>
                    </w:rPr>
                  </w:pPr>
                  <w:r>
                    <w:rPr>
                      <w:rFonts w:eastAsia="宋体"/>
                      <w:color w:val="000000"/>
                    </w:rPr>
                    <w:t>O</w:t>
                  </w:r>
                  <w:r>
                    <w:rPr>
                      <w:rFonts w:eastAsia="宋体"/>
                      <w:color w:val="000000"/>
                      <w:vertAlign w:val="subscript"/>
                    </w:rPr>
                    <w:t>3</w:t>
                  </w:r>
                </w:p>
              </w:tc>
              <w:tc>
                <w:tcPr>
                  <w:tcW w:w="2826" w:type="dxa"/>
                  <w:tcMar>
                    <w:left w:w="0" w:type="dxa"/>
                    <w:right w:w="0" w:type="dxa"/>
                  </w:tcMar>
                  <w:vAlign w:val="center"/>
                </w:tcPr>
                <w:p>
                  <w:pPr>
                    <w:pStyle w:val="36"/>
                    <w:rPr>
                      <w:rFonts w:eastAsia="宋体"/>
                      <w:color w:val="000000"/>
                    </w:rPr>
                  </w:pPr>
                  <w:r>
                    <w:rPr>
                      <w:rFonts w:eastAsia="宋体"/>
                      <w:color w:val="000000"/>
                    </w:rPr>
                    <w:t>8小时90百分位数年均浓度</w:t>
                  </w:r>
                </w:p>
              </w:tc>
              <w:tc>
                <w:tcPr>
                  <w:tcW w:w="1336" w:type="dxa"/>
                  <w:vAlign w:val="center"/>
                </w:tcPr>
                <w:p>
                  <w:pPr>
                    <w:pStyle w:val="37"/>
                    <w:widowControl/>
                    <w:adjustRightInd w:val="0"/>
                    <w:snapToGrid w:val="0"/>
                    <w:ind w:left="145" w:right="137"/>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125</w:t>
                  </w:r>
                </w:p>
              </w:tc>
              <w:tc>
                <w:tcPr>
                  <w:tcW w:w="1364" w:type="dxa"/>
                  <w:vAlign w:val="center"/>
                </w:tcPr>
                <w:p>
                  <w:pPr>
                    <w:pStyle w:val="37"/>
                    <w:widowControl/>
                    <w:adjustRightInd w:val="0"/>
                    <w:snapToGrid w:val="0"/>
                    <w:ind w:left="10"/>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160</w:t>
                  </w:r>
                </w:p>
              </w:tc>
              <w:tc>
                <w:tcPr>
                  <w:tcW w:w="1148" w:type="dxa"/>
                  <w:vAlign w:val="center"/>
                </w:tcPr>
                <w:p>
                  <w:pPr>
                    <w:adjustRightInd w:val="0"/>
                    <w:snapToGrid w:val="0"/>
                    <w:jc w:val="center"/>
                    <w:rPr>
                      <w:rFonts w:eastAsia="宋体"/>
                      <w:color w:val="000000"/>
                      <w:szCs w:val="21"/>
                    </w:rPr>
                  </w:pPr>
                  <w:r>
                    <w:rPr>
                      <w:rFonts w:hint="eastAsia" w:eastAsia="宋体"/>
                      <w:color w:val="000000"/>
                      <w:szCs w:val="21"/>
                    </w:rPr>
                    <w:t>78.1</w:t>
                  </w:r>
                </w:p>
              </w:tc>
              <w:tc>
                <w:tcPr>
                  <w:tcW w:w="1196" w:type="dxa"/>
                  <w:vAlign w:val="center"/>
                </w:tcPr>
                <w:p>
                  <w:pPr>
                    <w:jc w:val="center"/>
                    <w:rPr>
                      <w:rFonts w:eastAsia="宋体"/>
                      <w:color w:val="000000"/>
                      <w:szCs w:val="21"/>
                    </w:rPr>
                  </w:pPr>
                  <w:r>
                    <w:rPr>
                      <w:rFonts w:hint="eastAsia" w:eastAsia="宋体"/>
                      <w:color w:val="000000"/>
                      <w:szCs w:val="21"/>
                    </w:rPr>
                    <w:t>达标</w:t>
                  </w:r>
                </w:p>
              </w:tc>
            </w:tr>
          </w:tbl>
          <w:p>
            <w:pPr>
              <w:spacing w:line="360" w:lineRule="auto"/>
              <w:ind w:firstLine="480" w:firstLineChars="200"/>
              <w:rPr>
                <w:rFonts w:eastAsia="宋体"/>
                <w:bCs/>
                <w:color w:val="000000"/>
                <w:sz w:val="24"/>
              </w:rPr>
            </w:pPr>
            <w:r>
              <w:rPr>
                <w:rFonts w:hint="eastAsia" w:eastAsia="宋体"/>
                <w:bCs/>
                <w:color w:val="000000"/>
                <w:sz w:val="24"/>
              </w:rPr>
              <w:t>根据上表环境空气质量区达标判断，通化市属于环境空气质量达标区。</w:t>
            </w:r>
          </w:p>
          <w:p>
            <w:pPr>
              <w:spacing w:line="360" w:lineRule="auto"/>
              <w:ind w:firstLine="480" w:firstLineChars="200"/>
              <w:rPr>
                <w:color w:val="000000"/>
                <w:sz w:val="24"/>
              </w:rPr>
            </w:pPr>
            <w:r>
              <w:rPr>
                <w:rFonts w:hint="eastAsia"/>
                <w:color w:val="000000"/>
                <w:sz w:val="24"/>
              </w:rPr>
              <w:t>补充监测：</w:t>
            </w:r>
          </w:p>
          <w:p>
            <w:pPr>
              <w:spacing w:line="360" w:lineRule="auto"/>
              <w:ind w:firstLine="480" w:firstLineChars="200"/>
              <w:rPr>
                <w:color w:val="000000"/>
                <w:sz w:val="24"/>
              </w:rPr>
            </w:pPr>
            <w:r>
              <w:rPr>
                <w:rFonts w:hint="eastAsia"/>
                <w:color w:val="000000"/>
                <w:sz w:val="24"/>
              </w:rPr>
              <w:t>（1）</w:t>
            </w:r>
            <w:r>
              <w:rPr>
                <w:color w:val="000000"/>
                <w:sz w:val="24"/>
              </w:rPr>
              <w:t>监测点布设</w:t>
            </w:r>
          </w:p>
          <w:p>
            <w:pPr>
              <w:autoSpaceDE w:val="0"/>
              <w:autoSpaceDN w:val="0"/>
              <w:adjustRightInd w:val="0"/>
              <w:spacing w:line="360" w:lineRule="auto"/>
              <w:ind w:firstLine="480"/>
              <w:rPr>
                <w:color w:val="000000"/>
                <w:sz w:val="24"/>
              </w:rPr>
            </w:pPr>
            <w:r>
              <w:rPr>
                <w:color w:val="000000"/>
                <w:sz w:val="24"/>
                <w:lang w:val="zh-CN"/>
              </w:rPr>
              <w:t>根据该项目建设位置、工程状况及气象条件，</w:t>
            </w:r>
            <w:r>
              <w:rPr>
                <w:rFonts w:hint="eastAsia"/>
                <w:color w:val="000000"/>
                <w:sz w:val="24"/>
              </w:rPr>
              <w:t>通化市常年主导风向为西南风，本次</w:t>
            </w:r>
            <w:r>
              <w:rPr>
                <w:color w:val="000000"/>
                <w:sz w:val="24"/>
                <w:lang w:val="zh-CN"/>
              </w:rPr>
              <w:t>布设</w:t>
            </w:r>
            <w:r>
              <w:rPr>
                <w:color w:val="000000"/>
                <w:sz w:val="24"/>
              </w:rPr>
              <w:t>1</w:t>
            </w:r>
            <w:r>
              <w:rPr>
                <w:color w:val="000000"/>
                <w:sz w:val="24"/>
                <w:lang w:val="zh-CN"/>
              </w:rPr>
              <w:t>个环境空气质量监测点</w:t>
            </w:r>
            <w:r>
              <w:rPr>
                <w:rFonts w:hint="eastAsia"/>
                <w:color w:val="000000"/>
                <w:sz w:val="24"/>
                <w:lang w:val="zh-CN"/>
              </w:rPr>
              <w:t>，</w:t>
            </w:r>
            <w:r>
              <w:rPr>
                <w:rFonts w:hint="eastAsia"/>
                <w:color w:val="000000"/>
                <w:sz w:val="24"/>
              </w:rPr>
              <w:t>位于厂区下风向东北侧</w:t>
            </w:r>
            <w:r>
              <w:rPr>
                <w:color w:val="000000"/>
                <w:sz w:val="24"/>
                <w:lang w:val="zh-CN"/>
              </w:rPr>
              <w:t>。监测点布设见</w:t>
            </w:r>
            <w:r>
              <w:rPr>
                <w:color w:val="000000"/>
                <w:sz w:val="24"/>
              </w:rPr>
              <w:t>下表</w:t>
            </w:r>
            <w:r>
              <w:rPr>
                <w:color w:val="000000"/>
                <w:sz w:val="24"/>
                <w:lang w:val="zh-CN"/>
              </w:rPr>
              <w:t>。</w:t>
            </w:r>
            <w:r>
              <w:rPr>
                <w:rFonts w:hint="eastAsia"/>
                <w:color w:val="000000"/>
                <w:sz w:val="24"/>
              </w:rPr>
              <w:t>监测点位示意图详见附图5。</w:t>
            </w:r>
          </w:p>
          <w:p>
            <w:pPr>
              <w:pStyle w:val="38"/>
              <w:widowControl/>
              <w:numPr>
                <w:ilvl w:val="0"/>
                <w:numId w:val="0"/>
              </w:numPr>
              <w:rPr>
                <w:b w:val="0"/>
                <w:bCs/>
                <w:color w:val="000000"/>
                <w:sz w:val="24"/>
                <w:lang w:val="zh-CN"/>
              </w:rPr>
            </w:pPr>
            <w:r>
              <w:rPr>
                <w:b w:val="0"/>
                <w:bCs/>
                <w:color w:val="000000"/>
                <w:sz w:val="24"/>
                <w:lang w:val="zh-CN"/>
              </w:rPr>
              <w:t>表</w:t>
            </w:r>
            <w:r>
              <w:rPr>
                <w:rFonts w:hint="eastAsia"/>
                <w:b w:val="0"/>
                <w:bCs/>
                <w:color w:val="000000"/>
                <w:sz w:val="24"/>
              </w:rPr>
              <w:t>24</w:t>
            </w:r>
            <w:r>
              <w:rPr>
                <w:b w:val="0"/>
                <w:bCs/>
                <w:color w:val="000000"/>
                <w:sz w:val="24"/>
              </w:rPr>
              <w:t xml:space="preserve"> </w:t>
            </w:r>
            <w:r>
              <w:rPr>
                <w:b w:val="0"/>
                <w:bCs/>
                <w:color w:val="000000"/>
                <w:sz w:val="24"/>
                <w:lang w:val="zh-CN"/>
              </w:rPr>
              <w:t xml:space="preserve"> 环境空气质量监测点布设情况表</w:t>
            </w:r>
          </w:p>
          <w:tbl>
            <w:tblPr>
              <w:tblW w:w="8886"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1295"/>
              <w:gridCol w:w="3185"/>
              <w:gridCol w:w="4406"/>
            </w:tblGrid>
            <w:tr>
              <w:trPr>
                <w:cantSplit/>
                <w:trHeight w:val="340" w:hRule="atLeast"/>
                <w:jc w:val="center"/>
              </w:trPr>
              <w:tc>
                <w:tcPr>
                  <w:tcW w:w="1295" w:type="dxa"/>
                  <w:vAlign w:val="center"/>
                </w:tcPr>
                <w:p>
                  <w:pPr>
                    <w:jc w:val="center"/>
                    <w:rPr>
                      <w:color w:val="000000"/>
                    </w:rPr>
                  </w:pPr>
                  <w:r>
                    <w:rPr>
                      <w:color w:val="000000"/>
                    </w:rPr>
                    <w:t>序号</w:t>
                  </w:r>
                </w:p>
              </w:tc>
              <w:tc>
                <w:tcPr>
                  <w:tcW w:w="3185" w:type="dxa"/>
                  <w:vAlign w:val="center"/>
                </w:tcPr>
                <w:p>
                  <w:pPr>
                    <w:jc w:val="center"/>
                    <w:rPr>
                      <w:color w:val="000000"/>
                    </w:rPr>
                  </w:pPr>
                  <w:r>
                    <w:rPr>
                      <w:color w:val="000000"/>
                    </w:rPr>
                    <w:t>监测点</w:t>
                  </w:r>
                </w:p>
              </w:tc>
              <w:tc>
                <w:tcPr>
                  <w:tcW w:w="4406" w:type="dxa"/>
                  <w:vAlign w:val="center"/>
                </w:tcPr>
                <w:p>
                  <w:pPr>
                    <w:jc w:val="center"/>
                    <w:rPr>
                      <w:color w:val="000000"/>
                    </w:rPr>
                  </w:pPr>
                  <w:r>
                    <w:rPr>
                      <w:color w:val="000000"/>
                    </w:rPr>
                    <w:t>方位</w:t>
                  </w:r>
                </w:p>
              </w:tc>
            </w:tr>
            <w:tr>
              <w:trPr>
                <w:cantSplit/>
                <w:trHeight w:val="340" w:hRule="atLeast"/>
                <w:jc w:val="center"/>
              </w:trPr>
              <w:tc>
                <w:tcPr>
                  <w:tcW w:w="1295" w:type="dxa"/>
                  <w:vAlign w:val="center"/>
                </w:tcPr>
                <w:p>
                  <w:pPr>
                    <w:jc w:val="center"/>
                    <w:rPr>
                      <w:color w:val="000000"/>
                    </w:rPr>
                  </w:pPr>
                  <w:r>
                    <w:rPr>
                      <w:rFonts w:hint="eastAsia"/>
                      <w:szCs w:val="21"/>
                    </w:rPr>
                    <w:t>A1</w:t>
                  </w:r>
                </w:p>
              </w:tc>
              <w:tc>
                <w:tcPr>
                  <w:tcW w:w="3185" w:type="dxa"/>
                  <w:vAlign w:val="center"/>
                </w:tcPr>
                <w:p>
                  <w:pPr>
                    <w:jc w:val="center"/>
                    <w:rPr>
                      <w:color w:val="000000"/>
                    </w:rPr>
                  </w:pPr>
                  <w:r>
                    <w:rPr>
                      <w:rFonts w:hint="eastAsia"/>
                      <w:color w:val="000000"/>
                    </w:rPr>
                    <w:t>项目所在位置下风向0.5km</w:t>
                  </w:r>
                </w:p>
              </w:tc>
              <w:tc>
                <w:tcPr>
                  <w:tcW w:w="4406" w:type="dxa"/>
                  <w:vAlign w:val="center"/>
                </w:tcPr>
                <w:p>
                  <w:pPr>
                    <w:jc w:val="center"/>
                    <w:rPr>
                      <w:color w:val="000000"/>
                    </w:rPr>
                  </w:pPr>
                  <w:r>
                    <w:rPr>
                      <w:rFonts w:hint="eastAsia"/>
                      <w:szCs w:val="21"/>
                    </w:rPr>
                    <w:t>了解项目区域内空气质量情况</w:t>
                  </w:r>
                </w:p>
              </w:tc>
            </w:tr>
          </w:tbl>
          <w:p>
            <w:pPr>
              <w:autoSpaceDE w:val="0"/>
              <w:autoSpaceDN w:val="0"/>
              <w:adjustRightInd w:val="0"/>
              <w:spacing w:line="360" w:lineRule="auto"/>
              <w:ind w:firstLine="480"/>
              <w:rPr>
                <w:color w:val="000000"/>
                <w:sz w:val="24"/>
                <w:lang w:val="zh-CN"/>
              </w:rPr>
            </w:pPr>
            <w:r>
              <w:rPr>
                <w:rFonts w:hint="eastAsia"/>
                <w:color w:val="000000"/>
                <w:sz w:val="24"/>
              </w:rPr>
              <w:t>（2）</w:t>
            </w:r>
            <w:r>
              <w:rPr>
                <w:color w:val="000000"/>
                <w:sz w:val="24"/>
                <w:lang w:val="zh-CN"/>
              </w:rPr>
              <w:t>监测项目</w:t>
            </w:r>
          </w:p>
          <w:p>
            <w:pPr>
              <w:spacing w:line="360" w:lineRule="auto"/>
              <w:ind w:firstLine="480"/>
              <w:rPr>
                <w:sz w:val="24"/>
              </w:rPr>
            </w:pPr>
            <w:r>
              <w:rPr>
                <w:sz w:val="24"/>
              </w:rPr>
              <w:t>监测项目</w:t>
            </w:r>
            <w:r>
              <w:rPr>
                <w:rFonts w:hint="eastAsia"/>
                <w:sz w:val="24"/>
              </w:rPr>
              <w:t>：NOx</w:t>
            </w:r>
            <w:r>
              <w:rPr>
                <w:sz w:val="24"/>
              </w:rPr>
              <w:t>。</w:t>
            </w:r>
          </w:p>
          <w:p>
            <w:pPr>
              <w:spacing w:line="360" w:lineRule="auto"/>
              <w:ind w:firstLine="480" w:firstLineChars="200"/>
              <w:rPr>
                <w:color w:val="000000"/>
                <w:sz w:val="24"/>
              </w:rPr>
            </w:pPr>
            <w:r>
              <w:rPr>
                <w:rFonts w:hint="eastAsia"/>
                <w:color w:val="000000"/>
                <w:sz w:val="24"/>
              </w:rPr>
              <w:t>（3）</w:t>
            </w:r>
            <w:r>
              <w:rPr>
                <w:color w:val="000000"/>
                <w:sz w:val="24"/>
              </w:rPr>
              <w:t>监测时间与监测频次</w:t>
            </w:r>
          </w:p>
          <w:p>
            <w:pPr>
              <w:spacing w:line="360" w:lineRule="auto"/>
              <w:ind w:firstLine="480" w:firstLineChars="200"/>
              <w:rPr>
                <w:rFonts w:eastAsia="宋体"/>
                <w:bCs/>
                <w:color w:val="000000"/>
                <w:sz w:val="24"/>
              </w:rPr>
            </w:pPr>
            <w:r>
              <w:rPr>
                <w:rFonts w:hint="eastAsia" w:eastAsia="宋体"/>
                <w:bCs/>
                <w:color w:val="000000"/>
                <w:sz w:val="24"/>
              </w:rPr>
              <w:t>吉林省瑞和检测科技有限公司于2026年8月29日-8月31日进行监测，连续监测3天。</w:t>
            </w:r>
          </w:p>
          <w:p>
            <w:pPr>
              <w:spacing w:line="360" w:lineRule="auto"/>
              <w:ind w:firstLine="480" w:firstLineChars="200"/>
              <w:rPr>
                <w:rFonts w:eastAsia="宋体"/>
                <w:bCs/>
                <w:color w:val="000000"/>
                <w:sz w:val="24"/>
              </w:rPr>
            </w:pPr>
            <w:r>
              <w:rPr>
                <w:rFonts w:hint="eastAsia" w:eastAsia="宋体"/>
                <w:bCs/>
                <w:color w:val="000000"/>
                <w:sz w:val="24"/>
              </w:rPr>
              <w:t>NOx测定日均值，一天监测一次。NOx测定小时值，一天监测一次。</w:t>
            </w:r>
          </w:p>
          <w:p>
            <w:pPr>
              <w:spacing w:line="360" w:lineRule="auto"/>
              <w:ind w:firstLine="480" w:firstLineChars="200"/>
              <w:rPr>
                <w:color w:val="000000"/>
                <w:sz w:val="24"/>
              </w:rPr>
            </w:pPr>
            <w:r>
              <w:rPr>
                <w:rFonts w:hint="eastAsia"/>
                <w:color w:val="000000"/>
                <w:sz w:val="24"/>
              </w:rPr>
              <w:t>（4）</w:t>
            </w:r>
            <w:r>
              <w:rPr>
                <w:color w:val="000000"/>
                <w:sz w:val="24"/>
              </w:rPr>
              <w:t>评价方法</w:t>
            </w:r>
          </w:p>
          <w:p>
            <w:pPr>
              <w:spacing w:line="360" w:lineRule="auto"/>
              <w:ind w:firstLine="480" w:firstLineChars="200"/>
              <w:rPr>
                <w:color w:val="000000"/>
                <w:sz w:val="24"/>
              </w:rPr>
            </w:pPr>
            <w:r>
              <w:rPr>
                <w:color w:val="000000"/>
                <w:sz w:val="24"/>
              </w:rPr>
              <w:t>采用占标率统计法，同时计算污染物年均值超标率。数学表达式如下：</w:t>
            </w:r>
          </w:p>
          <w:p>
            <w:pPr>
              <w:spacing w:after="48" w:line="360" w:lineRule="auto"/>
              <w:ind w:firstLine="480" w:firstLineChars="200"/>
              <w:jc w:val="center"/>
              <w:rPr>
                <w:color w:val="000000"/>
                <w:sz w:val="24"/>
              </w:rPr>
            </w:pPr>
            <w:r>
              <w:rPr>
                <w:rFonts w:ascii="Times New Roman" w:hAnsi="Times New Roman" w:eastAsia="宋体" w:cs="Times New Roman"/>
                <w:color w:val="000000"/>
                <w:kern w:val="2"/>
                <w:sz w:val="24"/>
                <w:szCs w:val="24"/>
                <w:lang w:val="en-US" w:eastAsia="zh-CN" w:bidi="ar-SA"/>
              </w:rPr>
              <w:pict>
                <v:shape id="图片框 1036" o:spid="_x0000_s1037" type="#_x0000_t75" style="height:19.5pt;width:54pt;rotation:0f;" o:ole="f" fillcolor="#FFFFFF" filled="f" o:preferrelative="t" stroked="f" coordorigin="0,0" coordsize="21600,21600">
                  <v:fill on="f" color2="#FFFFFF" focus="0%"/>
                  <v:imagedata gain="65536f" blacklevel="0f" gamma="0" o:title="" r:id="rId16"/>
                  <o:lock v:ext="edit" position="f" selection="f" grouping="f" rotation="f" cropping="f" text="f" aspectratio="t"/>
                  <w10:wrap type="none"/>
                  <w10:anchorlock/>
                </v:shape>
              </w:pict>
            </w:r>
          </w:p>
          <w:p>
            <w:pPr>
              <w:spacing w:after="48" w:line="360" w:lineRule="auto"/>
              <w:ind w:firstLine="480" w:firstLineChars="200"/>
              <w:rPr>
                <w:color w:val="000000"/>
                <w:sz w:val="24"/>
              </w:rPr>
            </w:pPr>
            <w:r>
              <w:rPr>
                <w:color w:val="000000"/>
                <w:sz w:val="24"/>
              </w:rPr>
              <w:t>式中：I</w:t>
            </w:r>
            <w:r>
              <w:rPr>
                <w:color w:val="000000"/>
                <w:sz w:val="24"/>
                <w:vertAlign w:val="subscript"/>
              </w:rPr>
              <w:t>i</w:t>
            </w:r>
            <w:r>
              <w:rPr>
                <w:color w:val="000000"/>
                <w:sz w:val="24"/>
              </w:rPr>
              <w:t>—第i种污染物环境质量指数；</w:t>
            </w:r>
          </w:p>
          <w:p>
            <w:pPr>
              <w:spacing w:after="48" w:line="360" w:lineRule="auto"/>
              <w:ind w:firstLine="1200" w:firstLineChars="500"/>
              <w:rPr>
                <w:b/>
                <w:bCs/>
                <w:color w:val="000000"/>
                <w:sz w:val="24"/>
              </w:rPr>
            </w:pPr>
            <w:r>
              <w:rPr>
                <w:color w:val="000000"/>
                <w:sz w:val="24"/>
              </w:rPr>
              <w:t>C</w:t>
            </w:r>
            <w:r>
              <w:rPr>
                <w:color w:val="000000"/>
                <w:sz w:val="24"/>
                <w:vertAlign w:val="subscript"/>
              </w:rPr>
              <w:t>i</w:t>
            </w:r>
            <w:r>
              <w:rPr>
                <w:color w:val="000000"/>
                <w:sz w:val="24"/>
              </w:rPr>
              <w:t>—第i种污染物平均浓度，mg/m</w:t>
            </w:r>
            <w:r>
              <w:rPr>
                <w:color w:val="000000"/>
                <w:sz w:val="24"/>
                <w:vertAlign w:val="superscript"/>
              </w:rPr>
              <w:t>3</w:t>
            </w:r>
            <w:r>
              <w:rPr>
                <w:color w:val="000000"/>
                <w:sz w:val="24"/>
              </w:rPr>
              <w:t>；</w:t>
            </w:r>
          </w:p>
          <w:p>
            <w:pPr>
              <w:spacing w:after="48" w:line="360" w:lineRule="auto"/>
              <w:ind w:firstLine="1200" w:firstLineChars="500"/>
              <w:rPr>
                <w:b/>
                <w:bCs/>
                <w:color w:val="000000"/>
                <w:sz w:val="24"/>
              </w:rPr>
            </w:pPr>
            <w:r>
              <w:rPr>
                <w:color w:val="000000"/>
                <w:sz w:val="24"/>
              </w:rPr>
              <w:t>C</w:t>
            </w:r>
            <w:r>
              <w:rPr>
                <w:color w:val="000000"/>
                <w:sz w:val="24"/>
                <w:vertAlign w:val="subscript"/>
              </w:rPr>
              <w:t xml:space="preserve">0 </w:t>
            </w:r>
            <w:r>
              <w:rPr>
                <w:color w:val="000000"/>
                <w:sz w:val="24"/>
              </w:rPr>
              <w:t>—第i种污染物环境质量标准，mg/m</w:t>
            </w:r>
            <w:r>
              <w:rPr>
                <w:color w:val="000000"/>
                <w:sz w:val="24"/>
                <w:vertAlign w:val="superscript"/>
              </w:rPr>
              <w:t>3</w:t>
            </w:r>
            <w:r>
              <w:rPr>
                <w:color w:val="000000"/>
                <w:sz w:val="24"/>
              </w:rPr>
              <w:t>。</w:t>
            </w:r>
          </w:p>
          <w:p>
            <w:pPr>
              <w:spacing w:line="360" w:lineRule="auto"/>
              <w:ind w:firstLine="480" w:firstLineChars="200"/>
              <w:rPr>
                <w:b/>
                <w:bCs/>
                <w:color w:val="000000"/>
                <w:sz w:val="24"/>
              </w:rPr>
            </w:pPr>
            <w:r>
              <w:rPr>
                <w:rFonts w:hint="eastAsia"/>
                <w:color w:val="000000"/>
                <w:sz w:val="24"/>
              </w:rPr>
              <w:t>（6）</w:t>
            </w:r>
            <w:r>
              <w:rPr>
                <w:color w:val="000000"/>
                <w:sz w:val="24"/>
              </w:rPr>
              <w:t>评价标准</w:t>
            </w:r>
          </w:p>
          <w:p>
            <w:pPr>
              <w:spacing w:line="360" w:lineRule="auto"/>
              <w:ind w:firstLine="480" w:firstLineChars="200"/>
              <w:rPr>
                <w:color w:val="000000"/>
                <w:sz w:val="24"/>
              </w:rPr>
            </w:pPr>
            <w:r>
              <w:rPr>
                <w:color w:val="000000"/>
                <w:sz w:val="24"/>
              </w:rPr>
              <w:t>评价采用《环境空气质量标准》（GB3095-20</w:t>
            </w:r>
            <w:r>
              <w:rPr>
                <w:rFonts w:hint="eastAsia"/>
                <w:color w:val="000000"/>
                <w:sz w:val="24"/>
              </w:rPr>
              <w:t>26</w:t>
            </w:r>
            <w:r>
              <w:rPr>
                <w:color w:val="000000"/>
                <w:sz w:val="24"/>
              </w:rPr>
              <w:t>）的二级标准</w:t>
            </w:r>
            <w:r>
              <w:rPr>
                <w:rFonts w:hint="eastAsia"/>
                <w:color w:val="000000"/>
                <w:sz w:val="24"/>
              </w:rPr>
              <w:t>（过渡阶段）</w:t>
            </w:r>
            <w:r>
              <w:rPr>
                <w:color w:val="000000"/>
                <w:sz w:val="24"/>
              </w:rPr>
              <w:t>。</w:t>
            </w:r>
          </w:p>
          <w:p>
            <w:pPr>
              <w:spacing w:line="360" w:lineRule="auto"/>
              <w:ind w:firstLine="480" w:firstLineChars="200"/>
              <w:rPr>
                <w:color w:val="000000"/>
                <w:sz w:val="24"/>
              </w:rPr>
            </w:pPr>
            <w:r>
              <w:rPr>
                <w:rFonts w:hint="eastAsia"/>
                <w:color w:val="000000"/>
                <w:sz w:val="24"/>
              </w:rPr>
              <w:t>（7）</w:t>
            </w:r>
            <w:r>
              <w:rPr>
                <w:color w:val="000000"/>
                <w:sz w:val="24"/>
              </w:rPr>
              <w:t>监测及评价结果</w:t>
            </w:r>
          </w:p>
          <w:p>
            <w:pPr>
              <w:spacing w:line="360" w:lineRule="auto"/>
              <w:ind w:firstLine="480" w:firstLineChars="200"/>
              <w:rPr>
                <w:color w:val="000000"/>
                <w:sz w:val="24"/>
              </w:rPr>
            </w:pPr>
            <w:r>
              <w:rPr>
                <w:color w:val="000000"/>
                <w:sz w:val="24"/>
              </w:rPr>
              <w:t>监测及评价结果</w:t>
            </w:r>
            <w:r>
              <w:rPr>
                <w:rFonts w:hint="eastAsia"/>
                <w:color w:val="000000"/>
                <w:sz w:val="24"/>
              </w:rPr>
              <w:t>详见</w:t>
            </w:r>
            <w:r>
              <w:rPr>
                <w:color w:val="000000"/>
                <w:sz w:val="24"/>
              </w:rPr>
              <w:t>下表。</w:t>
            </w:r>
          </w:p>
          <w:p>
            <w:pPr>
              <w:jc w:val="center"/>
              <w:rPr>
                <w:color w:val="000000"/>
                <w:sz w:val="24"/>
              </w:rPr>
            </w:pPr>
            <w:r>
              <w:rPr>
                <w:color w:val="000000"/>
                <w:sz w:val="24"/>
              </w:rPr>
              <w:t>表</w:t>
            </w:r>
            <w:r>
              <w:rPr>
                <w:rFonts w:hint="eastAsia"/>
                <w:color w:val="000000"/>
                <w:sz w:val="24"/>
              </w:rPr>
              <w:t>25</w:t>
            </w:r>
            <w:r>
              <w:rPr>
                <w:color w:val="000000"/>
                <w:sz w:val="24"/>
              </w:rPr>
              <w:t xml:space="preserve">  监测及评价结果统计一览表</w:t>
            </w:r>
          </w:p>
          <w:tbl>
            <w:tblPr>
              <w:tblW w:w="8888" w:type="dxa"/>
              <w:jc w:val="center"/>
              <w:tblBorders>
                <w:top w:val="single" w:color="000000" w:sz="12" w:space="0"/>
                <w:left w:val="none" w:color="auto" w:sz="0" w:space="0"/>
                <w:bottom w:val="single" w:color="auto" w:sz="12" w:space="0"/>
                <w:right w:val="none" w:color="auto" w:sz="0" w:space="0"/>
                <w:insideH w:val="single" w:color="000000" w:sz="2" w:space="0"/>
                <w:insideV w:val="single" w:color="000000" w:sz="2" w:space="0"/>
              </w:tblBorders>
              <w:tblLayout w:type="fixed"/>
              <w:tblCellMar>
                <w:left w:w="108" w:type="dxa"/>
                <w:right w:w="108" w:type="dxa"/>
              </w:tblCellMar>
            </w:tblPr>
            <w:tblGrid>
              <w:gridCol w:w="652"/>
              <w:gridCol w:w="920"/>
              <w:gridCol w:w="1396"/>
              <w:gridCol w:w="1388"/>
              <w:gridCol w:w="1242"/>
              <w:gridCol w:w="1344"/>
              <w:gridCol w:w="988"/>
              <w:gridCol w:w="958"/>
            </w:tblGrid>
            <w:tr>
              <w:trPr>
                <w:trHeight w:val="284" w:hRule="atLeast"/>
                <w:jc w:val="center"/>
              </w:trPr>
              <w:tc>
                <w:tcPr>
                  <w:tcW w:w="652" w:type="dxa"/>
                  <w:vMerge w:val="restart"/>
                  <w:vAlign w:val="center"/>
                </w:tcPr>
                <w:p>
                  <w:pPr>
                    <w:jc w:val="center"/>
                    <w:rPr>
                      <w:szCs w:val="21"/>
                    </w:rPr>
                  </w:pPr>
                  <w:r>
                    <w:rPr>
                      <w:szCs w:val="21"/>
                    </w:rPr>
                    <w:t>监测点</w:t>
                  </w:r>
                </w:p>
              </w:tc>
              <w:tc>
                <w:tcPr>
                  <w:tcW w:w="920" w:type="dxa"/>
                  <w:vMerge w:val="restart"/>
                  <w:vAlign w:val="center"/>
                </w:tcPr>
                <w:p>
                  <w:pPr>
                    <w:jc w:val="center"/>
                    <w:rPr>
                      <w:szCs w:val="21"/>
                    </w:rPr>
                  </w:pPr>
                  <w:r>
                    <w:rPr>
                      <w:szCs w:val="21"/>
                    </w:rPr>
                    <w:t>污染物</w:t>
                  </w:r>
                </w:p>
              </w:tc>
              <w:tc>
                <w:tcPr>
                  <w:tcW w:w="2784" w:type="dxa"/>
                  <w:gridSpan w:val="2"/>
                  <w:vAlign w:val="center"/>
                </w:tcPr>
                <w:p>
                  <w:pPr>
                    <w:jc w:val="center"/>
                    <w:rPr>
                      <w:szCs w:val="21"/>
                    </w:rPr>
                  </w:pPr>
                  <w:r>
                    <w:rPr>
                      <w:szCs w:val="21"/>
                    </w:rPr>
                    <w:t>评价标准（μg/m</w:t>
                  </w:r>
                  <w:r>
                    <w:rPr>
                      <w:szCs w:val="21"/>
                      <w:vertAlign w:val="superscript"/>
                    </w:rPr>
                    <w:t>3</w:t>
                  </w:r>
                  <w:r>
                    <w:rPr>
                      <w:szCs w:val="21"/>
                    </w:rPr>
                    <w:t>）</w:t>
                  </w:r>
                </w:p>
              </w:tc>
              <w:tc>
                <w:tcPr>
                  <w:tcW w:w="1242" w:type="dxa"/>
                  <w:vMerge w:val="restart"/>
                  <w:vAlign w:val="center"/>
                </w:tcPr>
                <w:p>
                  <w:pPr>
                    <w:jc w:val="center"/>
                    <w:rPr>
                      <w:szCs w:val="21"/>
                    </w:rPr>
                  </w:pPr>
                  <w:r>
                    <w:rPr>
                      <w:szCs w:val="21"/>
                    </w:rPr>
                    <w:t>浓度范围</w:t>
                  </w:r>
                </w:p>
                <w:p>
                  <w:pPr>
                    <w:jc w:val="center"/>
                    <w:rPr>
                      <w:szCs w:val="21"/>
                    </w:rPr>
                  </w:pPr>
                  <w:r>
                    <w:rPr>
                      <w:szCs w:val="21"/>
                    </w:rPr>
                    <w:t>（μg/m</w:t>
                  </w:r>
                  <w:r>
                    <w:rPr>
                      <w:szCs w:val="21"/>
                      <w:vertAlign w:val="superscript"/>
                    </w:rPr>
                    <w:t>3</w:t>
                  </w:r>
                  <w:r>
                    <w:rPr>
                      <w:szCs w:val="21"/>
                    </w:rPr>
                    <w:t>）</w:t>
                  </w:r>
                </w:p>
              </w:tc>
              <w:tc>
                <w:tcPr>
                  <w:tcW w:w="1344" w:type="dxa"/>
                  <w:vMerge w:val="restart"/>
                  <w:vAlign w:val="center"/>
                </w:tcPr>
                <w:p>
                  <w:pPr>
                    <w:jc w:val="center"/>
                    <w:rPr>
                      <w:szCs w:val="21"/>
                    </w:rPr>
                  </w:pPr>
                  <w:r>
                    <w:rPr>
                      <w:szCs w:val="21"/>
                    </w:rPr>
                    <w:t>最大浓度占标率</w:t>
                  </w:r>
                  <w:r>
                    <w:rPr>
                      <w:rFonts w:hint="eastAsia"/>
                      <w:szCs w:val="21"/>
                    </w:rPr>
                    <w:t>（%）</w:t>
                  </w:r>
                </w:p>
              </w:tc>
              <w:tc>
                <w:tcPr>
                  <w:tcW w:w="988" w:type="dxa"/>
                  <w:vMerge w:val="restart"/>
                  <w:vAlign w:val="center"/>
                </w:tcPr>
                <w:p>
                  <w:pPr>
                    <w:jc w:val="center"/>
                    <w:rPr>
                      <w:szCs w:val="21"/>
                    </w:rPr>
                  </w:pPr>
                  <w:r>
                    <w:rPr>
                      <w:szCs w:val="21"/>
                    </w:rPr>
                    <w:t>超标率</w:t>
                  </w:r>
                  <w:r>
                    <w:rPr>
                      <w:rFonts w:hint="eastAsia"/>
                      <w:szCs w:val="21"/>
                    </w:rPr>
                    <w:t>（%）</w:t>
                  </w:r>
                </w:p>
              </w:tc>
              <w:tc>
                <w:tcPr>
                  <w:tcW w:w="958" w:type="dxa"/>
                  <w:vMerge w:val="restart"/>
                  <w:vAlign w:val="center"/>
                </w:tcPr>
                <w:p>
                  <w:pPr>
                    <w:jc w:val="center"/>
                    <w:rPr>
                      <w:szCs w:val="21"/>
                    </w:rPr>
                  </w:pPr>
                  <w:r>
                    <w:rPr>
                      <w:szCs w:val="21"/>
                    </w:rPr>
                    <w:t>达标情况</w:t>
                  </w:r>
                </w:p>
              </w:tc>
            </w:tr>
            <w:tr>
              <w:trPr>
                <w:trHeight w:val="284" w:hRule="atLeast"/>
                <w:jc w:val="center"/>
              </w:trPr>
              <w:tc>
                <w:tcPr>
                  <w:tcW w:w="652" w:type="dxa"/>
                  <w:vMerge w:val="continue"/>
                  <w:vAlign w:val="center"/>
                </w:tcPr>
                <w:p>
                  <w:pPr>
                    <w:jc w:val="center"/>
                    <w:rPr>
                      <w:szCs w:val="21"/>
                    </w:rPr>
                  </w:pPr>
                </w:p>
              </w:tc>
              <w:tc>
                <w:tcPr>
                  <w:tcW w:w="920" w:type="dxa"/>
                  <w:vMerge w:val="continue"/>
                  <w:vAlign w:val="center"/>
                </w:tcPr>
                <w:p>
                  <w:pPr>
                    <w:jc w:val="center"/>
                    <w:rPr>
                      <w:szCs w:val="21"/>
                    </w:rPr>
                  </w:pPr>
                </w:p>
              </w:tc>
              <w:tc>
                <w:tcPr>
                  <w:tcW w:w="1396" w:type="dxa"/>
                  <w:vAlign w:val="center"/>
                </w:tcPr>
                <w:p>
                  <w:pPr>
                    <w:jc w:val="center"/>
                    <w:rPr>
                      <w:szCs w:val="21"/>
                    </w:rPr>
                  </w:pPr>
                  <w:r>
                    <w:rPr>
                      <w:szCs w:val="21"/>
                    </w:rPr>
                    <w:t>平均时间</w:t>
                  </w:r>
                </w:p>
              </w:tc>
              <w:tc>
                <w:tcPr>
                  <w:tcW w:w="1388" w:type="dxa"/>
                  <w:vAlign w:val="center"/>
                </w:tcPr>
                <w:p>
                  <w:pPr>
                    <w:jc w:val="center"/>
                    <w:rPr>
                      <w:szCs w:val="21"/>
                    </w:rPr>
                  </w:pPr>
                  <w:r>
                    <w:rPr>
                      <w:szCs w:val="21"/>
                    </w:rPr>
                    <w:t>浓度限值（μg/m</w:t>
                  </w:r>
                  <w:r>
                    <w:rPr>
                      <w:szCs w:val="21"/>
                      <w:vertAlign w:val="superscript"/>
                    </w:rPr>
                    <w:t>3</w:t>
                  </w:r>
                  <w:r>
                    <w:rPr>
                      <w:szCs w:val="21"/>
                    </w:rPr>
                    <w:t>）</w:t>
                  </w:r>
                </w:p>
              </w:tc>
              <w:tc>
                <w:tcPr>
                  <w:tcW w:w="1242" w:type="dxa"/>
                  <w:vMerge w:val="continue"/>
                  <w:vAlign w:val="center"/>
                </w:tcPr>
                <w:p>
                  <w:pPr>
                    <w:jc w:val="center"/>
                    <w:rPr>
                      <w:szCs w:val="21"/>
                    </w:rPr>
                  </w:pPr>
                </w:p>
              </w:tc>
              <w:tc>
                <w:tcPr>
                  <w:tcW w:w="1344" w:type="dxa"/>
                  <w:vMerge w:val="continue"/>
                  <w:vAlign w:val="center"/>
                </w:tcPr>
                <w:p>
                  <w:pPr>
                    <w:jc w:val="center"/>
                    <w:rPr>
                      <w:szCs w:val="21"/>
                    </w:rPr>
                  </w:pPr>
                </w:p>
              </w:tc>
              <w:tc>
                <w:tcPr>
                  <w:tcW w:w="988" w:type="dxa"/>
                  <w:vMerge w:val="continue"/>
                  <w:vAlign w:val="center"/>
                </w:tcPr>
                <w:p>
                  <w:pPr>
                    <w:jc w:val="center"/>
                    <w:rPr>
                      <w:szCs w:val="21"/>
                    </w:rPr>
                  </w:pPr>
                </w:p>
              </w:tc>
              <w:tc>
                <w:tcPr>
                  <w:tcW w:w="958" w:type="dxa"/>
                  <w:vMerge w:val="continue"/>
                  <w:vAlign w:val="center"/>
                </w:tcPr>
                <w:p>
                  <w:pPr>
                    <w:jc w:val="center"/>
                    <w:rPr>
                      <w:szCs w:val="21"/>
                    </w:rPr>
                  </w:pPr>
                </w:p>
              </w:tc>
            </w:tr>
            <w:tr>
              <w:trPr>
                <w:trHeight w:val="284" w:hRule="atLeast"/>
                <w:jc w:val="center"/>
              </w:trPr>
              <w:tc>
                <w:tcPr>
                  <w:tcW w:w="652" w:type="dxa"/>
                  <w:vMerge w:val="restart"/>
                  <w:vAlign w:val="center"/>
                </w:tcPr>
                <w:p>
                  <w:pPr>
                    <w:jc w:val="center"/>
                    <w:rPr>
                      <w:szCs w:val="21"/>
                    </w:rPr>
                  </w:pPr>
                  <w:r>
                    <w:rPr>
                      <w:szCs w:val="21"/>
                    </w:rPr>
                    <w:t>A1</w:t>
                  </w:r>
                </w:p>
              </w:tc>
              <w:tc>
                <w:tcPr>
                  <w:tcW w:w="920" w:type="dxa"/>
                  <w:vAlign w:val="center"/>
                </w:tcPr>
                <w:p>
                  <w:pPr>
                    <w:jc w:val="center"/>
                    <w:rPr>
                      <w:szCs w:val="21"/>
                    </w:rPr>
                  </w:pPr>
                  <w:r>
                    <w:rPr>
                      <w:szCs w:val="21"/>
                    </w:rPr>
                    <w:t>NO</w:t>
                  </w:r>
                  <w:r>
                    <w:rPr>
                      <w:szCs w:val="21"/>
                      <w:vertAlign w:val="subscript"/>
                    </w:rPr>
                    <w:t>X</w:t>
                  </w:r>
                </w:p>
              </w:tc>
              <w:tc>
                <w:tcPr>
                  <w:tcW w:w="1396" w:type="dxa"/>
                  <w:vAlign w:val="center"/>
                </w:tcPr>
                <w:p>
                  <w:pPr>
                    <w:jc w:val="center"/>
                    <w:rPr>
                      <w:szCs w:val="21"/>
                    </w:rPr>
                  </w:pPr>
                  <w:r>
                    <w:rPr>
                      <w:rFonts w:hint="eastAsia"/>
                      <w:szCs w:val="21"/>
                    </w:rPr>
                    <w:t>日</w:t>
                  </w:r>
                  <w:r>
                    <w:rPr>
                      <w:szCs w:val="21"/>
                    </w:rPr>
                    <w:t>平均</w:t>
                  </w:r>
                </w:p>
              </w:tc>
              <w:tc>
                <w:tcPr>
                  <w:tcW w:w="1388" w:type="dxa"/>
                  <w:vAlign w:val="center"/>
                </w:tcPr>
                <w:p>
                  <w:pPr>
                    <w:jc w:val="center"/>
                    <w:rPr>
                      <w:szCs w:val="21"/>
                    </w:rPr>
                  </w:pPr>
                  <w:r>
                    <w:rPr>
                      <w:rFonts w:hint="eastAsia"/>
                      <w:szCs w:val="21"/>
                    </w:rPr>
                    <w:t>100</w:t>
                  </w:r>
                </w:p>
              </w:tc>
              <w:tc>
                <w:tcPr>
                  <w:tcW w:w="1242" w:type="dxa"/>
                  <w:vAlign w:val="center"/>
                </w:tcPr>
                <w:p>
                  <w:pPr>
                    <w:jc w:val="center"/>
                    <w:rPr>
                      <w:szCs w:val="21"/>
                    </w:rPr>
                  </w:pPr>
                  <w:r>
                    <w:rPr>
                      <w:rFonts w:hint="eastAsia"/>
                      <w:szCs w:val="21"/>
                    </w:rPr>
                    <w:t>9-10</w:t>
                  </w:r>
                </w:p>
              </w:tc>
              <w:tc>
                <w:tcPr>
                  <w:tcW w:w="1344" w:type="dxa"/>
                  <w:vAlign w:val="center"/>
                </w:tcPr>
                <w:p>
                  <w:pPr>
                    <w:jc w:val="center"/>
                    <w:rPr>
                      <w:szCs w:val="21"/>
                    </w:rPr>
                  </w:pPr>
                  <w:r>
                    <w:rPr>
                      <w:rFonts w:hint="eastAsia"/>
                      <w:szCs w:val="21"/>
                    </w:rPr>
                    <w:t>10</w:t>
                  </w:r>
                </w:p>
              </w:tc>
              <w:tc>
                <w:tcPr>
                  <w:tcW w:w="988" w:type="dxa"/>
                  <w:vAlign w:val="center"/>
                </w:tcPr>
                <w:p>
                  <w:pPr>
                    <w:jc w:val="center"/>
                    <w:rPr>
                      <w:szCs w:val="21"/>
                    </w:rPr>
                  </w:pPr>
                  <w:r>
                    <w:rPr>
                      <w:szCs w:val="21"/>
                    </w:rPr>
                    <w:t>0</w:t>
                  </w:r>
                </w:p>
              </w:tc>
              <w:tc>
                <w:tcPr>
                  <w:tcW w:w="958" w:type="dxa"/>
                  <w:vAlign w:val="center"/>
                </w:tcPr>
                <w:p>
                  <w:pPr>
                    <w:jc w:val="center"/>
                    <w:rPr>
                      <w:szCs w:val="21"/>
                    </w:rPr>
                  </w:pPr>
                  <w:r>
                    <w:rPr>
                      <w:szCs w:val="21"/>
                    </w:rPr>
                    <w:t>达标</w:t>
                  </w:r>
                </w:p>
              </w:tc>
            </w:tr>
            <w:tr>
              <w:trPr>
                <w:trHeight w:val="284" w:hRule="atLeast"/>
                <w:jc w:val="center"/>
              </w:trPr>
              <w:tc>
                <w:tcPr>
                  <w:tcW w:w="652" w:type="dxa"/>
                  <w:vMerge w:val="continue"/>
                  <w:vAlign w:val="center"/>
                </w:tcPr>
                <w:p>
                  <w:pPr>
                    <w:jc w:val="center"/>
                    <w:rPr>
                      <w:szCs w:val="21"/>
                    </w:rPr>
                  </w:pPr>
                </w:p>
              </w:tc>
              <w:tc>
                <w:tcPr>
                  <w:tcW w:w="920" w:type="dxa"/>
                  <w:vAlign w:val="center"/>
                </w:tcPr>
                <w:p>
                  <w:pPr>
                    <w:jc w:val="center"/>
                    <w:rPr>
                      <w:szCs w:val="21"/>
                    </w:rPr>
                  </w:pPr>
                  <w:r>
                    <w:rPr>
                      <w:szCs w:val="21"/>
                    </w:rPr>
                    <w:t>NO</w:t>
                  </w:r>
                  <w:r>
                    <w:rPr>
                      <w:szCs w:val="21"/>
                      <w:vertAlign w:val="subscript"/>
                    </w:rPr>
                    <w:t>X</w:t>
                  </w:r>
                </w:p>
              </w:tc>
              <w:tc>
                <w:tcPr>
                  <w:tcW w:w="1396" w:type="dxa"/>
                  <w:vAlign w:val="center"/>
                </w:tcPr>
                <w:p>
                  <w:pPr>
                    <w:jc w:val="center"/>
                    <w:rPr>
                      <w:szCs w:val="21"/>
                    </w:rPr>
                  </w:pPr>
                  <w:r>
                    <w:rPr>
                      <w:rFonts w:hint="eastAsia"/>
                      <w:szCs w:val="21"/>
                    </w:rPr>
                    <w:t>1</w:t>
                  </w:r>
                  <w:r>
                    <w:rPr>
                      <w:szCs w:val="21"/>
                    </w:rPr>
                    <w:t>小时值</w:t>
                  </w:r>
                </w:p>
              </w:tc>
              <w:tc>
                <w:tcPr>
                  <w:tcW w:w="1388" w:type="dxa"/>
                  <w:vAlign w:val="center"/>
                </w:tcPr>
                <w:p>
                  <w:pPr>
                    <w:jc w:val="center"/>
                    <w:rPr>
                      <w:szCs w:val="21"/>
                    </w:rPr>
                  </w:pPr>
                  <w:r>
                    <w:rPr>
                      <w:rFonts w:hint="eastAsia"/>
                      <w:szCs w:val="21"/>
                    </w:rPr>
                    <w:t>250</w:t>
                  </w:r>
                </w:p>
              </w:tc>
              <w:tc>
                <w:tcPr>
                  <w:tcW w:w="1242" w:type="dxa"/>
                  <w:vAlign w:val="center"/>
                </w:tcPr>
                <w:p>
                  <w:pPr>
                    <w:jc w:val="center"/>
                    <w:rPr>
                      <w:szCs w:val="21"/>
                    </w:rPr>
                  </w:pPr>
                  <w:r>
                    <w:rPr>
                      <w:rFonts w:hint="eastAsia"/>
                      <w:szCs w:val="21"/>
                    </w:rPr>
                    <w:t>8-11</w:t>
                  </w:r>
                </w:p>
              </w:tc>
              <w:tc>
                <w:tcPr>
                  <w:tcW w:w="1344" w:type="dxa"/>
                  <w:vAlign w:val="center"/>
                </w:tcPr>
                <w:p>
                  <w:pPr>
                    <w:jc w:val="center"/>
                    <w:rPr>
                      <w:szCs w:val="21"/>
                    </w:rPr>
                  </w:pPr>
                  <w:r>
                    <w:rPr>
                      <w:rFonts w:hint="eastAsia"/>
                      <w:szCs w:val="21"/>
                    </w:rPr>
                    <w:t>4.4</w:t>
                  </w:r>
                </w:p>
              </w:tc>
              <w:tc>
                <w:tcPr>
                  <w:tcW w:w="988" w:type="dxa"/>
                  <w:vAlign w:val="center"/>
                </w:tcPr>
                <w:p>
                  <w:pPr>
                    <w:jc w:val="center"/>
                    <w:rPr>
                      <w:szCs w:val="21"/>
                    </w:rPr>
                  </w:pPr>
                  <w:r>
                    <w:rPr>
                      <w:szCs w:val="21"/>
                    </w:rPr>
                    <w:t>0</w:t>
                  </w:r>
                </w:p>
              </w:tc>
              <w:tc>
                <w:tcPr>
                  <w:tcW w:w="958" w:type="dxa"/>
                  <w:vAlign w:val="center"/>
                </w:tcPr>
                <w:p>
                  <w:pPr>
                    <w:jc w:val="center"/>
                    <w:rPr>
                      <w:szCs w:val="21"/>
                    </w:rPr>
                  </w:pPr>
                  <w:r>
                    <w:rPr>
                      <w:szCs w:val="21"/>
                    </w:rPr>
                    <w:t>达标</w:t>
                  </w:r>
                </w:p>
              </w:tc>
            </w:tr>
          </w:tbl>
          <w:p>
            <w:pPr>
              <w:spacing w:line="360" w:lineRule="auto"/>
              <w:ind w:firstLine="480" w:firstLineChars="200"/>
              <w:rPr>
                <w:kern w:val="0"/>
                <w:sz w:val="24"/>
              </w:rPr>
            </w:pPr>
            <w:r>
              <w:rPr>
                <w:color w:val="000000"/>
                <w:sz w:val="24"/>
              </w:rPr>
              <w:t>由上面内容可以看出，评价区内特征监测因子</w:t>
            </w:r>
            <w:r>
              <w:rPr>
                <w:rFonts w:hint="eastAsia"/>
                <w:color w:val="000000"/>
                <w:sz w:val="24"/>
              </w:rPr>
              <w:t>氮氧化物</w:t>
            </w:r>
            <w:r>
              <w:rPr>
                <w:color w:val="000000"/>
                <w:sz w:val="24"/>
              </w:rPr>
              <w:t>满足《环境空气质量标准》（GB3095-20</w:t>
            </w:r>
            <w:r>
              <w:rPr>
                <w:rFonts w:hint="eastAsia"/>
                <w:color w:val="000000"/>
                <w:sz w:val="24"/>
              </w:rPr>
              <w:t>26</w:t>
            </w:r>
            <w:r>
              <w:rPr>
                <w:color w:val="000000"/>
                <w:sz w:val="24"/>
              </w:rPr>
              <w:t>）的</w:t>
            </w:r>
            <w:r>
              <w:rPr>
                <w:rFonts w:hint="eastAsia"/>
                <w:color w:val="000000"/>
                <w:sz w:val="24"/>
              </w:rPr>
              <w:t>过渡阶段</w:t>
            </w:r>
            <w:r>
              <w:rPr>
                <w:color w:val="000000"/>
                <w:sz w:val="24"/>
              </w:rPr>
              <w:t>二级标准</w:t>
            </w:r>
            <w:r>
              <w:rPr>
                <w:rFonts w:hint="eastAsia"/>
                <w:color w:val="000000"/>
                <w:sz w:val="24"/>
              </w:rPr>
              <w:t>限值</w:t>
            </w:r>
            <w:r>
              <w:rPr>
                <w:color w:val="000000"/>
                <w:sz w:val="24"/>
              </w:rPr>
              <w:t>，</w:t>
            </w:r>
            <w:r>
              <w:rPr>
                <w:bCs/>
                <w:color w:val="000000"/>
                <w:sz w:val="24"/>
              </w:rPr>
              <w:t>说明评价区域的环境空气质量良好。</w:t>
            </w:r>
          </w:p>
          <w:p>
            <w:pPr>
              <w:adjustRightInd w:val="0"/>
              <w:snapToGrid w:val="0"/>
              <w:spacing w:line="360" w:lineRule="auto"/>
              <w:ind w:firstLine="482" w:firstLineChars="200"/>
              <w:rPr>
                <w:b/>
                <w:bCs/>
                <w:sz w:val="24"/>
              </w:rPr>
            </w:pPr>
            <w:r>
              <w:rPr>
                <w:b/>
                <w:bCs/>
                <w:sz w:val="24"/>
              </w:rPr>
              <w:t>2、地表水环境质量现状</w:t>
            </w:r>
          </w:p>
          <w:p>
            <w:pPr>
              <w:spacing w:line="360" w:lineRule="auto"/>
              <w:ind w:firstLine="480" w:firstLineChars="200"/>
              <w:rPr>
                <w:kern w:val="0"/>
                <w:sz w:val="24"/>
              </w:rPr>
            </w:pPr>
            <w:r>
              <w:rPr>
                <w:kern w:val="0"/>
                <w:sz w:val="24"/>
              </w:rPr>
              <w:t>根据《建设项目环境影响报告表编制技术指南（污染影响类）（试行）》，地表水环境现状监测</w:t>
            </w:r>
            <w:r>
              <w:rPr>
                <w:rFonts w:hint="eastAsia"/>
                <w:kern w:val="0"/>
                <w:sz w:val="24"/>
              </w:rPr>
              <w:t>“</w:t>
            </w:r>
            <w:r>
              <w:rPr>
                <w:kern w:val="0"/>
                <w:sz w:val="24"/>
              </w:rPr>
              <w:t>引用与建设项目距离近的有效数据，包括近3年的规划环境影响评价的监测数据，所在流域控制单元内国家、地方控制断面监测数据，生态环境主管部门发布的水环境质量数据或地表水达标情况的结论</w:t>
            </w:r>
            <w:r>
              <w:rPr>
                <w:rFonts w:hint="eastAsia"/>
                <w:kern w:val="0"/>
                <w:sz w:val="24"/>
              </w:rPr>
              <w:t>”</w:t>
            </w:r>
            <w:r>
              <w:rPr>
                <w:kern w:val="0"/>
                <w:sz w:val="24"/>
              </w:rPr>
              <w:t>。</w:t>
            </w:r>
          </w:p>
          <w:p>
            <w:pPr>
              <w:widowControl/>
              <w:adjustRightInd w:val="0"/>
              <w:snapToGrid w:val="0"/>
              <w:spacing w:line="360" w:lineRule="auto"/>
              <w:ind w:firstLine="480" w:firstLineChars="200"/>
              <w:rPr>
                <w:sz w:val="24"/>
              </w:rPr>
            </w:pPr>
            <w:r>
              <w:rPr>
                <w:sz w:val="24"/>
              </w:rPr>
              <w:t>本项目</w:t>
            </w:r>
            <w:r>
              <w:rPr>
                <w:rFonts w:hint="eastAsia"/>
                <w:sz w:val="24"/>
              </w:rPr>
              <w:t>最近地表水体为一统河，位于本项目南侧135m；本项目废水主要为锅炉排污水，锅炉排污水属于清洁下水用于厂区地面洒水降尘，不外排，对地表水影响较小</w:t>
            </w:r>
            <w:r>
              <w:rPr>
                <w:sz w:val="24"/>
              </w:rPr>
              <w:t>。根据吉林省生态环境厅发布的202</w:t>
            </w:r>
            <w:r>
              <w:rPr>
                <w:rFonts w:hint="eastAsia"/>
                <w:sz w:val="24"/>
              </w:rPr>
              <w:t>5</w:t>
            </w:r>
            <w:r>
              <w:rPr>
                <w:sz w:val="24"/>
              </w:rPr>
              <w:t>年</w:t>
            </w:r>
            <w:r>
              <w:rPr>
                <w:rFonts w:hint="eastAsia"/>
                <w:sz w:val="24"/>
              </w:rPr>
              <w:t>4</w:t>
            </w:r>
            <w:r>
              <w:rPr>
                <w:sz w:val="24"/>
              </w:rPr>
              <w:t>月</w:t>
            </w:r>
            <w:r>
              <w:rPr>
                <w:rFonts w:hint="eastAsia"/>
                <w:sz w:val="24"/>
              </w:rPr>
              <w:t>-2026年3月</w:t>
            </w:r>
            <w:r>
              <w:rPr>
                <w:sz w:val="24"/>
              </w:rPr>
              <w:t>吉林省</w:t>
            </w:r>
            <w:r>
              <w:rPr>
                <w:rFonts w:hint="eastAsia"/>
                <w:sz w:val="24"/>
              </w:rPr>
              <w:t>地表水</w:t>
            </w:r>
            <w:r>
              <w:rPr>
                <w:sz w:val="24"/>
              </w:rPr>
              <w:t>国控断面水质月报，</w:t>
            </w:r>
            <w:r>
              <w:rPr>
                <w:rFonts w:hint="eastAsia"/>
                <w:sz w:val="24"/>
              </w:rPr>
              <w:t>一统河</w:t>
            </w:r>
            <w:r>
              <w:rPr>
                <w:sz w:val="24"/>
              </w:rPr>
              <w:t>水环境质量均能满足《地表水环境质量标准》（GB3838-2002）中的Ⅲ类标准要求。</w:t>
            </w:r>
            <w:r>
              <w:rPr>
                <w:bCs/>
                <w:sz w:val="24"/>
              </w:rPr>
              <w:t>详见下表。</w:t>
            </w:r>
          </w:p>
          <w:p>
            <w:pPr>
              <w:jc w:val="center"/>
              <w:rPr>
                <w:color w:val="000000"/>
                <w:sz w:val="24"/>
              </w:rPr>
            </w:pPr>
            <w:r>
              <w:rPr>
                <w:color w:val="000000"/>
                <w:sz w:val="24"/>
              </w:rPr>
              <w:t>表</w:t>
            </w:r>
            <w:r>
              <w:rPr>
                <w:rFonts w:hint="eastAsia"/>
                <w:color w:val="000000"/>
                <w:sz w:val="24"/>
              </w:rPr>
              <w:t>26</w:t>
            </w:r>
            <w:r>
              <w:rPr>
                <w:color w:val="000000"/>
                <w:sz w:val="24"/>
              </w:rPr>
              <w:t xml:space="preserve">  202</w:t>
            </w:r>
            <w:r>
              <w:rPr>
                <w:rFonts w:hint="eastAsia"/>
                <w:color w:val="000000"/>
                <w:sz w:val="24"/>
              </w:rPr>
              <w:t>5</w:t>
            </w:r>
            <w:r>
              <w:rPr>
                <w:color w:val="000000"/>
                <w:sz w:val="24"/>
              </w:rPr>
              <w:t>年</w:t>
            </w:r>
            <w:r>
              <w:rPr>
                <w:rFonts w:hint="eastAsia"/>
                <w:color w:val="000000"/>
                <w:sz w:val="24"/>
              </w:rPr>
              <w:t>4</w:t>
            </w:r>
            <w:r>
              <w:rPr>
                <w:color w:val="000000"/>
                <w:sz w:val="24"/>
              </w:rPr>
              <w:t>月</w:t>
            </w:r>
            <w:r>
              <w:rPr>
                <w:rFonts w:hint="eastAsia"/>
                <w:color w:val="000000"/>
                <w:sz w:val="24"/>
              </w:rPr>
              <w:t>-2026年3月</w:t>
            </w:r>
            <w:r>
              <w:rPr>
                <w:color w:val="000000"/>
                <w:sz w:val="24"/>
              </w:rPr>
              <w:t>国控断面水质表</w:t>
            </w:r>
          </w:p>
          <w:tbl>
            <w:tblPr>
              <w:tblW w:w="8883" w:type="dxa"/>
              <w:jc w:val="center"/>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Layout w:type="fixed"/>
              <w:tblCellMar>
                <w:left w:w="108" w:type="dxa"/>
                <w:right w:w="108" w:type="dxa"/>
              </w:tblCellMar>
            </w:tblPr>
            <w:tblGrid>
              <w:gridCol w:w="822"/>
              <w:gridCol w:w="728"/>
              <w:gridCol w:w="1017"/>
              <w:gridCol w:w="535"/>
              <w:gridCol w:w="480"/>
              <w:gridCol w:w="515"/>
              <w:gridCol w:w="524"/>
              <w:gridCol w:w="540"/>
              <w:gridCol w:w="515"/>
              <w:gridCol w:w="515"/>
              <w:gridCol w:w="515"/>
              <w:gridCol w:w="503"/>
              <w:gridCol w:w="537"/>
              <w:gridCol w:w="563"/>
              <w:gridCol w:w="574"/>
            </w:tblGrid>
            <w:tr>
              <w:trPr>
                <w:cantSplit/>
                <w:trHeight w:val="340" w:hRule="atLeast"/>
                <w:jc w:val="center"/>
              </w:trPr>
              <w:tc>
                <w:tcPr>
                  <w:tcW w:w="822" w:type="dxa"/>
                  <w:vMerge w:val="restart"/>
                  <w:vAlign w:val="center"/>
                </w:tcPr>
                <w:p>
                  <w:pPr>
                    <w:pStyle w:val="40"/>
                    <w:adjustRightInd w:val="0"/>
                    <w:snapToGrid w:val="0"/>
                    <w:rPr>
                      <w:color w:val="000000"/>
                      <w:sz w:val="21"/>
                      <w:szCs w:val="21"/>
                    </w:rPr>
                  </w:pPr>
                  <w:r>
                    <w:rPr>
                      <w:color w:val="000000"/>
                      <w:sz w:val="21"/>
                      <w:szCs w:val="21"/>
                    </w:rPr>
                    <w:t>所属城市</w:t>
                  </w:r>
                </w:p>
              </w:tc>
              <w:tc>
                <w:tcPr>
                  <w:tcW w:w="728" w:type="dxa"/>
                  <w:vMerge w:val="restart"/>
                  <w:vAlign w:val="center"/>
                </w:tcPr>
                <w:p>
                  <w:pPr>
                    <w:pStyle w:val="40"/>
                    <w:adjustRightInd w:val="0"/>
                    <w:snapToGrid w:val="0"/>
                    <w:rPr>
                      <w:color w:val="000000"/>
                      <w:sz w:val="21"/>
                      <w:szCs w:val="21"/>
                    </w:rPr>
                  </w:pPr>
                  <w:r>
                    <w:rPr>
                      <w:color w:val="000000"/>
                      <w:sz w:val="21"/>
                      <w:szCs w:val="21"/>
                    </w:rPr>
                    <w:t>江河名称</w:t>
                  </w:r>
                </w:p>
              </w:tc>
              <w:tc>
                <w:tcPr>
                  <w:tcW w:w="1017" w:type="dxa"/>
                  <w:vMerge w:val="restart"/>
                  <w:vAlign w:val="center"/>
                </w:tcPr>
                <w:p>
                  <w:pPr>
                    <w:pStyle w:val="40"/>
                    <w:adjustRightInd w:val="0"/>
                    <w:snapToGrid w:val="0"/>
                    <w:rPr>
                      <w:color w:val="000000"/>
                      <w:sz w:val="21"/>
                      <w:szCs w:val="21"/>
                    </w:rPr>
                  </w:pPr>
                  <w:r>
                    <w:rPr>
                      <w:color w:val="000000"/>
                      <w:sz w:val="21"/>
                      <w:szCs w:val="21"/>
                    </w:rPr>
                    <w:t>断面名称</w:t>
                  </w:r>
                </w:p>
              </w:tc>
              <w:tc>
                <w:tcPr>
                  <w:tcW w:w="6316" w:type="dxa"/>
                  <w:gridSpan w:val="12"/>
                  <w:vAlign w:val="center"/>
                </w:tcPr>
                <w:p>
                  <w:pPr>
                    <w:pStyle w:val="40"/>
                    <w:adjustRightInd w:val="0"/>
                    <w:snapToGrid w:val="0"/>
                    <w:rPr>
                      <w:color w:val="000000"/>
                      <w:sz w:val="21"/>
                      <w:szCs w:val="21"/>
                    </w:rPr>
                  </w:pPr>
                  <w:r>
                    <w:rPr>
                      <w:color w:val="000000"/>
                      <w:sz w:val="21"/>
                      <w:szCs w:val="21"/>
                    </w:rPr>
                    <w:t>水质类别</w:t>
                  </w:r>
                </w:p>
              </w:tc>
            </w:tr>
            <w:tr>
              <w:trPr>
                <w:cantSplit/>
                <w:trHeight w:val="340" w:hRule="atLeast"/>
                <w:jc w:val="center"/>
              </w:trPr>
              <w:tc>
                <w:tcPr>
                  <w:tcW w:w="822" w:type="dxa"/>
                  <w:vMerge w:val="continue"/>
                  <w:vAlign w:val="center"/>
                </w:tcPr>
                <w:p>
                  <w:pPr>
                    <w:pStyle w:val="40"/>
                    <w:adjustRightInd w:val="0"/>
                    <w:snapToGrid w:val="0"/>
                    <w:rPr>
                      <w:color w:val="000000"/>
                      <w:sz w:val="21"/>
                      <w:szCs w:val="21"/>
                    </w:rPr>
                  </w:pPr>
                </w:p>
              </w:tc>
              <w:tc>
                <w:tcPr>
                  <w:tcW w:w="728" w:type="dxa"/>
                  <w:vMerge w:val="continue"/>
                  <w:vAlign w:val="center"/>
                </w:tcPr>
                <w:p>
                  <w:pPr>
                    <w:pStyle w:val="40"/>
                    <w:adjustRightInd w:val="0"/>
                    <w:snapToGrid w:val="0"/>
                    <w:rPr>
                      <w:color w:val="000000"/>
                      <w:sz w:val="21"/>
                      <w:szCs w:val="21"/>
                    </w:rPr>
                  </w:pPr>
                </w:p>
              </w:tc>
              <w:tc>
                <w:tcPr>
                  <w:tcW w:w="1017" w:type="dxa"/>
                  <w:vMerge w:val="continue"/>
                  <w:vAlign w:val="center"/>
                </w:tcPr>
                <w:p>
                  <w:pPr>
                    <w:pStyle w:val="40"/>
                    <w:adjustRightInd w:val="0"/>
                    <w:snapToGrid w:val="0"/>
                    <w:rPr>
                      <w:color w:val="000000"/>
                      <w:sz w:val="21"/>
                      <w:szCs w:val="21"/>
                    </w:rPr>
                  </w:pPr>
                </w:p>
              </w:tc>
              <w:tc>
                <w:tcPr>
                  <w:tcW w:w="535" w:type="dxa"/>
                  <w:vAlign w:val="center"/>
                </w:tcPr>
                <w:p>
                  <w:pPr>
                    <w:pStyle w:val="40"/>
                    <w:adjustRightInd w:val="0"/>
                    <w:snapToGrid w:val="0"/>
                    <w:rPr>
                      <w:color w:val="000000"/>
                      <w:sz w:val="21"/>
                      <w:szCs w:val="21"/>
                    </w:rPr>
                  </w:pPr>
                  <w:r>
                    <w:rPr>
                      <w:color w:val="000000"/>
                      <w:sz w:val="21"/>
                      <w:szCs w:val="21"/>
                    </w:rPr>
                    <w:t>4月</w:t>
                  </w:r>
                </w:p>
              </w:tc>
              <w:tc>
                <w:tcPr>
                  <w:tcW w:w="480" w:type="dxa"/>
                  <w:vAlign w:val="center"/>
                </w:tcPr>
                <w:p>
                  <w:pPr>
                    <w:pStyle w:val="40"/>
                    <w:adjustRightInd w:val="0"/>
                    <w:snapToGrid w:val="0"/>
                    <w:rPr>
                      <w:color w:val="000000"/>
                      <w:sz w:val="21"/>
                      <w:szCs w:val="21"/>
                    </w:rPr>
                  </w:pPr>
                  <w:r>
                    <w:rPr>
                      <w:color w:val="000000"/>
                      <w:sz w:val="21"/>
                      <w:szCs w:val="21"/>
                    </w:rPr>
                    <w:t>5月</w:t>
                  </w:r>
                </w:p>
              </w:tc>
              <w:tc>
                <w:tcPr>
                  <w:tcW w:w="515" w:type="dxa"/>
                  <w:vAlign w:val="center"/>
                </w:tcPr>
                <w:p>
                  <w:pPr>
                    <w:pStyle w:val="40"/>
                    <w:adjustRightInd w:val="0"/>
                    <w:snapToGrid w:val="0"/>
                    <w:rPr>
                      <w:color w:val="000000"/>
                      <w:sz w:val="21"/>
                      <w:szCs w:val="21"/>
                    </w:rPr>
                  </w:pPr>
                  <w:r>
                    <w:rPr>
                      <w:color w:val="000000"/>
                      <w:sz w:val="21"/>
                      <w:szCs w:val="21"/>
                    </w:rPr>
                    <w:t>6月</w:t>
                  </w:r>
                </w:p>
              </w:tc>
              <w:tc>
                <w:tcPr>
                  <w:tcW w:w="524" w:type="dxa"/>
                  <w:vAlign w:val="center"/>
                </w:tcPr>
                <w:p>
                  <w:pPr>
                    <w:pStyle w:val="40"/>
                    <w:adjustRightInd w:val="0"/>
                    <w:snapToGrid w:val="0"/>
                    <w:rPr>
                      <w:color w:val="000000"/>
                      <w:sz w:val="21"/>
                      <w:szCs w:val="21"/>
                    </w:rPr>
                  </w:pPr>
                  <w:r>
                    <w:rPr>
                      <w:color w:val="000000"/>
                      <w:sz w:val="21"/>
                      <w:szCs w:val="21"/>
                    </w:rPr>
                    <w:t>7月</w:t>
                  </w:r>
                </w:p>
              </w:tc>
              <w:tc>
                <w:tcPr>
                  <w:tcW w:w="540" w:type="dxa"/>
                  <w:vAlign w:val="center"/>
                </w:tcPr>
                <w:p>
                  <w:pPr>
                    <w:pStyle w:val="40"/>
                    <w:adjustRightInd w:val="0"/>
                    <w:snapToGrid w:val="0"/>
                    <w:rPr>
                      <w:color w:val="000000"/>
                      <w:sz w:val="21"/>
                      <w:szCs w:val="21"/>
                    </w:rPr>
                  </w:pPr>
                  <w:r>
                    <w:rPr>
                      <w:color w:val="000000"/>
                      <w:sz w:val="21"/>
                      <w:szCs w:val="21"/>
                    </w:rPr>
                    <w:t>8月</w:t>
                  </w:r>
                </w:p>
              </w:tc>
              <w:tc>
                <w:tcPr>
                  <w:tcW w:w="515" w:type="dxa"/>
                  <w:vAlign w:val="center"/>
                </w:tcPr>
                <w:p>
                  <w:pPr>
                    <w:pStyle w:val="40"/>
                    <w:adjustRightInd w:val="0"/>
                    <w:snapToGrid w:val="0"/>
                    <w:rPr>
                      <w:color w:val="000000"/>
                      <w:sz w:val="21"/>
                      <w:szCs w:val="21"/>
                    </w:rPr>
                  </w:pPr>
                  <w:r>
                    <w:rPr>
                      <w:color w:val="000000"/>
                      <w:sz w:val="21"/>
                      <w:szCs w:val="21"/>
                    </w:rPr>
                    <w:t>9月</w:t>
                  </w:r>
                </w:p>
              </w:tc>
              <w:tc>
                <w:tcPr>
                  <w:tcW w:w="515" w:type="dxa"/>
                  <w:vAlign w:val="center"/>
                </w:tcPr>
                <w:p>
                  <w:pPr>
                    <w:pStyle w:val="40"/>
                    <w:adjustRightInd w:val="0"/>
                    <w:snapToGrid w:val="0"/>
                    <w:rPr>
                      <w:color w:val="000000"/>
                      <w:sz w:val="21"/>
                      <w:szCs w:val="21"/>
                    </w:rPr>
                  </w:pPr>
                  <w:r>
                    <w:rPr>
                      <w:color w:val="000000"/>
                      <w:sz w:val="21"/>
                      <w:szCs w:val="21"/>
                    </w:rPr>
                    <w:t>10月</w:t>
                  </w:r>
                </w:p>
              </w:tc>
              <w:tc>
                <w:tcPr>
                  <w:tcW w:w="515" w:type="dxa"/>
                  <w:vAlign w:val="center"/>
                </w:tcPr>
                <w:p>
                  <w:pPr>
                    <w:pStyle w:val="40"/>
                    <w:adjustRightInd w:val="0"/>
                    <w:snapToGrid w:val="0"/>
                    <w:rPr>
                      <w:color w:val="000000"/>
                      <w:sz w:val="21"/>
                      <w:szCs w:val="21"/>
                    </w:rPr>
                  </w:pPr>
                  <w:r>
                    <w:rPr>
                      <w:color w:val="000000"/>
                      <w:sz w:val="21"/>
                      <w:szCs w:val="21"/>
                    </w:rPr>
                    <w:t>11月</w:t>
                  </w:r>
                </w:p>
              </w:tc>
              <w:tc>
                <w:tcPr>
                  <w:tcW w:w="503" w:type="dxa"/>
                  <w:vAlign w:val="center"/>
                </w:tcPr>
                <w:p>
                  <w:pPr>
                    <w:pStyle w:val="40"/>
                    <w:adjustRightInd w:val="0"/>
                    <w:snapToGrid w:val="0"/>
                    <w:rPr>
                      <w:color w:val="000000"/>
                      <w:sz w:val="21"/>
                      <w:szCs w:val="21"/>
                    </w:rPr>
                  </w:pPr>
                  <w:r>
                    <w:rPr>
                      <w:color w:val="000000"/>
                      <w:sz w:val="21"/>
                      <w:szCs w:val="21"/>
                    </w:rPr>
                    <w:t>12月</w:t>
                  </w:r>
                </w:p>
              </w:tc>
              <w:tc>
                <w:tcPr>
                  <w:tcW w:w="537" w:type="dxa"/>
                  <w:vAlign w:val="center"/>
                </w:tcPr>
                <w:p>
                  <w:pPr>
                    <w:pStyle w:val="40"/>
                    <w:adjustRightInd w:val="0"/>
                    <w:snapToGrid w:val="0"/>
                    <w:rPr>
                      <w:color w:val="000000"/>
                      <w:sz w:val="21"/>
                      <w:szCs w:val="21"/>
                    </w:rPr>
                  </w:pPr>
                  <w:r>
                    <w:rPr>
                      <w:color w:val="000000"/>
                      <w:sz w:val="21"/>
                      <w:szCs w:val="21"/>
                    </w:rPr>
                    <w:t>1月</w:t>
                  </w:r>
                </w:p>
              </w:tc>
              <w:tc>
                <w:tcPr>
                  <w:tcW w:w="563" w:type="dxa"/>
                  <w:vAlign w:val="center"/>
                </w:tcPr>
                <w:p>
                  <w:pPr>
                    <w:pStyle w:val="40"/>
                    <w:adjustRightInd w:val="0"/>
                    <w:snapToGrid w:val="0"/>
                    <w:rPr>
                      <w:color w:val="000000"/>
                      <w:sz w:val="21"/>
                      <w:szCs w:val="21"/>
                    </w:rPr>
                  </w:pPr>
                  <w:r>
                    <w:rPr>
                      <w:color w:val="000000"/>
                      <w:sz w:val="21"/>
                      <w:szCs w:val="21"/>
                    </w:rPr>
                    <w:t>2月</w:t>
                  </w:r>
                </w:p>
              </w:tc>
              <w:tc>
                <w:tcPr>
                  <w:tcW w:w="574" w:type="dxa"/>
                  <w:vAlign w:val="center"/>
                </w:tcPr>
                <w:p>
                  <w:pPr>
                    <w:pStyle w:val="40"/>
                    <w:adjustRightInd w:val="0"/>
                    <w:snapToGrid w:val="0"/>
                    <w:rPr>
                      <w:color w:val="000000"/>
                      <w:sz w:val="21"/>
                      <w:szCs w:val="21"/>
                    </w:rPr>
                  </w:pPr>
                  <w:r>
                    <w:rPr>
                      <w:color w:val="000000"/>
                      <w:sz w:val="21"/>
                      <w:szCs w:val="21"/>
                    </w:rPr>
                    <w:t>3月</w:t>
                  </w:r>
                </w:p>
              </w:tc>
            </w:tr>
            <w:tr>
              <w:trPr>
                <w:cantSplit/>
                <w:trHeight w:val="533" w:hRule="atLeast"/>
                <w:jc w:val="center"/>
              </w:trPr>
              <w:tc>
                <w:tcPr>
                  <w:tcW w:w="822" w:type="dxa"/>
                  <w:vMerge w:val="restart"/>
                  <w:vAlign w:val="center"/>
                </w:tcPr>
                <w:p>
                  <w:pPr>
                    <w:pStyle w:val="40"/>
                    <w:adjustRightInd w:val="0"/>
                    <w:snapToGrid w:val="0"/>
                    <w:rPr>
                      <w:color w:val="000000"/>
                      <w:sz w:val="21"/>
                      <w:szCs w:val="21"/>
                    </w:rPr>
                  </w:pPr>
                  <w:r>
                    <w:rPr>
                      <w:color w:val="000000"/>
                      <w:sz w:val="21"/>
                      <w:szCs w:val="21"/>
                    </w:rPr>
                    <w:t>通化市</w:t>
                  </w:r>
                </w:p>
              </w:tc>
              <w:tc>
                <w:tcPr>
                  <w:tcW w:w="728" w:type="dxa"/>
                  <w:vMerge w:val="restart"/>
                  <w:vAlign w:val="center"/>
                </w:tcPr>
                <w:p>
                  <w:pPr>
                    <w:pStyle w:val="40"/>
                    <w:adjustRightInd w:val="0"/>
                    <w:snapToGrid w:val="0"/>
                    <w:rPr>
                      <w:color w:val="000000"/>
                      <w:sz w:val="21"/>
                      <w:szCs w:val="21"/>
                    </w:rPr>
                  </w:pPr>
                  <w:r>
                    <w:rPr>
                      <w:color w:val="000000"/>
                      <w:sz w:val="21"/>
                      <w:szCs w:val="21"/>
                    </w:rPr>
                    <w:t>一统河</w:t>
                  </w:r>
                </w:p>
              </w:tc>
              <w:tc>
                <w:tcPr>
                  <w:tcW w:w="1017" w:type="dxa"/>
                  <w:vAlign w:val="center"/>
                </w:tcPr>
                <w:p>
                  <w:pPr>
                    <w:pStyle w:val="40"/>
                    <w:adjustRightInd w:val="0"/>
                    <w:snapToGrid w:val="0"/>
                    <w:rPr>
                      <w:color w:val="000000"/>
                      <w:sz w:val="21"/>
                      <w:szCs w:val="21"/>
                    </w:rPr>
                  </w:pPr>
                  <w:r>
                    <w:rPr>
                      <w:color w:val="000000"/>
                      <w:sz w:val="21"/>
                      <w:szCs w:val="21"/>
                    </w:rPr>
                    <w:t>大迫子</w:t>
                  </w:r>
                </w:p>
              </w:tc>
              <w:tc>
                <w:tcPr>
                  <w:tcW w:w="535" w:type="dxa"/>
                  <w:vAlign w:val="center"/>
                </w:tcPr>
                <w:p>
                  <w:pPr>
                    <w:adjustRightInd w:val="0"/>
                    <w:snapToGrid w:val="0"/>
                    <w:jc w:val="center"/>
                    <w:rPr>
                      <w:color w:val="000000"/>
                      <w:szCs w:val="21"/>
                    </w:rPr>
                  </w:pPr>
                  <w:r>
                    <w:rPr>
                      <w:color w:val="000000"/>
                      <w:szCs w:val="21"/>
                    </w:rPr>
                    <w:t>Ⅱ</w:t>
                  </w:r>
                </w:p>
              </w:tc>
              <w:tc>
                <w:tcPr>
                  <w:tcW w:w="480" w:type="dxa"/>
                  <w:vAlign w:val="center"/>
                </w:tcPr>
                <w:p>
                  <w:pPr>
                    <w:adjustRightInd w:val="0"/>
                    <w:snapToGrid w:val="0"/>
                    <w:jc w:val="center"/>
                    <w:rPr>
                      <w:color w:val="000000"/>
                      <w:szCs w:val="21"/>
                    </w:rPr>
                  </w:pPr>
                  <w:r>
                    <w:rPr>
                      <w:color w:val="000000"/>
                      <w:szCs w:val="21"/>
                    </w:rPr>
                    <w:t>Ⅱ</w:t>
                  </w:r>
                </w:p>
              </w:tc>
              <w:tc>
                <w:tcPr>
                  <w:tcW w:w="515" w:type="dxa"/>
                  <w:vAlign w:val="center"/>
                </w:tcPr>
                <w:p>
                  <w:pPr>
                    <w:adjustRightInd w:val="0"/>
                    <w:snapToGrid w:val="0"/>
                    <w:jc w:val="center"/>
                    <w:rPr>
                      <w:color w:val="000000"/>
                      <w:szCs w:val="21"/>
                    </w:rPr>
                  </w:pPr>
                  <w:r>
                    <w:rPr>
                      <w:color w:val="000000"/>
                      <w:szCs w:val="21"/>
                    </w:rPr>
                    <w:t>Ⅱ</w:t>
                  </w:r>
                </w:p>
              </w:tc>
              <w:tc>
                <w:tcPr>
                  <w:tcW w:w="524" w:type="dxa"/>
                  <w:vAlign w:val="center"/>
                </w:tcPr>
                <w:p>
                  <w:pPr>
                    <w:adjustRightInd w:val="0"/>
                    <w:snapToGrid w:val="0"/>
                    <w:jc w:val="center"/>
                    <w:rPr>
                      <w:color w:val="000000"/>
                      <w:szCs w:val="21"/>
                    </w:rPr>
                  </w:pPr>
                  <w:r>
                    <w:rPr>
                      <w:color w:val="000000"/>
                      <w:szCs w:val="21"/>
                    </w:rPr>
                    <w:t>Ⅲ</w:t>
                  </w:r>
                </w:p>
              </w:tc>
              <w:tc>
                <w:tcPr>
                  <w:tcW w:w="540" w:type="dxa"/>
                  <w:vAlign w:val="center"/>
                </w:tcPr>
                <w:p>
                  <w:pPr>
                    <w:adjustRightInd w:val="0"/>
                    <w:snapToGrid w:val="0"/>
                    <w:jc w:val="center"/>
                    <w:rPr>
                      <w:color w:val="000000"/>
                      <w:szCs w:val="21"/>
                    </w:rPr>
                  </w:pPr>
                  <w:r>
                    <w:rPr>
                      <w:color w:val="000000"/>
                      <w:szCs w:val="21"/>
                    </w:rPr>
                    <w:t>Ⅲ</w:t>
                  </w:r>
                </w:p>
              </w:tc>
              <w:tc>
                <w:tcPr>
                  <w:tcW w:w="515" w:type="dxa"/>
                  <w:vAlign w:val="center"/>
                </w:tcPr>
                <w:p>
                  <w:pPr>
                    <w:adjustRightInd w:val="0"/>
                    <w:snapToGrid w:val="0"/>
                    <w:jc w:val="center"/>
                    <w:rPr>
                      <w:color w:val="000000"/>
                      <w:szCs w:val="21"/>
                    </w:rPr>
                  </w:pPr>
                  <w:r>
                    <w:rPr>
                      <w:color w:val="000000"/>
                      <w:szCs w:val="21"/>
                    </w:rPr>
                    <w:t>Ⅲ</w:t>
                  </w:r>
                </w:p>
              </w:tc>
              <w:tc>
                <w:tcPr>
                  <w:tcW w:w="515" w:type="dxa"/>
                  <w:vAlign w:val="center"/>
                </w:tcPr>
                <w:p>
                  <w:pPr>
                    <w:adjustRightInd w:val="0"/>
                    <w:snapToGrid w:val="0"/>
                    <w:jc w:val="center"/>
                    <w:rPr>
                      <w:color w:val="000000"/>
                      <w:szCs w:val="21"/>
                    </w:rPr>
                  </w:pPr>
                  <w:r>
                    <w:rPr>
                      <w:color w:val="000000"/>
                      <w:szCs w:val="21"/>
                    </w:rPr>
                    <w:t>Ⅱ</w:t>
                  </w:r>
                </w:p>
              </w:tc>
              <w:tc>
                <w:tcPr>
                  <w:tcW w:w="515" w:type="dxa"/>
                  <w:vAlign w:val="center"/>
                </w:tcPr>
                <w:p>
                  <w:pPr>
                    <w:adjustRightInd w:val="0"/>
                    <w:snapToGrid w:val="0"/>
                    <w:jc w:val="center"/>
                    <w:rPr>
                      <w:color w:val="000000"/>
                      <w:szCs w:val="21"/>
                    </w:rPr>
                  </w:pPr>
                  <w:r>
                    <w:rPr>
                      <w:color w:val="000000"/>
                      <w:szCs w:val="21"/>
                    </w:rPr>
                    <w:t>Ⅱ</w:t>
                  </w:r>
                </w:p>
              </w:tc>
              <w:tc>
                <w:tcPr>
                  <w:tcW w:w="503" w:type="dxa"/>
                  <w:vAlign w:val="center"/>
                </w:tcPr>
                <w:p>
                  <w:pPr>
                    <w:adjustRightInd w:val="0"/>
                    <w:snapToGrid w:val="0"/>
                    <w:jc w:val="center"/>
                    <w:rPr>
                      <w:color w:val="000000"/>
                      <w:szCs w:val="21"/>
                    </w:rPr>
                  </w:pPr>
                  <w:r>
                    <w:rPr>
                      <w:color w:val="000000"/>
                      <w:szCs w:val="21"/>
                    </w:rPr>
                    <w:t>Ⅱ</w:t>
                  </w:r>
                </w:p>
              </w:tc>
              <w:tc>
                <w:tcPr>
                  <w:tcW w:w="537" w:type="dxa"/>
                  <w:vAlign w:val="center"/>
                </w:tcPr>
                <w:p>
                  <w:pPr>
                    <w:adjustRightInd w:val="0"/>
                    <w:snapToGrid w:val="0"/>
                    <w:jc w:val="center"/>
                    <w:rPr>
                      <w:color w:val="000000"/>
                      <w:szCs w:val="21"/>
                    </w:rPr>
                  </w:pPr>
                  <w:r>
                    <w:rPr>
                      <w:color w:val="000000"/>
                      <w:szCs w:val="21"/>
                    </w:rPr>
                    <w:t>/</w:t>
                  </w:r>
                </w:p>
              </w:tc>
              <w:tc>
                <w:tcPr>
                  <w:tcW w:w="563" w:type="dxa"/>
                  <w:vAlign w:val="center"/>
                </w:tcPr>
                <w:p>
                  <w:pPr>
                    <w:adjustRightInd w:val="0"/>
                    <w:snapToGrid w:val="0"/>
                    <w:jc w:val="center"/>
                    <w:rPr>
                      <w:color w:val="000000"/>
                      <w:szCs w:val="21"/>
                    </w:rPr>
                  </w:pPr>
                  <w:r>
                    <w:rPr>
                      <w:color w:val="000000"/>
                      <w:szCs w:val="21"/>
                    </w:rPr>
                    <w:t>/</w:t>
                  </w:r>
                </w:p>
              </w:tc>
              <w:tc>
                <w:tcPr>
                  <w:tcW w:w="574" w:type="dxa"/>
                  <w:vAlign w:val="center"/>
                </w:tcPr>
                <w:p>
                  <w:pPr>
                    <w:adjustRightInd w:val="0"/>
                    <w:snapToGrid w:val="0"/>
                    <w:jc w:val="center"/>
                    <w:rPr>
                      <w:color w:val="000000"/>
                      <w:szCs w:val="21"/>
                    </w:rPr>
                  </w:pPr>
                  <w:r>
                    <w:rPr>
                      <w:color w:val="000000"/>
                      <w:szCs w:val="21"/>
                    </w:rPr>
                    <w:t>/</w:t>
                  </w:r>
                </w:p>
              </w:tc>
            </w:tr>
            <w:tr>
              <w:trPr>
                <w:cantSplit/>
                <w:trHeight w:val="340" w:hRule="atLeast"/>
                <w:jc w:val="center"/>
              </w:trPr>
              <w:tc>
                <w:tcPr>
                  <w:tcW w:w="822" w:type="dxa"/>
                  <w:vMerge w:val="continue"/>
                  <w:vAlign w:val="center"/>
                </w:tcPr>
                <w:p>
                  <w:pPr>
                    <w:pStyle w:val="40"/>
                    <w:adjustRightInd w:val="0"/>
                    <w:snapToGrid w:val="0"/>
                    <w:rPr>
                      <w:color w:val="000000"/>
                      <w:sz w:val="21"/>
                      <w:szCs w:val="21"/>
                    </w:rPr>
                  </w:pPr>
                </w:p>
              </w:tc>
              <w:tc>
                <w:tcPr>
                  <w:tcW w:w="728" w:type="dxa"/>
                  <w:vMerge w:val="continue"/>
                  <w:vAlign w:val="center"/>
                </w:tcPr>
                <w:p>
                  <w:pPr>
                    <w:pStyle w:val="40"/>
                    <w:adjustRightInd w:val="0"/>
                    <w:snapToGrid w:val="0"/>
                    <w:rPr>
                      <w:color w:val="000000"/>
                      <w:sz w:val="21"/>
                      <w:szCs w:val="21"/>
                    </w:rPr>
                  </w:pPr>
                </w:p>
              </w:tc>
              <w:tc>
                <w:tcPr>
                  <w:tcW w:w="1017" w:type="dxa"/>
                  <w:vAlign w:val="center"/>
                </w:tcPr>
                <w:p>
                  <w:pPr>
                    <w:pStyle w:val="40"/>
                    <w:adjustRightInd w:val="0"/>
                    <w:snapToGrid w:val="0"/>
                    <w:rPr>
                      <w:color w:val="000000"/>
                      <w:sz w:val="21"/>
                      <w:szCs w:val="21"/>
                    </w:rPr>
                  </w:pPr>
                  <w:r>
                    <w:rPr>
                      <w:color w:val="000000"/>
                      <w:sz w:val="21"/>
                      <w:szCs w:val="21"/>
                    </w:rPr>
                    <w:t>一统河入口</w:t>
                  </w:r>
                </w:p>
              </w:tc>
              <w:tc>
                <w:tcPr>
                  <w:tcW w:w="535" w:type="dxa"/>
                  <w:vAlign w:val="center"/>
                </w:tcPr>
                <w:p>
                  <w:pPr>
                    <w:adjustRightInd w:val="0"/>
                    <w:snapToGrid w:val="0"/>
                    <w:jc w:val="center"/>
                    <w:rPr>
                      <w:color w:val="000000"/>
                      <w:szCs w:val="21"/>
                    </w:rPr>
                  </w:pPr>
                  <w:r>
                    <w:rPr>
                      <w:color w:val="000000"/>
                      <w:szCs w:val="21"/>
                    </w:rPr>
                    <w:t>Ⅱ</w:t>
                  </w:r>
                </w:p>
              </w:tc>
              <w:tc>
                <w:tcPr>
                  <w:tcW w:w="480" w:type="dxa"/>
                  <w:vAlign w:val="center"/>
                </w:tcPr>
                <w:p>
                  <w:pPr>
                    <w:adjustRightInd w:val="0"/>
                    <w:snapToGrid w:val="0"/>
                    <w:jc w:val="center"/>
                    <w:rPr>
                      <w:color w:val="000000"/>
                      <w:szCs w:val="21"/>
                    </w:rPr>
                  </w:pPr>
                  <w:r>
                    <w:rPr>
                      <w:color w:val="000000"/>
                      <w:szCs w:val="21"/>
                    </w:rPr>
                    <w:t>Ⅱ</w:t>
                  </w:r>
                </w:p>
              </w:tc>
              <w:tc>
                <w:tcPr>
                  <w:tcW w:w="515" w:type="dxa"/>
                  <w:vAlign w:val="center"/>
                </w:tcPr>
                <w:p>
                  <w:pPr>
                    <w:adjustRightInd w:val="0"/>
                    <w:snapToGrid w:val="0"/>
                    <w:jc w:val="center"/>
                    <w:rPr>
                      <w:color w:val="000000"/>
                      <w:szCs w:val="21"/>
                    </w:rPr>
                  </w:pPr>
                  <w:r>
                    <w:rPr>
                      <w:color w:val="000000"/>
                      <w:szCs w:val="21"/>
                    </w:rPr>
                    <w:t>Ⅲ</w:t>
                  </w:r>
                </w:p>
              </w:tc>
              <w:tc>
                <w:tcPr>
                  <w:tcW w:w="524" w:type="dxa"/>
                  <w:vAlign w:val="center"/>
                </w:tcPr>
                <w:p>
                  <w:pPr>
                    <w:adjustRightInd w:val="0"/>
                    <w:snapToGrid w:val="0"/>
                    <w:jc w:val="center"/>
                    <w:rPr>
                      <w:color w:val="000000"/>
                      <w:szCs w:val="21"/>
                    </w:rPr>
                  </w:pPr>
                  <w:r>
                    <w:rPr>
                      <w:color w:val="000000"/>
                      <w:szCs w:val="21"/>
                    </w:rPr>
                    <w:t>Ⅲ</w:t>
                  </w:r>
                </w:p>
              </w:tc>
              <w:tc>
                <w:tcPr>
                  <w:tcW w:w="540" w:type="dxa"/>
                  <w:vAlign w:val="center"/>
                </w:tcPr>
                <w:p>
                  <w:pPr>
                    <w:adjustRightInd w:val="0"/>
                    <w:snapToGrid w:val="0"/>
                    <w:jc w:val="center"/>
                    <w:rPr>
                      <w:color w:val="000000"/>
                      <w:szCs w:val="21"/>
                    </w:rPr>
                  </w:pPr>
                  <w:r>
                    <w:rPr>
                      <w:color w:val="000000"/>
                      <w:szCs w:val="21"/>
                    </w:rPr>
                    <w:t>Ⅲ</w:t>
                  </w:r>
                </w:p>
              </w:tc>
              <w:tc>
                <w:tcPr>
                  <w:tcW w:w="515" w:type="dxa"/>
                  <w:vAlign w:val="center"/>
                </w:tcPr>
                <w:p>
                  <w:pPr>
                    <w:adjustRightInd w:val="0"/>
                    <w:snapToGrid w:val="0"/>
                    <w:jc w:val="center"/>
                    <w:rPr>
                      <w:color w:val="000000"/>
                      <w:szCs w:val="21"/>
                    </w:rPr>
                  </w:pPr>
                  <w:r>
                    <w:rPr>
                      <w:color w:val="000000"/>
                      <w:szCs w:val="21"/>
                    </w:rPr>
                    <w:t>Ⅱ</w:t>
                  </w:r>
                </w:p>
              </w:tc>
              <w:tc>
                <w:tcPr>
                  <w:tcW w:w="515" w:type="dxa"/>
                  <w:vAlign w:val="center"/>
                </w:tcPr>
                <w:p>
                  <w:pPr>
                    <w:adjustRightInd w:val="0"/>
                    <w:snapToGrid w:val="0"/>
                    <w:jc w:val="center"/>
                    <w:rPr>
                      <w:color w:val="000000"/>
                      <w:szCs w:val="21"/>
                    </w:rPr>
                  </w:pPr>
                  <w:r>
                    <w:rPr>
                      <w:color w:val="000000"/>
                      <w:szCs w:val="21"/>
                    </w:rPr>
                    <w:t>Ⅱ</w:t>
                  </w:r>
                </w:p>
              </w:tc>
              <w:tc>
                <w:tcPr>
                  <w:tcW w:w="515" w:type="dxa"/>
                  <w:vAlign w:val="center"/>
                </w:tcPr>
                <w:p>
                  <w:pPr>
                    <w:adjustRightInd w:val="0"/>
                    <w:snapToGrid w:val="0"/>
                    <w:jc w:val="center"/>
                    <w:rPr>
                      <w:color w:val="000000"/>
                      <w:szCs w:val="21"/>
                    </w:rPr>
                  </w:pPr>
                  <w:r>
                    <w:rPr>
                      <w:color w:val="000000"/>
                      <w:szCs w:val="21"/>
                    </w:rPr>
                    <w:t>Ⅱ</w:t>
                  </w:r>
                </w:p>
              </w:tc>
              <w:tc>
                <w:tcPr>
                  <w:tcW w:w="503" w:type="dxa"/>
                  <w:vAlign w:val="center"/>
                </w:tcPr>
                <w:p>
                  <w:pPr>
                    <w:adjustRightInd w:val="0"/>
                    <w:snapToGrid w:val="0"/>
                    <w:jc w:val="center"/>
                    <w:rPr>
                      <w:color w:val="000000"/>
                      <w:szCs w:val="21"/>
                    </w:rPr>
                  </w:pPr>
                  <w:r>
                    <w:rPr>
                      <w:color w:val="000000"/>
                      <w:szCs w:val="21"/>
                    </w:rPr>
                    <w:t>Ⅱ</w:t>
                  </w:r>
                </w:p>
              </w:tc>
              <w:tc>
                <w:tcPr>
                  <w:tcW w:w="537" w:type="dxa"/>
                  <w:vAlign w:val="center"/>
                </w:tcPr>
                <w:p>
                  <w:pPr>
                    <w:adjustRightInd w:val="0"/>
                    <w:snapToGrid w:val="0"/>
                    <w:jc w:val="center"/>
                    <w:rPr>
                      <w:color w:val="000000"/>
                      <w:szCs w:val="21"/>
                    </w:rPr>
                  </w:pPr>
                  <w:r>
                    <w:rPr>
                      <w:color w:val="000000"/>
                      <w:szCs w:val="21"/>
                    </w:rPr>
                    <w:t>Ⅲ</w:t>
                  </w:r>
                </w:p>
              </w:tc>
              <w:tc>
                <w:tcPr>
                  <w:tcW w:w="563" w:type="dxa"/>
                  <w:vAlign w:val="center"/>
                </w:tcPr>
                <w:p>
                  <w:pPr>
                    <w:adjustRightInd w:val="0"/>
                    <w:snapToGrid w:val="0"/>
                    <w:jc w:val="center"/>
                    <w:rPr>
                      <w:color w:val="000000"/>
                      <w:szCs w:val="21"/>
                    </w:rPr>
                  </w:pPr>
                  <w:r>
                    <w:rPr>
                      <w:color w:val="000000"/>
                      <w:szCs w:val="21"/>
                    </w:rPr>
                    <w:t>Ⅳ</w:t>
                  </w:r>
                </w:p>
              </w:tc>
              <w:tc>
                <w:tcPr>
                  <w:tcW w:w="574" w:type="dxa"/>
                  <w:vAlign w:val="center"/>
                </w:tcPr>
                <w:p>
                  <w:pPr>
                    <w:adjustRightInd w:val="0"/>
                    <w:snapToGrid w:val="0"/>
                    <w:jc w:val="center"/>
                    <w:rPr>
                      <w:color w:val="000000"/>
                      <w:szCs w:val="21"/>
                    </w:rPr>
                  </w:pPr>
                  <w:r>
                    <w:rPr>
                      <w:color w:val="000000"/>
                      <w:szCs w:val="21"/>
                    </w:rPr>
                    <w:t>Ⅱ</w:t>
                  </w:r>
                </w:p>
              </w:tc>
            </w:tr>
          </w:tbl>
          <w:p>
            <w:pPr>
              <w:widowControl/>
              <w:adjustRightInd w:val="0"/>
              <w:snapToGrid w:val="0"/>
              <w:spacing w:line="360" w:lineRule="auto"/>
              <w:ind w:firstLine="480" w:firstLineChars="200"/>
              <w:rPr>
                <w:sz w:val="24"/>
              </w:rPr>
            </w:pPr>
            <w:r>
              <w:rPr>
                <w:rFonts w:eastAsia="宋体"/>
                <w:color w:val="000000"/>
                <w:sz w:val="24"/>
              </w:rPr>
              <w:t>上表可以看出，</w:t>
            </w:r>
            <w:r>
              <w:rPr>
                <w:rFonts w:hint="eastAsia" w:eastAsia="宋体"/>
                <w:color w:val="000000"/>
                <w:sz w:val="24"/>
              </w:rPr>
              <w:t>区域内</w:t>
            </w:r>
            <w:r>
              <w:rPr>
                <w:rFonts w:eastAsia="宋体"/>
                <w:color w:val="000000"/>
                <w:sz w:val="24"/>
              </w:rPr>
              <w:t>地表水</w:t>
            </w:r>
            <w:r>
              <w:rPr>
                <w:rFonts w:hint="eastAsia" w:eastAsia="宋体"/>
                <w:color w:val="000000"/>
                <w:sz w:val="24"/>
              </w:rPr>
              <w:t>水质除了2026年2月均</w:t>
            </w:r>
            <w:r>
              <w:rPr>
                <w:rFonts w:eastAsia="宋体"/>
                <w:color w:val="000000"/>
                <w:sz w:val="24"/>
              </w:rPr>
              <w:t>可以满足《地表水环境质量标准》（GB3838-2002）Ⅲ类水体标准要求</w:t>
            </w:r>
            <w:r>
              <w:rPr>
                <w:rFonts w:hint="eastAsia" w:eastAsia="宋体"/>
                <w:color w:val="000000"/>
                <w:sz w:val="24"/>
              </w:rPr>
              <w:t>，地表水</w:t>
            </w:r>
            <w:r>
              <w:rPr>
                <w:rFonts w:eastAsia="宋体"/>
                <w:color w:val="000000"/>
                <w:sz w:val="24"/>
              </w:rPr>
              <w:t>环境质量</w:t>
            </w:r>
            <w:r>
              <w:rPr>
                <w:rFonts w:hint="eastAsia" w:eastAsia="宋体"/>
                <w:color w:val="000000"/>
                <w:sz w:val="24"/>
              </w:rPr>
              <w:t>较</w:t>
            </w:r>
            <w:r>
              <w:rPr>
                <w:rFonts w:eastAsia="宋体"/>
                <w:color w:val="000000"/>
                <w:sz w:val="24"/>
              </w:rPr>
              <w:t>好。</w:t>
            </w:r>
          </w:p>
          <w:p>
            <w:pPr>
              <w:pStyle w:val="23"/>
              <w:ind w:firstLine="482"/>
              <w:rPr>
                <w:rFonts w:cs="Times New Roman"/>
                <w:b/>
                <w:bCs/>
                <w:color w:val="auto"/>
              </w:rPr>
            </w:pPr>
            <w:r>
              <w:rPr>
                <w:rFonts w:cs="Times New Roman"/>
                <w:b/>
                <w:bCs/>
                <w:color w:val="auto"/>
              </w:rPr>
              <w:t>3、声环境质量现状</w:t>
            </w:r>
          </w:p>
          <w:p>
            <w:pPr>
              <w:pStyle w:val="23"/>
              <w:ind w:firstLine="480"/>
              <w:rPr>
                <w:rFonts w:cs="Times New Roman"/>
                <w:color w:val="auto"/>
                <w:kern w:val="0"/>
              </w:rPr>
            </w:pPr>
            <w:r>
              <w:rPr>
                <w:rFonts w:eastAsia="宋体"/>
                <w:color w:val="000000"/>
              </w:rPr>
              <w:t>根据《建设项目环境影响报告表编制技术指南（污染影响类）（试行）》，</w:t>
            </w:r>
            <w:r>
              <w:rPr>
                <w:rFonts w:hint="eastAsia" w:eastAsia="宋体"/>
                <w:color w:val="000000"/>
              </w:rPr>
              <w:t>项目</w:t>
            </w:r>
            <w:r>
              <w:rPr>
                <w:rFonts w:eastAsia="宋体"/>
                <w:color w:val="000000"/>
              </w:rPr>
              <w:t>厂界外周边50米范围内存在声环境保护目标的建设项目，应监测保护目标声环境质量现状并评价达标情况。本项目厂界周边50米范围内</w:t>
            </w:r>
            <w:r>
              <w:rPr>
                <w:rFonts w:hint="eastAsia" w:eastAsia="宋体"/>
                <w:color w:val="000000"/>
              </w:rPr>
              <w:t>不</w:t>
            </w:r>
            <w:r>
              <w:rPr>
                <w:rFonts w:eastAsia="宋体"/>
                <w:color w:val="000000"/>
              </w:rPr>
              <w:t>存在声环境保护目标</w:t>
            </w:r>
            <w:r>
              <w:rPr>
                <w:rFonts w:hint="eastAsia" w:eastAsia="宋体"/>
                <w:color w:val="000000"/>
              </w:rPr>
              <w:t>，故无需开展噪声监测</w:t>
            </w:r>
            <w:r>
              <w:rPr>
                <w:rFonts w:eastAsia="宋体"/>
                <w:color w:val="000000"/>
              </w:rPr>
              <w:t>。</w:t>
            </w:r>
          </w:p>
          <w:p>
            <w:pPr>
              <w:pStyle w:val="23"/>
              <w:ind w:firstLine="482"/>
              <w:rPr>
                <w:rFonts w:cs="Times New Roman"/>
                <w:b/>
                <w:bCs/>
                <w:color w:val="auto"/>
                <w:kern w:val="0"/>
              </w:rPr>
            </w:pPr>
            <w:r>
              <w:rPr>
                <w:rFonts w:cs="Times New Roman"/>
                <w:b/>
                <w:bCs/>
                <w:color w:val="auto"/>
                <w:kern w:val="0"/>
              </w:rPr>
              <w:t>4、生态环境</w:t>
            </w:r>
          </w:p>
          <w:p>
            <w:pPr>
              <w:pStyle w:val="23"/>
              <w:ind w:firstLine="480"/>
              <w:rPr>
                <w:rFonts w:cs="Times New Roman"/>
                <w:color w:val="auto"/>
                <w:kern w:val="0"/>
              </w:rPr>
            </w:pPr>
            <w:r>
              <w:rPr>
                <w:rFonts w:cs="Times New Roman"/>
                <w:color w:val="auto"/>
                <w:lang/>
              </w:rPr>
              <w:t>根据</w:t>
            </w:r>
            <w:r>
              <w:rPr>
                <w:rFonts w:cs="Times New Roman"/>
                <w:color w:val="auto"/>
              </w:rPr>
              <w:t>《建设项目环境影响报告表编制技术指南（污染影响类）（试行）》，建设项目新增用地范围内含有生态环境保护目标时，进行生态环境现状调查。本项目不新增占地，</w:t>
            </w:r>
            <w:r>
              <w:rPr>
                <w:rFonts w:cs="Times New Roman"/>
                <w:color w:val="auto"/>
                <w:lang/>
              </w:rPr>
              <w:t>本次不进行生态现状调查</w:t>
            </w:r>
            <w:r>
              <w:rPr>
                <w:rFonts w:cs="Times New Roman"/>
                <w:color w:val="auto"/>
                <w:kern w:val="0"/>
              </w:rPr>
              <w:t>。</w:t>
            </w:r>
          </w:p>
          <w:p>
            <w:pPr>
              <w:pStyle w:val="23"/>
              <w:ind w:firstLine="482"/>
              <w:rPr>
                <w:rFonts w:cs="Times New Roman"/>
                <w:b/>
                <w:bCs/>
                <w:color w:val="auto"/>
                <w:kern w:val="0"/>
              </w:rPr>
            </w:pPr>
            <w:r>
              <w:rPr>
                <w:rFonts w:cs="Times New Roman"/>
                <w:b/>
                <w:bCs/>
                <w:color w:val="auto"/>
                <w:kern w:val="0"/>
              </w:rPr>
              <w:t>5、地下水、土壤</w:t>
            </w:r>
          </w:p>
          <w:p>
            <w:pPr>
              <w:pStyle w:val="23"/>
              <w:ind w:firstLine="480"/>
              <w:rPr>
                <w:rFonts w:cs="Times New Roman"/>
                <w:iCs/>
                <w:color w:val="auto"/>
              </w:rPr>
            </w:pPr>
            <w:r>
              <w:rPr>
                <w:rFonts w:cs="Times New Roman"/>
                <w:iCs/>
                <w:color w:val="auto"/>
              </w:rPr>
              <w:t>根据《建设项目环境影响报告表编制技术指南（污染影响类）（试行）》，原则上不开展土壤、地下水环境质量现状调查。建设项目存在土壤、地下水环境污染途径的，应结合污染源、保护目标分布情况开展现状调查以留作背景值。</w:t>
            </w:r>
          </w:p>
          <w:p>
            <w:pPr>
              <w:pStyle w:val="23"/>
              <w:ind w:firstLine="480"/>
              <w:rPr>
                <w:rFonts w:cs="Times New Roman"/>
                <w:iCs/>
                <w:color w:val="auto"/>
              </w:rPr>
            </w:pPr>
            <w:r>
              <w:rPr>
                <w:rFonts w:cs="Times New Roman"/>
                <w:iCs/>
                <w:color w:val="auto"/>
              </w:rPr>
              <w:t>本项目为生物质锅炉建设项目，锅炉烟气采用</w:t>
            </w:r>
            <w:r>
              <w:rPr>
                <w:rFonts w:hint="eastAsia" w:cs="Times New Roman"/>
                <w:iCs/>
                <w:color w:val="auto"/>
              </w:rPr>
              <w:t>陶瓷多管除尘器+布袋除尘器</w:t>
            </w:r>
            <w:r>
              <w:rPr>
                <w:rFonts w:cs="Times New Roman"/>
                <w:iCs/>
                <w:color w:val="auto"/>
              </w:rPr>
              <w:t>处理后经</w:t>
            </w:r>
            <w:r>
              <w:rPr>
                <w:rFonts w:hint="eastAsia" w:cs="Times New Roman"/>
                <w:iCs/>
                <w:color w:val="auto"/>
              </w:rPr>
              <w:t>36m</w:t>
            </w:r>
            <w:r>
              <w:rPr>
                <w:rFonts w:cs="Times New Roman"/>
                <w:iCs/>
                <w:color w:val="auto"/>
              </w:rPr>
              <w:t>高烟囱排放，</w:t>
            </w:r>
            <w:r>
              <w:rPr>
                <w:rFonts w:hint="eastAsia" w:cs="Times New Roman"/>
                <w:iCs/>
                <w:color w:val="auto"/>
              </w:rPr>
              <w:t>现有</w:t>
            </w:r>
            <w:r>
              <w:rPr>
                <w:rFonts w:cs="Times New Roman"/>
                <w:iCs/>
                <w:color w:val="auto"/>
              </w:rPr>
              <w:t>锅炉房地面</w:t>
            </w:r>
            <w:r>
              <w:rPr>
                <w:rFonts w:hint="eastAsia" w:cs="Times New Roman"/>
                <w:iCs/>
                <w:color w:val="auto"/>
              </w:rPr>
              <w:t>已</w:t>
            </w:r>
            <w:r>
              <w:rPr>
                <w:rFonts w:cs="Times New Roman"/>
                <w:iCs/>
                <w:color w:val="auto"/>
              </w:rPr>
              <w:t>进行硬化处理，不涉及土壤、地下水污染途径，因此本项目不进行土壤、地下水环境质量现状评价。</w:t>
            </w:r>
          </w:p>
        </w:tc>
      </w:tr>
      <w:tr>
        <w:trPr>
          <w:trHeight w:val="1400" w:hRule="atLeast"/>
          <w:jc w:val="center"/>
        </w:trPr>
        <w:tc>
          <w:tcPr>
            <w:tcW w:w="708"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kern w:val="0"/>
                <w:szCs w:val="21"/>
              </w:rPr>
            </w:pPr>
            <w:r>
              <w:rPr>
                <w:kern w:val="0"/>
                <w:szCs w:val="21"/>
              </w:rPr>
              <w:t>环境保护目标</w:t>
            </w:r>
          </w:p>
        </w:tc>
        <w:tc>
          <w:tcPr>
            <w:tcW w:w="9104" w:type="dxa"/>
            <w:tcBorders>
              <w:top w:val="single" w:color="auto" w:sz="4" w:space="0"/>
              <w:left w:val="single" w:color="auto" w:sz="4" w:space="0"/>
              <w:bottom w:val="single" w:color="auto" w:sz="4" w:space="0"/>
              <w:right w:val="single" w:color="auto" w:sz="8" w:space="0"/>
            </w:tcBorders>
            <w:vAlign w:val="top"/>
          </w:tcPr>
          <w:p>
            <w:pPr>
              <w:spacing w:line="360" w:lineRule="auto"/>
              <w:ind w:firstLine="480" w:firstLineChars="200"/>
              <w:rPr>
                <w:rFonts w:eastAsia="宋体"/>
                <w:color w:val="000000"/>
                <w:sz w:val="24"/>
              </w:rPr>
            </w:pPr>
            <w:r>
              <w:rPr>
                <w:rFonts w:hint="eastAsia" w:eastAsia="宋体"/>
                <w:color w:val="000000"/>
                <w:sz w:val="24"/>
              </w:rPr>
              <w:t>1、环境空气：本项目厂界周围500m范围内没有自然保护区、风景名胜区等保护目标；本项目最近保护目标为西北侧540m的钓鱼台村，企业边界距离钓鱼台村约为300m；</w:t>
            </w:r>
          </w:p>
          <w:p>
            <w:pPr>
              <w:spacing w:line="360" w:lineRule="auto"/>
              <w:ind w:firstLine="480" w:firstLineChars="200"/>
              <w:rPr>
                <w:rFonts w:eastAsia="宋体"/>
                <w:color w:val="000000"/>
                <w:sz w:val="24"/>
              </w:rPr>
            </w:pPr>
            <w:r>
              <w:rPr>
                <w:rFonts w:hint="eastAsia" w:eastAsia="宋体"/>
                <w:color w:val="000000"/>
                <w:sz w:val="24"/>
              </w:rPr>
              <w:t>2、声环境：本项目厂界外50m范围不存在保护目标；</w:t>
            </w:r>
          </w:p>
          <w:p>
            <w:pPr>
              <w:spacing w:line="360" w:lineRule="auto"/>
              <w:ind w:firstLine="480" w:firstLineChars="200"/>
              <w:rPr>
                <w:rFonts w:eastAsia="宋体"/>
                <w:color w:val="000000"/>
                <w:sz w:val="24"/>
              </w:rPr>
            </w:pPr>
            <w:r>
              <w:rPr>
                <w:rFonts w:hint="eastAsia" w:eastAsia="宋体"/>
                <w:color w:val="000000"/>
                <w:sz w:val="24"/>
              </w:rPr>
              <w:t>3、地下水环境：本项目厂界周围500m范围内不存在地下水集中式饮用水水源和热水、矿泉水、温泉等特殊地下水资源；</w:t>
            </w:r>
          </w:p>
          <w:p>
            <w:pPr>
              <w:spacing w:line="360" w:lineRule="auto"/>
              <w:ind w:firstLine="480" w:firstLineChars="200"/>
              <w:rPr>
                <w:rFonts w:eastAsia="宋体"/>
                <w:color w:val="000000"/>
                <w:sz w:val="24"/>
              </w:rPr>
            </w:pPr>
            <w:r>
              <w:rPr>
                <w:rFonts w:hint="eastAsia" w:eastAsia="宋体"/>
                <w:color w:val="000000"/>
                <w:sz w:val="24"/>
              </w:rPr>
              <w:t>4、生态环境：本项目建设位置占地范围内无生态保护目标。</w:t>
            </w:r>
          </w:p>
          <w:p>
            <w:pPr>
              <w:spacing w:line="360" w:lineRule="auto"/>
              <w:ind w:firstLine="480" w:firstLineChars="200"/>
              <w:rPr>
                <w:rFonts w:eastAsia="宋体"/>
                <w:color w:val="000000"/>
                <w:sz w:val="24"/>
              </w:rPr>
            </w:pPr>
            <w:r>
              <w:rPr>
                <w:rFonts w:hint="eastAsia" w:eastAsia="宋体"/>
                <w:color w:val="000000"/>
                <w:sz w:val="24"/>
              </w:rPr>
              <w:t>本项目与周围环境保护目标分布情况详见附图6。</w:t>
            </w:r>
          </w:p>
          <w:p>
            <w:pPr>
              <w:spacing w:line="360" w:lineRule="auto"/>
              <w:ind w:firstLine="480" w:firstLineChars="200"/>
              <w:rPr>
                <w:rFonts w:eastAsia="宋体"/>
                <w:color w:val="000000"/>
                <w:sz w:val="24"/>
              </w:rPr>
            </w:pPr>
          </w:p>
          <w:p>
            <w:pPr>
              <w:spacing w:line="360" w:lineRule="auto"/>
              <w:ind w:firstLine="480" w:firstLineChars="200"/>
              <w:rPr>
                <w:rFonts w:eastAsia="宋体"/>
                <w:color w:val="000000"/>
                <w:sz w:val="24"/>
              </w:rPr>
            </w:pPr>
          </w:p>
          <w:p>
            <w:pPr>
              <w:spacing w:line="360" w:lineRule="auto"/>
              <w:ind w:firstLine="480" w:firstLineChars="200"/>
              <w:rPr>
                <w:rFonts w:eastAsia="宋体"/>
                <w:color w:val="000000"/>
                <w:sz w:val="24"/>
              </w:rPr>
            </w:pPr>
          </w:p>
          <w:p>
            <w:pPr>
              <w:jc w:val="center"/>
              <w:rPr>
                <w:rFonts w:eastAsia="宋体"/>
                <w:color w:val="000000"/>
                <w:sz w:val="24"/>
              </w:rPr>
            </w:pPr>
            <w:r>
              <w:rPr>
                <w:rFonts w:hint="eastAsia" w:eastAsia="宋体"/>
                <w:color w:val="000000"/>
                <w:sz w:val="24"/>
              </w:rPr>
              <w:t>表27  本项目环境保护目标一览表</w:t>
            </w:r>
          </w:p>
          <w:tbl>
            <w:tblPr>
              <w:tblW w:w="8883"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1099"/>
              <w:gridCol w:w="1567"/>
              <w:gridCol w:w="1357"/>
              <w:gridCol w:w="1180"/>
              <w:gridCol w:w="1688"/>
              <w:gridCol w:w="1992"/>
            </w:tblGrid>
            <w:tr>
              <w:trPr>
                <w:trHeight w:val="340" w:hRule="atLeast"/>
                <w:jc w:val="center"/>
              </w:trPr>
              <w:tc>
                <w:tcPr>
                  <w:tcW w:w="1099" w:type="dxa"/>
                  <w:vAlign w:val="center"/>
                </w:tcPr>
                <w:p>
                  <w:pPr>
                    <w:jc w:val="center"/>
                    <w:rPr>
                      <w:szCs w:val="21"/>
                    </w:rPr>
                  </w:pPr>
                  <w:r>
                    <w:rPr>
                      <w:szCs w:val="21"/>
                    </w:rPr>
                    <w:t>名称</w:t>
                  </w:r>
                </w:p>
              </w:tc>
              <w:tc>
                <w:tcPr>
                  <w:tcW w:w="1567" w:type="dxa"/>
                  <w:vAlign w:val="center"/>
                </w:tcPr>
                <w:p>
                  <w:pPr>
                    <w:jc w:val="center"/>
                    <w:rPr>
                      <w:szCs w:val="21"/>
                    </w:rPr>
                  </w:pPr>
                  <w:r>
                    <w:rPr>
                      <w:szCs w:val="21"/>
                    </w:rPr>
                    <w:t>保护对象</w:t>
                  </w:r>
                </w:p>
              </w:tc>
              <w:tc>
                <w:tcPr>
                  <w:tcW w:w="1357" w:type="dxa"/>
                  <w:vAlign w:val="center"/>
                </w:tcPr>
                <w:p>
                  <w:pPr>
                    <w:jc w:val="center"/>
                    <w:rPr>
                      <w:szCs w:val="21"/>
                    </w:rPr>
                  </w:pPr>
                  <w:r>
                    <w:rPr>
                      <w:szCs w:val="21"/>
                    </w:rPr>
                    <w:t>规模（人）</w:t>
                  </w:r>
                </w:p>
              </w:tc>
              <w:tc>
                <w:tcPr>
                  <w:tcW w:w="1180" w:type="dxa"/>
                  <w:vAlign w:val="center"/>
                </w:tcPr>
                <w:p>
                  <w:pPr>
                    <w:jc w:val="center"/>
                    <w:rPr>
                      <w:szCs w:val="21"/>
                    </w:rPr>
                  </w:pPr>
                  <w:r>
                    <w:rPr>
                      <w:szCs w:val="21"/>
                    </w:rPr>
                    <w:t>保护内容</w:t>
                  </w:r>
                </w:p>
              </w:tc>
              <w:tc>
                <w:tcPr>
                  <w:tcW w:w="1688" w:type="dxa"/>
                  <w:vAlign w:val="center"/>
                </w:tcPr>
                <w:p>
                  <w:pPr>
                    <w:jc w:val="center"/>
                    <w:rPr>
                      <w:szCs w:val="21"/>
                    </w:rPr>
                  </w:pPr>
                  <w:r>
                    <w:rPr>
                      <w:szCs w:val="21"/>
                    </w:rPr>
                    <w:t>相对厂界方位</w:t>
                  </w:r>
                </w:p>
              </w:tc>
              <w:tc>
                <w:tcPr>
                  <w:tcW w:w="1992" w:type="dxa"/>
                  <w:vAlign w:val="center"/>
                </w:tcPr>
                <w:p>
                  <w:pPr>
                    <w:jc w:val="center"/>
                    <w:rPr>
                      <w:szCs w:val="21"/>
                    </w:rPr>
                  </w:pPr>
                  <w:r>
                    <w:rPr>
                      <w:szCs w:val="21"/>
                    </w:rPr>
                    <w:t>相对最近距离/m</w:t>
                  </w:r>
                </w:p>
              </w:tc>
            </w:tr>
            <w:tr>
              <w:trPr>
                <w:trHeight w:val="340" w:hRule="atLeast"/>
                <w:jc w:val="center"/>
              </w:trPr>
              <w:tc>
                <w:tcPr>
                  <w:tcW w:w="1099" w:type="dxa"/>
                  <w:vAlign w:val="center"/>
                </w:tcPr>
                <w:p>
                  <w:pPr>
                    <w:jc w:val="center"/>
                    <w:rPr>
                      <w:szCs w:val="21"/>
                    </w:rPr>
                  </w:pPr>
                  <w:r>
                    <w:rPr>
                      <w:szCs w:val="21"/>
                    </w:rPr>
                    <w:t>环境空气</w:t>
                  </w:r>
                </w:p>
              </w:tc>
              <w:tc>
                <w:tcPr>
                  <w:tcW w:w="1567" w:type="dxa"/>
                  <w:vAlign w:val="center"/>
                </w:tcPr>
                <w:p>
                  <w:pPr>
                    <w:jc w:val="center"/>
                    <w:rPr>
                      <w:szCs w:val="21"/>
                    </w:rPr>
                  </w:pPr>
                  <w:r>
                    <w:rPr>
                      <w:rFonts w:hint="eastAsia"/>
                      <w:szCs w:val="21"/>
                    </w:rPr>
                    <w:t>钓鱼台村</w:t>
                  </w:r>
                  <w:r>
                    <w:rPr>
                      <w:szCs w:val="21"/>
                    </w:rPr>
                    <w:t>居民</w:t>
                  </w:r>
                </w:p>
              </w:tc>
              <w:tc>
                <w:tcPr>
                  <w:tcW w:w="1357" w:type="dxa"/>
                  <w:vAlign w:val="center"/>
                </w:tcPr>
                <w:p>
                  <w:pPr>
                    <w:jc w:val="center"/>
                    <w:rPr>
                      <w:szCs w:val="21"/>
                    </w:rPr>
                  </w:pPr>
                  <w:r>
                    <w:rPr>
                      <w:rFonts w:hint="eastAsia"/>
                      <w:szCs w:val="21"/>
                    </w:rPr>
                    <w:t>250</w:t>
                  </w:r>
                </w:p>
              </w:tc>
              <w:tc>
                <w:tcPr>
                  <w:tcW w:w="1180" w:type="dxa"/>
                  <w:vAlign w:val="center"/>
                </w:tcPr>
                <w:p>
                  <w:pPr>
                    <w:jc w:val="center"/>
                    <w:rPr>
                      <w:szCs w:val="21"/>
                    </w:rPr>
                  </w:pPr>
                  <w:r>
                    <w:rPr>
                      <w:szCs w:val="21"/>
                    </w:rPr>
                    <w:t>居民</w:t>
                  </w:r>
                </w:p>
              </w:tc>
              <w:tc>
                <w:tcPr>
                  <w:tcW w:w="1688" w:type="dxa"/>
                  <w:vAlign w:val="center"/>
                </w:tcPr>
                <w:p>
                  <w:pPr>
                    <w:jc w:val="center"/>
                    <w:rPr>
                      <w:szCs w:val="21"/>
                    </w:rPr>
                  </w:pPr>
                  <w:r>
                    <w:rPr>
                      <w:rFonts w:hint="eastAsia"/>
                      <w:szCs w:val="21"/>
                    </w:rPr>
                    <w:t>东北</w:t>
                  </w:r>
                  <w:r>
                    <w:rPr>
                      <w:szCs w:val="21"/>
                    </w:rPr>
                    <w:t>侧</w:t>
                  </w:r>
                </w:p>
              </w:tc>
              <w:tc>
                <w:tcPr>
                  <w:tcW w:w="1992" w:type="dxa"/>
                  <w:vAlign w:val="center"/>
                </w:tcPr>
                <w:p>
                  <w:pPr>
                    <w:jc w:val="center"/>
                    <w:rPr>
                      <w:szCs w:val="21"/>
                    </w:rPr>
                  </w:pPr>
                  <w:r>
                    <w:rPr>
                      <w:rFonts w:hint="eastAsia"/>
                      <w:szCs w:val="21"/>
                    </w:rPr>
                    <w:t>540</w:t>
                  </w:r>
                </w:p>
              </w:tc>
            </w:tr>
          </w:tbl>
          <w:p>
            <w:pPr>
              <w:widowControl/>
              <w:spacing w:line="360" w:lineRule="auto"/>
              <w:jc w:val="left"/>
              <w:rPr>
                <w:kern w:val="0"/>
                <w:szCs w:val="21"/>
              </w:rPr>
            </w:pPr>
          </w:p>
        </w:tc>
      </w:tr>
      <w:tr>
        <w:trPr>
          <w:trHeight w:val="1125" w:hRule="atLeast"/>
          <w:jc w:val="center"/>
        </w:trPr>
        <w:tc>
          <w:tcPr>
            <w:tcW w:w="708" w:type="dxa"/>
            <w:tcBorders>
              <w:top w:val="single" w:color="auto" w:sz="4" w:space="0"/>
              <w:left w:val="single" w:color="auto" w:sz="8" w:space="0"/>
              <w:bottom w:val="single" w:color="auto" w:sz="4" w:space="0"/>
              <w:right w:val="single" w:color="auto" w:sz="4" w:space="0"/>
            </w:tcBorders>
            <w:tcMar>
              <w:top w:w="0" w:type="dxa"/>
              <w:left w:w="28" w:type="dxa"/>
              <w:bottom w:w="0" w:type="dxa"/>
              <w:right w:w="28" w:type="dxa"/>
            </w:tcMar>
            <w:vAlign w:val="center"/>
          </w:tcPr>
          <w:p>
            <w:pPr>
              <w:adjustRightInd w:val="0"/>
              <w:snapToGrid w:val="0"/>
              <w:jc w:val="center"/>
              <w:rPr>
                <w:kern w:val="0"/>
                <w:szCs w:val="21"/>
              </w:rPr>
            </w:pPr>
            <w:r>
              <w:rPr>
                <w:kern w:val="0"/>
                <w:szCs w:val="21"/>
              </w:rPr>
              <w:t>污染物排放控制标准</w:t>
            </w:r>
          </w:p>
        </w:tc>
        <w:tc>
          <w:tcPr>
            <w:tcW w:w="9104" w:type="dxa"/>
            <w:tcBorders>
              <w:top w:val="single" w:color="auto" w:sz="4" w:space="0"/>
              <w:left w:val="single" w:color="auto" w:sz="4" w:space="0"/>
              <w:bottom w:val="single" w:color="auto" w:sz="4" w:space="0"/>
              <w:right w:val="single" w:color="auto" w:sz="8" w:space="0"/>
            </w:tcBorders>
            <w:vAlign w:val="top"/>
          </w:tcPr>
          <w:p>
            <w:pPr>
              <w:spacing w:line="360" w:lineRule="auto"/>
              <w:ind w:left="420" w:leftChars="200"/>
              <w:rPr>
                <w:b/>
                <w:bCs/>
                <w:sz w:val="24"/>
              </w:rPr>
            </w:pPr>
            <w:r>
              <w:rPr>
                <w:b/>
                <w:bCs/>
                <w:sz w:val="24"/>
              </w:rPr>
              <w:t>一、施工期</w:t>
            </w:r>
          </w:p>
          <w:p>
            <w:pPr>
              <w:spacing w:line="360" w:lineRule="auto"/>
              <w:ind w:left="420" w:leftChars="200"/>
              <w:rPr>
                <w:b/>
                <w:bCs/>
                <w:sz w:val="24"/>
              </w:rPr>
            </w:pPr>
            <w:r>
              <w:rPr>
                <w:b/>
                <w:bCs/>
                <w:sz w:val="24"/>
              </w:rPr>
              <w:t>1、废气</w:t>
            </w:r>
          </w:p>
          <w:p>
            <w:pPr>
              <w:adjustRightInd w:val="0"/>
              <w:snapToGrid w:val="0"/>
              <w:spacing w:line="360" w:lineRule="auto"/>
              <w:ind w:firstLine="480" w:firstLineChars="200"/>
              <w:rPr>
                <w:sz w:val="24"/>
              </w:rPr>
            </w:pPr>
            <w:r>
              <w:rPr>
                <w:sz w:val="24"/>
              </w:rPr>
              <w:t>本项目施工期无组织粉尘执行《大气污染物综合排放标准》（GB16297-1996）中无组织排放监控点浓度限值要求，详见下表。</w:t>
            </w:r>
          </w:p>
          <w:p>
            <w:pPr>
              <w:jc w:val="center"/>
              <w:rPr>
                <w:color w:val="000000"/>
                <w:sz w:val="24"/>
              </w:rPr>
            </w:pPr>
            <w:r>
              <w:rPr>
                <w:color w:val="000000"/>
                <w:sz w:val="24"/>
              </w:rPr>
              <w:t>表</w:t>
            </w:r>
            <w:r>
              <w:rPr>
                <w:rFonts w:hint="eastAsia"/>
                <w:color w:val="000000"/>
                <w:sz w:val="24"/>
              </w:rPr>
              <w:t xml:space="preserve">28  </w:t>
            </w:r>
            <w:r>
              <w:rPr>
                <w:color w:val="000000"/>
                <w:sz w:val="24"/>
              </w:rPr>
              <w:t>无组织废气排放标准</w:t>
            </w:r>
          </w:p>
          <w:tbl>
            <w:tblPr>
              <w:tblW w:w="87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
            <w:tblGrid>
              <w:gridCol w:w="1143"/>
              <w:gridCol w:w="2003"/>
              <w:gridCol w:w="1478"/>
              <w:gridCol w:w="4164"/>
            </w:tblGrid>
            <w:tr>
              <w:trPr>
                <w:cantSplit/>
                <w:trHeight w:val="340" w:hRule="atLeast"/>
                <w:jc w:val="center"/>
              </w:trPr>
              <w:tc>
                <w:tcPr>
                  <w:tcW w:w="1143" w:type="dxa"/>
                  <w:vMerge w:val="restart"/>
                  <w:tcBorders>
                    <w:top w:val="single" w:color="auto" w:sz="12" w:space="0"/>
                    <w:left w:val="nil"/>
                  </w:tcBorders>
                  <w:vAlign w:val="center"/>
                </w:tcPr>
                <w:p>
                  <w:pPr>
                    <w:jc w:val="center"/>
                    <w:rPr>
                      <w:szCs w:val="21"/>
                    </w:rPr>
                  </w:pPr>
                  <w:r>
                    <w:rPr>
                      <w:szCs w:val="21"/>
                    </w:rPr>
                    <w:t>污染物名称</w:t>
                  </w:r>
                </w:p>
              </w:tc>
              <w:tc>
                <w:tcPr>
                  <w:tcW w:w="3481" w:type="dxa"/>
                  <w:gridSpan w:val="2"/>
                  <w:tcBorders>
                    <w:top w:val="single" w:color="auto" w:sz="12" w:space="0"/>
                    <w:right w:val="nil"/>
                  </w:tcBorders>
                  <w:vAlign w:val="center"/>
                </w:tcPr>
                <w:p>
                  <w:pPr>
                    <w:jc w:val="center"/>
                    <w:rPr>
                      <w:szCs w:val="21"/>
                    </w:rPr>
                  </w:pPr>
                  <w:r>
                    <w:rPr>
                      <w:szCs w:val="21"/>
                    </w:rPr>
                    <w:t>无组织排放监控点浓度限值</w:t>
                  </w:r>
                </w:p>
              </w:tc>
              <w:tc>
                <w:tcPr>
                  <w:tcW w:w="4164" w:type="dxa"/>
                  <w:vMerge w:val="restart"/>
                  <w:tcBorders>
                    <w:top w:val="single" w:color="auto" w:sz="12" w:space="0"/>
                    <w:right w:val="nil"/>
                  </w:tcBorders>
                  <w:vAlign w:val="center"/>
                </w:tcPr>
                <w:p>
                  <w:pPr>
                    <w:jc w:val="center"/>
                    <w:rPr>
                      <w:szCs w:val="21"/>
                    </w:rPr>
                  </w:pPr>
                  <w:r>
                    <w:rPr>
                      <w:szCs w:val="21"/>
                    </w:rPr>
                    <w:t>执行标准</w:t>
                  </w:r>
                </w:p>
              </w:tc>
            </w:tr>
            <w:tr>
              <w:trPr>
                <w:cantSplit/>
                <w:trHeight w:val="340" w:hRule="atLeast"/>
                <w:jc w:val="center"/>
              </w:trPr>
              <w:tc>
                <w:tcPr>
                  <w:tcW w:w="1143" w:type="dxa"/>
                  <w:vMerge w:val="continue"/>
                  <w:tcBorders>
                    <w:left w:val="nil"/>
                  </w:tcBorders>
                  <w:vAlign w:val="center"/>
                </w:tcPr>
                <w:p>
                  <w:pPr>
                    <w:jc w:val="center"/>
                    <w:rPr>
                      <w:szCs w:val="21"/>
                    </w:rPr>
                  </w:pPr>
                </w:p>
              </w:tc>
              <w:tc>
                <w:tcPr>
                  <w:tcW w:w="2003" w:type="dxa"/>
                  <w:vAlign w:val="center"/>
                </w:tcPr>
                <w:p>
                  <w:pPr>
                    <w:jc w:val="center"/>
                    <w:rPr>
                      <w:szCs w:val="21"/>
                    </w:rPr>
                  </w:pPr>
                  <w:r>
                    <w:rPr>
                      <w:szCs w:val="21"/>
                    </w:rPr>
                    <w:t>监控点</w:t>
                  </w:r>
                </w:p>
              </w:tc>
              <w:tc>
                <w:tcPr>
                  <w:tcW w:w="1478" w:type="dxa"/>
                  <w:tcBorders>
                    <w:right w:val="nil"/>
                  </w:tcBorders>
                  <w:vAlign w:val="center"/>
                </w:tcPr>
                <w:p>
                  <w:pPr>
                    <w:jc w:val="center"/>
                    <w:rPr>
                      <w:szCs w:val="21"/>
                    </w:rPr>
                  </w:pPr>
                  <w:r>
                    <w:rPr>
                      <w:szCs w:val="21"/>
                    </w:rPr>
                    <w:t>浓度</w:t>
                  </w:r>
                </w:p>
              </w:tc>
              <w:tc>
                <w:tcPr>
                  <w:tcW w:w="4164" w:type="dxa"/>
                  <w:vMerge w:val="continue"/>
                  <w:tcBorders>
                    <w:right w:val="nil"/>
                  </w:tcBorders>
                  <w:vAlign w:val="center"/>
                </w:tcPr>
                <w:p>
                  <w:pPr>
                    <w:jc w:val="center"/>
                    <w:rPr>
                      <w:szCs w:val="21"/>
                    </w:rPr>
                  </w:pPr>
                </w:p>
              </w:tc>
            </w:tr>
            <w:tr>
              <w:trPr>
                <w:cantSplit/>
                <w:trHeight w:val="340" w:hRule="atLeast"/>
                <w:jc w:val="center"/>
              </w:trPr>
              <w:tc>
                <w:tcPr>
                  <w:tcW w:w="1143" w:type="dxa"/>
                  <w:tcBorders>
                    <w:left w:val="nil"/>
                    <w:bottom w:val="single" w:color="auto" w:sz="12" w:space="0"/>
                  </w:tcBorders>
                  <w:vAlign w:val="center"/>
                </w:tcPr>
                <w:p>
                  <w:pPr>
                    <w:jc w:val="center"/>
                    <w:rPr>
                      <w:szCs w:val="21"/>
                    </w:rPr>
                  </w:pPr>
                  <w:r>
                    <w:rPr>
                      <w:szCs w:val="21"/>
                    </w:rPr>
                    <w:t>颗粒物</w:t>
                  </w:r>
                </w:p>
              </w:tc>
              <w:tc>
                <w:tcPr>
                  <w:tcW w:w="2003" w:type="dxa"/>
                  <w:tcBorders>
                    <w:bottom w:val="single" w:color="auto" w:sz="12" w:space="0"/>
                  </w:tcBorders>
                  <w:vAlign w:val="center"/>
                </w:tcPr>
                <w:p>
                  <w:pPr>
                    <w:jc w:val="center"/>
                    <w:rPr>
                      <w:szCs w:val="21"/>
                    </w:rPr>
                  </w:pPr>
                  <w:r>
                    <w:rPr>
                      <w:szCs w:val="21"/>
                    </w:rPr>
                    <w:t>周界外浓度最高点</w:t>
                  </w:r>
                </w:p>
              </w:tc>
              <w:tc>
                <w:tcPr>
                  <w:tcW w:w="1478" w:type="dxa"/>
                  <w:tcBorders>
                    <w:bottom w:val="single" w:color="auto" w:sz="12" w:space="0"/>
                    <w:right w:val="nil"/>
                  </w:tcBorders>
                  <w:vAlign w:val="center"/>
                </w:tcPr>
                <w:p>
                  <w:pPr>
                    <w:jc w:val="center"/>
                    <w:rPr>
                      <w:szCs w:val="21"/>
                    </w:rPr>
                  </w:pPr>
                  <w:r>
                    <w:rPr>
                      <w:szCs w:val="21"/>
                    </w:rPr>
                    <w:t>1.0mg/m</w:t>
                  </w:r>
                  <w:r>
                    <w:rPr>
                      <w:szCs w:val="21"/>
                      <w:vertAlign w:val="superscript"/>
                    </w:rPr>
                    <w:t>3</w:t>
                  </w:r>
                </w:p>
              </w:tc>
              <w:tc>
                <w:tcPr>
                  <w:tcW w:w="4164" w:type="dxa"/>
                  <w:tcBorders>
                    <w:bottom w:val="single" w:color="auto" w:sz="12" w:space="0"/>
                    <w:right w:val="nil"/>
                  </w:tcBorders>
                  <w:vAlign w:val="center"/>
                </w:tcPr>
                <w:p>
                  <w:pPr>
                    <w:jc w:val="center"/>
                    <w:rPr>
                      <w:kern w:val="0"/>
                      <w:szCs w:val="21"/>
                    </w:rPr>
                  </w:pPr>
                  <w:r>
                    <w:rPr>
                      <w:kern w:val="0"/>
                      <w:szCs w:val="21"/>
                    </w:rPr>
                    <w:t>《大气污染物综合排放标准》（GB16297-1996）</w:t>
                  </w:r>
                  <w:r>
                    <w:rPr>
                      <w:rFonts w:hint="eastAsia"/>
                      <w:kern w:val="0"/>
                      <w:szCs w:val="21"/>
                    </w:rPr>
                    <w:t>中</w:t>
                  </w:r>
                  <w:r>
                    <w:rPr>
                      <w:kern w:val="0"/>
                      <w:szCs w:val="21"/>
                    </w:rPr>
                    <w:t>无组织监控浓度限值</w:t>
                  </w:r>
                </w:p>
              </w:tc>
            </w:tr>
          </w:tbl>
          <w:p>
            <w:pPr>
              <w:spacing w:line="360" w:lineRule="auto"/>
              <w:ind w:left="420" w:leftChars="200"/>
              <w:rPr>
                <w:b/>
                <w:bCs/>
                <w:sz w:val="24"/>
              </w:rPr>
            </w:pPr>
            <w:r>
              <w:rPr>
                <w:b/>
                <w:bCs/>
                <w:sz w:val="24"/>
              </w:rPr>
              <w:t>2、噪声</w:t>
            </w:r>
          </w:p>
          <w:p>
            <w:pPr>
              <w:adjustRightInd w:val="0"/>
              <w:snapToGrid w:val="0"/>
              <w:spacing w:line="360" w:lineRule="auto"/>
              <w:ind w:firstLine="480" w:firstLineChars="200"/>
              <w:rPr>
                <w:b/>
                <w:bCs/>
                <w:sz w:val="24"/>
              </w:rPr>
            </w:pPr>
            <w:r>
              <w:rPr>
                <w:sz w:val="24"/>
              </w:rPr>
              <w:t>项目施工期噪声执行《建筑施工噪声排放标准》（GB12523-20</w:t>
            </w:r>
            <w:r>
              <w:rPr>
                <w:rFonts w:hint="eastAsia"/>
                <w:sz w:val="24"/>
              </w:rPr>
              <w:t>25</w:t>
            </w:r>
            <w:r>
              <w:rPr>
                <w:sz w:val="24"/>
              </w:rPr>
              <w:t>）中标准要求，详见下表。</w:t>
            </w:r>
          </w:p>
          <w:p>
            <w:pPr>
              <w:jc w:val="center"/>
              <w:rPr>
                <w:color w:val="000000"/>
                <w:sz w:val="24"/>
              </w:rPr>
            </w:pPr>
            <w:r>
              <w:rPr>
                <w:color w:val="000000"/>
                <w:sz w:val="24"/>
              </w:rPr>
              <w:t>表</w:t>
            </w:r>
            <w:r>
              <w:rPr>
                <w:rFonts w:hint="eastAsia"/>
                <w:color w:val="000000"/>
                <w:sz w:val="24"/>
              </w:rPr>
              <w:t>29  施工</w:t>
            </w:r>
            <w:r>
              <w:rPr>
                <w:color w:val="000000"/>
                <w:sz w:val="24"/>
              </w:rPr>
              <w:t>期噪声排放标准</w:t>
            </w:r>
          </w:p>
          <w:tbl>
            <w:tblPr>
              <w:tblW w:w="8883" w:type="dxa"/>
              <w:tblBorders>
                <w:top w:val="single" w:color="auto" w:sz="12" w:space="0"/>
                <w:left w:val="none" w:color="auto" w:sz="0" w:space="0"/>
                <w:bottom w:val="single" w:color="auto" w:sz="12" w:space="0"/>
                <w:right w:val="none" w:color="auto" w:sz="0" w:space="0"/>
                <w:insideH w:val="single" w:color="auto" w:sz="4" w:space="0"/>
                <w:insideV w:val="single" w:color="auto" w:sz="6" w:space="0"/>
              </w:tblBorders>
              <w:tblLayout w:type="fixed"/>
              <w:tblCellMar>
                <w:left w:w="108" w:type="dxa"/>
                <w:right w:w="108" w:type="dxa"/>
              </w:tblCellMar>
            </w:tblPr>
            <w:tblGrid>
              <w:gridCol w:w="1845"/>
              <w:gridCol w:w="1603"/>
              <w:gridCol w:w="1473"/>
              <w:gridCol w:w="3962"/>
            </w:tblGrid>
            <w:tr>
              <w:trPr>
                <w:trHeight w:val="340" w:hRule="atLeast"/>
              </w:trPr>
              <w:tc>
                <w:tcPr>
                  <w:tcW w:w="1845" w:type="dxa"/>
                  <w:vAlign w:val="top"/>
                </w:tcPr>
                <w:p>
                  <w:pPr>
                    <w:jc w:val="center"/>
                    <w:rPr>
                      <w:szCs w:val="21"/>
                    </w:rPr>
                  </w:pPr>
                  <w:r>
                    <w:rPr>
                      <w:szCs w:val="21"/>
                    </w:rPr>
                    <w:t>声环境功能区</w:t>
                  </w:r>
                </w:p>
              </w:tc>
              <w:tc>
                <w:tcPr>
                  <w:tcW w:w="3076" w:type="dxa"/>
                  <w:gridSpan w:val="2"/>
                  <w:vAlign w:val="top"/>
                </w:tcPr>
                <w:p>
                  <w:pPr>
                    <w:jc w:val="center"/>
                    <w:rPr>
                      <w:szCs w:val="21"/>
                    </w:rPr>
                  </w:pPr>
                  <w:r>
                    <w:rPr>
                      <w:szCs w:val="21"/>
                    </w:rPr>
                    <w:t>标准值dB（A）</w:t>
                  </w:r>
                </w:p>
              </w:tc>
              <w:tc>
                <w:tcPr>
                  <w:tcW w:w="3962" w:type="dxa"/>
                  <w:vAlign w:val="top"/>
                </w:tcPr>
                <w:p>
                  <w:pPr>
                    <w:jc w:val="center"/>
                    <w:rPr>
                      <w:szCs w:val="21"/>
                    </w:rPr>
                  </w:pPr>
                  <w:r>
                    <w:rPr>
                      <w:szCs w:val="21"/>
                    </w:rPr>
                    <w:t>标准来源</w:t>
                  </w:r>
                </w:p>
              </w:tc>
            </w:tr>
            <w:tr>
              <w:trPr>
                <w:trHeight w:val="340" w:hRule="atLeast"/>
              </w:trPr>
              <w:tc>
                <w:tcPr>
                  <w:tcW w:w="1845" w:type="dxa"/>
                  <w:vMerge w:val="restart"/>
                  <w:vAlign w:val="center"/>
                </w:tcPr>
                <w:p>
                  <w:pPr>
                    <w:jc w:val="center"/>
                    <w:rPr>
                      <w:szCs w:val="21"/>
                    </w:rPr>
                  </w:pPr>
                  <w:r>
                    <w:rPr>
                      <w:rFonts w:hint="eastAsia"/>
                      <w:szCs w:val="21"/>
                    </w:rPr>
                    <w:t>施工厂界</w:t>
                  </w:r>
                </w:p>
              </w:tc>
              <w:tc>
                <w:tcPr>
                  <w:tcW w:w="1603" w:type="dxa"/>
                  <w:vAlign w:val="center"/>
                </w:tcPr>
                <w:p>
                  <w:pPr>
                    <w:jc w:val="center"/>
                    <w:rPr>
                      <w:szCs w:val="21"/>
                    </w:rPr>
                  </w:pPr>
                  <w:r>
                    <w:rPr>
                      <w:szCs w:val="21"/>
                    </w:rPr>
                    <w:t>昼间</w:t>
                  </w:r>
                </w:p>
              </w:tc>
              <w:tc>
                <w:tcPr>
                  <w:tcW w:w="1473" w:type="dxa"/>
                  <w:vAlign w:val="center"/>
                </w:tcPr>
                <w:p>
                  <w:pPr>
                    <w:jc w:val="center"/>
                    <w:rPr>
                      <w:szCs w:val="21"/>
                    </w:rPr>
                  </w:pPr>
                  <w:r>
                    <w:rPr>
                      <w:szCs w:val="21"/>
                    </w:rPr>
                    <w:t>夜间</w:t>
                  </w:r>
                </w:p>
              </w:tc>
              <w:tc>
                <w:tcPr>
                  <w:tcW w:w="3962" w:type="dxa"/>
                  <w:vMerge w:val="restart"/>
                  <w:vAlign w:val="center"/>
                </w:tcPr>
                <w:p>
                  <w:pPr>
                    <w:jc w:val="center"/>
                    <w:rPr>
                      <w:szCs w:val="21"/>
                    </w:rPr>
                  </w:pPr>
                  <w:r>
                    <w:rPr>
                      <w:szCs w:val="21"/>
                    </w:rPr>
                    <w:t>《建筑施工噪声排放标准》（GB12523-20</w:t>
                  </w:r>
                  <w:r>
                    <w:rPr>
                      <w:rFonts w:hint="eastAsia"/>
                      <w:szCs w:val="21"/>
                    </w:rPr>
                    <w:t>25</w:t>
                  </w:r>
                  <w:r>
                    <w:rPr>
                      <w:szCs w:val="21"/>
                    </w:rPr>
                    <w:t>）</w:t>
                  </w:r>
                </w:p>
              </w:tc>
            </w:tr>
            <w:tr>
              <w:trPr>
                <w:trHeight w:val="340" w:hRule="atLeast"/>
              </w:trPr>
              <w:tc>
                <w:tcPr>
                  <w:tcW w:w="1845" w:type="dxa"/>
                  <w:vMerge w:val="continue"/>
                  <w:vAlign w:val="top"/>
                </w:tcPr>
                <w:p>
                  <w:pPr>
                    <w:rPr>
                      <w:szCs w:val="21"/>
                    </w:rPr>
                  </w:pPr>
                </w:p>
              </w:tc>
              <w:tc>
                <w:tcPr>
                  <w:tcW w:w="1603" w:type="dxa"/>
                  <w:vAlign w:val="center"/>
                </w:tcPr>
                <w:p>
                  <w:pPr>
                    <w:jc w:val="center"/>
                    <w:rPr>
                      <w:szCs w:val="21"/>
                    </w:rPr>
                  </w:pPr>
                  <w:r>
                    <w:rPr>
                      <w:szCs w:val="21"/>
                    </w:rPr>
                    <w:t>70</w:t>
                  </w:r>
                </w:p>
              </w:tc>
              <w:tc>
                <w:tcPr>
                  <w:tcW w:w="1473" w:type="dxa"/>
                  <w:vAlign w:val="center"/>
                </w:tcPr>
                <w:p>
                  <w:pPr>
                    <w:jc w:val="center"/>
                    <w:rPr>
                      <w:szCs w:val="21"/>
                    </w:rPr>
                  </w:pPr>
                  <w:r>
                    <w:rPr>
                      <w:szCs w:val="21"/>
                    </w:rPr>
                    <w:t>55</w:t>
                  </w:r>
                </w:p>
              </w:tc>
              <w:tc>
                <w:tcPr>
                  <w:tcW w:w="3962" w:type="dxa"/>
                  <w:vMerge w:val="continue"/>
                  <w:vAlign w:val="top"/>
                </w:tcPr>
                <w:p>
                  <w:pPr>
                    <w:rPr>
                      <w:szCs w:val="21"/>
                    </w:rPr>
                  </w:pPr>
                </w:p>
              </w:tc>
            </w:tr>
          </w:tbl>
          <w:p>
            <w:pPr>
              <w:spacing w:line="360" w:lineRule="auto"/>
              <w:ind w:left="420" w:leftChars="200"/>
              <w:rPr>
                <w:b/>
                <w:bCs/>
                <w:sz w:val="24"/>
              </w:rPr>
            </w:pPr>
            <w:r>
              <w:rPr>
                <w:b/>
                <w:bCs/>
                <w:sz w:val="24"/>
              </w:rPr>
              <w:t>二、运营期</w:t>
            </w:r>
          </w:p>
          <w:p>
            <w:pPr>
              <w:spacing w:line="360" w:lineRule="auto"/>
              <w:ind w:left="420" w:leftChars="200"/>
              <w:rPr>
                <w:b/>
                <w:bCs/>
                <w:sz w:val="24"/>
              </w:rPr>
            </w:pPr>
            <w:r>
              <w:rPr>
                <w:b/>
                <w:bCs/>
                <w:sz w:val="24"/>
              </w:rPr>
              <w:t>1、废气</w:t>
            </w:r>
          </w:p>
          <w:p>
            <w:pPr>
              <w:adjustRightInd w:val="0"/>
              <w:snapToGrid w:val="0"/>
              <w:spacing w:line="360" w:lineRule="auto"/>
              <w:ind w:firstLine="480"/>
              <w:rPr>
                <w:sz w:val="24"/>
              </w:rPr>
            </w:pPr>
            <w:r>
              <w:rPr>
                <w:sz w:val="24"/>
              </w:rPr>
              <w:t>本项目锅炉烟气执行《锅炉大气污染物排放标准》（GB13271-2014）中表2新建锅炉大气污染物排放限值要求，详见下表。</w:t>
            </w:r>
          </w:p>
          <w:p>
            <w:pPr>
              <w:jc w:val="center"/>
              <w:rPr>
                <w:color w:val="000000"/>
                <w:sz w:val="24"/>
              </w:rPr>
            </w:pPr>
            <w:r>
              <w:rPr>
                <w:color w:val="000000"/>
                <w:sz w:val="24"/>
              </w:rPr>
              <w:t>表</w:t>
            </w:r>
            <w:r>
              <w:rPr>
                <w:rFonts w:hint="eastAsia"/>
                <w:color w:val="000000"/>
                <w:sz w:val="24"/>
              </w:rPr>
              <w:t xml:space="preserve">30  </w:t>
            </w:r>
            <w:r>
              <w:rPr>
                <w:color w:val="000000"/>
                <w:sz w:val="24"/>
              </w:rPr>
              <w:t>锅炉大气污染物排放标准（摘录）</w:t>
            </w:r>
          </w:p>
          <w:tbl>
            <w:tblPr>
              <w:tblW w:w="8770"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650"/>
              <w:gridCol w:w="1578"/>
              <w:gridCol w:w="2239"/>
              <w:gridCol w:w="3303"/>
            </w:tblGrid>
            <w:tr>
              <w:trPr>
                <w:trHeight w:val="340" w:hRule="atLeast"/>
                <w:jc w:val="center"/>
              </w:trPr>
              <w:tc>
                <w:tcPr>
                  <w:tcW w:w="1650" w:type="dxa"/>
                  <w:vAlign w:val="center"/>
                </w:tcPr>
                <w:p>
                  <w:pPr>
                    <w:adjustRightInd w:val="0"/>
                    <w:snapToGrid w:val="0"/>
                    <w:jc w:val="center"/>
                    <w:rPr>
                      <w:szCs w:val="21"/>
                    </w:rPr>
                  </w:pPr>
                  <w:r>
                    <w:rPr>
                      <w:szCs w:val="21"/>
                    </w:rPr>
                    <w:t>污染物项目</w:t>
                  </w:r>
                </w:p>
              </w:tc>
              <w:tc>
                <w:tcPr>
                  <w:tcW w:w="1578" w:type="dxa"/>
                  <w:vAlign w:val="center"/>
                </w:tcPr>
                <w:p>
                  <w:pPr>
                    <w:adjustRightInd w:val="0"/>
                    <w:snapToGrid w:val="0"/>
                    <w:jc w:val="center"/>
                    <w:rPr>
                      <w:szCs w:val="21"/>
                    </w:rPr>
                  </w:pPr>
                  <w:r>
                    <w:rPr>
                      <w:szCs w:val="21"/>
                    </w:rPr>
                    <w:t>单位</w:t>
                  </w:r>
                </w:p>
              </w:tc>
              <w:tc>
                <w:tcPr>
                  <w:tcW w:w="2239" w:type="dxa"/>
                  <w:vAlign w:val="center"/>
                </w:tcPr>
                <w:p>
                  <w:pPr>
                    <w:adjustRightInd w:val="0"/>
                    <w:snapToGrid w:val="0"/>
                    <w:jc w:val="center"/>
                    <w:rPr>
                      <w:szCs w:val="21"/>
                    </w:rPr>
                  </w:pPr>
                  <w:r>
                    <w:rPr>
                      <w:szCs w:val="21"/>
                    </w:rPr>
                    <w:t>限值（燃煤锅炉）</w:t>
                  </w:r>
                </w:p>
              </w:tc>
              <w:tc>
                <w:tcPr>
                  <w:tcW w:w="3303" w:type="dxa"/>
                  <w:vAlign w:val="center"/>
                </w:tcPr>
                <w:p>
                  <w:pPr>
                    <w:adjustRightInd w:val="0"/>
                    <w:snapToGrid w:val="0"/>
                    <w:jc w:val="center"/>
                    <w:rPr>
                      <w:szCs w:val="21"/>
                    </w:rPr>
                  </w:pPr>
                  <w:r>
                    <w:rPr>
                      <w:szCs w:val="21"/>
                    </w:rPr>
                    <w:t>标准名称及级别</w:t>
                  </w:r>
                </w:p>
              </w:tc>
            </w:tr>
            <w:tr>
              <w:trPr>
                <w:trHeight w:val="340" w:hRule="atLeast"/>
                <w:jc w:val="center"/>
              </w:trPr>
              <w:tc>
                <w:tcPr>
                  <w:tcW w:w="1650" w:type="dxa"/>
                  <w:vAlign w:val="center"/>
                </w:tcPr>
                <w:p>
                  <w:pPr>
                    <w:adjustRightInd w:val="0"/>
                    <w:snapToGrid w:val="0"/>
                    <w:jc w:val="center"/>
                    <w:rPr>
                      <w:szCs w:val="21"/>
                    </w:rPr>
                  </w:pPr>
                  <w:r>
                    <w:rPr>
                      <w:szCs w:val="21"/>
                    </w:rPr>
                    <w:t>颗粒物</w:t>
                  </w:r>
                </w:p>
              </w:tc>
              <w:tc>
                <w:tcPr>
                  <w:tcW w:w="1578" w:type="dxa"/>
                  <w:vAlign w:val="center"/>
                </w:tcPr>
                <w:p>
                  <w:pPr>
                    <w:adjustRightInd w:val="0"/>
                    <w:snapToGrid w:val="0"/>
                    <w:jc w:val="center"/>
                    <w:rPr>
                      <w:szCs w:val="21"/>
                      <w:vertAlign w:val="superscript"/>
                    </w:rPr>
                  </w:pPr>
                  <w:r>
                    <w:rPr>
                      <w:szCs w:val="21"/>
                    </w:rPr>
                    <w:t>mg/m</w:t>
                  </w:r>
                  <w:r>
                    <w:rPr>
                      <w:szCs w:val="21"/>
                      <w:vertAlign w:val="superscript"/>
                    </w:rPr>
                    <w:t>3</w:t>
                  </w:r>
                </w:p>
              </w:tc>
              <w:tc>
                <w:tcPr>
                  <w:tcW w:w="2239" w:type="dxa"/>
                  <w:vAlign w:val="center"/>
                </w:tcPr>
                <w:p>
                  <w:pPr>
                    <w:adjustRightInd w:val="0"/>
                    <w:snapToGrid w:val="0"/>
                    <w:jc w:val="center"/>
                    <w:rPr>
                      <w:szCs w:val="21"/>
                    </w:rPr>
                  </w:pPr>
                  <w:r>
                    <w:rPr>
                      <w:szCs w:val="21"/>
                    </w:rPr>
                    <w:t>50</w:t>
                  </w:r>
                </w:p>
              </w:tc>
              <w:tc>
                <w:tcPr>
                  <w:tcW w:w="3303" w:type="dxa"/>
                  <w:vMerge w:val="restart"/>
                  <w:vAlign w:val="center"/>
                </w:tcPr>
                <w:p>
                  <w:pPr>
                    <w:adjustRightInd w:val="0"/>
                    <w:snapToGrid w:val="0"/>
                    <w:jc w:val="center"/>
                    <w:rPr>
                      <w:szCs w:val="21"/>
                    </w:rPr>
                  </w:pPr>
                  <w:r>
                    <w:rPr>
                      <w:szCs w:val="21"/>
                    </w:rPr>
                    <w:t>《锅炉大气污染物排放标准》</w:t>
                  </w:r>
                  <w:r>
                    <w:rPr>
                      <w:rFonts w:hint="eastAsia"/>
                      <w:szCs w:val="21"/>
                    </w:rPr>
                    <w:t>（</w:t>
                  </w:r>
                  <w:r>
                    <w:rPr>
                      <w:szCs w:val="21"/>
                    </w:rPr>
                    <w:t>GB13271-2014</w:t>
                  </w:r>
                  <w:r>
                    <w:rPr>
                      <w:rFonts w:hint="eastAsia"/>
                      <w:szCs w:val="21"/>
                    </w:rPr>
                    <w:t>）</w:t>
                  </w:r>
                  <w:r>
                    <w:rPr>
                      <w:szCs w:val="21"/>
                    </w:rPr>
                    <w:t>中表2新建锅炉大气污染物排放限值</w:t>
                  </w:r>
                </w:p>
              </w:tc>
            </w:tr>
            <w:tr>
              <w:trPr>
                <w:trHeight w:val="340" w:hRule="atLeast"/>
                <w:jc w:val="center"/>
              </w:trPr>
              <w:tc>
                <w:tcPr>
                  <w:tcW w:w="1650" w:type="dxa"/>
                  <w:vAlign w:val="center"/>
                </w:tcPr>
                <w:p>
                  <w:pPr>
                    <w:adjustRightInd w:val="0"/>
                    <w:snapToGrid w:val="0"/>
                    <w:jc w:val="center"/>
                    <w:rPr>
                      <w:szCs w:val="21"/>
                    </w:rPr>
                  </w:pPr>
                  <w:r>
                    <w:rPr>
                      <w:rFonts w:hint="eastAsia"/>
                      <w:szCs w:val="21"/>
                    </w:rPr>
                    <w:t>二氧化硫</w:t>
                  </w:r>
                </w:p>
              </w:tc>
              <w:tc>
                <w:tcPr>
                  <w:tcW w:w="1578" w:type="dxa"/>
                  <w:vAlign w:val="center"/>
                </w:tcPr>
                <w:p>
                  <w:pPr>
                    <w:adjustRightInd w:val="0"/>
                    <w:snapToGrid w:val="0"/>
                    <w:jc w:val="center"/>
                    <w:rPr>
                      <w:szCs w:val="21"/>
                    </w:rPr>
                  </w:pPr>
                  <w:r>
                    <w:rPr>
                      <w:szCs w:val="21"/>
                    </w:rPr>
                    <w:t>mg/m</w:t>
                  </w:r>
                  <w:r>
                    <w:rPr>
                      <w:szCs w:val="21"/>
                      <w:vertAlign w:val="superscript"/>
                    </w:rPr>
                    <w:t>3</w:t>
                  </w:r>
                </w:p>
              </w:tc>
              <w:tc>
                <w:tcPr>
                  <w:tcW w:w="2239" w:type="dxa"/>
                  <w:vAlign w:val="center"/>
                </w:tcPr>
                <w:p>
                  <w:pPr>
                    <w:adjustRightInd w:val="0"/>
                    <w:snapToGrid w:val="0"/>
                    <w:jc w:val="center"/>
                    <w:rPr>
                      <w:szCs w:val="21"/>
                    </w:rPr>
                  </w:pPr>
                  <w:r>
                    <w:rPr>
                      <w:szCs w:val="21"/>
                    </w:rPr>
                    <w:t>300</w:t>
                  </w:r>
                </w:p>
              </w:tc>
              <w:tc>
                <w:tcPr>
                  <w:tcW w:w="3303" w:type="dxa"/>
                  <w:vMerge w:val="continue"/>
                  <w:vAlign w:val="center"/>
                </w:tcPr>
                <w:p>
                  <w:pPr>
                    <w:adjustRightInd w:val="0"/>
                    <w:snapToGrid w:val="0"/>
                    <w:jc w:val="center"/>
                    <w:rPr>
                      <w:szCs w:val="21"/>
                    </w:rPr>
                  </w:pPr>
                </w:p>
              </w:tc>
            </w:tr>
            <w:tr>
              <w:trPr>
                <w:trHeight w:val="340" w:hRule="atLeast"/>
                <w:jc w:val="center"/>
              </w:trPr>
              <w:tc>
                <w:tcPr>
                  <w:tcW w:w="1650" w:type="dxa"/>
                  <w:vAlign w:val="center"/>
                </w:tcPr>
                <w:p>
                  <w:pPr>
                    <w:adjustRightInd w:val="0"/>
                    <w:snapToGrid w:val="0"/>
                    <w:jc w:val="center"/>
                    <w:rPr>
                      <w:szCs w:val="21"/>
                    </w:rPr>
                  </w:pPr>
                  <w:r>
                    <w:rPr>
                      <w:rFonts w:hint="eastAsia"/>
                      <w:szCs w:val="21"/>
                    </w:rPr>
                    <w:t>氮氧化物</w:t>
                  </w:r>
                </w:p>
              </w:tc>
              <w:tc>
                <w:tcPr>
                  <w:tcW w:w="1578" w:type="dxa"/>
                  <w:vAlign w:val="center"/>
                </w:tcPr>
                <w:p>
                  <w:pPr>
                    <w:adjustRightInd w:val="0"/>
                    <w:snapToGrid w:val="0"/>
                    <w:jc w:val="center"/>
                    <w:rPr>
                      <w:szCs w:val="21"/>
                    </w:rPr>
                  </w:pPr>
                  <w:r>
                    <w:rPr>
                      <w:szCs w:val="21"/>
                    </w:rPr>
                    <w:t>mg/m</w:t>
                  </w:r>
                  <w:r>
                    <w:rPr>
                      <w:szCs w:val="21"/>
                      <w:vertAlign w:val="superscript"/>
                    </w:rPr>
                    <w:t>3</w:t>
                  </w:r>
                </w:p>
              </w:tc>
              <w:tc>
                <w:tcPr>
                  <w:tcW w:w="2239" w:type="dxa"/>
                  <w:vAlign w:val="center"/>
                </w:tcPr>
                <w:p>
                  <w:pPr>
                    <w:adjustRightInd w:val="0"/>
                    <w:snapToGrid w:val="0"/>
                    <w:jc w:val="center"/>
                    <w:rPr>
                      <w:szCs w:val="21"/>
                    </w:rPr>
                  </w:pPr>
                  <w:r>
                    <w:rPr>
                      <w:szCs w:val="21"/>
                    </w:rPr>
                    <w:t>300</w:t>
                  </w:r>
                </w:p>
              </w:tc>
              <w:tc>
                <w:tcPr>
                  <w:tcW w:w="3303" w:type="dxa"/>
                  <w:vMerge w:val="continue"/>
                  <w:vAlign w:val="center"/>
                </w:tcPr>
                <w:p>
                  <w:pPr>
                    <w:adjustRightInd w:val="0"/>
                    <w:snapToGrid w:val="0"/>
                    <w:jc w:val="center"/>
                    <w:rPr>
                      <w:szCs w:val="21"/>
                    </w:rPr>
                  </w:pPr>
                </w:p>
              </w:tc>
            </w:tr>
            <w:tr>
              <w:trPr>
                <w:trHeight w:val="340" w:hRule="atLeast"/>
                <w:jc w:val="center"/>
              </w:trPr>
              <w:tc>
                <w:tcPr>
                  <w:tcW w:w="3228" w:type="dxa"/>
                  <w:gridSpan w:val="2"/>
                  <w:vAlign w:val="center"/>
                </w:tcPr>
                <w:p>
                  <w:pPr>
                    <w:adjustRightInd w:val="0"/>
                    <w:snapToGrid w:val="0"/>
                    <w:jc w:val="center"/>
                    <w:rPr>
                      <w:szCs w:val="21"/>
                    </w:rPr>
                  </w:pPr>
                  <w:r>
                    <w:rPr>
                      <w:szCs w:val="21"/>
                    </w:rPr>
                    <w:t>烟气黑度（林格曼黑度，级）</w:t>
                  </w:r>
                </w:p>
              </w:tc>
              <w:tc>
                <w:tcPr>
                  <w:tcW w:w="2239" w:type="dxa"/>
                  <w:vAlign w:val="center"/>
                </w:tcPr>
                <w:p>
                  <w:pPr>
                    <w:adjustRightInd w:val="0"/>
                    <w:snapToGrid w:val="0"/>
                    <w:jc w:val="center"/>
                    <w:rPr>
                      <w:szCs w:val="21"/>
                    </w:rPr>
                  </w:pPr>
                  <w:r>
                    <w:rPr>
                      <w:szCs w:val="21"/>
                    </w:rPr>
                    <w:t>≤1</w:t>
                  </w:r>
                </w:p>
              </w:tc>
              <w:tc>
                <w:tcPr>
                  <w:tcW w:w="3303" w:type="dxa"/>
                  <w:vMerge w:val="continue"/>
                  <w:vAlign w:val="center"/>
                </w:tcPr>
                <w:p>
                  <w:pPr>
                    <w:adjustRightInd w:val="0"/>
                    <w:snapToGrid w:val="0"/>
                    <w:jc w:val="center"/>
                    <w:rPr>
                      <w:szCs w:val="21"/>
                    </w:rPr>
                  </w:pPr>
                </w:p>
              </w:tc>
            </w:tr>
          </w:tbl>
          <w:p>
            <w:pPr>
              <w:adjustRightInd w:val="0"/>
              <w:snapToGrid w:val="0"/>
              <w:spacing w:line="360" w:lineRule="auto"/>
              <w:ind w:firstLine="480" w:firstLineChars="200"/>
              <w:rPr>
                <w:sz w:val="24"/>
              </w:rPr>
            </w:pPr>
            <w:r>
              <w:rPr>
                <w:sz w:val="24"/>
              </w:rPr>
              <w:t>烟囱高度执行《锅炉大气污染物排放标准》（GB13271-2014）中表4燃煤锅炉房烟囱最低允许高度（生物质锅炉参照执行），详见下表。</w:t>
            </w:r>
          </w:p>
          <w:p>
            <w:pPr>
              <w:jc w:val="center"/>
              <w:rPr>
                <w:color w:val="000000"/>
                <w:sz w:val="24"/>
              </w:rPr>
            </w:pPr>
            <w:r>
              <w:rPr>
                <w:color w:val="000000"/>
                <w:sz w:val="24"/>
              </w:rPr>
              <w:t>表</w:t>
            </w:r>
            <w:r>
              <w:rPr>
                <w:rFonts w:hint="eastAsia"/>
                <w:color w:val="000000"/>
                <w:sz w:val="24"/>
              </w:rPr>
              <w:t xml:space="preserve">31  </w:t>
            </w:r>
            <w:r>
              <w:rPr>
                <w:color w:val="000000"/>
                <w:sz w:val="24"/>
              </w:rPr>
              <w:t>锅炉房烟囱最低允许高度</w:t>
            </w:r>
          </w:p>
          <w:tbl>
            <w:tblPr>
              <w:tblW w:w="87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1529"/>
              <w:gridCol w:w="931"/>
              <w:gridCol w:w="860"/>
              <w:gridCol w:w="1232"/>
              <w:gridCol w:w="1156"/>
              <w:gridCol w:w="937"/>
              <w:gridCol w:w="1045"/>
              <w:gridCol w:w="1045"/>
            </w:tblGrid>
            <w:tr>
              <w:trPr>
                <w:trHeight w:val="340" w:hRule="atLeast"/>
                <w:jc w:val="center"/>
              </w:trPr>
              <w:tc>
                <w:tcPr>
                  <w:tcW w:w="1529" w:type="dxa"/>
                  <w:vMerge w:val="restart"/>
                  <w:tcBorders>
                    <w:top w:val="single" w:color="000000" w:sz="12" w:space="0"/>
                    <w:left w:val="single" w:color="E6E6E6" w:sz="4" w:space="0"/>
                    <w:bottom w:val="single" w:color="000000" w:sz="6" w:space="0"/>
                    <w:right w:val="single" w:color="000000" w:sz="6" w:space="0"/>
                  </w:tcBorders>
                  <w:tcMar>
                    <w:top w:w="24" w:type="dxa"/>
                    <w:left w:w="120" w:type="dxa"/>
                    <w:bottom w:w="24" w:type="dxa"/>
                    <w:right w:w="120" w:type="dxa"/>
                  </w:tcMar>
                  <w:vAlign w:val="center"/>
                </w:tcPr>
                <w:p>
                  <w:pPr>
                    <w:adjustRightInd w:val="0"/>
                    <w:snapToGrid w:val="0"/>
                    <w:jc w:val="center"/>
                    <w:rPr>
                      <w:szCs w:val="21"/>
                    </w:rPr>
                  </w:pPr>
                  <w:r>
                    <w:rPr>
                      <w:szCs w:val="21"/>
                    </w:rPr>
                    <w:t>锅炉房装机总容量</w:t>
                  </w:r>
                </w:p>
              </w:tc>
              <w:tc>
                <w:tcPr>
                  <w:tcW w:w="931" w:type="dxa"/>
                  <w:tcBorders>
                    <w:top w:val="single" w:color="000000" w:sz="12" w:space="0"/>
                    <w:left w:val="single" w:color="000000" w:sz="6" w:space="0"/>
                    <w:bottom w:val="single" w:color="000000" w:sz="6" w:space="0"/>
                    <w:right w:val="single" w:color="000000" w:sz="6" w:space="0"/>
                  </w:tcBorders>
                  <w:tcMar>
                    <w:top w:w="24" w:type="dxa"/>
                    <w:left w:w="120" w:type="dxa"/>
                    <w:bottom w:w="24" w:type="dxa"/>
                    <w:right w:w="120" w:type="dxa"/>
                  </w:tcMar>
                  <w:vAlign w:val="center"/>
                </w:tcPr>
                <w:p>
                  <w:pPr>
                    <w:adjustRightInd w:val="0"/>
                    <w:snapToGrid w:val="0"/>
                    <w:jc w:val="center"/>
                    <w:rPr>
                      <w:szCs w:val="21"/>
                    </w:rPr>
                  </w:pPr>
                  <w:r>
                    <w:rPr>
                      <w:szCs w:val="21"/>
                    </w:rPr>
                    <w:t>MW</w:t>
                  </w:r>
                </w:p>
              </w:tc>
              <w:tc>
                <w:tcPr>
                  <w:tcW w:w="860" w:type="dxa"/>
                  <w:tcBorders>
                    <w:top w:val="single" w:color="000000" w:sz="12" w:space="0"/>
                    <w:left w:val="single" w:color="000000" w:sz="6" w:space="0"/>
                    <w:bottom w:val="single" w:color="000000" w:sz="6" w:space="0"/>
                    <w:right w:val="single" w:color="000000" w:sz="6" w:space="0"/>
                  </w:tcBorders>
                  <w:tcMar>
                    <w:top w:w="24" w:type="dxa"/>
                    <w:left w:w="120" w:type="dxa"/>
                    <w:bottom w:w="24" w:type="dxa"/>
                    <w:right w:w="120" w:type="dxa"/>
                  </w:tcMar>
                  <w:vAlign w:val="center"/>
                </w:tcPr>
                <w:p>
                  <w:pPr>
                    <w:adjustRightInd w:val="0"/>
                    <w:snapToGrid w:val="0"/>
                    <w:jc w:val="center"/>
                    <w:rPr>
                      <w:szCs w:val="21"/>
                    </w:rPr>
                  </w:pPr>
                  <w:r>
                    <w:rPr>
                      <w:szCs w:val="21"/>
                    </w:rPr>
                    <w:t>&lt;0.7</w:t>
                  </w:r>
                </w:p>
              </w:tc>
              <w:tc>
                <w:tcPr>
                  <w:tcW w:w="1232" w:type="dxa"/>
                  <w:tcBorders>
                    <w:top w:val="single" w:color="000000" w:sz="12" w:space="0"/>
                    <w:left w:val="single" w:color="000000" w:sz="6" w:space="0"/>
                    <w:bottom w:val="single" w:color="000000" w:sz="6" w:space="0"/>
                    <w:right w:val="single" w:color="000000" w:sz="6" w:space="0"/>
                  </w:tcBorders>
                  <w:tcMar>
                    <w:top w:w="24" w:type="dxa"/>
                    <w:left w:w="120" w:type="dxa"/>
                    <w:bottom w:w="24" w:type="dxa"/>
                    <w:right w:w="120" w:type="dxa"/>
                  </w:tcMar>
                  <w:vAlign w:val="center"/>
                </w:tcPr>
                <w:p>
                  <w:pPr>
                    <w:adjustRightInd w:val="0"/>
                    <w:snapToGrid w:val="0"/>
                    <w:jc w:val="center"/>
                    <w:rPr>
                      <w:szCs w:val="21"/>
                    </w:rPr>
                  </w:pPr>
                  <w:r>
                    <w:rPr>
                      <w:szCs w:val="21"/>
                    </w:rPr>
                    <w:t>0.7~&lt;1.4</w:t>
                  </w:r>
                </w:p>
              </w:tc>
              <w:tc>
                <w:tcPr>
                  <w:tcW w:w="1156" w:type="dxa"/>
                  <w:tcBorders>
                    <w:top w:val="single" w:color="000000" w:sz="12" w:space="0"/>
                    <w:left w:val="single" w:color="000000" w:sz="6" w:space="0"/>
                    <w:bottom w:val="single" w:color="000000" w:sz="6" w:space="0"/>
                    <w:right w:val="single" w:color="000000" w:sz="6" w:space="0"/>
                  </w:tcBorders>
                  <w:tcMar>
                    <w:top w:w="24" w:type="dxa"/>
                    <w:left w:w="120" w:type="dxa"/>
                    <w:bottom w:w="24" w:type="dxa"/>
                    <w:right w:w="120" w:type="dxa"/>
                  </w:tcMar>
                  <w:vAlign w:val="center"/>
                </w:tcPr>
                <w:p>
                  <w:pPr>
                    <w:adjustRightInd w:val="0"/>
                    <w:snapToGrid w:val="0"/>
                    <w:jc w:val="center"/>
                    <w:rPr>
                      <w:szCs w:val="21"/>
                    </w:rPr>
                  </w:pPr>
                  <w:r>
                    <w:rPr>
                      <w:szCs w:val="21"/>
                    </w:rPr>
                    <w:t>1.4~&lt;2.8</w:t>
                  </w:r>
                </w:p>
              </w:tc>
              <w:tc>
                <w:tcPr>
                  <w:tcW w:w="937" w:type="dxa"/>
                  <w:tcBorders>
                    <w:top w:val="single" w:color="000000" w:sz="12" w:space="0"/>
                    <w:left w:val="single" w:color="000000" w:sz="6" w:space="0"/>
                    <w:bottom w:val="single" w:color="000000" w:sz="6" w:space="0"/>
                    <w:right w:val="single" w:color="000000" w:sz="6" w:space="0"/>
                  </w:tcBorders>
                  <w:tcMar>
                    <w:top w:w="24" w:type="dxa"/>
                    <w:left w:w="120" w:type="dxa"/>
                    <w:bottom w:w="24" w:type="dxa"/>
                    <w:right w:w="120" w:type="dxa"/>
                  </w:tcMar>
                  <w:vAlign w:val="center"/>
                </w:tcPr>
                <w:p>
                  <w:pPr>
                    <w:adjustRightInd w:val="0"/>
                    <w:snapToGrid w:val="0"/>
                    <w:jc w:val="center"/>
                    <w:rPr>
                      <w:b/>
                      <w:bCs/>
                      <w:szCs w:val="21"/>
                    </w:rPr>
                  </w:pPr>
                  <w:r>
                    <w:rPr>
                      <w:b/>
                      <w:bCs/>
                      <w:szCs w:val="21"/>
                    </w:rPr>
                    <w:t>2.8~&lt;7</w:t>
                  </w:r>
                </w:p>
              </w:tc>
              <w:tc>
                <w:tcPr>
                  <w:tcW w:w="1045" w:type="dxa"/>
                  <w:tcBorders>
                    <w:top w:val="single" w:color="000000" w:sz="12" w:space="0"/>
                    <w:left w:val="single" w:color="000000" w:sz="6" w:space="0"/>
                    <w:bottom w:val="single" w:color="000000" w:sz="6" w:space="0"/>
                    <w:right w:val="single" w:color="000000" w:sz="6" w:space="0"/>
                  </w:tcBorders>
                  <w:tcMar>
                    <w:top w:w="24" w:type="dxa"/>
                    <w:left w:w="120" w:type="dxa"/>
                    <w:bottom w:w="24" w:type="dxa"/>
                    <w:right w:w="120" w:type="dxa"/>
                  </w:tcMar>
                  <w:vAlign w:val="center"/>
                </w:tcPr>
                <w:p>
                  <w:pPr>
                    <w:adjustRightInd w:val="0"/>
                    <w:snapToGrid w:val="0"/>
                    <w:jc w:val="center"/>
                    <w:rPr>
                      <w:szCs w:val="21"/>
                    </w:rPr>
                  </w:pPr>
                  <w:r>
                    <w:rPr>
                      <w:szCs w:val="21"/>
                    </w:rPr>
                    <w:t>7~&lt;14</w:t>
                  </w:r>
                </w:p>
              </w:tc>
              <w:tc>
                <w:tcPr>
                  <w:tcW w:w="1045" w:type="dxa"/>
                  <w:tcBorders>
                    <w:top w:val="single" w:color="000000" w:sz="12" w:space="0"/>
                    <w:left w:val="single" w:color="000000" w:sz="6" w:space="0"/>
                    <w:bottom w:val="single" w:color="000000" w:sz="6" w:space="0"/>
                    <w:right w:val="nil"/>
                  </w:tcBorders>
                  <w:tcMar>
                    <w:top w:w="24" w:type="dxa"/>
                    <w:left w:w="120" w:type="dxa"/>
                    <w:bottom w:w="24" w:type="dxa"/>
                    <w:right w:w="120" w:type="dxa"/>
                  </w:tcMar>
                  <w:vAlign w:val="center"/>
                </w:tcPr>
                <w:p>
                  <w:pPr>
                    <w:adjustRightInd w:val="0"/>
                    <w:snapToGrid w:val="0"/>
                    <w:jc w:val="center"/>
                    <w:rPr>
                      <w:szCs w:val="21"/>
                    </w:rPr>
                  </w:pPr>
                  <w:r>
                    <w:rPr>
                      <w:szCs w:val="21"/>
                    </w:rPr>
                    <w:t>≥14</w:t>
                  </w:r>
                </w:p>
              </w:tc>
            </w:tr>
            <w:tr>
              <w:trPr>
                <w:trHeight w:val="340" w:hRule="atLeast"/>
                <w:jc w:val="center"/>
              </w:trPr>
              <w:tc>
                <w:tcPr>
                  <w:tcW w:w="1529" w:type="dxa"/>
                  <w:vMerge w:val="continue"/>
                  <w:tcBorders>
                    <w:top w:val="single" w:color="000000" w:sz="6" w:space="0"/>
                    <w:left w:val="nil"/>
                    <w:bottom w:val="single" w:color="000000" w:sz="6" w:space="0"/>
                    <w:right w:val="single" w:color="000000" w:sz="6" w:space="0"/>
                  </w:tcBorders>
                  <w:tcMar>
                    <w:top w:w="24" w:type="dxa"/>
                    <w:left w:w="120" w:type="dxa"/>
                    <w:bottom w:w="24" w:type="dxa"/>
                    <w:right w:w="120" w:type="dxa"/>
                  </w:tcMar>
                  <w:vAlign w:val="center"/>
                </w:tcPr>
                <w:p>
                  <w:pPr>
                    <w:adjustRightInd w:val="0"/>
                    <w:snapToGrid w:val="0"/>
                    <w:jc w:val="center"/>
                    <w:rPr>
                      <w:szCs w:val="21"/>
                    </w:rPr>
                  </w:pPr>
                </w:p>
              </w:tc>
              <w:tc>
                <w:tcPr>
                  <w:tcW w:w="931" w:type="dxa"/>
                  <w:tcBorders>
                    <w:top w:val="single" w:color="000000" w:sz="6" w:space="0"/>
                    <w:left w:val="single" w:color="000000" w:sz="6" w:space="0"/>
                    <w:bottom w:val="single" w:color="000000" w:sz="6" w:space="0"/>
                    <w:right w:val="single" w:color="000000" w:sz="6" w:space="0"/>
                  </w:tcBorders>
                  <w:tcMar>
                    <w:top w:w="24" w:type="dxa"/>
                    <w:left w:w="120" w:type="dxa"/>
                    <w:bottom w:w="24" w:type="dxa"/>
                    <w:right w:w="120" w:type="dxa"/>
                  </w:tcMar>
                  <w:vAlign w:val="center"/>
                </w:tcPr>
                <w:p>
                  <w:pPr>
                    <w:adjustRightInd w:val="0"/>
                    <w:snapToGrid w:val="0"/>
                    <w:jc w:val="center"/>
                    <w:rPr>
                      <w:szCs w:val="21"/>
                    </w:rPr>
                  </w:pPr>
                  <w:r>
                    <w:rPr>
                      <w:szCs w:val="21"/>
                    </w:rPr>
                    <w:t>t/h</w:t>
                  </w:r>
                </w:p>
              </w:tc>
              <w:tc>
                <w:tcPr>
                  <w:tcW w:w="860" w:type="dxa"/>
                  <w:tcBorders>
                    <w:top w:val="single" w:color="000000" w:sz="6" w:space="0"/>
                    <w:left w:val="single" w:color="000000" w:sz="6" w:space="0"/>
                    <w:bottom w:val="single" w:color="000000" w:sz="6" w:space="0"/>
                    <w:right w:val="single" w:color="000000" w:sz="6" w:space="0"/>
                  </w:tcBorders>
                  <w:tcMar>
                    <w:top w:w="24" w:type="dxa"/>
                    <w:left w:w="120" w:type="dxa"/>
                    <w:bottom w:w="24" w:type="dxa"/>
                    <w:right w:w="120" w:type="dxa"/>
                  </w:tcMar>
                  <w:vAlign w:val="center"/>
                </w:tcPr>
                <w:p>
                  <w:pPr>
                    <w:adjustRightInd w:val="0"/>
                    <w:snapToGrid w:val="0"/>
                    <w:jc w:val="center"/>
                    <w:rPr>
                      <w:szCs w:val="21"/>
                    </w:rPr>
                  </w:pPr>
                  <w:r>
                    <w:rPr>
                      <w:szCs w:val="21"/>
                    </w:rPr>
                    <w:t>&lt;1</w:t>
                  </w:r>
                </w:p>
              </w:tc>
              <w:tc>
                <w:tcPr>
                  <w:tcW w:w="1232" w:type="dxa"/>
                  <w:tcBorders>
                    <w:top w:val="single" w:color="000000" w:sz="6" w:space="0"/>
                    <w:left w:val="single" w:color="000000" w:sz="6" w:space="0"/>
                    <w:bottom w:val="single" w:color="000000" w:sz="6" w:space="0"/>
                    <w:right w:val="single" w:color="000000" w:sz="6" w:space="0"/>
                  </w:tcBorders>
                  <w:tcMar>
                    <w:top w:w="24" w:type="dxa"/>
                    <w:left w:w="120" w:type="dxa"/>
                    <w:bottom w:w="24" w:type="dxa"/>
                    <w:right w:w="120" w:type="dxa"/>
                  </w:tcMar>
                  <w:vAlign w:val="center"/>
                </w:tcPr>
                <w:p>
                  <w:pPr>
                    <w:adjustRightInd w:val="0"/>
                    <w:snapToGrid w:val="0"/>
                    <w:jc w:val="center"/>
                    <w:rPr>
                      <w:szCs w:val="21"/>
                    </w:rPr>
                  </w:pPr>
                  <w:r>
                    <w:rPr>
                      <w:szCs w:val="21"/>
                    </w:rPr>
                    <w:t>1~&lt;2</w:t>
                  </w:r>
                </w:p>
              </w:tc>
              <w:tc>
                <w:tcPr>
                  <w:tcW w:w="1156" w:type="dxa"/>
                  <w:tcBorders>
                    <w:top w:val="single" w:color="000000" w:sz="6" w:space="0"/>
                    <w:left w:val="single" w:color="000000" w:sz="6" w:space="0"/>
                    <w:bottom w:val="single" w:color="000000" w:sz="6" w:space="0"/>
                    <w:right w:val="single" w:color="000000" w:sz="6" w:space="0"/>
                  </w:tcBorders>
                  <w:tcMar>
                    <w:top w:w="24" w:type="dxa"/>
                    <w:left w:w="120" w:type="dxa"/>
                    <w:bottom w:w="24" w:type="dxa"/>
                    <w:right w:w="120" w:type="dxa"/>
                  </w:tcMar>
                  <w:vAlign w:val="center"/>
                </w:tcPr>
                <w:p>
                  <w:pPr>
                    <w:adjustRightInd w:val="0"/>
                    <w:snapToGrid w:val="0"/>
                    <w:jc w:val="center"/>
                    <w:rPr>
                      <w:szCs w:val="21"/>
                    </w:rPr>
                  </w:pPr>
                  <w:r>
                    <w:rPr>
                      <w:szCs w:val="21"/>
                    </w:rPr>
                    <w:t>2~&lt;4</w:t>
                  </w:r>
                </w:p>
              </w:tc>
              <w:tc>
                <w:tcPr>
                  <w:tcW w:w="937" w:type="dxa"/>
                  <w:tcBorders>
                    <w:top w:val="single" w:color="000000" w:sz="6" w:space="0"/>
                    <w:left w:val="single" w:color="000000" w:sz="6" w:space="0"/>
                    <w:bottom w:val="single" w:color="000000" w:sz="6" w:space="0"/>
                    <w:right w:val="single" w:color="000000" w:sz="6" w:space="0"/>
                  </w:tcBorders>
                  <w:tcMar>
                    <w:top w:w="24" w:type="dxa"/>
                    <w:left w:w="120" w:type="dxa"/>
                    <w:bottom w:w="24" w:type="dxa"/>
                    <w:right w:w="120" w:type="dxa"/>
                  </w:tcMar>
                  <w:vAlign w:val="center"/>
                </w:tcPr>
                <w:p>
                  <w:pPr>
                    <w:adjustRightInd w:val="0"/>
                    <w:snapToGrid w:val="0"/>
                    <w:jc w:val="center"/>
                    <w:rPr>
                      <w:b/>
                      <w:bCs/>
                      <w:szCs w:val="21"/>
                    </w:rPr>
                  </w:pPr>
                  <w:r>
                    <w:rPr>
                      <w:b/>
                      <w:bCs/>
                      <w:szCs w:val="21"/>
                    </w:rPr>
                    <w:t>4~&lt;10</w:t>
                  </w:r>
                </w:p>
              </w:tc>
              <w:tc>
                <w:tcPr>
                  <w:tcW w:w="1045" w:type="dxa"/>
                  <w:tcBorders>
                    <w:top w:val="single" w:color="000000" w:sz="6" w:space="0"/>
                    <w:left w:val="single" w:color="000000" w:sz="6" w:space="0"/>
                    <w:bottom w:val="single" w:color="000000" w:sz="6" w:space="0"/>
                    <w:right w:val="single" w:color="000000" w:sz="6" w:space="0"/>
                  </w:tcBorders>
                  <w:tcMar>
                    <w:top w:w="24" w:type="dxa"/>
                    <w:left w:w="120" w:type="dxa"/>
                    <w:bottom w:w="24" w:type="dxa"/>
                    <w:right w:w="120" w:type="dxa"/>
                  </w:tcMar>
                  <w:vAlign w:val="center"/>
                </w:tcPr>
                <w:p>
                  <w:pPr>
                    <w:adjustRightInd w:val="0"/>
                    <w:snapToGrid w:val="0"/>
                    <w:jc w:val="center"/>
                    <w:rPr>
                      <w:szCs w:val="21"/>
                    </w:rPr>
                  </w:pPr>
                  <w:r>
                    <w:rPr>
                      <w:szCs w:val="21"/>
                    </w:rPr>
                    <w:t>10~&lt;20</w:t>
                  </w:r>
                </w:p>
              </w:tc>
              <w:tc>
                <w:tcPr>
                  <w:tcW w:w="1045" w:type="dxa"/>
                  <w:tcBorders>
                    <w:top w:val="single" w:color="000000" w:sz="6" w:space="0"/>
                    <w:left w:val="single" w:color="000000" w:sz="6" w:space="0"/>
                    <w:bottom w:val="single" w:color="000000" w:sz="6" w:space="0"/>
                    <w:right w:val="nil"/>
                  </w:tcBorders>
                  <w:tcMar>
                    <w:top w:w="24" w:type="dxa"/>
                    <w:left w:w="120" w:type="dxa"/>
                    <w:bottom w:w="24" w:type="dxa"/>
                    <w:right w:w="120" w:type="dxa"/>
                  </w:tcMar>
                  <w:vAlign w:val="center"/>
                </w:tcPr>
                <w:p>
                  <w:pPr>
                    <w:adjustRightInd w:val="0"/>
                    <w:snapToGrid w:val="0"/>
                    <w:jc w:val="center"/>
                    <w:rPr>
                      <w:szCs w:val="21"/>
                    </w:rPr>
                  </w:pPr>
                  <w:r>
                    <w:rPr>
                      <w:szCs w:val="21"/>
                    </w:rPr>
                    <w:t>≥20</w:t>
                  </w:r>
                </w:p>
              </w:tc>
            </w:tr>
            <w:tr>
              <w:trPr>
                <w:trHeight w:val="340" w:hRule="atLeast"/>
                <w:jc w:val="center"/>
              </w:trPr>
              <w:tc>
                <w:tcPr>
                  <w:tcW w:w="1529" w:type="dxa"/>
                  <w:tcBorders>
                    <w:top w:val="single" w:color="000000" w:sz="6" w:space="0"/>
                    <w:left w:val="nil"/>
                    <w:bottom w:val="single" w:color="000000" w:sz="12" w:space="0"/>
                    <w:right w:val="single" w:color="000000" w:sz="6" w:space="0"/>
                  </w:tcBorders>
                  <w:tcMar>
                    <w:top w:w="24" w:type="dxa"/>
                    <w:left w:w="120" w:type="dxa"/>
                    <w:bottom w:w="24" w:type="dxa"/>
                    <w:right w:w="120" w:type="dxa"/>
                  </w:tcMar>
                  <w:vAlign w:val="center"/>
                </w:tcPr>
                <w:p>
                  <w:pPr>
                    <w:adjustRightInd w:val="0"/>
                    <w:snapToGrid w:val="0"/>
                    <w:jc w:val="center"/>
                    <w:rPr>
                      <w:szCs w:val="21"/>
                    </w:rPr>
                  </w:pPr>
                  <w:r>
                    <w:rPr>
                      <w:szCs w:val="21"/>
                    </w:rPr>
                    <w:t>烟囱最低允许高度</w:t>
                  </w:r>
                </w:p>
              </w:tc>
              <w:tc>
                <w:tcPr>
                  <w:tcW w:w="931" w:type="dxa"/>
                  <w:tcBorders>
                    <w:top w:val="single" w:color="000000" w:sz="6" w:space="0"/>
                    <w:left w:val="single" w:color="000000" w:sz="6" w:space="0"/>
                    <w:bottom w:val="single" w:color="000000" w:sz="12" w:space="0"/>
                    <w:right w:val="single" w:color="000000" w:sz="6" w:space="0"/>
                  </w:tcBorders>
                  <w:tcMar>
                    <w:top w:w="24" w:type="dxa"/>
                    <w:left w:w="120" w:type="dxa"/>
                    <w:bottom w:w="24" w:type="dxa"/>
                    <w:right w:w="120" w:type="dxa"/>
                  </w:tcMar>
                  <w:vAlign w:val="center"/>
                </w:tcPr>
                <w:p>
                  <w:pPr>
                    <w:adjustRightInd w:val="0"/>
                    <w:snapToGrid w:val="0"/>
                    <w:jc w:val="center"/>
                    <w:rPr>
                      <w:szCs w:val="21"/>
                    </w:rPr>
                  </w:pPr>
                  <w:r>
                    <w:rPr>
                      <w:szCs w:val="21"/>
                    </w:rPr>
                    <w:t>m</w:t>
                  </w:r>
                </w:p>
              </w:tc>
              <w:tc>
                <w:tcPr>
                  <w:tcW w:w="860" w:type="dxa"/>
                  <w:tcBorders>
                    <w:top w:val="single" w:color="000000" w:sz="6" w:space="0"/>
                    <w:left w:val="single" w:color="000000" w:sz="6" w:space="0"/>
                    <w:bottom w:val="single" w:color="000000" w:sz="12" w:space="0"/>
                    <w:right w:val="single" w:color="000000" w:sz="6" w:space="0"/>
                  </w:tcBorders>
                  <w:tcMar>
                    <w:top w:w="24" w:type="dxa"/>
                    <w:left w:w="120" w:type="dxa"/>
                    <w:bottom w:w="24" w:type="dxa"/>
                    <w:right w:w="120" w:type="dxa"/>
                  </w:tcMar>
                  <w:vAlign w:val="center"/>
                </w:tcPr>
                <w:p>
                  <w:pPr>
                    <w:adjustRightInd w:val="0"/>
                    <w:snapToGrid w:val="0"/>
                    <w:jc w:val="center"/>
                    <w:rPr>
                      <w:szCs w:val="21"/>
                    </w:rPr>
                  </w:pPr>
                  <w:r>
                    <w:rPr>
                      <w:szCs w:val="21"/>
                    </w:rPr>
                    <w:t>20</w:t>
                  </w:r>
                </w:p>
              </w:tc>
              <w:tc>
                <w:tcPr>
                  <w:tcW w:w="1232" w:type="dxa"/>
                  <w:tcBorders>
                    <w:top w:val="single" w:color="000000" w:sz="6" w:space="0"/>
                    <w:left w:val="single" w:color="000000" w:sz="6" w:space="0"/>
                    <w:bottom w:val="single" w:color="000000" w:sz="12" w:space="0"/>
                    <w:right w:val="single" w:color="000000" w:sz="6" w:space="0"/>
                  </w:tcBorders>
                  <w:tcMar>
                    <w:top w:w="24" w:type="dxa"/>
                    <w:left w:w="120" w:type="dxa"/>
                    <w:bottom w:w="24" w:type="dxa"/>
                    <w:right w:w="120" w:type="dxa"/>
                  </w:tcMar>
                  <w:vAlign w:val="center"/>
                </w:tcPr>
                <w:p>
                  <w:pPr>
                    <w:adjustRightInd w:val="0"/>
                    <w:snapToGrid w:val="0"/>
                    <w:jc w:val="center"/>
                    <w:rPr>
                      <w:szCs w:val="21"/>
                    </w:rPr>
                  </w:pPr>
                  <w:r>
                    <w:rPr>
                      <w:szCs w:val="21"/>
                    </w:rPr>
                    <w:t>25</w:t>
                  </w:r>
                </w:p>
              </w:tc>
              <w:tc>
                <w:tcPr>
                  <w:tcW w:w="1156" w:type="dxa"/>
                  <w:tcBorders>
                    <w:top w:val="single" w:color="000000" w:sz="6" w:space="0"/>
                    <w:left w:val="single" w:color="000000" w:sz="6" w:space="0"/>
                    <w:bottom w:val="single" w:color="000000" w:sz="12" w:space="0"/>
                    <w:right w:val="single" w:color="000000" w:sz="6" w:space="0"/>
                  </w:tcBorders>
                  <w:tcMar>
                    <w:top w:w="24" w:type="dxa"/>
                    <w:left w:w="120" w:type="dxa"/>
                    <w:bottom w:w="24" w:type="dxa"/>
                    <w:right w:w="120" w:type="dxa"/>
                  </w:tcMar>
                  <w:vAlign w:val="center"/>
                </w:tcPr>
                <w:p>
                  <w:pPr>
                    <w:adjustRightInd w:val="0"/>
                    <w:snapToGrid w:val="0"/>
                    <w:jc w:val="center"/>
                    <w:rPr>
                      <w:szCs w:val="21"/>
                    </w:rPr>
                  </w:pPr>
                  <w:r>
                    <w:rPr>
                      <w:szCs w:val="21"/>
                    </w:rPr>
                    <w:t>30</w:t>
                  </w:r>
                </w:p>
              </w:tc>
              <w:tc>
                <w:tcPr>
                  <w:tcW w:w="937" w:type="dxa"/>
                  <w:tcBorders>
                    <w:top w:val="single" w:color="000000" w:sz="6" w:space="0"/>
                    <w:left w:val="single" w:color="000000" w:sz="6" w:space="0"/>
                    <w:bottom w:val="single" w:color="000000" w:sz="12" w:space="0"/>
                    <w:right w:val="single" w:color="000000" w:sz="6" w:space="0"/>
                  </w:tcBorders>
                  <w:tcMar>
                    <w:top w:w="24" w:type="dxa"/>
                    <w:left w:w="120" w:type="dxa"/>
                    <w:bottom w:w="24" w:type="dxa"/>
                    <w:right w:w="120" w:type="dxa"/>
                  </w:tcMar>
                  <w:vAlign w:val="center"/>
                </w:tcPr>
                <w:p>
                  <w:pPr>
                    <w:adjustRightInd w:val="0"/>
                    <w:snapToGrid w:val="0"/>
                    <w:jc w:val="center"/>
                    <w:rPr>
                      <w:b/>
                      <w:bCs/>
                      <w:szCs w:val="21"/>
                    </w:rPr>
                  </w:pPr>
                  <w:r>
                    <w:rPr>
                      <w:b/>
                      <w:bCs/>
                      <w:szCs w:val="21"/>
                    </w:rPr>
                    <w:t>35</w:t>
                  </w:r>
                </w:p>
              </w:tc>
              <w:tc>
                <w:tcPr>
                  <w:tcW w:w="1045" w:type="dxa"/>
                  <w:tcBorders>
                    <w:top w:val="single" w:color="000000" w:sz="6" w:space="0"/>
                    <w:left w:val="single" w:color="000000" w:sz="6" w:space="0"/>
                    <w:bottom w:val="single" w:color="000000" w:sz="12" w:space="0"/>
                    <w:right w:val="single" w:color="000000" w:sz="6" w:space="0"/>
                  </w:tcBorders>
                  <w:tcMar>
                    <w:top w:w="24" w:type="dxa"/>
                    <w:left w:w="120" w:type="dxa"/>
                    <w:bottom w:w="24" w:type="dxa"/>
                    <w:right w:w="120" w:type="dxa"/>
                  </w:tcMar>
                  <w:vAlign w:val="center"/>
                </w:tcPr>
                <w:p>
                  <w:pPr>
                    <w:adjustRightInd w:val="0"/>
                    <w:snapToGrid w:val="0"/>
                    <w:jc w:val="center"/>
                    <w:rPr>
                      <w:szCs w:val="21"/>
                    </w:rPr>
                  </w:pPr>
                  <w:r>
                    <w:rPr>
                      <w:szCs w:val="21"/>
                    </w:rPr>
                    <w:t>40</w:t>
                  </w:r>
                </w:p>
              </w:tc>
              <w:tc>
                <w:tcPr>
                  <w:tcW w:w="1045" w:type="dxa"/>
                  <w:tcBorders>
                    <w:top w:val="single" w:color="000000" w:sz="6" w:space="0"/>
                    <w:left w:val="single" w:color="000000" w:sz="6" w:space="0"/>
                    <w:bottom w:val="single" w:color="000000" w:sz="12" w:space="0"/>
                    <w:right w:val="nil"/>
                  </w:tcBorders>
                  <w:tcMar>
                    <w:top w:w="24" w:type="dxa"/>
                    <w:left w:w="120" w:type="dxa"/>
                    <w:bottom w:w="24" w:type="dxa"/>
                    <w:right w:w="120" w:type="dxa"/>
                  </w:tcMar>
                  <w:vAlign w:val="center"/>
                </w:tcPr>
                <w:p>
                  <w:pPr>
                    <w:adjustRightInd w:val="0"/>
                    <w:snapToGrid w:val="0"/>
                    <w:jc w:val="center"/>
                    <w:rPr>
                      <w:szCs w:val="21"/>
                    </w:rPr>
                  </w:pPr>
                  <w:r>
                    <w:rPr>
                      <w:szCs w:val="21"/>
                    </w:rPr>
                    <w:t>45</w:t>
                  </w:r>
                </w:p>
              </w:tc>
            </w:tr>
          </w:tbl>
          <w:p>
            <w:pPr>
              <w:adjustRightInd w:val="0"/>
              <w:snapToGrid w:val="0"/>
              <w:spacing w:line="360" w:lineRule="auto"/>
              <w:ind w:firstLine="480" w:firstLineChars="200"/>
              <w:rPr>
                <w:sz w:val="24"/>
              </w:rPr>
            </w:pPr>
            <w:r>
              <w:rPr>
                <w:sz w:val="24"/>
              </w:rPr>
              <w:t>生物质燃料、生物质灰渣及除尘灰储存过程中产生的无组织粉尘执行《大气污染物综合排放标准》（GB16297-1996）中无组织排放监控点浓度限值要求，详见下表。</w:t>
            </w:r>
          </w:p>
          <w:p>
            <w:pPr>
              <w:jc w:val="center"/>
              <w:rPr>
                <w:color w:val="000000"/>
                <w:sz w:val="24"/>
              </w:rPr>
            </w:pPr>
            <w:r>
              <w:rPr>
                <w:color w:val="000000"/>
                <w:sz w:val="24"/>
              </w:rPr>
              <w:t>表</w:t>
            </w:r>
            <w:r>
              <w:rPr>
                <w:rFonts w:hint="eastAsia"/>
                <w:color w:val="000000"/>
                <w:sz w:val="24"/>
              </w:rPr>
              <w:t xml:space="preserve">32  </w:t>
            </w:r>
            <w:r>
              <w:rPr>
                <w:color w:val="000000"/>
                <w:sz w:val="24"/>
              </w:rPr>
              <w:t>无组织废气排放标准</w:t>
            </w:r>
          </w:p>
          <w:tbl>
            <w:tblPr>
              <w:tblW w:w="8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
            <w:tblGrid>
              <w:gridCol w:w="1142"/>
              <w:gridCol w:w="2176"/>
              <w:gridCol w:w="1501"/>
              <w:gridCol w:w="3959"/>
            </w:tblGrid>
            <w:tr>
              <w:trPr>
                <w:cantSplit/>
                <w:trHeight w:val="340" w:hRule="atLeast"/>
                <w:jc w:val="center"/>
              </w:trPr>
              <w:tc>
                <w:tcPr>
                  <w:tcW w:w="1142" w:type="dxa"/>
                  <w:vMerge w:val="restart"/>
                  <w:tcBorders>
                    <w:top w:val="single" w:color="auto" w:sz="12" w:space="0"/>
                    <w:left w:val="nil"/>
                  </w:tcBorders>
                  <w:vAlign w:val="center"/>
                </w:tcPr>
                <w:p>
                  <w:pPr>
                    <w:jc w:val="center"/>
                    <w:rPr>
                      <w:szCs w:val="21"/>
                    </w:rPr>
                  </w:pPr>
                  <w:r>
                    <w:rPr>
                      <w:szCs w:val="21"/>
                    </w:rPr>
                    <w:t>污染物名称</w:t>
                  </w:r>
                </w:p>
              </w:tc>
              <w:tc>
                <w:tcPr>
                  <w:tcW w:w="3677" w:type="dxa"/>
                  <w:gridSpan w:val="2"/>
                  <w:tcBorders>
                    <w:top w:val="single" w:color="auto" w:sz="12" w:space="0"/>
                    <w:right w:val="nil"/>
                  </w:tcBorders>
                  <w:vAlign w:val="center"/>
                </w:tcPr>
                <w:p>
                  <w:pPr>
                    <w:jc w:val="center"/>
                    <w:rPr>
                      <w:szCs w:val="21"/>
                    </w:rPr>
                  </w:pPr>
                  <w:r>
                    <w:rPr>
                      <w:szCs w:val="21"/>
                    </w:rPr>
                    <w:t>无组织排放监控点浓度限值</w:t>
                  </w:r>
                </w:p>
              </w:tc>
              <w:tc>
                <w:tcPr>
                  <w:tcW w:w="3959" w:type="dxa"/>
                  <w:vMerge w:val="restart"/>
                  <w:tcBorders>
                    <w:top w:val="single" w:color="auto" w:sz="12" w:space="0"/>
                    <w:right w:val="nil"/>
                  </w:tcBorders>
                  <w:vAlign w:val="center"/>
                </w:tcPr>
                <w:p>
                  <w:pPr>
                    <w:jc w:val="center"/>
                    <w:rPr>
                      <w:szCs w:val="21"/>
                    </w:rPr>
                  </w:pPr>
                  <w:r>
                    <w:rPr>
                      <w:szCs w:val="21"/>
                    </w:rPr>
                    <w:t>执行标准</w:t>
                  </w:r>
                </w:p>
              </w:tc>
            </w:tr>
            <w:tr>
              <w:trPr>
                <w:cantSplit/>
                <w:trHeight w:val="340" w:hRule="atLeast"/>
                <w:jc w:val="center"/>
              </w:trPr>
              <w:tc>
                <w:tcPr>
                  <w:tcW w:w="1142" w:type="dxa"/>
                  <w:vMerge w:val="continue"/>
                  <w:tcBorders>
                    <w:left w:val="nil"/>
                  </w:tcBorders>
                  <w:vAlign w:val="center"/>
                </w:tcPr>
                <w:p>
                  <w:pPr>
                    <w:jc w:val="center"/>
                    <w:rPr>
                      <w:szCs w:val="21"/>
                    </w:rPr>
                  </w:pPr>
                </w:p>
              </w:tc>
              <w:tc>
                <w:tcPr>
                  <w:tcW w:w="2176" w:type="dxa"/>
                  <w:vAlign w:val="center"/>
                </w:tcPr>
                <w:p>
                  <w:pPr>
                    <w:jc w:val="center"/>
                    <w:rPr>
                      <w:szCs w:val="21"/>
                    </w:rPr>
                  </w:pPr>
                  <w:r>
                    <w:rPr>
                      <w:szCs w:val="21"/>
                    </w:rPr>
                    <w:t>监控点</w:t>
                  </w:r>
                </w:p>
              </w:tc>
              <w:tc>
                <w:tcPr>
                  <w:tcW w:w="1501" w:type="dxa"/>
                  <w:tcBorders>
                    <w:right w:val="nil"/>
                  </w:tcBorders>
                  <w:vAlign w:val="center"/>
                </w:tcPr>
                <w:p>
                  <w:pPr>
                    <w:jc w:val="center"/>
                    <w:rPr>
                      <w:szCs w:val="21"/>
                    </w:rPr>
                  </w:pPr>
                  <w:r>
                    <w:rPr>
                      <w:szCs w:val="21"/>
                    </w:rPr>
                    <w:t>浓度</w:t>
                  </w:r>
                </w:p>
              </w:tc>
              <w:tc>
                <w:tcPr>
                  <w:tcW w:w="3959" w:type="dxa"/>
                  <w:vMerge w:val="continue"/>
                  <w:tcBorders>
                    <w:right w:val="nil"/>
                  </w:tcBorders>
                  <w:vAlign w:val="center"/>
                </w:tcPr>
                <w:p>
                  <w:pPr>
                    <w:jc w:val="center"/>
                    <w:rPr>
                      <w:szCs w:val="21"/>
                    </w:rPr>
                  </w:pPr>
                </w:p>
              </w:tc>
            </w:tr>
            <w:tr>
              <w:trPr>
                <w:cantSplit/>
                <w:trHeight w:val="340" w:hRule="atLeast"/>
                <w:jc w:val="center"/>
              </w:trPr>
              <w:tc>
                <w:tcPr>
                  <w:tcW w:w="1142" w:type="dxa"/>
                  <w:tcBorders>
                    <w:left w:val="nil"/>
                    <w:bottom w:val="single" w:color="auto" w:sz="12" w:space="0"/>
                  </w:tcBorders>
                  <w:vAlign w:val="center"/>
                </w:tcPr>
                <w:p>
                  <w:pPr>
                    <w:jc w:val="center"/>
                    <w:rPr>
                      <w:szCs w:val="21"/>
                    </w:rPr>
                  </w:pPr>
                  <w:r>
                    <w:rPr>
                      <w:szCs w:val="21"/>
                    </w:rPr>
                    <w:t>颗粒物</w:t>
                  </w:r>
                </w:p>
              </w:tc>
              <w:tc>
                <w:tcPr>
                  <w:tcW w:w="2176" w:type="dxa"/>
                  <w:tcBorders>
                    <w:bottom w:val="single" w:color="auto" w:sz="12" w:space="0"/>
                  </w:tcBorders>
                  <w:vAlign w:val="center"/>
                </w:tcPr>
                <w:p>
                  <w:pPr>
                    <w:jc w:val="center"/>
                    <w:rPr>
                      <w:szCs w:val="21"/>
                    </w:rPr>
                  </w:pPr>
                  <w:r>
                    <w:rPr>
                      <w:szCs w:val="21"/>
                    </w:rPr>
                    <w:t>周界外浓度最高点</w:t>
                  </w:r>
                </w:p>
              </w:tc>
              <w:tc>
                <w:tcPr>
                  <w:tcW w:w="1501" w:type="dxa"/>
                  <w:tcBorders>
                    <w:bottom w:val="single" w:color="auto" w:sz="12" w:space="0"/>
                    <w:right w:val="nil"/>
                  </w:tcBorders>
                  <w:vAlign w:val="center"/>
                </w:tcPr>
                <w:p>
                  <w:pPr>
                    <w:jc w:val="center"/>
                    <w:rPr>
                      <w:szCs w:val="21"/>
                    </w:rPr>
                  </w:pPr>
                  <w:r>
                    <w:rPr>
                      <w:szCs w:val="21"/>
                    </w:rPr>
                    <w:t>1.0mg/m</w:t>
                  </w:r>
                  <w:r>
                    <w:rPr>
                      <w:szCs w:val="21"/>
                      <w:vertAlign w:val="superscript"/>
                    </w:rPr>
                    <w:t>3</w:t>
                  </w:r>
                </w:p>
              </w:tc>
              <w:tc>
                <w:tcPr>
                  <w:tcW w:w="3959" w:type="dxa"/>
                  <w:tcBorders>
                    <w:bottom w:val="single" w:color="auto" w:sz="12" w:space="0"/>
                    <w:right w:val="nil"/>
                  </w:tcBorders>
                  <w:vAlign w:val="center"/>
                </w:tcPr>
                <w:p>
                  <w:pPr>
                    <w:jc w:val="center"/>
                    <w:rPr>
                      <w:kern w:val="0"/>
                      <w:szCs w:val="21"/>
                    </w:rPr>
                  </w:pPr>
                  <w:r>
                    <w:rPr>
                      <w:kern w:val="0"/>
                      <w:szCs w:val="21"/>
                    </w:rPr>
                    <w:t>《大气污染物综合排放标准》（GB16297-1996）无组织监控浓度限值</w:t>
                  </w:r>
                </w:p>
              </w:tc>
            </w:tr>
          </w:tbl>
          <w:p>
            <w:pPr>
              <w:spacing w:line="360" w:lineRule="auto"/>
              <w:ind w:firstLine="482" w:firstLineChars="200"/>
              <w:rPr>
                <w:rFonts w:hint="eastAsia"/>
                <w:b/>
                <w:bCs/>
                <w:sz w:val="24"/>
              </w:rPr>
            </w:pPr>
            <w:r>
              <w:rPr>
                <w:rFonts w:hint="eastAsia"/>
                <w:b/>
                <w:bCs/>
                <w:sz w:val="24"/>
              </w:rPr>
              <w:t>2、废水</w:t>
            </w:r>
          </w:p>
          <w:p>
            <w:pPr>
              <w:spacing w:line="360" w:lineRule="auto"/>
              <w:ind w:firstLine="480" w:firstLineChars="200"/>
              <w:rPr>
                <w:rFonts w:hint="eastAsia"/>
                <w:b/>
                <w:bCs/>
                <w:sz w:val="24"/>
              </w:rPr>
            </w:pPr>
            <w:r>
              <w:rPr>
                <w:bCs/>
                <w:sz w:val="24"/>
              </w:rPr>
              <w:t>本项目废水主要为锅炉排污水，锅炉排污水量为</w:t>
            </w:r>
            <w:r>
              <w:rPr>
                <w:rFonts w:hint="eastAsia"/>
                <w:bCs/>
                <w:sz w:val="24"/>
              </w:rPr>
              <w:t>0.1</w:t>
            </w:r>
            <w:r>
              <w:rPr>
                <w:bCs/>
                <w:sz w:val="24"/>
              </w:rPr>
              <w:t>m</w:t>
            </w:r>
            <w:r>
              <w:rPr>
                <w:bCs/>
                <w:sz w:val="24"/>
                <w:vertAlign w:val="superscript"/>
              </w:rPr>
              <w:t>3</w:t>
            </w:r>
            <w:r>
              <w:rPr>
                <w:bCs/>
                <w:sz w:val="24"/>
              </w:rPr>
              <w:t>/</w:t>
            </w:r>
            <w:r>
              <w:rPr>
                <w:rFonts w:hint="eastAsia"/>
                <w:bCs/>
                <w:sz w:val="24"/>
              </w:rPr>
              <w:t>d</w:t>
            </w:r>
            <w:r>
              <w:rPr>
                <w:bCs/>
                <w:sz w:val="24"/>
              </w:rPr>
              <w:t>（</w:t>
            </w:r>
            <w:r>
              <w:rPr>
                <w:rFonts w:hint="eastAsia"/>
                <w:bCs/>
                <w:sz w:val="24"/>
              </w:rPr>
              <w:t>31.9</w:t>
            </w:r>
            <w:r>
              <w:rPr>
                <w:bCs/>
                <w:sz w:val="24"/>
              </w:rPr>
              <w:t>m</w:t>
            </w:r>
            <w:r>
              <w:rPr>
                <w:bCs/>
                <w:sz w:val="24"/>
                <w:vertAlign w:val="superscript"/>
              </w:rPr>
              <w:t>3</w:t>
            </w:r>
            <w:r>
              <w:rPr>
                <w:bCs/>
                <w:sz w:val="24"/>
              </w:rPr>
              <w:t>/a），锅炉排污水</w:t>
            </w:r>
            <w:r>
              <w:rPr>
                <w:rFonts w:hint="eastAsia"/>
                <w:bCs/>
                <w:sz w:val="24"/>
              </w:rPr>
              <w:t>属于清洁下水，用于厂区地面洒水降尘，不外排</w:t>
            </w:r>
            <w:r>
              <w:rPr>
                <w:b/>
                <w:bCs/>
                <w:sz w:val="24"/>
              </w:rPr>
              <w:t>。</w:t>
            </w:r>
          </w:p>
          <w:p>
            <w:pPr>
              <w:spacing w:line="360" w:lineRule="auto"/>
              <w:ind w:firstLine="482" w:firstLineChars="200"/>
              <w:rPr>
                <w:b/>
                <w:bCs/>
                <w:sz w:val="24"/>
              </w:rPr>
            </w:pPr>
            <w:r>
              <w:rPr>
                <w:b/>
                <w:bCs/>
                <w:sz w:val="24"/>
              </w:rPr>
              <w:t>3、噪声</w:t>
            </w:r>
          </w:p>
          <w:p>
            <w:pPr>
              <w:adjustRightInd w:val="0"/>
              <w:snapToGrid w:val="0"/>
              <w:spacing w:line="360" w:lineRule="auto"/>
              <w:ind w:firstLine="480" w:firstLineChars="200"/>
              <w:rPr>
                <w:sz w:val="24"/>
              </w:rPr>
            </w:pPr>
            <w:r>
              <w:rPr>
                <w:rFonts w:hint="eastAsia"/>
                <w:sz w:val="24"/>
              </w:rPr>
              <w:t>本</w:t>
            </w:r>
            <w:r>
              <w:rPr>
                <w:sz w:val="24"/>
              </w:rPr>
              <w:t>项目</w:t>
            </w:r>
            <w:r>
              <w:rPr>
                <w:rFonts w:hint="eastAsia"/>
                <w:sz w:val="24"/>
              </w:rPr>
              <w:t>位于现有厂区内建设，根据《柳河耘垦牧业有限公司年屠宰1200万只肉鸡建设项目环境影响报告书》环评批复，</w:t>
            </w:r>
            <w:r>
              <w:rPr>
                <w:sz w:val="24"/>
              </w:rPr>
              <w:t>厂界应执行《工业企业厂界环境噪声排放标准》（GB12348-2008）中</w:t>
            </w:r>
            <w:r>
              <w:rPr>
                <w:rFonts w:hint="eastAsia"/>
                <w:sz w:val="24"/>
              </w:rPr>
              <w:t>3</w:t>
            </w:r>
            <w:r>
              <w:rPr>
                <w:sz w:val="24"/>
              </w:rPr>
              <w:t>类区标准要求，详见下表。</w:t>
            </w:r>
          </w:p>
          <w:p>
            <w:pPr>
              <w:jc w:val="center"/>
              <w:rPr>
                <w:color w:val="000000"/>
                <w:sz w:val="24"/>
              </w:rPr>
            </w:pPr>
            <w:r>
              <w:rPr>
                <w:color w:val="000000"/>
                <w:sz w:val="24"/>
              </w:rPr>
              <w:t>表</w:t>
            </w:r>
            <w:r>
              <w:rPr>
                <w:rFonts w:hint="eastAsia"/>
                <w:color w:val="000000"/>
                <w:sz w:val="24"/>
              </w:rPr>
              <w:t xml:space="preserve">33  </w:t>
            </w:r>
            <w:r>
              <w:rPr>
                <w:color w:val="000000"/>
                <w:sz w:val="24"/>
              </w:rPr>
              <w:t>运营期噪声排放标准</w:t>
            </w:r>
          </w:p>
          <w:tbl>
            <w:tblPr>
              <w:tblW w:w="8883" w:type="dxa"/>
              <w:tblBorders>
                <w:top w:val="single" w:color="auto" w:sz="12" w:space="0"/>
                <w:left w:val="none" w:color="auto" w:sz="0" w:space="0"/>
                <w:bottom w:val="single" w:color="auto" w:sz="12" w:space="0"/>
                <w:right w:val="none" w:color="auto" w:sz="0" w:space="0"/>
                <w:insideH w:val="single" w:color="auto" w:sz="4" w:space="0"/>
                <w:insideV w:val="single" w:color="auto" w:sz="6" w:space="0"/>
              </w:tblBorders>
              <w:tblLayout w:type="fixed"/>
              <w:tblCellMar>
                <w:left w:w="108" w:type="dxa"/>
                <w:right w:w="108" w:type="dxa"/>
              </w:tblCellMar>
            </w:tblPr>
            <w:tblGrid>
              <w:gridCol w:w="1822"/>
              <w:gridCol w:w="1626"/>
              <w:gridCol w:w="1681"/>
              <w:gridCol w:w="3754"/>
            </w:tblGrid>
            <w:tr>
              <w:trPr>
                <w:trHeight w:val="340" w:hRule="atLeast"/>
              </w:trPr>
              <w:tc>
                <w:tcPr>
                  <w:tcW w:w="1822" w:type="dxa"/>
                  <w:vAlign w:val="center"/>
                </w:tcPr>
                <w:p>
                  <w:pPr>
                    <w:jc w:val="center"/>
                    <w:rPr>
                      <w:szCs w:val="21"/>
                    </w:rPr>
                  </w:pPr>
                  <w:r>
                    <w:rPr>
                      <w:szCs w:val="21"/>
                    </w:rPr>
                    <w:t>声环境功能区</w:t>
                  </w:r>
                </w:p>
              </w:tc>
              <w:tc>
                <w:tcPr>
                  <w:tcW w:w="3307" w:type="dxa"/>
                  <w:gridSpan w:val="2"/>
                  <w:vAlign w:val="center"/>
                </w:tcPr>
                <w:p>
                  <w:pPr>
                    <w:jc w:val="center"/>
                    <w:rPr>
                      <w:szCs w:val="21"/>
                    </w:rPr>
                  </w:pPr>
                  <w:r>
                    <w:rPr>
                      <w:szCs w:val="21"/>
                    </w:rPr>
                    <w:t>标准值dB（A）</w:t>
                  </w:r>
                </w:p>
              </w:tc>
              <w:tc>
                <w:tcPr>
                  <w:tcW w:w="3754" w:type="dxa"/>
                  <w:vAlign w:val="center"/>
                </w:tcPr>
                <w:p>
                  <w:pPr>
                    <w:jc w:val="center"/>
                    <w:rPr>
                      <w:szCs w:val="21"/>
                    </w:rPr>
                  </w:pPr>
                  <w:r>
                    <w:rPr>
                      <w:szCs w:val="21"/>
                    </w:rPr>
                    <w:t>标准来源</w:t>
                  </w:r>
                </w:p>
              </w:tc>
            </w:tr>
            <w:tr>
              <w:trPr>
                <w:trHeight w:val="340" w:hRule="atLeast"/>
              </w:trPr>
              <w:tc>
                <w:tcPr>
                  <w:tcW w:w="1822" w:type="dxa"/>
                  <w:vMerge w:val="restart"/>
                  <w:vAlign w:val="center"/>
                </w:tcPr>
                <w:p>
                  <w:pPr>
                    <w:jc w:val="center"/>
                    <w:rPr>
                      <w:szCs w:val="21"/>
                    </w:rPr>
                  </w:pPr>
                  <w:r>
                    <w:rPr>
                      <w:rFonts w:hint="eastAsia"/>
                      <w:szCs w:val="21"/>
                    </w:rPr>
                    <w:t>3</w:t>
                  </w:r>
                  <w:r>
                    <w:rPr>
                      <w:szCs w:val="21"/>
                    </w:rPr>
                    <w:t>类区</w:t>
                  </w:r>
                </w:p>
              </w:tc>
              <w:tc>
                <w:tcPr>
                  <w:tcW w:w="1626" w:type="dxa"/>
                  <w:vAlign w:val="center"/>
                </w:tcPr>
                <w:p>
                  <w:pPr>
                    <w:jc w:val="center"/>
                    <w:rPr>
                      <w:szCs w:val="21"/>
                    </w:rPr>
                  </w:pPr>
                  <w:r>
                    <w:rPr>
                      <w:szCs w:val="21"/>
                    </w:rPr>
                    <w:t>昼间</w:t>
                  </w:r>
                </w:p>
              </w:tc>
              <w:tc>
                <w:tcPr>
                  <w:tcW w:w="1681" w:type="dxa"/>
                  <w:vAlign w:val="center"/>
                </w:tcPr>
                <w:p>
                  <w:pPr>
                    <w:jc w:val="center"/>
                    <w:rPr>
                      <w:szCs w:val="21"/>
                    </w:rPr>
                  </w:pPr>
                  <w:r>
                    <w:rPr>
                      <w:szCs w:val="21"/>
                    </w:rPr>
                    <w:t>夜间</w:t>
                  </w:r>
                </w:p>
              </w:tc>
              <w:tc>
                <w:tcPr>
                  <w:tcW w:w="3754" w:type="dxa"/>
                  <w:vMerge w:val="restart"/>
                  <w:vAlign w:val="center"/>
                </w:tcPr>
                <w:p>
                  <w:pPr>
                    <w:jc w:val="center"/>
                    <w:rPr>
                      <w:szCs w:val="21"/>
                    </w:rPr>
                  </w:pPr>
                  <w:r>
                    <w:rPr>
                      <w:szCs w:val="21"/>
                    </w:rPr>
                    <w:t>《工业企业厂界环境噪声排放标准》（GB12348-2008）</w:t>
                  </w:r>
                </w:p>
              </w:tc>
            </w:tr>
            <w:tr>
              <w:trPr>
                <w:trHeight w:val="340" w:hRule="atLeast"/>
              </w:trPr>
              <w:tc>
                <w:tcPr>
                  <w:tcW w:w="1822" w:type="dxa"/>
                  <w:vMerge w:val="continue"/>
                  <w:vAlign w:val="center"/>
                </w:tcPr>
                <w:p>
                  <w:pPr>
                    <w:jc w:val="center"/>
                    <w:rPr>
                      <w:szCs w:val="21"/>
                    </w:rPr>
                  </w:pPr>
                </w:p>
              </w:tc>
              <w:tc>
                <w:tcPr>
                  <w:tcW w:w="1626" w:type="dxa"/>
                  <w:vAlign w:val="center"/>
                </w:tcPr>
                <w:p>
                  <w:pPr>
                    <w:jc w:val="center"/>
                    <w:rPr>
                      <w:szCs w:val="21"/>
                    </w:rPr>
                  </w:pPr>
                  <w:r>
                    <w:rPr>
                      <w:rFonts w:hint="eastAsia"/>
                      <w:szCs w:val="21"/>
                    </w:rPr>
                    <w:t>65</w:t>
                  </w:r>
                </w:p>
              </w:tc>
              <w:tc>
                <w:tcPr>
                  <w:tcW w:w="1681" w:type="dxa"/>
                  <w:vAlign w:val="center"/>
                </w:tcPr>
                <w:p>
                  <w:pPr>
                    <w:jc w:val="center"/>
                    <w:rPr>
                      <w:szCs w:val="21"/>
                    </w:rPr>
                  </w:pPr>
                  <w:r>
                    <w:rPr>
                      <w:rFonts w:hint="eastAsia"/>
                      <w:szCs w:val="21"/>
                    </w:rPr>
                    <w:t>55</w:t>
                  </w:r>
                </w:p>
              </w:tc>
              <w:tc>
                <w:tcPr>
                  <w:tcW w:w="3754" w:type="dxa"/>
                  <w:vMerge w:val="continue"/>
                  <w:vAlign w:val="center"/>
                </w:tcPr>
                <w:p>
                  <w:pPr>
                    <w:jc w:val="center"/>
                    <w:rPr>
                      <w:szCs w:val="21"/>
                    </w:rPr>
                  </w:pPr>
                </w:p>
              </w:tc>
            </w:tr>
          </w:tbl>
          <w:p>
            <w:pPr>
              <w:spacing w:line="360" w:lineRule="auto"/>
              <w:ind w:firstLine="482" w:firstLineChars="200"/>
              <w:rPr>
                <w:b/>
                <w:bCs/>
                <w:sz w:val="24"/>
              </w:rPr>
            </w:pPr>
            <w:r>
              <w:rPr>
                <w:b/>
                <w:bCs/>
                <w:sz w:val="24"/>
              </w:rPr>
              <w:t>4、固体废物</w:t>
            </w:r>
          </w:p>
          <w:p>
            <w:pPr>
              <w:adjustRightInd w:val="0"/>
              <w:snapToGrid w:val="0"/>
              <w:spacing w:line="360" w:lineRule="auto"/>
              <w:ind w:firstLine="480" w:firstLineChars="200"/>
              <w:rPr>
                <w:sz w:val="24"/>
              </w:rPr>
            </w:pPr>
            <w:r>
              <w:rPr>
                <w:sz w:val="24"/>
              </w:rPr>
              <w:t>本项目一般工业固体废物执行《一般工业固体废物贮存和填埋污染控制标准》（GB18599-2020）。</w:t>
            </w:r>
            <w:r>
              <w:rPr>
                <w:rFonts w:hint="eastAsia"/>
                <w:sz w:val="24"/>
              </w:rPr>
              <w:t>危险废物贮存执行《危险废物贮存污染控制标准》（GB18597-2023）。</w:t>
            </w:r>
          </w:p>
          <w:p>
            <w:pPr>
              <w:adjustRightInd w:val="0"/>
              <w:snapToGrid w:val="0"/>
              <w:spacing w:line="360" w:lineRule="auto"/>
              <w:ind w:firstLine="480" w:firstLineChars="200"/>
              <w:rPr>
                <w:sz w:val="24"/>
              </w:rPr>
            </w:pPr>
          </w:p>
        </w:tc>
      </w:tr>
      <w:tr>
        <w:trPr>
          <w:trHeight w:val="3330" w:hRule="atLeast"/>
          <w:jc w:val="center"/>
        </w:trPr>
        <w:tc>
          <w:tcPr>
            <w:tcW w:w="708" w:type="dxa"/>
            <w:tcBorders>
              <w:top w:val="single" w:color="auto" w:sz="4" w:space="0"/>
              <w:left w:val="single" w:color="auto" w:sz="8" w:space="0"/>
              <w:bottom w:val="single" w:color="auto" w:sz="8" w:space="0"/>
              <w:right w:val="single" w:color="auto" w:sz="4" w:space="0"/>
            </w:tcBorders>
            <w:vAlign w:val="center"/>
          </w:tcPr>
          <w:p>
            <w:pPr>
              <w:adjustRightInd w:val="0"/>
              <w:snapToGrid w:val="0"/>
              <w:jc w:val="center"/>
              <w:rPr>
                <w:kern w:val="0"/>
                <w:szCs w:val="21"/>
              </w:rPr>
            </w:pPr>
            <w:r>
              <w:rPr>
                <w:kern w:val="0"/>
                <w:szCs w:val="21"/>
              </w:rPr>
              <w:t>总量控制指标</w:t>
            </w:r>
          </w:p>
        </w:tc>
        <w:tc>
          <w:tcPr>
            <w:tcW w:w="9104" w:type="dxa"/>
            <w:tcBorders>
              <w:top w:val="single" w:color="auto" w:sz="4" w:space="0"/>
              <w:left w:val="single" w:color="auto" w:sz="4" w:space="0"/>
              <w:bottom w:val="single" w:color="auto" w:sz="8" w:space="0"/>
              <w:right w:val="single" w:color="auto" w:sz="8" w:space="0"/>
            </w:tcBorders>
            <w:vAlign w:val="center"/>
          </w:tcPr>
          <w:p>
            <w:pPr>
              <w:pStyle w:val="23"/>
              <w:ind w:firstLine="480"/>
              <w:rPr>
                <w:rFonts w:cs="Times New Roman"/>
                <w:color w:val="auto"/>
              </w:rPr>
            </w:pPr>
            <w:r>
              <w:rPr>
                <w:rFonts w:cs="Times New Roman"/>
                <w:color w:val="auto"/>
              </w:rPr>
              <w:t>根据吉林省生态环境厅《关于进一步明确建设项目主要污染物排放总量审核有关事宜的复函》（2022年5月10日）要求按照行业排污绩效，将建设项目污染物排放总量分为重点行业排放管理、一般行业排放管理和其他</w:t>
            </w:r>
            <w:r>
              <w:rPr>
                <w:rFonts w:hint="eastAsia" w:cs="Times New Roman"/>
                <w:color w:val="auto"/>
              </w:rPr>
              <w:t>行业</w:t>
            </w:r>
            <w:r>
              <w:rPr>
                <w:rFonts w:cs="Times New Roman"/>
                <w:color w:val="auto"/>
              </w:rPr>
              <w:t>排放管理三类管理方式。</w:t>
            </w:r>
          </w:p>
          <w:p>
            <w:pPr>
              <w:pStyle w:val="23"/>
              <w:ind w:firstLine="480"/>
              <w:rPr>
                <w:rFonts w:cs="Times New Roman"/>
                <w:color w:val="auto"/>
              </w:rPr>
            </w:pPr>
            <w:r>
              <w:rPr>
                <w:rFonts w:cs="Times New Roman"/>
                <w:color w:val="auto"/>
              </w:rPr>
              <w:t>本项目属于</w:t>
            </w:r>
            <w:r>
              <w:rPr>
                <w:rFonts w:hint="eastAsia" w:cs="Times New Roman"/>
                <w:color w:val="auto"/>
              </w:rPr>
              <w:t>“</w:t>
            </w:r>
            <w:r>
              <w:rPr>
                <w:rFonts w:cs="Times New Roman"/>
                <w:color w:val="auto"/>
              </w:rPr>
              <w:t>热力生产和供应业</w:t>
            </w:r>
            <w:r>
              <w:rPr>
                <w:rFonts w:hint="eastAsia" w:cs="Times New Roman"/>
                <w:color w:val="auto"/>
              </w:rPr>
              <w:t>”</w:t>
            </w:r>
            <w:r>
              <w:rPr>
                <w:rFonts w:cs="Times New Roman"/>
                <w:color w:val="auto"/>
              </w:rPr>
              <w:t>，根据《排污许可证申请与核发技术规范 锅炉》（HJ 1032-2018），项目废气排放口为一般排放口，本项目产生的废水不外排，不设置废水排放口。</w:t>
            </w:r>
          </w:p>
          <w:p>
            <w:pPr>
              <w:pStyle w:val="23"/>
              <w:ind w:firstLine="480"/>
              <w:rPr>
                <w:rFonts w:cs="Times New Roman"/>
                <w:color w:val="auto"/>
              </w:rPr>
            </w:pPr>
            <w:r>
              <w:rPr>
                <w:rFonts w:cs="Times New Roman"/>
                <w:color w:val="auto"/>
              </w:rPr>
              <w:t>因此本项目执行</w:t>
            </w:r>
            <w:r>
              <w:rPr>
                <w:rFonts w:hint="eastAsia" w:cs="Times New Roman"/>
                <w:color w:val="auto"/>
              </w:rPr>
              <w:t>“</w:t>
            </w:r>
            <w:r>
              <w:rPr>
                <w:rFonts w:cs="Times New Roman"/>
                <w:color w:val="auto"/>
              </w:rPr>
              <w:t>其他行业排放管理</w:t>
            </w:r>
            <w:r>
              <w:rPr>
                <w:rFonts w:hint="eastAsia" w:cs="Times New Roman"/>
                <w:color w:val="auto"/>
              </w:rPr>
              <w:t>”</w:t>
            </w:r>
            <w:r>
              <w:rPr>
                <w:rFonts w:cs="Times New Roman"/>
                <w:color w:val="auto"/>
              </w:rPr>
              <w:t>，仅给出本项目</w:t>
            </w:r>
            <w:r>
              <w:rPr>
                <w:rFonts w:hint="eastAsia" w:cs="Times New Roman"/>
                <w:color w:val="auto"/>
              </w:rPr>
              <w:t>排放</w:t>
            </w:r>
            <w:r>
              <w:rPr>
                <w:rFonts w:cs="Times New Roman"/>
                <w:color w:val="auto"/>
              </w:rPr>
              <w:t>总量控制指标，即：</w:t>
            </w:r>
            <w:r>
              <w:rPr>
                <w:rFonts w:hint="eastAsia" w:cs="Times New Roman"/>
                <w:color w:val="auto"/>
              </w:rPr>
              <w:t>烟尘（</w:t>
            </w:r>
            <w:r>
              <w:rPr>
                <w:rFonts w:cs="Times New Roman"/>
                <w:color w:val="auto"/>
              </w:rPr>
              <w:t>颗粒物</w:t>
            </w:r>
            <w:r>
              <w:rPr>
                <w:rFonts w:hint="eastAsia" w:cs="Times New Roman"/>
                <w:color w:val="auto"/>
              </w:rPr>
              <w:t>）</w:t>
            </w:r>
            <w:r>
              <w:rPr>
                <w:rFonts w:cs="Times New Roman"/>
                <w:color w:val="auto"/>
              </w:rPr>
              <w:t>：</w:t>
            </w:r>
            <w:r>
              <w:rPr>
                <w:rFonts w:hint="eastAsia" w:cs="Times New Roman"/>
                <w:color w:val="auto"/>
              </w:rPr>
              <w:t>0.073</w:t>
            </w:r>
            <w:r>
              <w:rPr>
                <w:rFonts w:cs="Times New Roman"/>
                <w:color w:val="auto"/>
              </w:rPr>
              <w:t>t/a；SO</w:t>
            </w:r>
            <w:r>
              <w:rPr>
                <w:rFonts w:cs="Times New Roman"/>
                <w:color w:val="auto"/>
                <w:vertAlign w:val="subscript"/>
              </w:rPr>
              <w:t>2</w:t>
            </w:r>
            <w:r>
              <w:rPr>
                <w:rFonts w:cs="Times New Roman"/>
                <w:color w:val="auto"/>
              </w:rPr>
              <w:t>：</w:t>
            </w:r>
            <w:r>
              <w:rPr>
                <w:rFonts w:hint="eastAsia" w:cs="Times New Roman"/>
                <w:color w:val="auto"/>
              </w:rPr>
              <w:t>0.009</w:t>
            </w:r>
            <w:r>
              <w:rPr>
                <w:rFonts w:cs="Times New Roman"/>
                <w:color w:val="auto"/>
              </w:rPr>
              <w:t>t/a</w:t>
            </w:r>
            <w:r>
              <w:rPr>
                <w:rFonts w:hint="eastAsia" w:cs="Times New Roman"/>
                <w:color w:val="auto"/>
              </w:rPr>
              <w:t>；</w:t>
            </w:r>
            <w:r>
              <w:rPr>
                <w:rFonts w:cs="Times New Roman"/>
                <w:color w:val="auto"/>
              </w:rPr>
              <w:t>NO</w:t>
            </w:r>
            <w:r>
              <w:rPr>
                <w:rFonts w:cs="Times New Roman"/>
                <w:color w:val="auto"/>
                <w:vertAlign w:val="subscript"/>
              </w:rPr>
              <w:t>X</w:t>
            </w:r>
            <w:r>
              <w:rPr>
                <w:rFonts w:cs="Times New Roman"/>
                <w:color w:val="auto"/>
              </w:rPr>
              <w:t>：</w:t>
            </w:r>
            <w:r>
              <w:rPr>
                <w:rFonts w:hint="eastAsia" w:cs="Times New Roman"/>
                <w:color w:val="auto"/>
              </w:rPr>
              <w:t>1.292</w:t>
            </w:r>
            <w:r>
              <w:rPr>
                <w:rFonts w:cs="Times New Roman"/>
                <w:color w:val="auto"/>
              </w:rPr>
              <w:t>t/a。</w:t>
            </w:r>
          </w:p>
          <w:p>
            <w:pPr>
              <w:pStyle w:val="23"/>
              <w:ind w:firstLine="0" w:firstLineChars="0"/>
              <w:rPr>
                <w:rFonts w:cs="Times New Roman"/>
                <w:color w:val="auto"/>
              </w:rPr>
            </w:pPr>
          </w:p>
        </w:tc>
      </w:tr>
    </w:tbl>
    <w:p>
      <w:pPr>
        <w:pStyle w:val="16"/>
        <w:jc w:val="center"/>
        <w:outlineLvl w:val="0"/>
        <w:rPr>
          <w:rFonts w:ascii="Times New Roman" w:hAnsi="Times New Roman" w:cs="Times New Roman"/>
          <w:snapToGrid w:val="0"/>
          <w:kern w:val="0"/>
          <w:sz w:val="30"/>
          <w:szCs w:val="30"/>
        </w:rPr>
      </w:pPr>
      <w:r>
        <w:rPr>
          <w:rFonts w:ascii="Times New Roman" w:hAnsi="Times New Roman" w:cs="Times New Roman"/>
          <w:snapToGrid w:val="0"/>
          <w:kern w:val="0"/>
          <w:sz w:val="36"/>
          <w:szCs w:val="36"/>
        </w:rPr>
        <w:br w:type="page"/>
      </w:r>
      <w:r>
        <w:rPr>
          <w:rFonts w:ascii="Times New Roman" w:hAnsi="Times New Roman" w:cs="Times New Roman"/>
          <w:snapToGrid w:val="0"/>
          <w:sz w:val="30"/>
          <w:szCs w:val="30"/>
        </w:rPr>
        <w:t>四、主要环境影响和保护措施</w:t>
      </w:r>
    </w:p>
    <w:tbl>
      <w:tblPr>
        <w:tblW w:w="9732"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right w:w="108" w:type="dxa"/>
        </w:tblCellMar>
      </w:tblPr>
      <w:tblGrid>
        <w:gridCol w:w="707"/>
        <w:gridCol w:w="9025"/>
      </w:tblGrid>
      <w:tr>
        <w:trPr>
          <w:trHeight w:val="4749" w:hRule="atLeast"/>
          <w:jc w:val="center"/>
        </w:trPr>
        <w:tc>
          <w:tcPr>
            <w:tcW w:w="707" w:type="dxa"/>
            <w:tcBorders>
              <w:top w:val="single" w:color="auto" w:sz="8" w:space="0"/>
              <w:left w:val="single" w:color="auto" w:sz="8" w:space="0"/>
              <w:bottom w:val="single" w:color="auto" w:sz="4" w:space="0"/>
              <w:right w:val="single" w:color="auto" w:sz="4" w:space="0"/>
            </w:tcBorders>
            <w:tcMar>
              <w:top w:w="0" w:type="dxa"/>
              <w:left w:w="28" w:type="dxa"/>
              <w:bottom w:w="0" w:type="dxa"/>
              <w:right w:w="28" w:type="dxa"/>
            </w:tcMar>
            <w:vAlign w:val="center"/>
          </w:tcPr>
          <w:p>
            <w:pPr>
              <w:pStyle w:val="16"/>
              <w:adjustRightInd w:val="0"/>
              <w:snapToGrid w:val="0"/>
              <w:spacing w:before="0" w:beforeAutospacing="0" w:after="0" w:afterAutospacing="0"/>
              <w:jc w:val="center"/>
              <w:rPr>
                <w:rFonts w:ascii="Times New Roman" w:hAnsi="Times New Roman" w:cs="Times New Roman"/>
                <w:bCs/>
                <w:sz w:val="21"/>
                <w:szCs w:val="21"/>
              </w:rPr>
            </w:pPr>
            <w:r>
              <w:rPr>
                <w:rFonts w:ascii="Times New Roman" w:hAnsi="Times New Roman" w:cs="Times New Roman"/>
                <w:sz w:val="21"/>
                <w:szCs w:val="21"/>
              </w:rPr>
              <w:t>施工期环境保护措施</w:t>
            </w:r>
          </w:p>
        </w:tc>
        <w:tc>
          <w:tcPr>
            <w:tcW w:w="9025" w:type="dxa"/>
            <w:tcBorders>
              <w:top w:val="single" w:color="auto" w:sz="8" w:space="0"/>
              <w:left w:val="single" w:color="auto" w:sz="4" w:space="0"/>
              <w:bottom w:val="single" w:color="auto" w:sz="4" w:space="0"/>
              <w:right w:val="single" w:color="auto" w:sz="8" w:space="0"/>
            </w:tcBorders>
            <w:vAlign w:val="top"/>
          </w:tcPr>
          <w:p>
            <w:pPr>
              <w:adjustRightInd w:val="0"/>
              <w:snapToGrid w:val="0"/>
              <w:spacing w:line="360" w:lineRule="auto"/>
              <w:ind w:firstLine="480" w:firstLineChars="200"/>
              <w:rPr>
                <w:sz w:val="24"/>
                <w:u w:val="single"/>
              </w:rPr>
            </w:pPr>
            <w:r>
              <w:rPr>
                <w:rFonts w:hint="eastAsia"/>
                <w:sz w:val="24"/>
                <w:u w:val="single"/>
              </w:rPr>
              <w:t>本项目为生物质锅炉改建项目，施工期</w:t>
            </w:r>
            <w:bookmarkStart w:id="6" w:name="_Hlk192081204"/>
            <w:r>
              <w:rPr>
                <w:sz w:val="24"/>
                <w:u w:val="single"/>
              </w:rPr>
              <w:t>主要环境影响为</w:t>
            </w:r>
            <w:r>
              <w:rPr>
                <w:rFonts w:hint="eastAsia"/>
                <w:sz w:val="24"/>
                <w:u w:val="single"/>
              </w:rPr>
              <w:t>施工扬尘、</w:t>
            </w:r>
            <w:r>
              <w:rPr>
                <w:sz w:val="24"/>
                <w:u w:val="single"/>
              </w:rPr>
              <w:t>焊接烟尘</w:t>
            </w:r>
            <w:bookmarkEnd w:id="6"/>
            <w:r>
              <w:rPr>
                <w:rFonts w:hint="eastAsia"/>
                <w:sz w:val="24"/>
                <w:u w:val="single"/>
              </w:rPr>
              <w:t>、</w:t>
            </w:r>
            <w:r>
              <w:rPr>
                <w:sz w:val="24"/>
                <w:u w:val="single"/>
              </w:rPr>
              <w:t>施工人员生活污水、生活垃圾</w:t>
            </w:r>
            <w:r>
              <w:rPr>
                <w:rFonts w:hint="eastAsia"/>
                <w:sz w:val="24"/>
                <w:u w:val="single"/>
              </w:rPr>
              <w:t>、</w:t>
            </w:r>
            <w:r>
              <w:rPr>
                <w:sz w:val="24"/>
                <w:u w:val="single"/>
              </w:rPr>
              <w:t>废包装物</w:t>
            </w:r>
            <w:r>
              <w:rPr>
                <w:rFonts w:hint="eastAsia"/>
                <w:sz w:val="24"/>
                <w:u w:val="single"/>
              </w:rPr>
              <w:t>、建筑垃圾、</w:t>
            </w:r>
            <w:r>
              <w:rPr>
                <w:sz w:val="24"/>
                <w:u w:val="single"/>
              </w:rPr>
              <w:t>锅炉安装过程产生的噪声等，</w:t>
            </w:r>
            <w:r>
              <w:rPr>
                <w:rFonts w:eastAsia="宋体"/>
                <w:color w:val="000000"/>
                <w:sz w:val="24"/>
                <w:u w:val="single"/>
              </w:rPr>
              <w:t>施工时间短，对外环境影响小，具体如下：</w:t>
            </w:r>
          </w:p>
          <w:p>
            <w:pPr>
              <w:adjustRightInd w:val="0"/>
              <w:snapToGrid w:val="0"/>
              <w:spacing w:line="360" w:lineRule="auto"/>
              <w:ind w:firstLine="482" w:firstLineChars="200"/>
              <w:rPr>
                <w:b/>
                <w:bCs/>
                <w:sz w:val="24"/>
                <w:u w:val="single"/>
                <w:lang w:val="zh-CN"/>
              </w:rPr>
            </w:pPr>
            <w:r>
              <w:rPr>
                <w:b/>
                <w:bCs/>
                <w:sz w:val="24"/>
                <w:u w:val="single"/>
              </w:rPr>
              <w:t>1、</w:t>
            </w:r>
            <w:r>
              <w:rPr>
                <w:b/>
                <w:bCs/>
                <w:sz w:val="24"/>
                <w:u w:val="single"/>
                <w:lang w:val="zh-CN"/>
              </w:rPr>
              <w:t>废水防治措施</w:t>
            </w:r>
          </w:p>
          <w:p>
            <w:pPr>
              <w:adjustRightInd w:val="0"/>
              <w:snapToGrid w:val="0"/>
              <w:spacing w:line="360" w:lineRule="auto"/>
              <w:ind w:firstLine="480" w:firstLineChars="200"/>
              <w:rPr>
                <w:sz w:val="24"/>
                <w:u w:val="single"/>
                <w:lang w:val="zh-CN"/>
              </w:rPr>
            </w:pPr>
            <w:r>
              <w:rPr>
                <w:rFonts w:eastAsia="宋体"/>
                <w:color w:val="000000"/>
                <w:sz w:val="24"/>
                <w:u w:val="single"/>
              </w:rPr>
              <w:t>本项目施工期废水主要来自施工人员生活污水。现场的施工人员约为</w:t>
            </w:r>
            <w:r>
              <w:rPr>
                <w:rFonts w:hint="eastAsia" w:eastAsia="宋体"/>
                <w:color w:val="000000"/>
                <w:sz w:val="24"/>
                <w:u w:val="single"/>
              </w:rPr>
              <w:t>20</w:t>
            </w:r>
            <w:r>
              <w:rPr>
                <w:rFonts w:eastAsia="宋体"/>
                <w:color w:val="000000"/>
                <w:sz w:val="24"/>
                <w:u w:val="single"/>
              </w:rPr>
              <w:t>人，生活用水量约每人</w:t>
            </w:r>
            <w:r>
              <w:rPr>
                <w:rFonts w:hint="eastAsia" w:eastAsia="宋体"/>
                <w:color w:val="000000"/>
                <w:sz w:val="24"/>
                <w:u w:val="single"/>
              </w:rPr>
              <w:t>5</w:t>
            </w:r>
            <w:r>
              <w:rPr>
                <w:rFonts w:eastAsia="宋体"/>
                <w:color w:val="000000"/>
                <w:sz w:val="24"/>
                <w:u w:val="single"/>
              </w:rPr>
              <w:t>0L/d，废水产生系数为80%，则</w:t>
            </w:r>
            <w:r>
              <w:rPr>
                <w:rFonts w:hint="eastAsia" w:eastAsia="宋体"/>
                <w:color w:val="000000"/>
                <w:sz w:val="24"/>
                <w:u w:val="single"/>
              </w:rPr>
              <w:t>生活</w:t>
            </w:r>
            <w:r>
              <w:rPr>
                <w:rFonts w:eastAsia="宋体"/>
                <w:color w:val="000000"/>
                <w:sz w:val="24"/>
                <w:u w:val="single"/>
              </w:rPr>
              <w:t>污水产生量约</w:t>
            </w:r>
            <w:r>
              <w:rPr>
                <w:rFonts w:hint="eastAsia" w:eastAsia="宋体"/>
                <w:color w:val="000000"/>
                <w:sz w:val="24"/>
                <w:u w:val="single"/>
              </w:rPr>
              <w:t>0.8</w:t>
            </w:r>
            <w:r>
              <w:rPr>
                <w:rFonts w:eastAsia="宋体"/>
                <w:color w:val="000000"/>
                <w:sz w:val="24"/>
                <w:u w:val="single"/>
              </w:rPr>
              <w:t>m</w:t>
            </w:r>
            <w:r>
              <w:rPr>
                <w:rFonts w:eastAsia="宋体"/>
                <w:color w:val="000000"/>
                <w:sz w:val="24"/>
                <w:u w:val="single"/>
                <w:vertAlign w:val="superscript"/>
              </w:rPr>
              <w:t>3</w:t>
            </w:r>
            <w:r>
              <w:rPr>
                <w:rFonts w:eastAsia="宋体"/>
                <w:color w:val="000000"/>
                <w:sz w:val="24"/>
                <w:u w:val="single"/>
              </w:rPr>
              <w:t>/d。</w:t>
            </w:r>
            <w:r>
              <w:rPr>
                <w:rFonts w:hint="eastAsia" w:eastAsia="宋体"/>
                <w:color w:val="000000"/>
                <w:sz w:val="24"/>
                <w:u w:val="single"/>
              </w:rPr>
              <w:t>施工期共计1个月，施工期产生的生活污水排放量为24m</w:t>
            </w:r>
            <w:r>
              <w:rPr>
                <w:rFonts w:hint="eastAsia" w:eastAsia="宋体"/>
                <w:color w:val="000000"/>
                <w:sz w:val="24"/>
                <w:u w:val="single"/>
                <w:vertAlign w:val="superscript"/>
              </w:rPr>
              <w:t>3</w:t>
            </w:r>
            <w:r>
              <w:rPr>
                <w:rFonts w:hint="eastAsia" w:eastAsia="宋体"/>
                <w:color w:val="000000"/>
                <w:sz w:val="24"/>
                <w:u w:val="single"/>
              </w:rPr>
              <w:t>。</w:t>
            </w:r>
            <w:r>
              <w:rPr>
                <w:sz w:val="24"/>
                <w:u w:val="single"/>
              </w:rPr>
              <w:t>施工人员</w:t>
            </w:r>
            <w:r>
              <w:rPr>
                <w:sz w:val="24"/>
                <w:u w:val="single"/>
                <w:lang w:val="zh-CN"/>
              </w:rPr>
              <w:t>生活污</w:t>
            </w:r>
            <w:r>
              <w:rPr>
                <w:rFonts w:hint="eastAsia"/>
                <w:sz w:val="24"/>
                <w:u w:val="single"/>
                <w:lang w:val="zh-CN"/>
              </w:rPr>
              <w:t>水排入</w:t>
            </w:r>
            <w:r>
              <w:rPr>
                <w:sz w:val="24"/>
                <w:szCs w:val="22"/>
                <w:u w:val="single"/>
              </w:rPr>
              <w:t>防渗旱厕，定期清掏用作农家肥</w:t>
            </w:r>
            <w:r>
              <w:rPr>
                <w:sz w:val="24"/>
                <w:u w:val="single"/>
              </w:rPr>
              <w:t>，不会对地表水环境造成影响。</w:t>
            </w:r>
          </w:p>
          <w:p>
            <w:pPr>
              <w:adjustRightInd w:val="0"/>
              <w:snapToGrid w:val="0"/>
              <w:spacing w:line="360" w:lineRule="auto"/>
              <w:ind w:firstLine="482" w:firstLineChars="200"/>
              <w:rPr>
                <w:b/>
                <w:bCs/>
                <w:sz w:val="24"/>
                <w:u w:val="single"/>
                <w:lang w:val="zh-CN"/>
              </w:rPr>
            </w:pPr>
            <w:r>
              <w:rPr>
                <w:b/>
                <w:bCs/>
                <w:sz w:val="24"/>
                <w:u w:val="single"/>
                <w:lang w:val="zh-CN"/>
              </w:rPr>
              <w:t>2、废气防治措施</w:t>
            </w:r>
          </w:p>
          <w:p>
            <w:pPr>
              <w:adjustRightInd w:val="0"/>
              <w:snapToGrid w:val="0"/>
              <w:spacing w:line="360" w:lineRule="auto"/>
              <w:ind w:firstLine="480" w:firstLineChars="200"/>
              <w:rPr>
                <w:sz w:val="24"/>
                <w:u w:val="single"/>
              </w:rPr>
            </w:pPr>
            <w:r>
              <w:rPr>
                <w:sz w:val="24"/>
                <w:u w:val="single"/>
              </w:rPr>
              <w:t>本项目</w:t>
            </w:r>
            <w:r>
              <w:rPr>
                <w:rFonts w:hint="eastAsia"/>
                <w:sz w:val="24"/>
                <w:u w:val="single"/>
              </w:rPr>
              <w:t>施工过程中产生的废气主要为设备安装、原料存放以及对表层土壤开挖、堆放且在气候干燥有风的情况下产生的扬尘，施工期洒水抑尘，可以大大降低扬尘的产生；</w:t>
            </w:r>
            <w:r>
              <w:rPr>
                <w:sz w:val="24"/>
                <w:u w:val="single"/>
              </w:rPr>
              <w:t>锅炉在密闭空间内部进行安装，废气主要为新设备安装过程产生的焊接烟尘，焊接烟尘经焊机自带除尘器处理，再经封闭</w:t>
            </w:r>
            <w:r>
              <w:rPr>
                <w:rFonts w:hint="eastAsia"/>
                <w:sz w:val="24"/>
                <w:u w:val="single"/>
              </w:rPr>
              <w:t>厂房</w:t>
            </w:r>
            <w:r>
              <w:rPr>
                <w:sz w:val="24"/>
                <w:u w:val="single"/>
              </w:rPr>
              <w:t>阻隔，基本不会对周围环境空气产生影响。</w:t>
            </w:r>
          </w:p>
          <w:p>
            <w:pPr>
              <w:adjustRightInd w:val="0"/>
              <w:snapToGrid w:val="0"/>
              <w:spacing w:line="360" w:lineRule="auto"/>
              <w:ind w:firstLine="482" w:firstLineChars="200"/>
              <w:rPr>
                <w:b/>
                <w:bCs/>
                <w:sz w:val="24"/>
                <w:u w:val="single"/>
                <w:lang w:val="zh-CN"/>
              </w:rPr>
            </w:pPr>
            <w:r>
              <w:rPr>
                <w:b/>
                <w:bCs/>
                <w:sz w:val="24"/>
                <w:u w:val="single"/>
                <w:lang w:val="zh-CN"/>
              </w:rPr>
              <w:t>3、噪声防治措施</w:t>
            </w:r>
          </w:p>
          <w:p>
            <w:pPr>
              <w:adjustRightInd w:val="0"/>
              <w:snapToGrid w:val="0"/>
              <w:spacing w:line="360" w:lineRule="auto"/>
              <w:ind w:firstLine="480" w:firstLineChars="200"/>
              <w:rPr>
                <w:sz w:val="24"/>
                <w:u w:val="single"/>
              </w:rPr>
            </w:pPr>
            <w:r>
              <w:rPr>
                <w:sz w:val="24"/>
                <w:u w:val="single"/>
              </w:rPr>
              <w:t>本项目施工期产生的噪声主要来自于</w:t>
            </w:r>
            <w:r>
              <w:rPr>
                <w:rFonts w:hint="eastAsia"/>
                <w:sz w:val="24"/>
                <w:u w:val="single"/>
              </w:rPr>
              <w:t>施工机械和</w:t>
            </w:r>
            <w:r>
              <w:rPr>
                <w:sz w:val="24"/>
                <w:u w:val="single"/>
              </w:rPr>
              <w:t>设备安装。为减轻施工对周围声环境的影响，建议安装锅炉</w:t>
            </w:r>
            <w:r>
              <w:rPr>
                <w:rFonts w:hint="eastAsia"/>
                <w:sz w:val="24"/>
                <w:u w:val="single"/>
              </w:rPr>
              <w:t>、建设施工</w:t>
            </w:r>
            <w:r>
              <w:rPr>
                <w:sz w:val="24"/>
                <w:u w:val="single"/>
              </w:rPr>
              <w:t>均在昼间进行，将施工期间噪声污染影响降低到最小程度，对周围环境影响较小。</w:t>
            </w:r>
          </w:p>
          <w:p>
            <w:pPr>
              <w:adjustRightInd w:val="0"/>
              <w:snapToGrid w:val="0"/>
              <w:spacing w:line="360" w:lineRule="auto"/>
              <w:ind w:firstLine="482" w:firstLineChars="200"/>
              <w:rPr>
                <w:b/>
                <w:bCs/>
                <w:sz w:val="24"/>
                <w:u w:val="single"/>
                <w:lang w:val="zh-CN"/>
              </w:rPr>
            </w:pPr>
            <w:r>
              <w:rPr>
                <w:b/>
                <w:bCs/>
                <w:sz w:val="24"/>
                <w:u w:val="single"/>
                <w:lang w:val="zh-CN"/>
              </w:rPr>
              <w:t>4、固体废物防治措施</w:t>
            </w:r>
          </w:p>
          <w:p>
            <w:pPr>
              <w:adjustRightInd w:val="0"/>
              <w:snapToGrid w:val="0"/>
              <w:spacing w:line="360" w:lineRule="auto"/>
              <w:ind w:firstLine="480" w:firstLineChars="200"/>
              <w:rPr>
                <w:sz w:val="24"/>
                <w:u w:val="single"/>
              </w:rPr>
            </w:pPr>
            <w:r>
              <w:rPr>
                <w:sz w:val="24"/>
                <w:u w:val="single"/>
              </w:rPr>
              <w:t>本项目施工期固体废物主要包括</w:t>
            </w:r>
            <w:r>
              <w:rPr>
                <w:rFonts w:hint="eastAsia"/>
                <w:sz w:val="24"/>
                <w:u w:val="single"/>
              </w:rPr>
              <w:t>建筑垃圾、</w:t>
            </w:r>
            <w:r>
              <w:rPr>
                <w:sz w:val="24"/>
                <w:u w:val="single"/>
              </w:rPr>
              <w:t>废包装物和生活垃圾，</w:t>
            </w:r>
            <w:r>
              <w:rPr>
                <w:rFonts w:hint="eastAsia"/>
                <w:sz w:val="24"/>
                <w:u w:val="single"/>
              </w:rPr>
              <w:t>建筑垃圾运至建筑垃圾填埋场填埋，</w:t>
            </w:r>
            <w:r>
              <w:rPr>
                <w:sz w:val="24"/>
                <w:u w:val="single"/>
              </w:rPr>
              <w:t>废包装物及生活垃圾由环卫部门清运处理，</w:t>
            </w:r>
            <w:r>
              <w:rPr>
                <w:rFonts w:hint="eastAsia"/>
                <w:sz w:val="24"/>
                <w:u w:val="single"/>
              </w:rPr>
              <w:t>拆除设备集中收集，由厂家运出回收；</w:t>
            </w:r>
            <w:r>
              <w:rPr>
                <w:sz w:val="24"/>
                <w:u w:val="single"/>
              </w:rPr>
              <w:t>对环境影响程度不大。</w:t>
            </w:r>
            <w:r>
              <w:rPr>
                <w:rFonts w:hint="eastAsia"/>
                <w:sz w:val="24"/>
                <w:u w:val="single"/>
              </w:rPr>
              <w:t>现有布袋除尘器由厂家更换调试，产生废布袋由厂家更换收集后统一处理。</w:t>
            </w:r>
          </w:p>
          <w:p>
            <w:pPr>
              <w:adjustRightInd w:val="0"/>
              <w:snapToGrid w:val="0"/>
              <w:spacing w:line="360" w:lineRule="auto"/>
              <w:ind w:firstLine="480" w:firstLineChars="200"/>
              <w:rPr>
                <w:sz w:val="24"/>
              </w:rPr>
            </w:pPr>
          </w:p>
          <w:p>
            <w:pPr>
              <w:adjustRightInd w:val="0"/>
              <w:snapToGrid w:val="0"/>
              <w:spacing w:line="360" w:lineRule="auto"/>
              <w:ind w:firstLine="480" w:firstLineChars="200"/>
              <w:rPr>
                <w:sz w:val="24"/>
              </w:rPr>
            </w:pPr>
          </w:p>
          <w:p>
            <w:pPr>
              <w:adjustRightInd w:val="0"/>
              <w:snapToGrid w:val="0"/>
              <w:spacing w:line="360" w:lineRule="auto"/>
              <w:ind w:firstLine="480" w:firstLineChars="200"/>
              <w:rPr>
                <w:sz w:val="24"/>
              </w:rPr>
            </w:pPr>
          </w:p>
          <w:p>
            <w:pPr>
              <w:adjustRightInd w:val="0"/>
              <w:snapToGrid w:val="0"/>
              <w:spacing w:line="360" w:lineRule="auto"/>
              <w:ind w:firstLine="480" w:firstLineChars="200"/>
              <w:rPr>
                <w:sz w:val="24"/>
              </w:rPr>
            </w:pPr>
          </w:p>
          <w:p>
            <w:pPr>
              <w:adjustRightInd w:val="0"/>
              <w:snapToGrid w:val="0"/>
              <w:spacing w:line="360" w:lineRule="auto"/>
              <w:ind w:firstLine="480" w:firstLineChars="200"/>
              <w:rPr>
                <w:sz w:val="24"/>
              </w:rPr>
            </w:pPr>
          </w:p>
          <w:p>
            <w:pPr>
              <w:adjustRightInd w:val="0"/>
              <w:snapToGrid w:val="0"/>
              <w:spacing w:line="360" w:lineRule="auto"/>
              <w:ind w:firstLine="480" w:firstLineChars="200"/>
              <w:rPr>
                <w:sz w:val="24"/>
              </w:rPr>
            </w:pPr>
          </w:p>
        </w:tc>
      </w:tr>
      <w:tr>
        <w:trPr>
          <w:trHeight w:val="8212" w:hRule="atLeast"/>
          <w:jc w:val="center"/>
        </w:trPr>
        <w:tc>
          <w:tcPr>
            <w:tcW w:w="707" w:type="dxa"/>
            <w:tcBorders>
              <w:top w:val="single" w:color="auto" w:sz="4" w:space="0"/>
              <w:left w:val="single" w:color="auto" w:sz="8" w:space="0"/>
              <w:bottom w:val="single" w:color="auto" w:sz="8" w:space="0"/>
              <w:right w:val="single" w:color="auto" w:sz="4" w:space="0"/>
            </w:tcBorders>
            <w:tcMar>
              <w:top w:w="0" w:type="dxa"/>
              <w:left w:w="28" w:type="dxa"/>
              <w:bottom w:w="0" w:type="dxa"/>
              <w:right w:w="28" w:type="dxa"/>
            </w:tcMar>
            <w:vAlign w:val="center"/>
          </w:tcPr>
          <w:p>
            <w:pPr>
              <w:adjustRightInd w:val="0"/>
              <w:snapToGrid w:val="0"/>
              <w:jc w:val="center"/>
              <w:rPr>
                <w:bCs/>
                <w:szCs w:val="21"/>
              </w:rPr>
            </w:pPr>
            <w:r>
              <w:rPr>
                <w:bCs/>
                <w:szCs w:val="21"/>
              </w:rPr>
              <w:t>运营期环境影响和保护措施</w:t>
            </w:r>
          </w:p>
        </w:tc>
        <w:tc>
          <w:tcPr>
            <w:tcW w:w="9025" w:type="dxa"/>
            <w:tcBorders>
              <w:top w:val="single" w:color="auto" w:sz="4" w:space="0"/>
              <w:left w:val="single" w:color="auto" w:sz="4" w:space="0"/>
              <w:bottom w:val="single" w:color="auto" w:sz="8" w:space="0"/>
              <w:right w:val="single" w:color="auto" w:sz="8" w:space="0"/>
            </w:tcBorders>
            <w:vAlign w:val="center"/>
          </w:tcPr>
          <w:p>
            <w:pPr>
              <w:pStyle w:val="9"/>
              <w:ind w:firstLine="482"/>
              <w:rPr>
                <w:rFonts w:cs="Times New Roman"/>
                <w:b/>
                <w:bCs/>
              </w:rPr>
            </w:pPr>
            <w:r>
              <w:rPr>
                <w:rFonts w:hint="eastAsia" w:cs="Times New Roman"/>
                <w:b/>
                <w:bCs/>
              </w:rPr>
              <w:t>1、</w:t>
            </w:r>
            <w:r>
              <w:rPr>
                <w:rFonts w:cs="Times New Roman"/>
                <w:b/>
                <w:bCs/>
              </w:rPr>
              <w:t>废气</w:t>
            </w:r>
          </w:p>
          <w:p>
            <w:pPr>
              <w:spacing w:line="360" w:lineRule="auto"/>
              <w:ind w:firstLine="482" w:firstLineChars="200"/>
              <w:rPr>
                <w:b/>
                <w:bCs/>
                <w:sz w:val="24"/>
              </w:rPr>
            </w:pPr>
            <w:r>
              <w:rPr>
                <w:rFonts w:hint="eastAsia"/>
                <w:b/>
                <w:bCs/>
                <w:sz w:val="24"/>
              </w:rPr>
              <w:t>（1）</w:t>
            </w:r>
            <w:r>
              <w:rPr>
                <w:b/>
                <w:bCs/>
                <w:sz w:val="24"/>
              </w:rPr>
              <w:t>锅炉烟气</w:t>
            </w:r>
          </w:p>
          <w:p>
            <w:pPr>
              <w:spacing w:line="360" w:lineRule="auto"/>
              <w:ind w:firstLine="480" w:firstLineChars="200"/>
              <w:rPr>
                <w:sz w:val="24"/>
              </w:rPr>
            </w:pPr>
            <w:r>
              <w:rPr>
                <w:rFonts w:hint="eastAsia"/>
                <w:sz w:val="24"/>
              </w:rPr>
              <w:t>锅炉烟气</w:t>
            </w:r>
            <w:r>
              <w:rPr>
                <w:sz w:val="24"/>
              </w:rPr>
              <w:t>污染物排放量根据《污染源源强核算技术指南 锅炉》（HJ991-2018）中有组织废气（正常工况）的源强核算方法选取次序中的优先次序物料衡算法进行核算。</w:t>
            </w:r>
          </w:p>
          <w:p>
            <w:pPr>
              <w:spacing w:line="360" w:lineRule="auto"/>
              <w:ind w:firstLine="480" w:firstLineChars="200"/>
              <w:rPr>
                <w:sz w:val="24"/>
                <w:u w:val="single"/>
              </w:rPr>
            </w:pPr>
            <w:r>
              <w:rPr>
                <w:rFonts w:hint="eastAsia" w:ascii="宋体" w:hAnsi="宋体" w:cs="宋体"/>
                <w:sz w:val="24"/>
                <w:u w:val="single"/>
              </w:rPr>
              <w:t>①</w:t>
            </w:r>
            <w:r>
              <w:rPr>
                <w:sz w:val="24"/>
                <w:u w:val="single"/>
              </w:rPr>
              <w:t>烟气量</w:t>
            </w:r>
          </w:p>
          <w:p>
            <w:pPr>
              <w:spacing w:line="360" w:lineRule="auto"/>
              <w:ind w:firstLine="480" w:firstLineChars="200"/>
              <w:rPr>
                <w:sz w:val="24"/>
                <w:u w:val="single"/>
              </w:rPr>
            </w:pPr>
            <w:r>
              <w:rPr>
                <w:rFonts w:hint="eastAsia"/>
                <w:sz w:val="24"/>
                <w:u w:val="single"/>
              </w:rPr>
              <w:t>根据表12燃料成分分析可知，</w:t>
            </w:r>
            <w:r>
              <w:rPr>
                <w:sz w:val="24"/>
                <w:u w:val="single"/>
              </w:rPr>
              <w:t>本项目无生物质燃料全元素分析，</w:t>
            </w:r>
            <w:r>
              <w:rPr>
                <w:rFonts w:eastAsia="宋体"/>
                <w:color w:val="000000"/>
                <w:sz w:val="24"/>
                <w:u w:val="single"/>
              </w:rPr>
              <w:t>根据《污染源源强核算技术指南 锅炉》（HJ991-2018）中附录C.</w:t>
            </w:r>
            <w:r>
              <w:rPr>
                <w:rFonts w:hint="eastAsia" w:eastAsia="宋体"/>
                <w:color w:val="000000"/>
                <w:sz w:val="24"/>
                <w:u w:val="single"/>
              </w:rPr>
              <w:t>5：没有元素分析时，干烟气排放量的经验公式计算参照HJ953。</w:t>
            </w:r>
            <w:r>
              <w:rPr>
                <w:sz w:val="24"/>
                <w:u w:val="single"/>
              </w:rPr>
              <w:t>烟气量采用《排污许可证申请与核发技术规范 锅炉》（HJ953-2018）中推荐的经验公式估算法，相关经验公式见下表：</w:t>
            </w:r>
          </w:p>
          <w:p>
            <w:pPr>
              <w:jc w:val="center"/>
              <w:rPr>
                <w:sz w:val="24"/>
                <w:u w:val="single"/>
              </w:rPr>
            </w:pPr>
            <w:r>
              <w:rPr>
                <w:rFonts w:hint="eastAsia"/>
                <w:sz w:val="24"/>
                <w:u w:val="single"/>
              </w:rPr>
              <w:t xml:space="preserve">表34  </w:t>
            </w:r>
            <w:r>
              <w:rPr>
                <w:sz w:val="24"/>
                <w:u w:val="single"/>
              </w:rPr>
              <w:t>基准烟气量取值表</w:t>
            </w:r>
          </w:p>
          <w:tbl>
            <w:tblPr>
              <w:tblW w:w="8809"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57" w:type="dxa"/>
                <w:right w:w="57" w:type="dxa"/>
              </w:tblCellMar>
            </w:tblPr>
            <w:tblGrid>
              <w:gridCol w:w="1074"/>
              <w:gridCol w:w="1970"/>
              <w:gridCol w:w="1554"/>
              <w:gridCol w:w="2590"/>
              <w:gridCol w:w="1621"/>
            </w:tblGrid>
            <w:tr>
              <w:trPr>
                <w:trHeight w:val="340" w:hRule="atLeast"/>
                <w:jc w:val="center"/>
              </w:trPr>
              <w:tc>
                <w:tcPr>
                  <w:tcW w:w="4598" w:type="dxa"/>
                  <w:gridSpan w:val="3"/>
                  <w:tcBorders>
                    <w:tl2br w:val="nil"/>
                    <w:tr2bl w:val="nil"/>
                  </w:tcBorders>
                  <w:vAlign w:val="center"/>
                </w:tcPr>
                <w:p>
                  <w:pPr>
                    <w:jc w:val="center"/>
                    <w:rPr>
                      <w:color w:val="000000"/>
                      <w:szCs w:val="21"/>
                      <w:u w:val="single"/>
                    </w:rPr>
                  </w:pPr>
                  <w:r>
                    <w:rPr>
                      <w:color w:val="000000"/>
                      <w:szCs w:val="21"/>
                      <w:u w:val="single"/>
                    </w:rPr>
                    <w:t>锅炉</w:t>
                  </w:r>
                </w:p>
              </w:tc>
              <w:tc>
                <w:tcPr>
                  <w:tcW w:w="2590" w:type="dxa"/>
                  <w:tcBorders>
                    <w:tl2br w:val="nil"/>
                    <w:tr2bl w:val="nil"/>
                  </w:tcBorders>
                  <w:vAlign w:val="center"/>
                </w:tcPr>
                <w:p>
                  <w:pPr>
                    <w:jc w:val="center"/>
                    <w:rPr>
                      <w:color w:val="000000"/>
                      <w:szCs w:val="21"/>
                      <w:u w:val="single"/>
                    </w:rPr>
                  </w:pPr>
                  <w:r>
                    <w:rPr>
                      <w:color w:val="000000"/>
                      <w:szCs w:val="21"/>
                      <w:u w:val="single"/>
                    </w:rPr>
                    <w:t>基准烟气量</w:t>
                  </w:r>
                </w:p>
              </w:tc>
              <w:tc>
                <w:tcPr>
                  <w:tcW w:w="1621" w:type="dxa"/>
                  <w:tcBorders>
                    <w:tl2br w:val="nil"/>
                    <w:tr2bl w:val="nil"/>
                  </w:tcBorders>
                  <w:vAlign w:val="center"/>
                </w:tcPr>
                <w:p>
                  <w:pPr>
                    <w:jc w:val="center"/>
                    <w:rPr>
                      <w:color w:val="000000"/>
                      <w:szCs w:val="21"/>
                      <w:u w:val="single"/>
                    </w:rPr>
                  </w:pPr>
                  <w:r>
                    <w:rPr>
                      <w:color w:val="000000"/>
                      <w:szCs w:val="21"/>
                      <w:u w:val="single"/>
                    </w:rPr>
                    <w:t>单位</w:t>
                  </w:r>
                </w:p>
              </w:tc>
            </w:tr>
            <w:tr>
              <w:trPr>
                <w:trHeight w:val="340" w:hRule="atLeast"/>
                <w:jc w:val="center"/>
              </w:trPr>
              <w:tc>
                <w:tcPr>
                  <w:tcW w:w="1074" w:type="dxa"/>
                  <w:vMerge w:val="restart"/>
                  <w:tcBorders>
                    <w:tl2br w:val="nil"/>
                    <w:tr2bl w:val="nil"/>
                  </w:tcBorders>
                  <w:vAlign w:val="center"/>
                </w:tcPr>
                <w:p>
                  <w:pPr>
                    <w:jc w:val="center"/>
                    <w:rPr>
                      <w:color w:val="000000"/>
                      <w:szCs w:val="21"/>
                      <w:u w:val="single"/>
                    </w:rPr>
                  </w:pPr>
                  <w:r>
                    <w:rPr>
                      <w:color w:val="000000"/>
                      <w:szCs w:val="21"/>
                      <w:u w:val="single"/>
                    </w:rPr>
                    <w:t>燃生物质锅炉</w:t>
                  </w:r>
                </w:p>
              </w:tc>
              <w:tc>
                <w:tcPr>
                  <w:tcW w:w="1970" w:type="dxa"/>
                  <w:vMerge w:val="restart"/>
                  <w:tcBorders>
                    <w:tl2br w:val="nil"/>
                    <w:tr2bl w:val="nil"/>
                  </w:tcBorders>
                  <w:vAlign w:val="center"/>
                </w:tcPr>
                <w:p>
                  <w:pPr>
                    <w:jc w:val="center"/>
                    <w:rPr>
                      <w:color w:val="000000"/>
                      <w:szCs w:val="21"/>
                      <w:u w:val="single"/>
                    </w:rPr>
                  </w:pPr>
                  <w:r>
                    <w:rPr>
                      <w:color w:val="000000"/>
                      <w:szCs w:val="21"/>
                      <w:u w:val="single"/>
                    </w:rPr>
                    <w:t>Q</w:t>
                  </w:r>
                  <w:r>
                    <w:rPr>
                      <w:color w:val="000000"/>
                      <w:szCs w:val="21"/>
                      <w:u w:val="single"/>
                      <w:vertAlign w:val="subscript"/>
                    </w:rPr>
                    <w:t>net，ar</w:t>
                  </w:r>
                  <w:r>
                    <w:rPr>
                      <w:color w:val="000000"/>
                      <w:szCs w:val="21"/>
                      <w:u w:val="single"/>
                    </w:rPr>
                    <w:t>≥12.54MJ/kg</w:t>
                  </w:r>
                </w:p>
              </w:tc>
              <w:tc>
                <w:tcPr>
                  <w:tcW w:w="1554" w:type="dxa"/>
                  <w:tcBorders>
                    <w:tl2br w:val="nil"/>
                    <w:tr2bl w:val="nil"/>
                  </w:tcBorders>
                  <w:vAlign w:val="center"/>
                </w:tcPr>
                <w:p>
                  <w:pPr>
                    <w:jc w:val="center"/>
                    <w:rPr>
                      <w:color w:val="000000"/>
                      <w:szCs w:val="21"/>
                      <w:u w:val="single"/>
                    </w:rPr>
                  </w:pPr>
                  <w:r>
                    <w:rPr>
                      <w:color w:val="000000"/>
                      <w:szCs w:val="21"/>
                      <w:u w:val="single"/>
                    </w:rPr>
                    <w:t>V</w:t>
                  </w:r>
                  <w:r>
                    <w:rPr>
                      <w:color w:val="000000"/>
                      <w:szCs w:val="21"/>
                      <w:u w:val="single"/>
                      <w:vertAlign w:val="subscript"/>
                    </w:rPr>
                    <w:t>daf</w:t>
                  </w:r>
                  <w:r>
                    <w:rPr>
                      <w:color w:val="000000"/>
                      <w:szCs w:val="21"/>
                      <w:u w:val="single"/>
                    </w:rPr>
                    <w:t>≥15%</w:t>
                  </w:r>
                </w:p>
              </w:tc>
              <w:tc>
                <w:tcPr>
                  <w:tcW w:w="2590" w:type="dxa"/>
                  <w:tcBorders>
                    <w:tl2br w:val="nil"/>
                    <w:tr2bl w:val="nil"/>
                  </w:tcBorders>
                  <w:vAlign w:val="center"/>
                </w:tcPr>
                <w:p>
                  <w:pPr>
                    <w:jc w:val="center"/>
                    <w:rPr>
                      <w:color w:val="000000"/>
                      <w:szCs w:val="21"/>
                      <w:u w:val="single"/>
                    </w:rPr>
                  </w:pPr>
                  <w:r>
                    <w:rPr>
                      <w:color w:val="000000"/>
                      <w:szCs w:val="21"/>
                      <w:u w:val="single"/>
                    </w:rPr>
                    <w:t>Vgy=0.393Q</w:t>
                  </w:r>
                  <w:r>
                    <w:rPr>
                      <w:color w:val="000000"/>
                      <w:szCs w:val="21"/>
                      <w:u w:val="single"/>
                      <w:vertAlign w:val="subscript"/>
                    </w:rPr>
                    <w:t>net，ar</w:t>
                  </w:r>
                  <w:r>
                    <w:rPr>
                      <w:color w:val="000000"/>
                      <w:szCs w:val="21"/>
                      <w:u w:val="single"/>
                    </w:rPr>
                    <w:t>+0.876</w:t>
                  </w:r>
                </w:p>
              </w:tc>
              <w:tc>
                <w:tcPr>
                  <w:tcW w:w="1621" w:type="dxa"/>
                  <w:tcBorders>
                    <w:tl2br w:val="nil"/>
                    <w:tr2bl w:val="nil"/>
                  </w:tcBorders>
                  <w:vAlign w:val="center"/>
                </w:tcPr>
                <w:p>
                  <w:pPr>
                    <w:jc w:val="center"/>
                    <w:rPr>
                      <w:color w:val="000000"/>
                      <w:szCs w:val="21"/>
                      <w:u w:val="single"/>
                    </w:rPr>
                  </w:pPr>
                  <w:r>
                    <w:rPr>
                      <w:color w:val="000000"/>
                      <w:szCs w:val="21"/>
                      <w:u w:val="single"/>
                    </w:rPr>
                    <w:t>Nm</w:t>
                  </w:r>
                  <w:r>
                    <w:rPr>
                      <w:color w:val="000000"/>
                      <w:szCs w:val="21"/>
                      <w:u w:val="single"/>
                      <w:vertAlign w:val="superscript"/>
                    </w:rPr>
                    <w:t>3</w:t>
                  </w:r>
                  <w:r>
                    <w:rPr>
                      <w:color w:val="000000"/>
                      <w:szCs w:val="21"/>
                      <w:u w:val="single"/>
                    </w:rPr>
                    <w:t>/kg</w:t>
                  </w:r>
                </w:p>
              </w:tc>
            </w:tr>
            <w:tr>
              <w:trPr>
                <w:trHeight w:val="340" w:hRule="atLeast"/>
                <w:jc w:val="center"/>
              </w:trPr>
              <w:tc>
                <w:tcPr>
                  <w:tcW w:w="1074" w:type="dxa"/>
                  <w:vMerge w:val="continue"/>
                  <w:tcBorders>
                    <w:tl2br w:val="nil"/>
                    <w:tr2bl w:val="nil"/>
                  </w:tcBorders>
                  <w:vAlign w:val="center"/>
                </w:tcPr>
                <w:p>
                  <w:pPr>
                    <w:jc w:val="center"/>
                    <w:rPr>
                      <w:color w:val="000000"/>
                      <w:szCs w:val="21"/>
                      <w:u w:val="single"/>
                    </w:rPr>
                  </w:pPr>
                </w:p>
              </w:tc>
              <w:tc>
                <w:tcPr>
                  <w:tcW w:w="1970" w:type="dxa"/>
                  <w:vMerge w:val="continue"/>
                  <w:tcBorders>
                    <w:tl2br w:val="nil"/>
                    <w:tr2bl w:val="nil"/>
                  </w:tcBorders>
                  <w:vAlign w:val="center"/>
                </w:tcPr>
                <w:p>
                  <w:pPr>
                    <w:jc w:val="center"/>
                    <w:rPr>
                      <w:color w:val="000000"/>
                      <w:szCs w:val="21"/>
                      <w:u w:val="single"/>
                    </w:rPr>
                  </w:pPr>
                </w:p>
              </w:tc>
              <w:tc>
                <w:tcPr>
                  <w:tcW w:w="1554" w:type="dxa"/>
                  <w:tcBorders>
                    <w:tl2br w:val="nil"/>
                    <w:tr2bl w:val="nil"/>
                  </w:tcBorders>
                  <w:vAlign w:val="center"/>
                </w:tcPr>
                <w:p>
                  <w:pPr>
                    <w:jc w:val="center"/>
                    <w:rPr>
                      <w:color w:val="000000"/>
                      <w:szCs w:val="21"/>
                      <w:u w:val="single"/>
                    </w:rPr>
                  </w:pPr>
                  <w:r>
                    <w:rPr>
                      <w:color w:val="000000"/>
                      <w:szCs w:val="21"/>
                      <w:u w:val="single"/>
                    </w:rPr>
                    <w:t>V</w:t>
                  </w:r>
                  <w:r>
                    <w:rPr>
                      <w:color w:val="000000"/>
                      <w:szCs w:val="21"/>
                      <w:u w:val="single"/>
                      <w:vertAlign w:val="subscript"/>
                    </w:rPr>
                    <w:t>daf</w:t>
                  </w:r>
                  <w:r>
                    <w:rPr>
                      <w:color w:val="000000"/>
                      <w:szCs w:val="21"/>
                      <w:u w:val="single"/>
                    </w:rPr>
                    <w:t>＜15%</w:t>
                  </w:r>
                </w:p>
              </w:tc>
              <w:tc>
                <w:tcPr>
                  <w:tcW w:w="2590" w:type="dxa"/>
                  <w:tcBorders>
                    <w:tl2br w:val="nil"/>
                    <w:tr2bl w:val="nil"/>
                  </w:tcBorders>
                  <w:vAlign w:val="center"/>
                </w:tcPr>
                <w:p>
                  <w:pPr>
                    <w:jc w:val="center"/>
                    <w:rPr>
                      <w:color w:val="000000"/>
                      <w:szCs w:val="21"/>
                      <w:u w:val="single"/>
                    </w:rPr>
                  </w:pPr>
                  <w:r>
                    <w:rPr>
                      <w:color w:val="000000"/>
                      <w:szCs w:val="21"/>
                      <w:u w:val="single"/>
                    </w:rPr>
                    <w:t>Vgy=0.385Q</w:t>
                  </w:r>
                  <w:r>
                    <w:rPr>
                      <w:color w:val="000000"/>
                      <w:szCs w:val="21"/>
                      <w:u w:val="single"/>
                      <w:vertAlign w:val="subscript"/>
                    </w:rPr>
                    <w:t>net，ar</w:t>
                  </w:r>
                  <w:r>
                    <w:rPr>
                      <w:color w:val="000000"/>
                      <w:szCs w:val="21"/>
                      <w:u w:val="single"/>
                    </w:rPr>
                    <w:t>+1.095</w:t>
                  </w:r>
                </w:p>
              </w:tc>
              <w:tc>
                <w:tcPr>
                  <w:tcW w:w="1621" w:type="dxa"/>
                  <w:tcBorders>
                    <w:tl2br w:val="nil"/>
                    <w:tr2bl w:val="nil"/>
                  </w:tcBorders>
                  <w:vAlign w:val="center"/>
                </w:tcPr>
                <w:p>
                  <w:pPr>
                    <w:jc w:val="center"/>
                    <w:rPr>
                      <w:color w:val="000000"/>
                      <w:szCs w:val="21"/>
                      <w:u w:val="single"/>
                    </w:rPr>
                  </w:pPr>
                  <w:r>
                    <w:rPr>
                      <w:color w:val="000000"/>
                      <w:szCs w:val="21"/>
                      <w:u w:val="single"/>
                    </w:rPr>
                    <w:t>Nm</w:t>
                  </w:r>
                  <w:r>
                    <w:rPr>
                      <w:color w:val="000000"/>
                      <w:szCs w:val="21"/>
                      <w:u w:val="single"/>
                      <w:vertAlign w:val="superscript"/>
                    </w:rPr>
                    <w:t>3</w:t>
                  </w:r>
                  <w:r>
                    <w:rPr>
                      <w:color w:val="000000"/>
                      <w:szCs w:val="21"/>
                      <w:u w:val="single"/>
                    </w:rPr>
                    <w:t>/kg</w:t>
                  </w:r>
                </w:p>
              </w:tc>
            </w:tr>
            <w:tr>
              <w:trPr>
                <w:trHeight w:val="340" w:hRule="atLeast"/>
                <w:jc w:val="center"/>
              </w:trPr>
              <w:tc>
                <w:tcPr>
                  <w:tcW w:w="1074" w:type="dxa"/>
                  <w:vMerge w:val="continue"/>
                  <w:tcBorders>
                    <w:tl2br w:val="nil"/>
                    <w:tr2bl w:val="nil"/>
                  </w:tcBorders>
                  <w:vAlign w:val="center"/>
                </w:tcPr>
                <w:p>
                  <w:pPr>
                    <w:jc w:val="center"/>
                    <w:rPr>
                      <w:color w:val="000000"/>
                      <w:szCs w:val="21"/>
                      <w:u w:val="single"/>
                    </w:rPr>
                  </w:pPr>
                </w:p>
              </w:tc>
              <w:tc>
                <w:tcPr>
                  <w:tcW w:w="3524" w:type="dxa"/>
                  <w:gridSpan w:val="2"/>
                  <w:tcBorders>
                    <w:tl2br w:val="nil"/>
                    <w:tr2bl w:val="nil"/>
                  </w:tcBorders>
                  <w:vAlign w:val="center"/>
                </w:tcPr>
                <w:p>
                  <w:pPr>
                    <w:jc w:val="center"/>
                    <w:rPr>
                      <w:color w:val="000000"/>
                      <w:szCs w:val="21"/>
                      <w:u w:val="single"/>
                    </w:rPr>
                  </w:pPr>
                  <w:r>
                    <w:rPr>
                      <w:color w:val="000000"/>
                      <w:szCs w:val="21"/>
                      <w:u w:val="single"/>
                    </w:rPr>
                    <w:t>Q</w:t>
                  </w:r>
                  <w:r>
                    <w:rPr>
                      <w:color w:val="000000"/>
                      <w:szCs w:val="21"/>
                      <w:u w:val="single"/>
                      <w:vertAlign w:val="subscript"/>
                    </w:rPr>
                    <w:t>net，ar</w:t>
                  </w:r>
                  <w:r>
                    <w:rPr>
                      <w:color w:val="000000"/>
                      <w:szCs w:val="21"/>
                      <w:u w:val="single"/>
                    </w:rPr>
                    <w:t>＜12.54MJ/kg</w:t>
                  </w:r>
                </w:p>
              </w:tc>
              <w:tc>
                <w:tcPr>
                  <w:tcW w:w="2590" w:type="dxa"/>
                  <w:tcBorders>
                    <w:tl2br w:val="nil"/>
                    <w:tr2bl w:val="nil"/>
                  </w:tcBorders>
                  <w:vAlign w:val="center"/>
                </w:tcPr>
                <w:p>
                  <w:pPr>
                    <w:jc w:val="center"/>
                    <w:rPr>
                      <w:color w:val="000000"/>
                      <w:szCs w:val="21"/>
                      <w:u w:val="single"/>
                    </w:rPr>
                  </w:pPr>
                  <w:r>
                    <w:rPr>
                      <w:color w:val="000000"/>
                      <w:szCs w:val="21"/>
                      <w:u w:val="single"/>
                    </w:rPr>
                    <w:t>Vgy=0.385Q</w:t>
                  </w:r>
                  <w:r>
                    <w:rPr>
                      <w:color w:val="000000"/>
                      <w:szCs w:val="21"/>
                      <w:u w:val="single"/>
                      <w:vertAlign w:val="subscript"/>
                    </w:rPr>
                    <w:t>net，ar</w:t>
                  </w:r>
                  <w:r>
                    <w:rPr>
                      <w:color w:val="000000"/>
                      <w:szCs w:val="21"/>
                      <w:u w:val="single"/>
                    </w:rPr>
                    <w:t>+0.788</w:t>
                  </w:r>
                </w:p>
              </w:tc>
              <w:tc>
                <w:tcPr>
                  <w:tcW w:w="1621" w:type="dxa"/>
                  <w:tcBorders>
                    <w:tl2br w:val="nil"/>
                    <w:tr2bl w:val="nil"/>
                  </w:tcBorders>
                  <w:vAlign w:val="center"/>
                </w:tcPr>
                <w:p>
                  <w:pPr>
                    <w:jc w:val="center"/>
                    <w:rPr>
                      <w:color w:val="000000"/>
                      <w:szCs w:val="21"/>
                      <w:u w:val="single"/>
                    </w:rPr>
                  </w:pPr>
                  <w:r>
                    <w:rPr>
                      <w:color w:val="000000"/>
                      <w:szCs w:val="21"/>
                      <w:u w:val="single"/>
                    </w:rPr>
                    <w:t>Nm</w:t>
                  </w:r>
                  <w:r>
                    <w:rPr>
                      <w:color w:val="000000"/>
                      <w:szCs w:val="21"/>
                      <w:u w:val="single"/>
                      <w:vertAlign w:val="superscript"/>
                    </w:rPr>
                    <w:t>3</w:t>
                  </w:r>
                  <w:r>
                    <w:rPr>
                      <w:color w:val="000000"/>
                      <w:szCs w:val="21"/>
                      <w:u w:val="single"/>
                    </w:rPr>
                    <w:t>/kg</w:t>
                  </w:r>
                </w:p>
              </w:tc>
            </w:tr>
          </w:tbl>
          <w:p>
            <w:pPr>
              <w:spacing w:line="360" w:lineRule="auto"/>
              <w:ind w:firstLine="480" w:firstLineChars="200"/>
              <w:rPr>
                <w:rFonts w:eastAsia="宋体"/>
                <w:color w:val="000000"/>
                <w:sz w:val="24"/>
                <w:u w:val="single"/>
              </w:rPr>
            </w:pPr>
            <w:r>
              <w:rPr>
                <w:rFonts w:hint="eastAsia" w:eastAsia="宋体"/>
                <w:color w:val="000000"/>
                <w:sz w:val="24"/>
                <w:u w:val="single"/>
              </w:rPr>
              <w:t>根据燃料成分分析报告可知，</w:t>
            </w:r>
            <w:r>
              <w:rPr>
                <w:rFonts w:eastAsia="宋体"/>
                <w:color w:val="000000"/>
                <w:sz w:val="24"/>
                <w:u w:val="single"/>
              </w:rPr>
              <w:t>本项目</w:t>
            </w:r>
            <w:r>
              <w:rPr>
                <w:rFonts w:hint="eastAsia" w:eastAsia="宋体"/>
                <w:color w:val="000000"/>
                <w:sz w:val="24"/>
                <w:u w:val="single"/>
              </w:rPr>
              <w:t>Q</w:t>
            </w:r>
            <w:r>
              <w:rPr>
                <w:rFonts w:hint="eastAsia" w:eastAsia="宋体"/>
                <w:color w:val="000000"/>
                <w:sz w:val="24"/>
                <w:u w:val="single"/>
                <w:vertAlign w:val="subscript"/>
              </w:rPr>
              <w:t>net，ar</w:t>
            </w:r>
            <w:r>
              <w:rPr>
                <w:rFonts w:hint="eastAsia" w:eastAsia="宋体"/>
                <w:color w:val="000000"/>
                <w:sz w:val="24"/>
                <w:u w:val="single"/>
              </w:rPr>
              <w:t>为17.22MJ/kg，</w:t>
            </w:r>
            <w:r>
              <w:rPr>
                <w:rFonts w:eastAsia="宋体"/>
                <w:color w:val="000000"/>
                <w:sz w:val="24"/>
                <w:u w:val="single"/>
              </w:rPr>
              <w:t>V</w:t>
            </w:r>
            <w:r>
              <w:rPr>
                <w:rFonts w:eastAsia="宋体"/>
                <w:color w:val="000000"/>
                <w:sz w:val="24"/>
                <w:u w:val="single"/>
                <w:vertAlign w:val="subscript"/>
              </w:rPr>
              <w:t>d</w:t>
            </w:r>
            <w:r>
              <w:rPr>
                <w:rFonts w:hint="eastAsia" w:eastAsia="宋体"/>
                <w:color w:val="000000"/>
                <w:sz w:val="24"/>
                <w:u w:val="single"/>
                <w:vertAlign w:val="subscript"/>
              </w:rPr>
              <w:t>af</w:t>
            </w:r>
            <w:r>
              <w:rPr>
                <w:rFonts w:eastAsia="宋体"/>
                <w:color w:val="000000"/>
                <w:sz w:val="24"/>
                <w:u w:val="single"/>
              </w:rPr>
              <w:t>=</w:t>
            </w:r>
            <w:r>
              <w:rPr>
                <w:rFonts w:hint="eastAsia" w:eastAsia="宋体"/>
                <w:color w:val="000000"/>
                <w:sz w:val="24"/>
                <w:u w:val="single"/>
              </w:rPr>
              <w:t>81.04</w:t>
            </w:r>
            <w:r>
              <w:rPr>
                <w:rFonts w:eastAsia="宋体"/>
                <w:color w:val="000000"/>
                <w:sz w:val="24"/>
                <w:u w:val="single"/>
              </w:rPr>
              <w:t>%，因此烟气量按：</w:t>
            </w:r>
            <w:r>
              <w:rPr>
                <w:rFonts w:ascii="Times New Roman" w:hAnsi="Times New Roman" w:eastAsia="宋体" w:cs="Times New Roman"/>
                <w:kern w:val="2"/>
                <w:sz w:val="21"/>
                <w:szCs w:val="24"/>
                <w:u w:val="single"/>
                <w:lang w:val="en-US" w:eastAsia="zh-CN" w:bidi="ar-SA"/>
              </w:rPr>
              <w:pict>
                <v:shape id="图片框 1037" o:spid="_x0000_s1038" type="#_x0000_t75" style="height:14.3pt;width:118.8pt;rotation:0f;" o:ole="f" fillcolor="#FFFFFF" filled="f" o:preferrelative="t" stroked="f" coordorigin="0,0" coordsize="21600,21600">
                  <v:fill on="f" color2="#FFFFFF" focus="0%"/>
                  <v:imagedata gain="65536f" blacklevel="0f" gamma="0" o:title="" r:id="rId17"/>
                  <o:lock v:ext="edit" position="f" selection="f" grouping="f" rotation="f" cropping="f" text="f" aspectratio="t"/>
                  <w10:wrap type="none"/>
                  <w10:anchorlock/>
                </v:shape>
              </w:pict>
            </w:r>
            <w:r>
              <w:rPr>
                <w:rFonts w:hint="eastAsia"/>
                <w:u w:val="single"/>
              </w:rPr>
              <w:t>。</w:t>
            </w:r>
            <w:r>
              <w:rPr>
                <w:rFonts w:hint="eastAsia"/>
                <w:sz w:val="24"/>
                <w:u w:val="single"/>
              </w:rPr>
              <w:t>基准烟气量经</w:t>
            </w:r>
            <w:r>
              <w:rPr>
                <w:sz w:val="24"/>
                <w:u w:val="single"/>
              </w:rPr>
              <w:t>计算</w:t>
            </w:r>
            <w:r>
              <w:rPr>
                <w:rFonts w:hint="eastAsia"/>
                <w:sz w:val="24"/>
                <w:u w:val="single"/>
              </w:rPr>
              <w:t>7.643</w:t>
            </w:r>
            <w:r>
              <w:rPr>
                <w:rFonts w:hint="eastAsia" w:eastAsia="宋体"/>
                <w:color w:val="000000"/>
                <w:sz w:val="24"/>
                <w:u w:val="single"/>
              </w:rPr>
              <w:t>N</w:t>
            </w:r>
            <w:r>
              <w:rPr>
                <w:rFonts w:eastAsia="宋体"/>
                <w:color w:val="000000"/>
                <w:sz w:val="24"/>
                <w:u w:val="single"/>
              </w:rPr>
              <w:t>m</w:t>
            </w:r>
            <w:r>
              <w:rPr>
                <w:rFonts w:eastAsia="宋体"/>
                <w:color w:val="000000"/>
                <w:sz w:val="24"/>
                <w:u w:val="single"/>
                <w:vertAlign w:val="superscript"/>
              </w:rPr>
              <w:t>3</w:t>
            </w:r>
            <w:r>
              <w:rPr>
                <w:rFonts w:eastAsia="宋体"/>
                <w:color w:val="000000"/>
                <w:sz w:val="24"/>
                <w:u w:val="single"/>
              </w:rPr>
              <w:t>/kg。</w:t>
            </w:r>
          </w:p>
          <w:p>
            <w:pPr>
              <w:spacing w:line="360" w:lineRule="auto"/>
              <w:ind w:firstLine="480" w:firstLineChars="200"/>
              <w:rPr>
                <w:rFonts w:eastAsia="宋体"/>
                <w:color w:val="000000"/>
                <w:sz w:val="24"/>
                <w:u w:val="single"/>
              </w:rPr>
            </w:pPr>
            <w:r>
              <w:rPr>
                <w:rFonts w:hint="eastAsia" w:eastAsia="宋体"/>
                <w:color w:val="000000"/>
                <w:sz w:val="24"/>
                <w:u w:val="single"/>
              </w:rPr>
              <w:t>本项目4.0t/h生物质锅炉全年燃料使用量为1000t，全年烟气量为7643000m</w:t>
            </w:r>
            <w:r>
              <w:rPr>
                <w:rFonts w:hint="eastAsia" w:eastAsia="宋体"/>
                <w:color w:val="000000"/>
                <w:sz w:val="24"/>
                <w:u w:val="single"/>
                <w:vertAlign w:val="superscript"/>
              </w:rPr>
              <w:t>3</w:t>
            </w:r>
            <w:r>
              <w:rPr>
                <w:rFonts w:hint="eastAsia" w:eastAsia="宋体"/>
                <w:color w:val="000000"/>
                <w:sz w:val="24"/>
                <w:u w:val="single"/>
              </w:rPr>
              <w:t>。</w:t>
            </w:r>
          </w:p>
          <w:p>
            <w:pPr>
              <w:spacing w:line="360" w:lineRule="auto"/>
              <w:ind w:firstLine="480" w:firstLineChars="200"/>
              <w:rPr>
                <w:sz w:val="24"/>
                <w:u w:val="single"/>
              </w:rPr>
            </w:pPr>
            <w:r>
              <w:rPr>
                <w:rFonts w:hint="eastAsia" w:ascii="宋体" w:hAnsi="宋体" w:cs="宋体"/>
                <w:sz w:val="24"/>
                <w:u w:val="single"/>
              </w:rPr>
              <w:t>②</w:t>
            </w:r>
            <w:r>
              <w:rPr>
                <w:sz w:val="24"/>
                <w:u w:val="single"/>
              </w:rPr>
              <w:t>颗粒物</w:t>
            </w:r>
          </w:p>
          <w:p>
            <w:pPr>
              <w:spacing w:line="360" w:lineRule="auto"/>
              <w:ind w:firstLine="480" w:firstLineChars="200"/>
              <w:rPr>
                <w:sz w:val="24"/>
                <w:u w:val="single"/>
              </w:rPr>
            </w:pPr>
          </w:p>
          <w:p>
            <w:pPr>
              <w:spacing w:line="360" w:lineRule="auto"/>
              <w:ind w:firstLine="480" w:firstLineChars="200"/>
              <w:rPr>
                <w:sz w:val="24"/>
                <w:u w:val="single"/>
              </w:rPr>
            </w:pPr>
            <w:r>
              <w:rPr>
                <w:sz w:val="24"/>
                <w:u w:val="single"/>
              </w:rPr>
              <w:t>式中：E</w:t>
            </w:r>
            <w:r>
              <w:rPr>
                <w:sz w:val="24"/>
                <w:u w:val="single"/>
                <w:vertAlign w:val="subscript"/>
              </w:rPr>
              <w:t>A</w:t>
            </w:r>
            <w:r>
              <w:rPr>
                <w:rFonts w:hint="eastAsia"/>
                <w:sz w:val="24"/>
                <w:u w:val="single"/>
              </w:rPr>
              <w:t>—</w:t>
            </w:r>
            <w:r>
              <w:rPr>
                <w:sz w:val="24"/>
                <w:u w:val="single"/>
              </w:rPr>
              <w:t>核算时段内颗粒物排放量，t；</w:t>
            </w:r>
          </w:p>
          <w:p>
            <w:pPr>
              <w:spacing w:line="360" w:lineRule="auto"/>
              <w:ind w:firstLine="1200" w:firstLineChars="500"/>
              <w:rPr>
                <w:sz w:val="24"/>
                <w:u w:val="single"/>
              </w:rPr>
            </w:pPr>
            <w:r>
              <w:rPr>
                <w:sz w:val="24"/>
                <w:u w:val="single"/>
              </w:rPr>
              <w:t>R</w:t>
            </w:r>
            <w:r>
              <w:rPr>
                <w:rFonts w:hint="eastAsia"/>
                <w:sz w:val="24"/>
                <w:u w:val="single"/>
              </w:rPr>
              <w:t>—</w:t>
            </w:r>
            <w:r>
              <w:rPr>
                <w:sz w:val="24"/>
                <w:u w:val="single"/>
              </w:rPr>
              <w:t>核算时段内锅炉燃料耗量，t；</w:t>
            </w:r>
          </w:p>
          <w:p>
            <w:pPr>
              <w:spacing w:line="360" w:lineRule="auto"/>
              <w:ind w:firstLine="1200" w:firstLineChars="500"/>
              <w:rPr>
                <w:sz w:val="24"/>
                <w:u w:val="single"/>
              </w:rPr>
            </w:pPr>
            <w:r>
              <w:rPr>
                <w:sz w:val="24"/>
                <w:u w:val="single"/>
              </w:rPr>
              <w:t>A</w:t>
            </w:r>
            <w:r>
              <w:rPr>
                <w:sz w:val="24"/>
                <w:u w:val="single"/>
                <w:vertAlign w:val="subscript"/>
              </w:rPr>
              <w:t>ar</w:t>
            </w:r>
            <w:r>
              <w:rPr>
                <w:rFonts w:hint="eastAsia"/>
                <w:sz w:val="24"/>
                <w:u w:val="single"/>
              </w:rPr>
              <w:t>—</w:t>
            </w:r>
            <w:r>
              <w:rPr>
                <w:sz w:val="24"/>
                <w:u w:val="single"/>
              </w:rPr>
              <w:t>收到基灰分的质量分数，%；</w:t>
            </w:r>
            <w:r>
              <w:rPr>
                <w:rFonts w:hint="eastAsia"/>
                <w:sz w:val="24"/>
                <w:u w:val="single"/>
              </w:rPr>
              <w:t>根据燃料成分分析参数，本次取1.24%；</w:t>
            </w:r>
          </w:p>
          <w:p>
            <w:pPr>
              <w:spacing w:line="360" w:lineRule="auto"/>
              <w:ind w:firstLine="1200" w:firstLineChars="500"/>
              <w:rPr>
                <w:sz w:val="24"/>
                <w:u w:val="single"/>
              </w:rPr>
            </w:pPr>
            <w:r>
              <w:rPr>
                <w:rFonts w:hint="eastAsia"/>
                <w:sz w:val="24"/>
                <w:u w:val="single"/>
              </w:rPr>
              <w:t>d</w:t>
            </w:r>
            <w:r>
              <w:rPr>
                <w:sz w:val="24"/>
                <w:u w:val="single"/>
                <w:vertAlign w:val="subscript"/>
              </w:rPr>
              <w:t>fh</w:t>
            </w:r>
            <w:r>
              <w:rPr>
                <w:rFonts w:hint="eastAsia"/>
                <w:sz w:val="24"/>
                <w:u w:val="single"/>
              </w:rPr>
              <w:t>—</w:t>
            </w:r>
            <w:r>
              <w:rPr>
                <w:sz w:val="24"/>
                <w:u w:val="single"/>
              </w:rPr>
              <w:t>锅炉烟气带出的飞灰份额</w:t>
            </w:r>
            <w:r>
              <w:rPr>
                <w:rFonts w:hint="eastAsia"/>
                <w:sz w:val="24"/>
                <w:u w:val="single"/>
              </w:rPr>
              <w:t>，%</w:t>
            </w:r>
            <w:r>
              <w:rPr>
                <w:sz w:val="24"/>
                <w:u w:val="single"/>
              </w:rPr>
              <w:t>；</w:t>
            </w:r>
            <w:r>
              <w:rPr>
                <w:rFonts w:hint="eastAsia"/>
                <w:sz w:val="24"/>
                <w:u w:val="single"/>
              </w:rPr>
              <w:t>本项目取50%；</w:t>
            </w:r>
          </w:p>
          <w:p>
            <w:pPr>
              <w:spacing w:line="360" w:lineRule="auto"/>
              <w:ind w:firstLine="1200" w:firstLineChars="500"/>
              <w:rPr>
                <w:sz w:val="24"/>
                <w:u w:val="single"/>
              </w:rPr>
            </w:pPr>
            <w:r>
              <w:rPr>
                <w:sz w:val="24"/>
                <w:u w:val="single"/>
              </w:rPr>
              <w:t>η</w:t>
            </w:r>
            <w:r>
              <w:rPr>
                <w:sz w:val="24"/>
                <w:u w:val="single"/>
                <w:vertAlign w:val="subscript"/>
              </w:rPr>
              <w:t>c</w:t>
            </w:r>
            <w:r>
              <w:rPr>
                <w:rFonts w:hint="eastAsia"/>
                <w:sz w:val="24"/>
                <w:u w:val="single"/>
              </w:rPr>
              <w:t>—</w:t>
            </w:r>
            <w:r>
              <w:rPr>
                <w:sz w:val="24"/>
                <w:u w:val="single"/>
              </w:rPr>
              <w:t>综合除尘效率，%；</w:t>
            </w:r>
            <w:r>
              <w:rPr>
                <w:rFonts w:hint="eastAsia"/>
                <w:sz w:val="24"/>
                <w:u w:val="single"/>
              </w:rPr>
              <w:t>本项目采用陶瓷多管除尘器+布袋除尘器，除尘效率取99%；</w:t>
            </w:r>
          </w:p>
          <w:p>
            <w:pPr>
              <w:spacing w:line="360" w:lineRule="auto"/>
              <w:ind w:firstLine="1200" w:firstLineChars="500"/>
              <w:rPr>
                <w:sz w:val="24"/>
                <w:u w:val="single"/>
              </w:rPr>
            </w:pPr>
            <w:r>
              <w:rPr>
                <w:sz w:val="24"/>
                <w:u w:val="single"/>
              </w:rPr>
              <w:t>C</w:t>
            </w:r>
            <w:r>
              <w:rPr>
                <w:sz w:val="24"/>
                <w:u w:val="single"/>
                <w:vertAlign w:val="subscript"/>
              </w:rPr>
              <w:t>fh</w:t>
            </w:r>
            <w:r>
              <w:rPr>
                <w:rFonts w:hint="eastAsia"/>
                <w:sz w:val="24"/>
                <w:u w:val="single"/>
              </w:rPr>
              <w:t>—</w:t>
            </w:r>
            <w:r>
              <w:rPr>
                <w:sz w:val="24"/>
                <w:u w:val="single"/>
              </w:rPr>
              <w:t>飞灰中的可燃物含量，%。</w:t>
            </w:r>
            <w:r>
              <w:rPr>
                <w:rFonts w:hint="eastAsia"/>
                <w:sz w:val="24"/>
                <w:u w:val="single"/>
              </w:rPr>
              <w:t>本项目取15%。</w:t>
            </w:r>
          </w:p>
          <w:p>
            <w:pPr>
              <w:spacing w:line="360" w:lineRule="auto"/>
              <w:ind w:firstLine="480" w:firstLineChars="200"/>
              <w:rPr>
                <w:rFonts w:eastAsia="宋体"/>
                <w:color w:val="000000"/>
                <w:sz w:val="24"/>
                <w:u w:val="single"/>
              </w:rPr>
            </w:pPr>
            <w:r>
              <w:rPr>
                <w:rFonts w:hint="eastAsia" w:eastAsia="宋体"/>
                <w:color w:val="000000"/>
                <w:sz w:val="24"/>
                <w:u w:val="single"/>
              </w:rPr>
              <w:t>4.0t/h生物质锅炉全年燃料使用量为1000t，全年颗粒物排放量为0.073t/a。</w:t>
            </w:r>
          </w:p>
          <w:p>
            <w:pPr>
              <w:spacing w:line="360" w:lineRule="auto"/>
              <w:ind w:firstLine="480" w:firstLineChars="200"/>
              <w:rPr>
                <w:sz w:val="24"/>
                <w:u w:val="single"/>
              </w:rPr>
            </w:pPr>
            <w:r>
              <w:rPr>
                <w:rFonts w:hint="eastAsia" w:ascii="宋体" w:hAnsi="宋体" w:cs="宋体"/>
                <w:sz w:val="24"/>
                <w:u w:val="single"/>
              </w:rPr>
              <w:t>③</w:t>
            </w:r>
            <w:r>
              <w:rPr>
                <w:sz w:val="24"/>
                <w:u w:val="single"/>
              </w:rPr>
              <w:t>二氧化硫</w:t>
            </w:r>
          </w:p>
          <w:p>
            <w:pPr>
              <w:spacing w:line="360" w:lineRule="auto"/>
              <w:ind w:firstLine="480" w:firstLineChars="200"/>
              <w:rPr>
                <w:sz w:val="24"/>
                <w:u w:val="single"/>
              </w:rPr>
            </w:pPr>
          </w:p>
          <w:p>
            <w:pPr>
              <w:spacing w:line="360" w:lineRule="auto"/>
              <w:ind w:firstLine="480" w:firstLineChars="200"/>
              <w:rPr>
                <w:sz w:val="24"/>
                <w:u w:val="single"/>
              </w:rPr>
            </w:pPr>
            <w:r>
              <w:rPr>
                <w:sz w:val="24"/>
                <w:u w:val="single"/>
              </w:rPr>
              <w:t>式中：E</w:t>
            </w:r>
            <w:r>
              <w:rPr>
                <w:sz w:val="24"/>
                <w:u w:val="single"/>
                <w:vertAlign w:val="subscript"/>
              </w:rPr>
              <w:t>SO2</w:t>
            </w:r>
            <w:r>
              <w:rPr>
                <w:rFonts w:hint="eastAsia"/>
                <w:sz w:val="24"/>
                <w:u w:val="single"/>
              </w:rPr>
              <w:t>—</w:t>
            </w:r>
            <w:r>
              <w:rPr>
                <w:sz w:val="24"/>
                <w:u w:val="single"/>
              </w:rPr>
              <w:t>核算时段内二氧化硫排放量，t；</w:t>
            </w:r>
          </w:p>
          <w:p>
            <w:pPr>
              <w:spacing w:line="360" w:lineRule="auto"/>
              <w:ind w:firstLine="1200" w:firstLineChars="500"/>
              <w:rPr>
                <w:sz w:val="24"/>
                <w:u w:val="single"/>
              </w:rPr>
            </w:pPr>
            <w:r>
              <w:rPr>
                <w:sz w:val="24"/>
                <w:u w:val="single"/>
              </w:rPr>
              <w:t>R</w:t>
            </w:r>
            <w:r>
              <w:rPr>
                <w:rFonts w:hint="eastAsia"/>
                <w:sz w:val="24"/>
                <w:u w:val="single"/>
              </w:rPr>
              <w:t>—</w:t>
            </w:r>
            <w:r>
              <w:rPr>
                <w:sz w:val="24"/>
                <w:u w:val="single"/>
              </w:rPr>
              <w:t>核算时段内锅炉燃料耗量，t；</w:t>
            </w:r>
          </w:p>
          <w:p>
            <w:pPr>
              <w:spacing w:line="360" w:lineRule="auto"/>
              <w:ind w:firstLine="1200" w:firstLineChars="500"/>
              <w:rPr>
                <w:sz w:val="24"/>
                <w:u w:val="single"/>
              </w:rPr>
            </w:pPr>
            <w:r>
              <w:rPr>
                <w:sz w:val="24"/>
                <w:u w:val="single"/>
              </w:rPr>
              <w:t>S</w:t>
            </w:r>
            <w:r>
              <w:rPr>
                <w:sz w:val="24"/>
                <w:u w:val="single"/>
                <w:vertAlign w:val="subscript"/>
              </w:rPr>
              <w:t>ar</w:t>
            </w:r>
            <w:r>
              <w:rPr>
                <w:rFonts w:hint="eastAsia"/>
                <w:sz w:val="24"/>
                <w:u w:val="single"/>
              </w:rPr>
              <w:t>—</w:t>
            </w:r>
            <w:r>
              <w:rPr>
                <w:sz w:val="24"/>
                <w:u w:val="single"/>
              </w:rPr>
              <w:t>收到基硫的质量分数，%；</w:t>
            </w:r>
            <w:r>
              <w:rPr>
                <w:rFonts w:hint="eastAsia"/>
                <w:sz w:val="24"/>
                <w:u w:val="single"/>
              </w:rPr>
              <w:t>本项目取0.001%；</w:t>
            </w:r>
          </w:p>
          <w:p>
            <w:pPr>
              <w:spacing w:line="360" w:lineRule="auto"/>
              <w:ind w:firstLine="1200" w:firstLineChars="500"/>
              <w:rPr>
                <w:sz w:val="24"/>
                <w:u w:val="single"/>
              </w:rPr>
            </w:pPr>
            <w:r>
              <w:rPr>
                <w:sz w:val="24"/>
                <w:u w:val="single"/>
              </w:rPr>
              <w:t>q</w:t>
            </w:r>
            <w:r>
              <w:rPr>
                <w:sz w:val="24"/>
                <w:u w:val="single"/>
                <w:vertAlign w:val="subscript"/>
              </w:rPr>
              <w:t>4</w:t>
            </w:r>
            <w:r>
              <w:rPr>
                <w:rFonts w:hint="eastAsia"/>
                <w:sz w:val="24"/>
                <w:u w:val="single"/>
              </w:rPr>
              <w:t>—</w:t>
            </w:r>
            <w:r>
              <w:rPr>
                <w:sz w:val="24"/>
                <w:u w:val="single"/>
              </w:rPr>
              <w:t>锅炉机械不完全燃烧热损失，%；</w:t>
            </w:r>
            <w:r>
              <w:rPr>
                <w:rFonts w:hint="eastAsia"/>
                <w:sz w:val="24"/>
                <w:u w:val="single"/>
              </w:rPr>
              <w:t>本项目取10%；</w:t>
            </w:r>
          </w:p>
          <w:p>
            <w:pPr>
              <w:spacing w:line="360" w:lineRule="auto"/>
              <w:ind w:firstLine="1200" w:firstLineChars="500"/>
              <w:rPr>
                <w:sz w:val="24"/>
                <w:u w:val="single"/>
              </w:rPr>
            </w:pPr>
            <w:r>
              <w:rPr>
                <w:sz w:val="24"/>
                <w:u w:val="single"/>
              </w:rPr>
              <w:t>η</w:t>
            </w:r>
            <w:r>
              <w:rPr>
                <w:sz w:val="24"/>
                <w:u w:val="single"/>
                <w:vertAlign w:val="subscript"/>
              </w:rPr>
              <w:t>S</w:t>
            </w:r>
            <w:r>
              <w:rPr>
                <w:rFonts w:hint="eastAsia"/>
                <w:sz w:val="24"/>
                <w:u w:val="single"/>
              </w:rPr>
              <w:t>—</w:t>
            </w:r>
            <w:r>
              <w:rPr>
                <w:sz w:val="24"/>
                <w:u w:val="single"/>
              </w:rPr>
              <w:t>脱硫效率，%；取0</w:t>
            </w:r>
            <w:r>
              <w:rPr>
                <w:rFonts w:hint="eastAsia"/>
                <w:sz w:val="24"/>
                <w:u w:val="single"/>
              </w:rPr>
              <w:t>%</w:t>
            </w:r>
            <w:r>
              <w:rPr>
                <w:sz w:val="24"/>
                <w:u w:val="single"/>
              </w:rPr>
              <w:t>；</w:t>
            </w:r>
          </w:p>
          <w:p>
            <w:pPr>
              <w:spacing w:line="360" w:lineRule="auto"/>
              <w:ind w:firstLine="1200" w:firstLineChars="500"/>
              <w:rPr>
                <w:sz w:val="24"/>
                <w:u w:val="single"/>
              </w:rPr>
            </w:pPr>
            <w:r>
              <w:rPr>
                <w:sz w:val="24"/>
                <w:u w:val="single"/>
              </w:rPr>
              <w:t>K</w:t>
            </w:r>
            <w:r>
              <w:rPr>
                <w:rFonts w:hint="eastAsia"/>
                <w:sz w:val="24"/>
                <w:u w:val="single"/>
              </w:rPr>
              <w:t>—</w:t>
            </w:r>
            <w:r>
              <w:rPr>
                <w:sz w:val="24"/>
                <w:u w:val="single"/>
              </w:rPr>
              <w:t>燃料中的硫燃烧后氧化成二氧化硫的份额。</w:t>
            </w:r>
            <w:r>
              <w:rPr>
                <w:rFonts w:hint="eastAsia"/>
                <w:sz w:val="24"/>
                <w:u w:val="single"/>
              </w:rPr>
              <w:t>本项目取0.5%。</w:t>
            </w:r>
          </w:p>
          <w:p>
            <w:pPr>
              <w:spacing w:line="360" w:lineRule="auto"/>
              <w:ind w:firstLine="480" w:firstLineChars="200"/>
              <w:rPr>
                <w:rFonts w:eastAsia="宋体"/>
                <w:color w:val="000000"/>
                <w:sz w:val="24"/>
                <w:u w:val="single"/>
              </w:rPr>
            </w:pPr>
            <w:r>
              <w:rPr>
                <w:rFonts w:hint="eastAsia" w:eastAsia="宋体"/>
                <w:color w:val="000000"/>
                <w:sz w:val="24"/>
                <w:u w:val="single"/>
              </w:rPr>
              <w:t>4.0t/h生物质锅炉全年燃料使用量为1000t，全年二氧化硫排放量为0.009t/a。</w:t>
            </w:r>
          </w:p>
          <w:p>
            <w:pPr>
              <w:spacing w:line="360" w:lineRule="auto"/>
              <w:ind w:firstLine="480" w:firstLineChars="200"/>
              <w:rPr>
                <w:sz w:val="24"/>
                <w:u w:val="single"/>
              </w:rPr>
            </w:pPr>
            <w:r>
              <w:rPr>
                <w:rFonts w:hint="eastAsia" w:ascii="宋体" w:hAnsi="宋体" w:cs="宋体"/>
                <w:sz w:val="24"/>
                <w:u w:val="single"/>
              </w:rPr>
              <w:t>④</w:t>
            </w:r>
            <w:r>
              <w:rPr>
                <w:sz w:val="24"/>
                <w:u w:val="single"/>
              </w:rPr>
              <w:t>氮氧化物</w:t>
            </w:r>
          </w:p>
          <w:p>
            <w:pPr>
              <w:spacing w:line="360" w:lineRule="auto"/>
              <w:ind w:firstLine="480" w:firstLineChars="200"/>
              <w:rPr>
                <w:sz w:val="24"/>
                <w:u w:val="single"/>
              </w:rPr>
            </w:pPr>
          </w:p>
          <w:p>
            <w:pPr>
              <w:spacing w:line="360" w:lineRule="auto"/>
              <w:ind w:firstLine="480" w:firstLineChars="200"/>
              <w:rPr>
                <w:sz w:val="24"/>
                <w:u w:val="single"/>
              </w:rPr>
            </w:pPr>
            <w:r>
              <w:rPr>
                <w:sz w:val="24"/>
                <w:u w:val="single"/>
              </w:rPr>
              <w:t>式中：E</w:t>
            </w:r>
            <w:r>
              <w:rPr>
                <w:sz w:val="24"/>
                <w:u w:val="single"/>
                <w:vertAlign w:val="subscript"/>
              </w:rPr>
              <w:t>NOx</w:t>
            </w:r>
            <w:r>
              <w:rPr>
                <w:rFonts w:hint="eastAsia"/>
                <w:sz w:val="24"/>
                <w:u w:val="single"/>
              </w:rPr>
              <w:t>—</w:t>
            </w:r>
            <w:r>
              <w:rPr>
                <w:sz w:val="24"/>
                <w:u w:val="single"/>
              </w:rPr>
              <w:t>核算时段内氮氧化物排放量，t；</w:t>
            </w:r>
          </w:p>
          <w:p>
            <w:pPr>
              <w:spacing w:line="360" w:lineRule="auto"/>
              <w:ind w:firstLine="1200" w:firstLineChars="500"/>
              <w:rPr>
                <w:sz w:val="24"/>
                <w:u w:val="single"/>
              </w:rPr>
            </w:pPr>
            <w:r>
              <w:rPr>
                <w:sz w:val="24"/>
                <w:u w:val="single"/>
              </w:rPr>
              <w:t>ρ</w:t>
            </w:r>
            <w:r>
              <w:rPr>
                <w:sz w:val="24"/>
                <w:u w:val="single"/>
                <w:vertAlign w:val="subscript"/>
              </w:rPr>
              <w:t>NOx</w:t>
            </w:r>
            <w:r>
              <w:rPr>
                <w:rFonts w:hint="eastAsia"/>
                <w:sz w:val="24"/>
                <w:u w:val="single"/>
              </w:rPr>
              <w:t>—</w:t>
            </w:r>
            <w:r>
              <w:rPr>
                <w:sz w:val="24"/>
                <w:u w:val="single"/>
              </w:rPr>
              <w:t>锅炉炉膛出口氮氧化物排放质量浓度，mg/m</w:t>
            </w:r>
            <w:r>
              <w:rPr>
                <w:sz w:val="24"/>
                <w:u w:val="single"/>
                <w:vertAlign w:val="superscript"/>
              </w:rPr>
              <w:t>3</w:t>
            </w:r>
            <w:r>
              <w:rPr>
                <w:sz w:val="24"/>
                <w:u w:val="single"/>
              </w:rPr>
              <w:t>；</w:t>
            </w:r>
            <w:r>
              <w:rPr>
                <w:rFonts w:hint="eastAsia"/>
                <w:sz w:val="24"/>
                <w:u w:val="single"/>
              </w:rPr>
              <w:t>本次取值</w:t>
            </w:r>
            <w:r>
              <w:rPr>
                <w:sz w:val="24"/>
                <w:u w:val="single"/>
              </w:rPr>
              <w:t>169mg/m</w:t>
            </w:r>
            <w:r>
              <w:rPr>
                <w:sz w:val="24"/>
                <w:u w:val="single"/>
                <w:vertAlign w:val="superscript"/>
              </w:rPr>
              <w:t>3</w:t>
            </w:r>
            <w:r>
              <w:rPr>
                <w:rFonts w:hint="eastAsia"/>
                <w:sz w:val="24"/>
                <w:u w:val="single"/>
              </w:rPr>
              <w:t>；</w:t>
            </w:r>
          </w:p>
          <w:p>
            <w:pPr>
              <w:spacing w:line="360" w:lineRule="auto"/>
              <w:ind w:firstLine="1200" w:firstLineChars="500"/>
              <w:rPr>
                <w:sz w:val="24"/>
                <w:u w:val="single"/>
              </w:rPr>
            </w:pPr>
            <w:r>
              <w:rPr>
                <w:sz w:val="24"/>
                <w:u w:val="single"/>
              </w:rPr>
              <w:t>Q</w:t>
            </w:r>
            <w:r>
              <w:rPr>
                <w:rFonts w:hint="eastAsia"/>
                <w:sz w:val="24"/>
                <w:u w:val="single"/>
              </w:rPr>
              <w:t>—</w:t>
            </w:r>
            <w:r>
              <w:rPr>
                <w:sz w:val="24"/>
                <w:u w:val="single"/>
              </w:rPr>
              <w:t>核算时段内标态干烟气排放量，m</w:t>
            </w:r>
            <w:r>
              <w:rPr>
                <w:sz w:val="24"/>
                <w:u w:val="single"/>
                <w:vertAlign w:val="superscript"/>
              </w:rPr>
              <w:t>3</w:t>
            </w:r>
            <w:r>
              <w:rPr>
                <w:sz w:val="24"/>
                <w:u w:val="single"/>
              </w:rPr>
              <w:t>；</w:t>
            </w:r>
          </w:p>
          <w:p>
            <w:pPr>
              <w:spacing w:line="360" w:lineRule="auto"/>
              <w:ind w:firstLine="1200" w:firstLineChars="500"/>
              <w:rPr>
                <w:sz w:val="24"/>
                <w:u w:val="single"/>
              </w:rPr>
            </w:pPr>
            <w:r>
              <w:rPr>
                <w:sz w:val="24"/>
                <w:u w:val="single"/>
              </w:rPr>
              <w:t>η</w:t>
            </w:r>
            <w:r>
              <w:rPr>
                <w:sz w:val="24"/>
                <w:u w:val="single"/>
                <w:vertAlign w:val="subscript"/>
              </w:rPr>
              <w:t>NOx</w:t>
            </w:r>
            <w:r>
              <w:rPr>
                <w:rFonts w:hint="eastAsia"/>
                <w:sz w:val="24"/>
                <w:u w:val="single"/>
              </w:rPr>
              <w:t>—</w:t>
            </w:r>
            <w:r>
              <w:rPr>
                <w:sz w:val="24"/>
                <w:u w:val="single"/>
              </w:rPr>
              <w:t>脱硝效率，%；本次取0</w:t>
            </w:r>
            <w:r>
              <w:rPr>
                <w:rFonts w:hint="eastAsia"/>
                <w:sz w:val="24"/>
                <w:u w:val="single"/>
              </w:rPr>
              <w:t>%</w:t>
            </w:r>
            <w:r>
              <w:rPr>
                <w:sz w:val="24"/>
                <w:u w:val="single"/>
              </w:rPr>
              <w:t>。</w:t>
            </w:r>
          </w:p>
          <w:p>
            <w:pPr>
              <w:spacing w:line="360" w:lineRule="auto"/>
              <w:ind w:firstLine="480" w:firstLineChars="200"/>
              <w:rPr>
                <w:rFonts w:eastAsia="宋体"/>
                <w:color w:val="000000"/>
                <w:sz w:val="24"/>
                <w:u w:val="single"/>
              </w:rPr>
            </w:pPr>
            <w:r>
              <w:rPr>
                <w:rFonts w:hint="eastAsia" w:eastAsia="宋体"/>
                <w:color w:val="000000"/>
                <w:sz w:val="24"/>
                <w:u w:val="single"/>
              </w:rPr>
              <w:t>4.0t/h生物质锅炉全年燃料使用量为1000t，全年氮氧化物排放量为1.292t/a。</w:t>
            </w:r>
          </w:p>
          <w:p>
            <w:pPr>
              <w:spacing w:line="360" w:lineRule="auto"/>
              <w:ind w:firstLine="480" w:firstLineChars="200"/>
              <w:rPr>
                <w:sz w:val="24"/>
                <w:u w:val="single"/>
              </w:rPr>
            </w:pPr>
            <w:r>
              <w:rPr>
                <w:sz w:val="24"/>
                <w:u w:val="single"/>
              </w:rPr>
              <w:t>相关参数取值依据：</w:t>
            </w:r>
          </w:p>
          <w:p>
            <w:pPr>
              <w:spacing w:line="360" w:lineRule="auto"/>
              <w:ind w:firstLine="480" w:firstLineChars="200"/>
              <w:rPr>
                <w:sz w:val="24"/>
                <w:u w:val="single"/>
              </w:rPr>
            </w:pPr>
            <w:r>
              <w:rPr>
                <w:sz w:val="24"/>
                <w:u w:val="single"/>
              </w:rPr>
              <w:t>q</w:t>
            </w:r>
            <w:r>
              <w:rPr>
                <w:sz w:val="24"/>
                <w:u w:val="single"/>
                <w:vertAlign w:val="subscript"/>
              </w:rPr>
              <w:t>4</w:t>
            </w:r>
            <w:r>
              <w:rPr>
                <w:sz w:val="24"/>
                <w:u w:val="single"/>
              </w:rPr>
              <w:t>，来源于《污染源源强核算技术指南 锅炉》（HJ991-2018）中附录B，表B.1锅炉机械不完全燃烧热损失的一般取值，本项目为层然炉，取值范围为7-12%，本次取值10%。</w:t>
            </w:r>
          </w:p>
          <w:p>
            <w:pPr>
              <w:spacing w:line="360" w:lineRule="auto"/>
              <w:ind w:firstLine="480" w:firstLineChars="200"/>
              <w:rPr>
                <w:sz w:val="24"/>
                <w:u w:val="single"/>
              </w:rPr>
            </w:pPr>
            <w:r>
              <w:rPr>
                <w:sz w:val="24"/>
                <w:u w:val="single"/>
              </w:rPr>
              <w:t>d</w:t>
            </w:r>
            <w:r>
              <w:rPr>
                <w:sz w:val="24"/>
                <w:u w:val="single"/>
                <w:vertAlign w:val="subscript"/>
              </w:rPr>
              <w:t>fh</w:t>
            </w:r>
            <w:r>
              <w:rPr>
                <w:sz w:val="24"/>
                <w:u w:val="single"/>
              </w:rPr>
              <w:t>，来源于《污染源源强核算技术指南 锅炉》（HJ991-2018）中附录B，表B.2锅炉烟气带出飞灰份额的一般取值，本项目为层燃炉，取值范围为15-20%，燃用生物质时，飞灰份额增加30%，本次取值50%。</w:t>
            </w:r>
          </w:p>
          <w:p>
            <w:pPr>
              <w:spacing w:line="360" w:lineRule="auto"/>
              <w:ind w:firstLine="480" w:firstLineChars="200"/>
              <w:rPr>
                <w:sz w:val="24"/>
                <w:u w:val="single"/>
              </w:rPr>
            </w:pPr>
            <w:r>
              <w:rPr>
                <w:rFonts w:hint="eastAsia"/>
                <w:sz w:val="24"/>
                <w:u w:val="single"/>
              </w:rPr>
              <w:t>K</w:t>
            </w:r>
            <w:r>
              <w:rPr>
                <w:sz w:val="24"/>
                <w:u w:val="single"/>
              </w:rPr>
              <w:t>，来源于《污染源源强核算技术指南 锅炉》（HJ991-2018）中附录B，表B.3燃料中硫转化率的一般取值，生物质炉取值范围为0.30-0.50，本次取值0.5。</w:t>
            </w:r>
          </w:p>
          <w:p>
            <w:pPr>
              <w:spacing w:line="360" w:lineRule="auto"/>
              <w:ind w:firstLine="480" w:firstLineChars="200"/>
              <w:rPr>
                <w:sz w:val="24"/>
                <w:u w:val="single"/>
              </w:rPr>
            </w:pPr>
            <w:r>
              <w:rPr>
                <w:sz w:val="24"/>
                <w:u w:val="single"/>
              </w:rPr>
              <w:t>ρ</w:t>
            </w:r>
            <w:r>
              <w:rPr>
                <w:sz w:val="24"/>
                <w:u w:val="single"/>
                <w:vertAlign w:val="subscript"/>
              </w:rPr>
              <w:t>NOx</w:t>
            </w:r>
            <w:r>
              <w:rPr>
                <w:sz w:val="24"/>
                <w:u w:val="single"/>
              </w:rPr>
              <w:t>，根据《污染物源强核算技术指南 锅炉》（HJ 991-2018）燃生物质炉浓度范围取值为100~600mg/m</w:t>
            </w:r>
            <w:r>
              <w:rPr>
                <w:sz w:val="24"/>
                <w:u w:val="single"/>
                <w:vertAlign w:val="superscript"/>
              </w:rPr>
              <w:t>3</w:t>
            </w:r>
            <w:r>
              <w:rPr>
                <w:sz w:val="24"/>
                <w:u w:val="single"/>
              </w:rPr>
              <w:t>。根据锅炉厂家</w:t>
            </w:r>
            <w:r>
              <w:rPr>
                <w:rFonts w:hint="eastAsia"/>
                <w:sz w:val="24"/>
                <w:u w:val="single"/>
              </w:rPr>
              <w:t>及同类项目可知</w:t>
            </w:r>
            <w:r>
              <w:rPr>
                <w:sz w:val="24"/>
                <w:u w:val="single"/>
              </w:rPr>
              <w:t>，本项目锅炉烟气NO</w:t>
            </w:r>
            <w:r>
              <w:rPr>
                <w:rFonts w:hint="eastAsia"/>
                <w:sz w:val="24"/>
                <w:u w:val="single"/>
              </w:rPr>
              <w:t>x</w:t>
            </w:r>
            <w:r>
              <w:rPr>
                <w:sz w:val="24"/>
                <w:u w:val="single"/>
              </w:rPr>
              <w:t>浓度为169mg/m</w:t>
            </w:r>
            <w:r>
              <w:rPr>
                <w:sz w:val="24"/>
                <w:u w:val="single"/>
                <w:vertAlign w:val="superscript"/>
              </w:rPr>
              <w:t>3</w:t>
            </w:r>
            <w:r>
              <w:rPr>
                <w:sz w:val="24"/>
                <w:u w:val="single"/>
              </w:rPr>
              <w:t>。</w:t>
            </w:r>
          </w:p>
          <w:p>
            <w:pPr>
              <w:spacing w:line="360" w:lineRule="auto"/>
              <w:ind w:firstLine="480" w:firstLineChars="200"/>
              <w:rPr>
                <w:sz w:val="24"/>
                <w:u w:val="single"/>
              </w:rPr>
            </w:pPr>
            <w:r>
              <w:rPr>
                <w:sz w:val="24"/>
                <w:u w:val="single"/>
              </w:rPr>
              <w:t>计算结果</w:t>
            </w:r>
            <w:r>
              <w:rPr>
                <w:rFonts w:hint="eastAsia"/>
                <w:sz w:val="24"/>
                <w:u w:val="single"/>
              </w:rPr>
              <w:t>：</w:t>
            </w:r>
          </w:p>
          <w:p>
            <w:pPr>
              <w:spacing w:line="360" w:lineRule="auto"/>
              <w:ind w:firstLine="480" w:firstLineChars="200"/>
              <w:rPr>
                <w:sz w:val="24"/>
                <w:u w:val="single"/>
              </w:rPr>
            </w:pPr>
            <w:r>
              <w:rPr>
                <w:sz w:val="24"/>
                <w:u w:val="single"/>
              </w:rPr>
              <w:t>根据上述计算公式和参数取值，计算本项目锅炉烟气、颗粒物、二氧化硫、氮氧化物产生及排放情况见下表。</w:t>
            </w:r>
          </w:p>
          <w:p>
            <w:pPr>
              <w:jc w:val="center"/>
              <w:rPr>
                <w:sz w:val="24"/>
                <w:u w:val="single"/>
              </w:rPr>
            </w:pPr>
            <w:r>
              <w:rPr>
                <w:rFonts w:hint="eastAsia"/>
                <w:sz w:val="24"/>
                <w:u w:val="single"/>
              </w:rPr>
              <w:t xml:space="preserve">表35  </w:t>
            </w:r>
            <w:r>
              <w:rPr>
                <w:sz w:val="24"/>
                <w:u w:val="single"/>
              </w:rPr>
              <w:t>锅炉烟气排放情况一览表</w:t>
            </w:r>
          </w:p>
          <w:tbl>
            <w:tblPr>
              <w:tblW w:w="8805"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1154"/>
              <w:gridCol w:w="996"/>
              <w:gridCol w:w="1297"/>
              <w:gridCol w:w="1202"/>
              <w:gridCol w:w="1678"/>
              <w:gridCol w:w="1238"/>
              <w:gridCol w:w="1240"/>
            </w:tblGrid>
            <w:tr>
              <w:trPr>
                <w:trHeight w:val="340" w:hRule="atLeast"/>
                <w:jc w:val="center"/>
              </w:trPr>
              <w:tc>
                <w:tcPr>
                  <w:tcW w:w="1154" w:type="dxa"/>
                  <w:vAlign w:val="center"/>
                </w:tcPr>
                <w:p>
                  <w:pPr>
                    <w:adjustRightInd w:val="0"/>
                    <w:snapToGrid w:val="0"/>
                    <w:jc w:val="center"/>
                    <w:rPr>
                      <w:szCs w:val="21"/>
                      <w:u w:val="single"/>
                    </w:rPr>
                  </w:pPr>
                  <w:r>
                    <w:rPr>
                      <w:szCs w:val="21"/>
                      <w:u w:val="single"/>
                    </w:rPr>
                    <w:t>污染物</w:t>
                  </w:r>
                </w:p>
              </w:tc>
              <w:tc>
                <w:tcPr>
                  <w:tcW w:w="2293" w:type="dxa"/>
                  <w:gridSpan w:val="2"/>
                  <w:vAlign w:val="center"/>
                </w:tcPr>
                <w:p>
                  <w:pPr>
                    <w:adjustRightInd w:val="0"/>
                    <w:snapToGrid w:val="0"/>
                    <w:jc w:val="center"/>
                    <w:rPr>
                      <w:szCs w:val="21"/>
                      <w:u w:val="single"/>
                    </w:rPr>
                  </w:pPr>
                  <w:r>
                    <w:rPr>
                      <w:szCs w:val="21"/>
                      <w:u w:val="single"/>
                    </w:rPr>
                    <w:t>项目</w:t>
                  </w:r>
                </w:p>
              </w:tc>
              <w:tc>
                <w:tcPr>
                  <w:tcW w:w="1202" w:type="dxa"/>
                  <w:vAlign w:val="center"/>
                </w:tcPr>
                <w:p>
                  <w:pPr>
                    <w:adjustRightInd w:val="0"/>
                    <w:snapToGrid w:val="0"/>
                    <w:jc w:val="center"/>
                    <w:rPr>
                      <w:szCs w:val="21"/>
                      <w:u w:val="single"/>
                    </w:rPr>
                  </w:pPr>
                  <w:r>
                    <w:rPr>
                      <w:szCs w:val="21"/>
                      <w:u w:val="single"/>
                    </w:rPr>
                    <w:t>单位</w:t>
                  </w:r>
                </w:p>
              </w:tc>
              <w:tc>
                <w:tcPr>
                  <w:tcW w:w="1678" w:type="dxa"/>
                  <w:vAlign w:val="center"/>
                </w:tcPr>
                <w:p>
                  <w:pPr>
                    <w:adjustRightInd w:val="0"/>
                    <w:snapToGrid w:val="0"/>
                    <w:jc w:val="center"/>
                    <w:rPr>
                      <w:szCs w:val="21"/>
                      <w:u w:val="single"/>
                    </w:rPr>
                  </w:pPr>
                  <w:r>
                    <w:rPr>
                      <w:szCs w:val="21"/>
                      <w:u w:val="single"/>
                    </w:rPr>
                    <w:t>计算结果</w:t>
                  </w:r>
                </w:p>
              </w:tc>
              <w:tc>
                <w:tcPr>
                  <w:tcW w:w="1238" w:type="dxa"/>
                  <w:vAlign w:val="center"/>
                </w:tcPr>
                <w:p>
                  <w:pPr>
                    <w:adjustRightInd w:val="0"/>
                    <w:snapToGrid w:val="0"/>
                    <w:jc w:val="center"/>
                    <w:rPr>
                      <w:szCs w:val="21"/>
                      <w:u w:val="single"/>
                    </w:rPr>
                  </w:pPr>
                  <w:r>
                    <w:rPr>
                      <w:rFonts w:hint="eastAsia"/>
                      <w:szCs w:val="21"/>
                      <w:u w:val="single"/>
                    </w:rPr>
                    <w:t>标准值</w:t>
                  </w:r>
                </w:p>
              </w:tc>
              <w:tc>
                <w:tcPr>
                  <w:tcW w:w="1240" w:type="dxa"/>
                  <w:vAlign w:val="center"/>
                </w:tcPr>
                <w:p>
                  <w:pPr>
                    <w:adjustRightInd w:val="0"/>
                    <w:snapToGrid w:val="0"/>
                    <w:jc w:val="center"/>
                    <w:rPr>
                      <w:szCs w:val="21"/>
                      <w:u w:val="single"/>
                    </w:rPr>
                  </w:pPr>
                  <w:r>
                    <w:rPr>
                      <w:rFonts w:hint="eastAsia"/>
                      <w:szCs w:val="21"/>
                      <w:u w:val="single"/>
                    </w:rPr>
                    <w:t>是否达标</w:t>
                  </w:r>
                </w:p>
              </w:tc>
            </w:tr>
            <w:tr>
              <w:trPr>
                <w:trHeight w:val="340" w:hRule="atLeast"/>
                <w:jc w:val="center"/>
              </w:trPr>
              <w:tc>
                <w:tcPr>
                  <w:tcW w:w="1154" w:type="dxa"/>
                  <w:vAlign w:val="center"/>
                </w:tcPr>
                <w:p>
                  <w:pPr>
                    <w:jc w:val="center"/>
                    <w:rPr>
                      <w:szCs w:val="21"/>
                      <w:u w:val="single"/>
                    </w:rPr>
                  </w:pPr>
                  <w:r>
                    <w:rPr>
                      <w:szCs w:val="21"/>
                      <w:u w:val="single"/>
                    </w:rPr>
                    <w:t>烟气</w:t>
                  </w:r>
                </w:p>
              </w:tc>
              <w:tc>
                <w:tcPr>
                  <w:tcW w:w="2293" w:type="dxa"/>
                  <w:gridSpan w:val="2"/>
                  <w:vAlign w:val="center"/>
                </w:tcPr>
                <w:p>
                  <w:pPr>
                    <w:jc w:val="center"/>
                    <w:rPr>
                      <w:szCs w:val="21"/>
                      <w:u w:val="single"/>
                    </w:rPr>
                  </w:pPr>
                  <w:r>
                    <w:rPr>
                      <w:szCs w:val="21"/>
                      <w:u w:val="single"/>
                    </w:rPr>
                    <w:t>烟气量</w:t>
                  </w:r>
                </w:p>
              </w:tc>
              <w:tc>
                <w:tcPr>
                  <w:tcW w:w="1202" w:type="dxa"/>
                  <w:vAlign w:val="center"/>
                </w:tcPr>
                <w:p>
                  <w:pPr>
                    <w:jc w:val="center"/>
                    <w:rPr>
                      <w:szCs w:val="21"/>
                      <w:u w:val="single"/>
                    </w:rPr>
                  </w:pPr>
                  <w:r>
                    <w:rPr>
                      <w:szCs w:val="21"/>
                      <w:u w:val="single"/>
                    </w:rPr>
                    <w:t>Nm</w:t>
                  </w:r>
                  <w:r>
                    <w:rPr>
                      <w:szCs w:val="21"/>
                      <w:u w:val="single"/>
                      <w:vertAlign w:val="superscript"/>
                    </w:rPr>
                    <w:t>3</w:t>
                  </w:r>
                  <w:r>
                    <w:rPr>
                      <w:szCs w:val="21"/>
                      <w:u w:val="single"/>
                    </w:rPr>
                    <w:t>/a</w:t>
                  </w:r>
                </w:p>
              </w:tc>
              <w:tc>
                <w:tcPr>
                  <w:tcW w:w="1678" w:type="dxa"/>
                  <w:vAlign w:val="center"/>
                </w:tcPr>
                <w:p>
                  <w:pPr>
                    <w:adjustRightInd w:val="0"/>
                    <w:snapToGrid w:val="0"/>
                    <w:jc w:val="center"/>
                    <w:rPr>
                      <w:szCs w:val="21"/>
                      <w:u w:val="single"/>
                    </w:rPr>
                  </w:pPr>
                  <w:r>
                    <w:rPr>
                      <w:rFonts w:hint="eastAsia"/>
                      <w:szCs w:val="21"/>
                      <w:u w:val="single"/>
                    </w:rPr>
                    <w:t>7643000</w:t>
                  </w:r>
                </w:p>
              </w:tc>
              <w:tc>
                <w:tcPr>
                  <w:tcW w:w="1238" w:type="dxa"/>
                  <w:vAlign w:val="center"/>
                </w:tcPr>
                <w:p>
                  <w:pPr>
                    <w:jc w:val="center"/>
                    <w:rPr>
                      <w:szCs w:val="21"/>
                      <w:u w:val="single"/>
                    </w:rPr>
                  </w:pPr>
                  <w:r>
                    <w:rPr>
                      <w:szCs w:val="21"/>
                      <w:u w:val="single"/>
                    </w:rPr>
                    <w:t>/</w:t>
                  </w:r>
                </w:p>
              </w:tc>
              <w:tc>
                <w:tcPr>
                  <w:tcW w:w="1240" w:type="dxa"/>
                  <w:vAlign w:val="center"/>
                </w:tcPr>
                <w:p>
                  <w:pPr>
                    <w:jc w:val="center"/>
                    <w:rPr>
                      <w:szCs w:val="21"/>
                      <w:u w:val="single"/>
                    </w:rPr>
                  </w:pPr>
                  <w:r>
                    <w:rPr>
                      <w:rFonts w:hint="eastAsia"/>
                      <w:szCs w:val="21"/>
                      <w:u w:val="single"/>
                    </w:rPr>
                    <w:t>/</w:t>
                  </w:r>
                </w:p>
              </w:tc>
            </w:tr>
            <w:tr>
              <w:trPr>
                <w:trHeight w:val="340" w:hRule="atLeast"/>
                <w:jc w:val="center"/>
              </w:trPr>
              <w:tc>
                <w:tcPr>
                  <w:tcW w:w="1154" w:type="dxa"/>
                  <w:vMerge w:val="restart"/>
                  <w:vAlign w:val="center"/>
                </w:tcPr>
                <w:p>
                  <w:pPr>
                    <w:jc w:val="center"/>
                    <w:rPr>
                      <w:szCs w:val="21"/>
                      <w:u w:val="single"/>
                    </w:rPr>
                  </w:pPr>
                  <w:r>
                    <w:rPr>
                      <w:szCs w:val="21"/>
                      <w:u w:val="single"/>
                    </w:rPr>
                    <w:t>颗粒物</w:t>
                  </w:r>
                </w:p>
              </w:tc>
              <w:tc>
                <w:tcPr>
                  <w:tcW w:w="996" w:type="dxa"/>
                  <w:vMerge w:val="restart"/>
                  <w:vAlign w:val="center"/>
                </w:tcPr>
                <w:p>
                  <w:pPr>
                    <w:jc w:val="center"/>
                    <w:rPr>
                      <w:szCs w:val="21"/>
                      <w:u w:val="single"/>
                    </w:rPr>
                  </w:pPr>
                  <w:r>
                    <w:rPr>
                      <w:szCs w:val="21"/>
                      <w:u w:val="single"/>
                    </w:rPr>
                    <w:t>排放情况</w:t>
                  </w:r>
                </w:p>
              </w:tc>
              <w:tc>
                <w:tcPr>
                  <w:tcW w:w="1297" w:type="dxa"/>
                  <w:vAlign w:val="center"/>
                </w:tcPr>
                <w:p>
                  <w:pPr>
                    <w:jc w:val="center"/>
                    <w:rPr>
                      <w:szCs w:val="21"/>
                      <w:u w:val="single"/>
                    </w:rPr>
                  </w:pPr>
                  <w:r>
                    <w:rPr>
                      <w:szCs w:val="21"/>
                      <w:u w:val="single"/>
                    </w:rPr>
                    <w:t>排放量</w:t>
                  </w:r>
                </w:p>
              </w:tc>
              <w:tc>
                <w:tcPr>
                  <w:tcW w:w="1202" w:type="dxa"/>
                  <w:vAlign w:val="center"/>
                </w:tcPr>
                <w:p>
                  <w:pPr>
                    <w:jc w:val="center"/>
                    <w:rPr>
                      <w:szCs w:val="21"/>
                      <w:u w:val="single"/>
                    </w:rPr>
                  </w:pPr>
                  <w:r>
                    <w:rPr>
                      <w:szCs w:val="21"/>
                      <w:u w:val="single"/>
                    </w:rPr>
                    <w:t>t/a</w:t>
                  </w:r>
                </w:p>
              </w:tc>
              <w:tc>
                <w:tcPr>
                  <w:tcW w:w="1678" w:type="dxa"/>
                  <w:vAlign w:val="center"/>
                </w:tcPr>
                <w:p>
                  <w:pPr>
                    <w:adjustRightInd w:val="0"/>
                    <w:snapToGrid w:val="0"/>
                    <w:jc w:val="center"/>
                    <w:rPr>
                      <w:szCs w:val="21"/>
                      <w:u w:val="single"/>
                    </w:rPr>
                  </w:pPr>
                  <w:r>
                    <w:rPr>
                      <w:rFonts w:hint="eastAsia"/>
                      <w:szCs w:val="21"/>
                      <w:u w:val="single"/>
                    </w:rPr>
                    <w:t>0.073</w:t>
                  </w:r>
                </w:p>
              </w:tc>
              <w:tc>
                <w:tcPr>
                  <w:tcW w:w="1238" w:type="dxa"/>
                  <w:vAlign w:val="center"/>
                </w:tcPr>
                <w:p>
                  <w:pPr>
                    <w:jc w:val="center"/>
                    <w:rPr>
                      <w:szCs w:val="21"/>
                      <w:u w:val="single"/>
                    </w:rPr>
                  </w:pPr>
                  <w:r>
                    <w:rPr>
                      <w:szCs w:val="21"/>
                      <w:u w:val="single"/>
                    </w:rPr>
                    <w:t>/</w:t>
                  </w:r>
                </w:p>
              </w:tc>
              <w:tc>
                <w:tcPr>
                  <w:tcW w:w="1240" w:type="dxa"/>
                  <w:vMerge w:val="restart"/>
                  <w:vAlign w:val="center"/>
                </w:tcPr>
                <w:p>
                  <w:pPr>
                    <w:jc w:val="center"/>
                    <w:rPr>
                      <w:szCs w:val="21"/>
                      <w:u w:val="single"/>
                    </w:rPr>
                  </w:pPr>
                  <w:r>
                    <w:rPr>
                      <w:rFonts w:hint="eastAsia"/>
                      <w:szCs w:val="21"/>
                      <w:u w:val="single"/>
                    </w:rPr>
                    <w:t>达标</w:t>
                  </w:r>
                </w:p>
              </w:tc>
            </w:tr>
            <w:tr>
              <w:trPr>
                <w:trHeight w:val="340" w:hRule="atLeast"/>
                <w:jc w:val="center"/>
              </w:trPr>
              <w:tc>
                <w:tcPr>
                  <w:tcW w:w="1154" w:type="dxa"/>
                  <w:vMerge w:val="continue"/>
                  <w:vAlign w:val="center"/>
                </w:tcPr>
                <w:p>
                  <w:pPr>
                    <w:jc w:val="center"/>
                    <w:rPr>
                      <w:szCs w:val="21"/>
                      <w:u w:val="single"/>
                    </w:rPr>
                  </w:pPr>
                </w:p>
              </w:tc>
              <w:tc>
                <w:tcPr>
                  <w:tcW w:w="996" w:type="dxa"/>
                  <w:vMerge w:val="continue"/>
                  <w:vAlign w:val="center"/>
                </w:tcPr>
                <w:p>
                  <w:pPr>
                    <w:jc w:val="center"/>
                    <w:rPr>
                      <w:szCs w:val="21"/>
                      <w:u w:val="single"/>
                    </w:rPr>
                  </w:pPr>
                </w:p>
              </w:tc>
              <w:tc>
                <w:tcPr>
                  <w:tcW w:w="1297" w:type="dxa"/>
                  <w:vAlign w:val="center"/>
                </w:tcPr>
                <w:p>
                  <w:pPr>
                    <w:jc w:val="center"/>
                    <w:rPr>
                      <w:szCs w:val="21"/>
                      <w:u w:val="single"/>
                    </w:rPr>
                  </w:pPr>
                  <w:r>
                    <w:rPr>
                      <w:szCs w:val="21"/>
                      <w:u w:val="single"/>
                    </w:rPr>
                    <w:t>排放浓度</w:t>
                  </w:r>
                </w:p>
              </w:tc>
              <w:tc>
                <w:tcPr>
                  <w:tcW w:w="1202" w:type="dxa"/>
                  <w:vAlign w:val="center"/>
                </w:tcPr>
                <w:p>
                  <w:pPr>
                    <w:jc w:val="center"/>
                    <w:rPr>
                      <w:szCs w:val="21"/>
                      <w:u w:val="single"/>
                    </w:rPr>
                  </w:pPr>
                  <w:r>
                    <w:rPr>
                      <w:szCs w:val="21"/>
                      <w:u w:val="single"/>
                    </w:rPr>
                    <w:t>mg/m</w:t>
                  </w:r>
                  <w:r>
                    <w:rPr>
                      <w:szCs w:val="21"/>
                      <w:u w:val="single"/>
                      <w:vertAlign w:val="superscript"/>
                    </w:rPr>
                    <w:t>3</w:t>
                  </w:r>
                </w:p>
              </w:tc>
              <w:tc>
                <w:tcPr>
                  <w:tcW w:w="1678" w:type="dxa"/>
                  <w:vAlign w:val="center"/>
                </w:tcPr>
                <w:p>
                  <w:pPr>
                    <w:adjustRightInd w:val="0"/>
                    <w:snapToGrid w:val="0"/>
                    <w:jc w:val="center"/>
                    <w:rPr>
                      <w:szCs w:val="21"/>
                      <w:u w:val="single"/>
                    </w:rPr>
                  </w:pPr>
                  <w:r>
                    <w:rPr>
                      <w:rFonts w:hint="eastAsia"/>
                      <w:szCs w:val="21"/>
                      <w:u w:val="single"/>
                    </w:rPr>
                    <w:t>9.6</w:t>
                  </w:r>
                </w:p>
              </w:tc>
              <w:tc>
                <w:tcPr>
                  <w:tcW w:w="1238" w:type="dxa"/>
                  <w:vAlign w:val="center"/>
                </w:tcPr>
                <w:p>
                  <w:pPr>
                    <w:jc w:val="center"/>
                    <w:rPr>
                      <w:szCs w:val="21"/>
                      <w:u w:val="single"/>
                    </w:rPr>
                  </w:pPr>
                  <w:r>
                    <w:rPr>
                      <w:rFonts w:hint="eastAsia"/>
                      <w:szCs w:val="21"/>
                      <w:u w:val="single"/>
                    </w:rPr>
                    <w:t>50</w:t>
                  </w:r>
                </w:p>
              </w:tc>
              <w:tc>
                <w:tcPr>
                  <w:tcW w:w="1240" w:type="dxa"/>
                  <w:vMerge w:val="continue"/>
                  <w:vAlign w:val="center"/>
                </w:tcPr>
                <w:p>
                  <w:pPr>
                    <w:jc w:val="center"/>
                    <w:rPr>
                      <w:szCs w:val="21"/>
                      <w:u w:val="single"/>
                    </w:rPr>
                  </w:pPr>
                </w:p>
              </w:tc>
            </w:tr>
            <w:tr>
              <w:trPr>
                <w:trHeight w:val="340" w:hRule="atLeast"/>
                <w:jc w:val="center"/>
              </w:trPr>
              <w:tc>
                <w:tcPr>
                  <w:tcW w:w="1154" w:type="dxa"/>
                  <w:vMerge w:val="restart"/>
                  <w:vAlign w:val="center"/>
                </w:tcPr>
                <w:p>
                  <w:pPr>
                    <w:jc w:val="center"/>
                    <w:rPr>
                      <w:szCs w:val="21"/>
                      <w:u w:val="single"/>
                    </w:rPr>
                  </w:pPr>
                  <w:r>
                    <w:rPr>
                      <w:szCs w:val="21"/>
                      <w:u w:val="single"/>
                    </w:rPr>
                    <w:t>二氧化硫</w:t>
                  </w:r>
                </w:p>
              </w:tc>
              <w:tc>
                <w:tcPr>
                  <w:tcW w:w="996" w:type="dxa"/>
                  <w:vMerge w:val="restart"/>
                  <w:vAlign w:val="center"/>
                </w:tcPr>
                <w:p>
                  <w:pPr>
                    <w:jc w:val="center"/>
                    <w:rPr>
                      <w:szCs w:val="21"/>
                      <w:u w:val="single"/>
                    </w:rPr>
                  </w:pPr>
                  <w:r>
                    <w:rPr>
                      <w:szCs w:val="21"/>
                      <w:u w:val="single"/>
                    </w:rPr>
                    <w:t>排放情况</w:t>
                  </w:r>
                </w:p>
              </w:tc>
              <w:tc>
                <w:tcPr>
                  <w:tcW w:w="1297" w:type="dxa"/>
                  <w:vAlign w:val="center"/>
                </w:tcPr>
                <w:p>
                  <w:pPr>
                    <w:jc w:val="center"/>
                    <w:rPr>
                      <w:szCs w:val="21"/>
                      <w:u w:val="single"/>
                    </w:rPr>
                  </w:pPr>
                  <w:r>
                    <w:rPr>
                      <w:szCs w:val="21"/>
                      <w:u w:val="single"/>
                    </w:rPr>
                    <w:t>排放量</w:t>
                  </w:r>
                </w:p>
              </w:tc>
              <w:tc>
                <w:tcPr>
                  <w:tcW w:w="1202" w:type="dxa"/>
                  <w:vAlign w:val="center"/>
                </w:tcPr>
                <w:p>
                  <w:pPr>
                    <w:jc w:val="center"/>
                    <w:rPr>
                      <w:szCs w:val="21"/>
                      <w:u w:val="single"/>
                    </w:rPr>
                  </w:pPr>
                  <w:r>
                    <w:rPr>
                      <w:szCs w:val="21"/>
                      <w:u w:val="single"/>
                    </w:rPr>
                    <w:t>t/a</w:t>
                  </w:r>
                </w:p>
              </w:tc>
              <w:tc>
                <w:tcPr>
                  <w:tcW w:w="1678" w:type="dxa"/>
                  <w:vAlign w:val="center"/>
                </w:tcPr>
                <w:p>
                  <w:pPr>
                    <w:adjustRightInd w:val="0"/>
                    <w:snapToGrid w:val="0"/>
                    <w:jc w:val="center"/>
                    <w:rPr>
                      <w:szCs w:val="21"/>
                      <w:u w:val="single"/>
                    </w:rPr>
                  </w:pPr>
                  <w:r>
                    <w:rPr>
                      <w:rFonts w:hint="eastAsia"/>
                      <w:szCs w:val="21"/>
                      <w:u w:val="single"/>
                    </w:rPr>
                    <w:t>0.009</w:t>
                  </w:r>
                </w:p>
              </w:tc>
              <w:tc>
                <w:tcPr>
                  <w:tcW w:w="1238" w:type="dxa"/>
                  <w:vAlign w:val="center"/>
                </w:tcPr>
                <w:p>
                  <w:pPr>
                    <w:jc w:val="center"/>
                    <w:rPr>
                      <w:szCs w:val="21"/>
                      <w:u w:val="single"/>
                    </w:rPr>
                  </w:pPr>
                  <w:r>
                    <w:rPr>
                      <w:szCs w:val="21"/>
                      <w:u w:val="single"/>
                    </w:rPr>
                    <w:t>/</w:t>
                  </w:r>
                </w:p>
              </w:tc>
              <w:tc>
                <w:tcPr>
                  <w:tcW w:w="1240" w:type="dxa"/>
                  <w:vMerge w:val="restart"/>
                  <w:vAlign w:val="center"/>
                </w:tcPr>
                <w:p>
                  <w:pPr>
                    <w:jc w:val="center"/>
                    <w:rPr>
                      <w:szCs w:val="21"/>
                      <w:u w:val="single"/>
                    </w:rPr>
                  </w:pPr>
                  <w:r>
                    <w:rPr>
                      <w:rFonts w:hint="eastAsia"/>
                      <w:szCs w:val="21"/>
                      <w:u w:val="single"/>
                    </w:rPr>
                    <w:t>达标</w:t>
                  </w:r>
                </w:p>
              </w:tc>
            </w:tr>
            <w:tr>
              <w:trPr>
                <w:trHeight w:val="340" w:hRule="atLeast"/>
                <w:jc w:val="center"/>
              </w:trPr>
              <w:tc>
                <w:tcPr>
                  <w:tcW w:w="1154" w:type="dxa"/>
                  <w:vMerge w:val="continue"/>
                  <w:vAlign w:val="center"/>
                </w:tcPr>
                <w:p>
                  <w:pPr>
                    <w:jc w:val="center"/>
                    <w:rPr>
                      <w:szCs w:val="21"/>
                      <w:u w:val="single"/>
                    </w:rPr>
                  </w:pPr>
                </w:p>
              </w:tc>
              <w:tc>
                <w:tcPr>
                  <w:tcW w:w="996" w:type="dxa"/>
                  <w:vMerge w:val="continue"/>
                  <w:vAlign w:val="center"/>
                </w:tcPr>
                <w:p>
                  <w:pPr>
                    <w:jc w:val="center"/>
                    <w:rPr>
                      <w:szCs w:val="21"/>
                      <w:u w:val="single"/>
                    </w:rPr>
                  </w:pPr>
                </w:p>
              </w:tc>
              <w:tc>
                <w:tcPr>
                  <w:tcW w:w="1297" w:type="dxa"/>
                  <w:vAlign w:val="center"/>
                </w:tcPr>
                <w:p>
                  <w:pPr>
                    <w:jc w:val="center"/>
                    <w:rPr>
                      <w:szCs w:val="21"/>
                      <w:u w:val="single"/>
                    </w:rPr>
                  </w:pPr>
                  <w:r>
                    <w:rPr>
                      <w:szCs w:val="21"/>
                      <w:u w:val="single"/>
                    </w:rPr>
                    <w:t>排放浓度</w:t>
                  </w:r>
                </w:p>
              </w:tc>
              <w:tc>
                <w:tcPr>
                  <w:tcW w:w="1202" w:type="dxa"/>
                  <w:vAlign w:val="center"/>
                </w:tcPr>
                <w:p>
                  <w:pPr>
                    <w:jc w:val="center"/>
                    <w:rPr>
                      <w:szCs w:val="21"/>
                      <w:u w:val="single"/>
                    </w:rPr>
                  </w:pPr>
                  <w:r>
                    <w:rPr>
                      <w:szCs w:val="21"/>
                      <w:u w:val="single"/>
                    </w:rPr>
                    <w:t>mg/m</w:t>
                  </w:r>
                  <w:r>
                    <w:rPr>
                      <w:rFonts w:hint="eastAsia"/>
                      <w:szCs w:val="21"/>
                      <w:u w:val="single"/>
                      <w:vertAlign w:val="superscript"/>
                    </w:rPr>
                    <w:t>3</w:t>
                  </w:r>
                </w:p>
              </w:tc>
              <w:tc>
                <w:tcPr>
                  <w:tcW w:w="1678" w:type="dxa"/>
                  <w:vAlign w:val="center"/>
                </w:tcPr>
                <w:p>
                  <w:pPr>
                    <w:adjustRightInd w:val="0"/>
                    <w:snapToGrid w:val="0"/>
                    <w:jc w:val="center"/>
                    <w:rPr>
                      <w:szCs w:val="21"/>
                      <w:u w:val="single"/>
                    </w:rPr>
                  </w:pPr>
                  <w:r>
                    <w:rPr>
                      <w:rFonts w:hint="eastAsia"/>
                      <w:szCs w:val="21"/>
                      <w:u w:val="single"/>
                    </w:rPr>
                    <w:t>1.2</w:t>
                  </w:r>
                </w:p>
              </w:tc>
              <w:tc>
                <w:tcPr>
                  <w:tcW w:w="1238" w:type="dxa"/>
                  <w:vAlign w:val="center"/>
                </w:tcPr>
                <w:p>
                  <w:pPr>
                    <w:jc w:val="center"/>
                    <w:rPr>
                      <w:szCs w:val="21"/>
                      <w:u w:val="single"/>
                    </w:rPr>
                  </w:pPr>
                  <w:r>
                    <w:rPr>
                      <w:rFonts w:hint="eastAsia"/>
                      <w:szCs w:val="21"/>
                      <w:u w:val="single"/>
                    </w:rPr>
                    <w:t>300</w:t>
                  </w:r>
                </w:p>
              </w:tc>
              <w:tc>
                <w:tcPr>
                  <w:tcW w:w="1240" w:type="dxa"/>
                  <w:vMerge w:val="continue"/>
                  <w:vAlign w:val="center"/>
                </w:tcPr>
                <w:p>
                  <w:pPr>
                    <w:jc w:val="center"/>
                    <w:rPr>
                      <w:szCs w:val="21"/>
                      <w:u w:val="single"/>
                    </w:rPr>
                  </w:pPr>
                </w:p>
              </w:tc>
            </w:tr>
            <w:tr>
              <w:trPr>
                <w:trHeight w:val="340" w:hRule="atLeast"/>
                <w:jc w:val="center"/>
              </w:trPr>
              <w:tc>
                <w:tcPr>
                  <w:tcW w:w="1154" w:type="dxa"/>
                  <w:vMerge w:val="restart"/>
                  <w:vAlign w:val="center"/>
                </w:tcPr>
                <w:p>
                  <w:pPr>
                    <w:jc w:val="center"/>
                    <w:rPr>
                      <w:szCs w:val="21"/>
                      <w:u w:val="single"/>
                    </w:rPr>
                  </w:pPr>
                  <w:r>
                    <w:rPr>
                      <w:szCs w:val="21"/>
                      <w:u w:val="single"/>
                    </w:rPr>
                    <w:t>氮氧化物</w:t>
                  </w:r>
                </w:p>
              </w:tc>
              <w:tc>
                <w:tcPr>
                  <w:tcW w:w="996" w:type="dxa"/>
                  <w:vMerge w:val="restart"/>
                  <w:vAlign w:val="center"/>
                </w:tcPr>
                <w:p>
                  <w:pPr>
                    <w:jc w:val="center"/>
                    <w:rPr>
                      <w:szCs w:val="21"/>
                      <w:u w:val="single"/>
                    </w:rPr>
                  </w:pPr>
                  <w:r>
                    <w:rPr>
                      <w:szCs w:val="21"/>
                      <w:u w:val="single"/>
                    </w:rPr>
                    <w:t>排放情况</w:t>
                  </w:r>
                </w:p>
              </w:tc>
              <w:tc>
                <w:tcPr>
                  <w:tcW w:w="1297" w:type="dxa"/>
                  <w:vAlign w:val="center"/>
                </w:tcPr>
                <w:p>
                  <w:pPr>
                    <w:jc w:val="center"/>
                    <w:rPr>
                      <w:szCs w:val="21"/>
                      <w:u w:val="single"/>
                    </w:rPr>
                  </w:pPr>
                  <w:r>
                    <w:rPr>
                      <w:szCs w:val="21"/>
                      <w:u w:val="single"/>
                    </w:rPr>
                    <w:t>排放量</w:t>
                  </w:r>
                </w:p>
              </w:tc>
              <w:tc>
                <w:tcPr>
                  <w:tcW w:w="1202" w:type="dxa"/>
                  <w:vAlign w:val="center"/>
                </w:tcPr>
                <w:p>
                  <w:pPr>
                    <w:jc w:val="center"/>
                    <w:rPr>
                      <w:szCs w:val="21"/>
                      <w:u w:val="single"/>
                    </w:rPr>
                  </w:pPr>
                  <w:r>
                    <w:rPr>
                      <w:szCs w:val="21"/>
                      <w:u w:val="single"/>
                    </w:rPr>
                    <w:t>t/a</w:t>
                  </w:r>
                </w:p>
              </w:tc>
              <w:tc>
                <w:tcPr>
                  <w:tcW w:w="1678" w:type="dxa"/>
                  <w:vAlign w:val="center"/>
                </w:tcPr>
                <w:p>
                  <w:pPr>
                    <w:adjustRightInd w:val="0"/>
                    <w:snapToGrid w:val="0"/>
                    <w:jc w:val="center"/>
                    <w:rPr>
                      <w:szCs w:val="21"/>
                      <w:u w:val="single"/>
                    </w:rPr>
                  </w:pPr>
                  <w:r>
                    <w:rPr>
                      <w:rFonts w:hint="eastAsia"/>
                      <w:szCs w:val="21"/>
                      <w:u w:val="single"/>
                    </w:rPr>
                    <w:t>1.292</w:t>
                  </w:r>
                </w:p>
              </w:tc>
              <w:tc>
                <w:tcPr>
                  <w:tcW w:w="1238" w:type="dxa"/>
                  <w:vAlign w:val="center"/>
                </w:tcPr>
                <w:p>
                  <w:pPr>
                    <w:jc w:val="center"/>
                    <w:rPr>
                      <w:szCs w:val="21"/>
                      <w:u w:val="single"/>
                    </w:rPr>
                  </w:pPr>
                  <w:r>
                    <w:rPr>
                      <w:szCs w:val="21"/>
                      <w:u w:val="single"/>
                    </w:rPr>
                    <w:t>/</w:t>
                  </w:r>
                </w:p>
              </w:tc>
              <w:tc>
                <w:tcPr>
                  <w:tcW w:w="1240" w:type="dxa"/>
                  <w:vMerge w:val="restart"/>
                  <w:vAlign w:val="center"/>
                </w:tcPr>
                <w:p>
                  <w:pPr>
                    <w:jc w:val="center"/>
                    <w:rPr>
                      <w:szCs w:val="21"/>
                      <w:u w:val="single"/>
                    </w:rPr>
                  </w:pPr>
                  <w:r>
                    <w:rPr>
                      <w:rFonts w:hint="eastAsia"/>
                      <w:szCs w:val="21"/>
                      <w:u w:val="single"/>
                    </w:rPr>
                    <w:t>达标</w:t>
                  </w:r>
                </w:p>
              </w:tc>
            </w:tr>
            <w:tr>
              <w:trPr>
                <w:trHeight w:val="340" w:hRule="atLeast"/>
                <w:jc w:val="center"/>
              </w:trPr>
              <w:tc>
                <w:tcPr>
                  <w:tcW w:w="1154" w:type="dxa"/>
                  <w:vMerge w:val="continue"/>
                  <w:vAlign w:val="center"/>
                </w:tcPr>
                <w:p>
                  <w:pPr>
                    <w:jc w:val="center"/>
                    <w:rPr>
                      <w:szCs w:val="21"/>
                      <w:u w:val="single"/>
                    </w:rPr>
                  </w:pPr>
                </w:p>
              </w:tc>
              <w:tc>
                <w:tcPr>
                  <w:tcW w:w="996" w:type="dxa"/>
                  <w:vMerge w:val="continue"/>
                  <w:vAlign w:val="center"/>
                </w:tcPr>
                <w:p>
                  <w:pPr>
                    <w:jc w:val="center"/>
                    <w:rPr>
                      <w:szCs w:val="21"/>
                      <w:u w:val="single"/>
                    </w:rPr>
                  </w:pPr>
                </w:p>
              </w:tc>
              <w:tc>
                <w:tcPr>
                  <w:tcW w:w="1297" w:type="dxa"/>
                  <w:vAlign w:val="center"/>
                </w:tcPr>
                <w:p>
                  <w:pPr>
                    <w:jc w:val="center"/>
                    <w:rPr>
                      <w:szCs w:val="21"/>
                      <w:u w:val="single"/>
                    </w:rPr>
                  </w:pPr>
                  <w:r>
                    <w:rPr>
                      <w:szCs w:val="21"/>
                      <w:u w:val="single"/>
                    </w:rPr>
                    <w:t>排放浓度</w:t>
                  </w:r>
                </w:p>
              </w:tc>
              <w:tc>
                <w:tcPr>
                  <w:tcW w:w="1202" w:type="dxa"/>
                  <w:vAlign w:val="center"/>
                </w:tcPr>
                <w:p>
                  <w:pPr>
                    <w:jc w:val="center"/>
                    <w:rPr>
                      <w:szCs w:val="21"/>
                      <w:u w:val="single"/>
                    </w:rPr>
                  </w:pPr>
                  <w:r>
                    <w:rPr>
                      <w:szCs w:val="21"/>
                      <w:u w:val="single"/>
                    </w:rPr>
                    <w:t>mg/m</w:t>
                  </w:r>
                  <w:r>
                    <w:rPr>
                      <w:szCs w:val="21"/>
                      <w:u w:val="single"/>
                      <w:vertAlign w:val="superscript"/>
                    </w:rPr>
                    <w:t>3</w:t>
                  </w:r>
                </w:p>
              </w:tc>
              <w:tc>
                <w:tcPr>
                  <w:tcW w:w="1678" w:type="dxa"/>
                  <w:vAlign w:val="center"/>
                </w:tcPr>
                <w:p>
                  <w:pPr>
                    <w:adjustRightInd w:val="0"/>
                    <w:snapToGrid w:val="0"/>
                    <w:jc w:val="center"/>
                    <w:rPr>
                      <w:szCs w:val="21"/>
                      <w:u w:val="single"/>
                    </w:rPr>
                  </w:pPr>
                  <w:r>
                    <w:rPr>
                      <w:rFonts w:hint="eastAsia"/>
                      <w:szCs w:val="21"/>
                      <w:u w:val="single"/>
                    </w:rPr>
                    <w:t>169</w:t>
                  </w:r>
                </w:p>
              </w:tc>
              <w:tc>
                <w:tcPr>
                  <w:tcW w:w="1238" w:type="dxa"/>
                  <w:vAlign w:val="center"/>
                </w:tcPr>
                <w:p>
                  <w:pPr>
                    <w:jc w:val="center"/>
                    <w:rPr>
                      <w:szCs w:val="21"/>
                      <w:u w:val="single"/>
                    </w:rPr>
                  </w:pPr>
                  <w:r>
                    <w:rPr>
                      <w:rFonts w:hint="eastAsia"/>
                      <w:szCs w:val="21"/>
                      <w:u w:val="single"/>
                    </w:rPr>
                    <w:t>300</w:t>
                  </w:r>
                </w:p>
              </w:tc>
              <w:tc>
                <w:tcPr>
                  <w:tcW w:w="1240" w:type="dxa"/>
                  <w:vMerge w:val="continue"/>
                  <w:vAlign w:val="center"/>
                </w:tcPr>
                <w:p>
                  <w:pPr>
                    <w:jc w:val="center"/>
                    <w:rPr>
                      <w:szCs w:val="21"/>
                      <w:u w:val="single"/>
                    </w:rPr>
                  </w:pPr>
                </w:p>
              </w:tc>
            </w:tr>
          </w:tbl>
          <w:p>
            <w:pPr>
              <w:spacing w:line="360" w:lineRule="auto"/>
              <w:ind w:firstLine="480" w:firstLineChars="200"/>
              <w:rPr>
                <w:sz w:val="24"/>
                <w:u w:val="single"/>
              </w:rPr>
            </w:pPr>
            <w:r>
              <w:rPr>
                <w:sz w:val="24"/>
                <w:u w:val="single"/>
              </w:rPr>
              <w:t>根据计算可知，项目锅炉烟气中颗粒物、二氧化硫、氮氧化物排放浓度满足《锅炉大气污染物排放标准》（GB 13271-2014）表2中新建锅炉大气污染物排放浓度限值要求；根据《锅炉大气污染物排放标准》（GB 13271-2014）中表4要求，烟气经</w:t>
            </w:r>
            <w:r>
              <w:rPr>
                <w:rFonts w:hint="eastAsia"/>
                <w:sz w:val="24"/>
                <w:u w:val="single"/>
              </w:rPr>
              <w:t>1根36m</w:t>
            </w:r>
            <w:r>
              <w:rPr>
                <w:sz w:val="24"/>
                <w:u w:val="single"/>
              </w:rPr>
              <w:t>排气筒排放。</w:t>
            </w:r>
          </w:p>
          <w:p>
            <w:pPr>
              <w:spacing w:line="360" w:lineRule="auto"/>
              <w:ind w:firstLine="482" w:firstLineChars="200"/>
              <w:rPr>
                <w:b/>
                <w:bCs/>
                <w:sz w:val="24"/>
              </w:rPr>
            </w:pPr>
            <w:r>
              <w:rPr>
                <w:rFonts w:hint="eastAsia"/>
                <w:b/>
                <w:bCs/>
                <w:sz w:val="24"/>
              </w:rPr>
              <w:t>（2）</w:t>
            </w:r>
            <w:r>
              <w:rPr>
                <w:b/>
                <w:bCs/>
                <w:sz w:val="24"/>
              </w:rPr>
              <w:t>生物质燃料装卸及灰渣装卸扬尘</w:t>
            </w:r>
          </w:p>
          <w:p>
            <w:pPr>
              <w:spacing w:line="360" w:lineRule="auto"/>
              <w:ind w:firstLine="480" w:firstLineChars="200"/>
              <w:rPr>
                <w:sz w:val="24"/>
              </w:rPr>
            </w:pPr>
            <w:r>
              <w:rPr>
                <w:sz w:val="24"/>
                <w:lang w:val="zh-CN"/>
              </w:rPr>
              <w:t>本项目燃料为生物质成型颗粒，</w:t>
            </w:r>
            <w:r>
              <w:rPr>
                <w:sz w:val="24"/>
              </w:rPr>
              <w:t>采用密封袋装，</w:t>
            </w:r>
            <w:r>
              <w:rPr>
                <w:sz w:val="24"/>
                <w:lang w:val="zh-CN"/>
              </w:rPr>
              <w:t>存储于</w:t>
            </w:r>
            <w:r>
              <w:rPr>
                <w:sz w:val="24"/>
              </w:rPr>
              <w:t>封闭厂房内</w:t>
            </w:r>
            <w:r>
              <w:rPr>
                <w:sz w:val="24"/>
                <w:lang w:val="zh-CN"/>
              </w:rPr>
              <w:t>。</w:t>
            </w:r>
            <w:r>
              <w:rPr>
                <w:sz w:val="24"/>
              </w:rPr>
              <w:t>生物质燃料装卸扬尘</w:t>
            </w:r>
            <w:r>
              <w:rPr>
                <w:sz w:val="24"/>
                <w:lang w:val="zh-CN"/>
              </w:rPr>
              <w:t>类比同行业，无组织粉尘</w:t>
            </w:r>
            <w:r>
              <w:rPr>
                <w:sz w:val="24"/>
              </w:rPr>
              <w:t>产生量</w:t>
            </w:r>
            <w:r>
              <w:rPr>
                <w:sz w:val="24"/>
                <w:lang w:val="zh-CN"/>
              </w:rPr>
              <w:t>约为</w:t>
            </w:r>
            <w:r>
              <w:rPr>
                <w:sz w:val="24"/>
              </w:rPr>
              <w:t>燃料量的1‰，粉尘产生量约为</w:t>
            </w:r>
            <w:r>
              <w:rPr>
                <w:rFonts w:hint="eastAsia"/>
                <w:sz w:val="24"/>
              </w:rPr>
              <w:t>1.0</w:t>
            </w:r>
            <w:r>
              <w:rPr>
                <w:sz w:val="24"/>
                <w:lang w:val="zh-CN"/>
              </w:rPr>
              <w:t>t/a。</w:t>
            </w:r>
            <w:r>
              <w:rPr>
                <w:sz w:val="24"/>
              </w:rPr>
              <w:t>经封闭厂房的重力沉降，可减少粉尘约</w:t>
            </w:r>
            <w:r>
              <w:rPr>
                <w:rFonts w:hint="eastAsia"/>
                <w:sz w:val="24"/>
              </w:rPr>
              <w:t>8</w:t>
            </w:r>
            <w:r>
              <w:rPr>
                <w:sz w:val="24"/>
              </w:rPr>
              <w:t>0%，无组织粉尘排放量约为</w:t>
            </w:r>
            <w:r>
              <w:rPr>
                <w:rFonts w:hint="eastAsia"/>
                <w:sz w:val="24"/>
              </w:rPr>
              <w:t>0.20</w:t>
            </w:r>
            <w:r>
              <w:rPr>
                <w:sz w:val="24"/>
              </w:rPr>
              <w:t>t/a；</w:t>
            </w:r>
            <w:r>
              <w:rPr>
                <w:sz w:val="24"/>
                <w:lang w:val="zh-CN"/>
              </w:rPr>
              <w:t>燃料投放时使用</w:t>
            </w:r>
            <w:r>
              <w:rPr>
                <w:sz w:val="24"/>
              </w:rPr>
              <w:t>上</w:t>
            </w:r>
            <w:r>
              <w:rPr>
                <w:sz w:val="24"/>
                <w:lang w:val="zh-CN"/>
              </w:rPr>
              <w:t>料机将生物质燃料送入炉，</w:t>
            </w:r>
            <w:r>
              <w:rPr>
                <w:sz w:val="24"/>
              </w:rPr>
              <w:t>且在封闭厂房内进行，产生的扬尘较少。</w:t>
            </w:r>
          </w:p>
          <w:p>
            <w:pPr>
              <w:spacing w:line="360" w:lineRule="auto"/>
              <w:ind w:firstLine="480" w:firstLineChars="200"/>
              <w:rPr>
                <w:sz w:val="24"/>
                <w:lang w:val="zh-CN"/>
              </w:rPr>
            </w:pPr>
            <w:r>
              <w:rPr>
                <w:rFonts w:hint="eastAsia"/>
                <w:sz w:val="24"/>
              </w:rPr>
              <w:t>锅炉排污水用于厂区地面洒水降尘，</w:t>
            </w:r>
            <w:r>
              <w:rPr>
                <w:sz w:val="24"/>
                <w:lang w:val="zh-CN"/>
              </w:rPr>
              <w:t>锅炉产生的灰渣加湿后存放于锅炉</w:t>
            </w:r>
            <w:r>
              <w:rPr>
                <w:rFonts w:hint="eastAsia"/>
                <w:sz w:val="24"/>
              </w:rPr>
              <w:t>旁</w:t>
            </w:r>
            <w:r>
              <w:rPr>
                <w:sz w:val="24"/>
                <w:lang w:val="zh-CN"/>
              </w:rPr>
              <w:t>，及时清运外售农户</w:t>
            </w:r>
            <w:r>
              <w:rPr>
                <w:rFonts w:hint="eastAsia"/>
                <w:sz w:val="24"/>
                <w:lang w:eastAsia="zh-CN"/>
              </w:rPr>
              <w:t>当作</w:t>
            </w:r>
            <w:r>
              <w:rPr>
                <w:rFonts w:hint="eastAsia"/>
                <w:sz w:val="24"/>
              </w:rPr>
              <w:t>农肥</w:t>
            </w:r>
            <w:r>
              <w:rPr>
                <w:sz w:val="24"/>
                <w:lang w:val="zh-CN"/>
              </w:rPr>
              <w:t>，根据《污染源源强核算技术指南 锅炉》（HJ 991-2018），料/堆场采用全封闭型式、储罐采用密闭容器的，废气无组织源强可忽略不计。</w:t>
            </w:r>
          </w:p>
          <w:p>
            <w:pPr>
              <w:spacing w:line="360" w:lineRule="auto"/>
              <w:ind w:firstLine="482" w:firstLineChars="200"/>
              <w:rPr>
                <w:b/>
                <w:bCs/>
                <w:sz w:val="24"/>
                <w:lang w:val="zh-CN"/>
              </w:rPr>
            </w:pPr>
            <w:r>
              <w:rPr>
                <w:rFonts w:hint="eastAsia"/>
                <w:b/>
                <w:bCs/>
                <w:sz w:val="24"/>
                <w:lang w:val="zh-CN"/>
              </w:rPr>
              <w:t>（</w:t>
            </w:r>
            <w:r>
              <w:rPr>
                <w:rFonts w:hint="eastAsia"/>
                <w:b/>
                <w:bCs/>
                <w:sz w:val="24"/>
              </w:rPr>
              <w:t>3</w:t>
            </w:r>
            <w:r>
              <w:rPr>
                <w:rFonts w:hint="eastAsia"/>
                <w:b/>
                <w:bCs/>
                <w:sz w:val="24"/>
                <w:lang w:val="zh-CN"/>
              </w:rPr>
              <w:t>）</w:t>
            </w:r>
            <w:r>
              <w:rPr>
                <w:b/>
                <w:bCs/>
                <w:sz w:val="24"/>
                <w:lang w:val="zh-CN"/>
              </w:rPr>
              <w:t>污染防治措施</w:t>
            </w:r>
          </w:p>
          <w:p>
            <w:pPr>
              <w:spacing w:line="360" w:lineRule="auto"/>
              <w:ind w:firstLine="480" w:firstLineChars="200"/>
              <w:rPr>
                <w:sz w:val="24"/>
              </w:rPr>
            </w:pPr>
            <w:r>
              <w:rPr>
                <w:sz w:val="24"/>
                <w:lang w:val="zh-CN"/>
              </w:rPr>
              <w:t>本项目生物质锅炉采用布袋除尘器对烟气进行处理，处理后烟气分别通过</w:t>
            </w:r>
            <w:r>
              <w:rPr>
                <w:rFonts w:hint="eastAsia"/>
                <w:sz w:val="24"/>
              </w:rPr>
              <w:t>1根</w:t>
            </w:r>
            <w:r>
              <w:rPr>
                <w:rFonts w:hint="eastAsia"/>
                <w:sz w:val="24"/>
                <w:lang w:val="zh-CN"/>
              </w:rPr>
              <w:t>36m</w:t>
            </w:r>
            <w:r>
              <w:rPr>
                <w:sz w:val="24"/>
                <w:lang w:val="zh-CN"/>
              </w:rPr>
              <w:t>高烟囱排放，根据《排污许可证申请与核发技术规范 锅炉》（HJ953-2018），燃生物质锅炉一般采用旋风除尘和袋式除尘组合技术。</w:t>
            </w:r>
            <w:r>
              <w:rPr>
                <w:rFonts w:hint="eastAsia"/>
                <w:sz w:val="24"/>
              </w:rPr>
              <w:t>本项目采用陶瓷多管除尘器+布袋除尘器，满足可行性技术要求。通过同类型锅炉的监测结果可知，采用布袋除尘器的生物质锅炉颗粒物和氮氧化物能够稳定达标排放。本项目加强管理，严格按照例行监测要求进行废气监测，生物质锅炉排放废气能够满足</w:t>
            </w:r>
            <w:r>
              <w:rPr>
                <w:sz w:val="24"/>
              </w:rPr>
              <w:t>《锅炉大气污染物排放标准》（GB 13271-2014）表2中新建锅炉大气污染物排放浓度限值要求</w:t>
            </w:r>
            <w:r>
              <w:rPr>
                <w:rFonts w:hint="eastAsia"/>
                <w:sz w:val="24"/>
              </w:rPr>
              <w:t>，达标排放。</w:t>
            </w:r>
          </w:p>
          <w:p>
            <w:pPr>
              <w:spacing w:line="360" w:lineRule="auto"/>
              <w:ind w:firstLine="480" w:firstLineChars="200"/>
              <w:rPr>
                <w:sz w:val="24"/>
              </w:rPr>
            </w:pPr>
            <w:r>
              <w:rPr>
                <w:rFonts w:hint="eastAsia"/>
                <w:sz w:val="24"/>
                <w:lang w:val="zh-CN"/>
              </w:rPr>
              <w:t>根据《锅炉大气污染物排放标准》（GB13271-2014）中4.5的规定：“锅炉房装机总容量</w:t>
            </w:r>
            <w:r>
              <w:rPr>
                <w:rFonts w:hint="eastAsia"/>
                <w:sz w:val="24"/>
              </w:rPr>
              <w:t>4~&lt;10</w:t>
            </w:r>
            <w:r>
              <w:rPr>
                <w:rFonts w:hint="eastAsia"/>
                <w:sz w:val="24"/>
                <w:lang w:val="zh-CN"/>
              </w:rPr>
              <w:t>t/h时，烟囱高度不得低于</w:t>
            </w:r>
            <w:r>
              <w:rPr>
                <w:rFonts w:hint="eastAsia"/>
                <w:sz w:val="24"/>
              </w:rPr>
              <w:t>36m</w:t>
            </w:r>
            <w:r>
              <w:rPr>
                <w:rFonts w:hint="eastAsia"/>
                <w:sz w:val="24"/>
                <w:lang w:val="zh-CN"/>
              </w:rPr>
              <w:t>；锅炉房的烟囱周围半径200m距离内有建筑物时，其烟囱应高出建筑物3m以上。”本项目</w:t>
            </w:r>
            <w:bookmarkStart w:id="7" w:name="_Hlk193048023"/>
            <w:r>
              <w:rPr>
                <w:rFonts w:hint="eastAsia"/>
                <w:sz w:val="24"/>
                <w:lang w:val="zh-CN"/>
              </w:rPr>
              <w:t>周围半径200m距离内无高于</w:t>
            </w:r>
            <w:r>
              <w:rPr>
                <w:rFonts w:hint="eastAsia"/>
                <w:sz w:val="24"/>
              </w:rPr>
              <w:t>32</w:t>
            </w:r>
            <w:r>
              <w:rPr>
                <w:rFonts w:hint="eastAsia"/>
                <w:sz w:val="24"/>
                <w:lang w:val="zh-CN"/>
              </w:rPr>
              <w:t>m建筑物</w:t>
            </w:r>
            <w:bookmarkEnd w:id="7"/>
            <w:r>
              <w:rPr>
                <w:rFonts w:hint="eastAsia"/>
                <w:sz w:val="24"/>
                <w:lang w:val="zh-CN"/>
              </w:rPr>
              <w:t>，排气筒高度</w:t>
            </w:r>
            <w:r>
              <w:rPr>
                <w:rFonts w:hint="eastAsia"/>
                <w:sz w:val="24"/>
              </w:rPr>
              <w:t>36m</w:t>
            </w:r>
            <w:r>
              <w:rPr>
                <w:rFonts w:hint="eastAsia"/>
                <w:sz w:val="24"/>
                <w:lang w:val="zh-CN"/>
              </w:rPr>
              <w:t>设置合理。</w:t>
            </w:r>
          </w:p>
          <w:p>
            <w:pPr>
              <w:spacing w:line="360" w:lineRule="auto"/>
              <w:ind w:firstLine="480" w:firstLineChars="200"/>
              <w:rPr>
                <w:sz w:val="24"/>
              </w:rPr>
            </w:pPr>
            <w:r>
              <w:rPr>
                <w:rFonts w:hint="eastAsia"/>
                <w:sz w:val="24"/>
              </w:rPr>
              <w:t>根据《排污单位自行监测技术指南  火力发电及锅炉》（HJ820-2017），项目排放口基本情况及自行监测要求如下：</w:t>
            </w:r>
          </w:p>
          <w:p>
            <w:pPr>
              <w:jc w:val="center"/>
              <w:rPr>
                <w:sz w:val="24"/>
              </w:rPr>
            </w:pPr>
            <w:r>
              <w:rPr>
                <w:rFonts w:hint="eastAsia"/>
                <w:sz w:val="24"/>
              </w:rPr>
              <w:t>表36  废气排放口基本情况</w:t>
            </w:r>
          </w:p>
          <w:tbl>
            <w:tblPr>
              <w:tblW w:w="8798"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33"/>
              <w:gridCol w:w="700"/>
              <w:gridCol w:w="516"/>
              <w:gridCol w:w="665"/>
              <w:gridCol w:w="714"/>
              <w:gridCol w:w="707"/>
              <w:gridCol w:w="1114"/>
              <w:gridCol w:w="1103"/>
              <w:gridCol w:w="924"/>
              <w:gridCol w:w="875"/>
              <w:gridCol w:w="1047"/>
            </w:tblGrid>
            <w:tr>
              <w:trPr>
                <w:trHeight w:val="340" w:hRule="atLeast"/>
              </w:trPr>
              <w:tc>
                <w:tcPr>
                  <w:tcW w:w="433" w:type="dxa"/>
                  <w:tcBorders>
                    <w:tl2br w:val="nil"/>
                    <w:tr2bl w:val="nil"/>
                  </w:tcBorders>
                  <w:vAlign w:val="center"/>
                </w:tcPr>
                <w:p>
                  <w:pPr>
                    <w:jc w:val="center"/>
                    <w:rPr>
                      <w:szCs w:val="21"/>
                    </w:rPr>
                  </w:pPr>
                  <w:r>
                    <w:rPr>
                      <w:szCs w:val="21"/>
                    </w:rPr>
                    <w:t>序号</w:t>
                  </w:r>
                </w:p>
              </w:tc>
              <w:tc>
                <w:tcPr>
                  <w:tcW w:w="700" w:type="dxa"/>
                  <w:tcBorders>
                    <w:tl2br w:val="nil"/>
                    <w:tr2bl w:val="nil"/>
                  </w:tcBorders>
                  <w:vAlign w:val="center"/>
                </w:tcPr>
                <w:p>
                  <w:pPr>
                    <w:jc w:val="center"/>
                    <w:rPr>
                      <w:szCs w:val="21"/>
                    </w:rPr>
                  </w:pPr>
                  <w:r>
                    <w:rPr>
                      <w:szCs w:val="21"/>
                    </w:rPr>
                    <w:t>排放口名称</w:t>
                  </w:r>
                </w:p>
              </w:tc>
              <w:tc>
                <w:tcPr>
                  <w:tcW w:w="516" w:type="dxa"/>
                  <w:tcBorders>
                    <w:tl2br w:val="nil"/>
                    <w:tr2bl w:val="nil"/>
                  </w:tcBorders>
                  <w:vAlign w:val="center"/>
                </w:tcPr>
                <w:p>
                  <w:pPr>
                    <w:jc w:val="center"/>
                    <w:rPr>
                      <w:szCs w:val="21"/>
                    </w:rPr>
                  </w:pPr>
                  <w:r>
                    <w:rPr>
                      <w:szCs w:val="21"/>
                    </w:rPr>
                    <w:t>排放口编号</w:t>
                  </w:r>
                </w:p>
              </w:tc>
              <w:tc>
                <w:tcPr>
                  <w:tcW w:w="665" w:type="dxa"/>
                  <w:tcBorders>
                    <w:tl2br w:val="nil"/>
                    <w:tr2bl w:val="nil"/>
                  </w:tcBorders>
                  <w:vAlign w:val="center"/>
                </w:tcPr>
                <w:p>
                  <w:pPr>
                    <w:jc w:val="center"/>
                    <w:rPr>
                      <w:szCs w:val="21"/>
                    </w:rPr>
                  </w:pPr>
                  <w:r>
                    <w:rPr>
                      <w:szCs w:val="21"/>
                    </w:rPr>
                    <w:t>排放口高度（m）</w:t>
                  </w:r>
                </w:p>
              </w:tc>
              <w:tc>
                <w:tcPr>
                  <w:tcW w:w="714" w:type="dxa"/>
                  <w:tcBorders>
                    <w:tl2br w:val="nil"/>
                    <w:tr2bl w:val="nil"/>
                  </w:tcBorders>
                  <w:vAlign w:val="center"/>
                </w:tcPr>
                <w:p>
                  <w:pPr>
                    <w:jc w:val="center"/>
                    <w:rPr>
                      <w:szCs w:val="21"/>
                    </w:rPr>
                  </w:pPr>
                  <w:r>
                    <w:rPr>
                      <w:szCs w:val="21"/>
                    </w:rPr>
                    <w:t>排放口内径（m）</w:t>
                  </w:r>
                </w:p>
              </w:tc>
              <w:tc>
                <w:tcPr>
                  <w:tcW w:w="707" w:type="dxa"/>
                  <w:tcBorders>
                    <w:tl2br w:val="nil"/>
                    <w:tr2bl w:val="nil"/>
                  </w:tcBorders>
                  <w:vAlign w:val="center"/>
                </w:tcPr>
                <w:p>
                  <w:pPr>
                    <w:jc w:val="center"/>
                    <w:rPr>
                      <w:szCs w:val="21"/>
                    </w:rPr>
                  </w:pPr>
                  <w:r>
                    <w:rPr>
                      <w:szCs w:val="21"/>
                    </w:rPr>
                    <w:t>排放口温度（℃）</w:t>
                  </w:r>
                </w:p>
              </w:tc>
              <w:tc>
                <w:tcPr>
                  <w:tcW w:w="1114" w:type="dxa"/>
                  <w:tcBorders>
                    <w:tl2br w:val="nil"/>
                    <w:tr2bl w:val="nil"/>
                  </w:tcBorders>
                  <w:vAlign w:val="center"/>
                </w:tcPr>
                <w:p>
                  <w:pPr>
                    <w:jc w:val="center"/>
                    <w:rPr>
                      <w:szCs w:val="21"/>
                    </w:rPr>
                  </w:pPr>
                  <w:r>
                    <w:rPr>
                      <w:szCs w:val="21"/>
                    </w:rPr>
                    <w:t>排放因子</w:t>
                  </w:r>
                </w:p>
              </w:tc>
              <w:tc>
                <w:tcPr>
                  <w:tcW w:w="1103" w:type="dxa"/>
                  <w:tcBorders>
                    <w:tl2br w:val="nil"/>
                    <w:tr2bl w:val="nil"/>
                  </w:tcBorders>
                  <w:vAlign w:val="center"/>
                </w:tcPr>
                <w:p>
                  <w:pPr>
                    <w:jc w:val="center"/>
                    <w:rPr>
                      <w:szCs w:val="21"/>
                    </w:rPr>
                  </w:pPr>
                  <w:r>
                    <w:rPr>
                      <w:szCs w:val="21"/>
                    </w:rPr>
                    <w:t>排放浓度</w:t>
                  </w:r>
                  <w:r>
                    <w:rPr>
                      <w:color w:val="000000"/>
                      <w:szCs w:val="21"/>
                    </w:rPr>
                    <w:t>（mg/m</w:t>
                  </w:r>
                  <w:r>
                    <w:rPr>
                      <w:color w:val="000000"/>
                      <w:szCs w:val="21"/>
                      <w:vertAlign w:val="superscript"/>
                    </w:rPr>
                    <w:t>3</w:t>
                  </w:r>
                  <w:r>
                    <w:rPr>
                      <w:color w:val="000000"/>
                      <w:szCs w:val="21"/>
                    </w:rPr>
                    <w:t>）</w:t>
                  </w:r>
                </w:p>
              </w:tc>
              <w:tc>
                <w:tcPr>
                  <w:tcW w:w="924" w:type="dxa"/>
                  <w:tcBorders>
                    <w:tl2br w:val="nil"/>
                    <w:tr2bl w:val="nil"/>
                  </w:tcBorders>
                  <w:vAlign w:val="center"/>
                </w:tcPr>
                <w:p>
                  <w:pPr>
                    <w:jc w:val="center"/>
                    <w:rPr>
                      <w:szCs w:val="21"/>
                    </w:rPr>
                  </w:pPr>
                  <w:r>
                    <w:rPr>
                      <w:szCs w:val="21"/>
                    </w:rPr>
                    <w:t>排放量</w:t>
                  </w:r>
                  <w:r>
                    <w:rPr>
                      <w:color w:val="000000"/>
                      <w:szCs w:val="21"/>
                    </w:rPr>
                    <w:t>（t/a）</w:t>
                  </w:r>
                </w:p>
              </w:tc>
              <w:tc>
                <w:tcPr>
                  <w:tcW w:w="875" w:type="dxa"/>
                  <w:tcBorders>
                    <w:tl2br w:val="nil"/>
                    <w:tr2bl w:val="nil"/>
                  </w:tcBorders>
                  <w:vAlign w:val="center"/>
                </w:tcPr>
                <w:p>
                  <w:pPr>
                    <w:jc w:val="center"/>
                    <w:rPr>
                      <w:szCs w:val="21"/>
                    </w:rPr>
                  </w:pPr>
                  <w:r>
                    <w:rPr>
                      <w:szCs w:val="21"/>
                    </w:rPr>
                    <w:t>标准限值</w:t>
                  </w:r>
                  <w:r>
                    <w:rPr>
                      <w:color w:val="000000"/>
                      <w:szCs w:val="21"/>
                    </w:rPr>
                    <w:t>（mg/m</w:t>
                  </w:r>
                  <w:r>
                    <w:rPr>
                      <w:color w:val="000000"/>
                      <w:szCs w:val="21"/>
                      <w:vertAlign w:val="superscript"/>
                    </w:rPr>
                    <w:t>3</w:t>
                  </w:r>
                  <w:r>
                    <w:rPr>
                      <w:color w:val="000000"/>
                      <w:szCs w:val="21"/>
                    </w:rPr>
                    <w:t>）</w:t>
                  </w:r>
                </w:p>
              </w:tc>
              <w:tc>
                <w:tcPr>
                  <w:tcW w:w="1047" w:type="dxa"/>
                  <w:tcBorders>
                    <w:tl2br w:val="nil"/>
                    <w:tr2bl w:val="nil"/>
                  </w:tcBorders>
                  <w:vAlign w:val="center"/>
                </w:tcPr>
                <w:p>
                  <w:pPr>
                    <w:jc w:val="center"/>
                    <w:rPr>
                      <w:szCs w:val="21"/>
                    </w:rPr>
                  </w:pPr>
                  <w:r>
                    <w:rPr>
                      <w:szCs w:val="21"/>
                    </w:rPr>
                    <w:t>排放标准</w:t>
                  </w:r>
                </w:p>
              </w:tc>
            </w:tr>
            <w:tr>
              <w:trPr>
                <w:trHeight w:val="340" w:hRule="atLeast"/>
              </w:trPr>
              <w:tc>
                <w:tcPr>
                  <w:tcW w:w="8798" w:type="dxa"/>
                  <w:gridSpan w:val="11"/>
                  <w:tcBorders>
                    <w:tl2br w:val="nil"/>
                    <w:tr2bl w:val="nil"/>
                  </w:tcBorders>
                  <w:vAlign w:val="center"/>
                </w:tcPr>
                <w:p>
                  <w:pPr>
                    <w:jc w:val="center"/>
                    <w:rPr>
                      <w:szCs w:val="21"/>
                    </w:rPr>
                  </w:pPr>
                  <w:r>
                    <w:rPr>
                      <w:szCs w:val="21"/>
                    </w:rPr>
                    <w:t>一般排放口</w:t>
                  </w:r>
                </w:p>
              </w:tc>
            </w:tr>
            <w:tr>
              <w:trPr>
                <w:trHeight w:val="805" w:hRule="atLeast"/>
              </w:trPr>
              <w:tc>
                <w:tcPr>
                  <w:tcW w:w="433" w:type="dxa"/>
                  <w:vMerge w:val="restart"/>
                  <w:tcBorders>
                    <w:tl2br w:val="nil"/>
                    <w:tr2bl w:val="nil"/>
                  </w:tcBorders>
                  <w:vAlign w:val="center"/>
                </w:tcPr>
                <w:p>
                  <w:pPr>
                    <w:jc w:val="center"/>
                    <w:rPr>
                      <w:szCs w:val="21"/>
                    </w:rPr>
                  </w:pPr>
                  <w:r>
                    <w:rPr>
                      <w:szCs w:val="21"/>
                    </w:rPr>
                    <w:t>1</w:t>
                  </w:r>
                </w:p>
              </w:tc>
              <w:tc>
                <w:tcPr>
                  <w:tcW w:w="700" w:type="dxa"/>
                  <w:vMerge w:val="restart"/>
                  <w:tcBorders>
                    <w:tl2br w:val="nil"/>
                    <w:tr2bl w:val="nil"/>
                  </w:tcBorders>
                  <w:vAlign w:val="center"/>
                </w:tcPr>
                <w:p>
                  <w:pPr>
                    <w:jc w:val="center"/>
                    <w:rPr>
                      <w:szCs w:val="21"/>
                    </w:rPr>
                  </w:pPr>
                  <w:r>
                    <w:rPr>
                      <w:szCs w:val="21"/>
                    </w:rPr>
                    <w:t>生物质锅炉</w:t>
                  </w:r>
                </w:p>
              </w:tc>
              <w:tc>
                <w:tcPr>
                  <w:tcW w:w="516" w:type="dxa"/>
                  <w:vMerge w:val="restart"/>
                  <w:tcBorders>
                    <w:tl2br w:val="nil"/>
                    <w:tr2bl w:val="nil"/>
                  </w:tcBorders>
                  <w:vAlign w:val="center"/>
                </w:tcPr>
                <w:p>
                  <w:pPr>
                    <w:jc w:val="center"/>
                    <w:rPr>
                      <w:szCs w:val="21"/>
                    </w:rPr>
                  </w:pPr>
                  <w:r>
                    <w:rPr>
                      <w:szCs w:val="21"/>
                    </w:rPr>
                    <w:t>DA00</w:t>
                  </w:r>
                  <w:r>
                    <w:rPr>
                      <w:rFonts w:hint="eastAsia"/>
                      <w:szCs w:val="21"/>
                    </w:rPr>
                    <w:t>3</w:t>
                  </w:r>
                </w:p>
              </w:tc>
              <w:tc>
                <w:tcPr>
                  <w:tcW w:w="665" w:type="dxa"/>
                  <w:vMerge w:val="restart"/>
                  <w:tcBorders>
                    <w:tl2br w:val="nil"/>
                    <w:tr2bl w:val="nil"/>
                  </w:tcBorders>
                  <w:vAlign w:val="center"/>
                </w:tcPr>
                <w:p>
                  <w:pPr>
                    <w:jc w:val="center"/>
                    <w:rPr>
                      <w:szCs w:val="21"/>
                    </w:rPr>
                  </w:pPr>
                  <w:r>
                    <w:rPr>
                      <w:szCs w:val="21"/>
                    </w:rPr>
                    <w:t>3</w:t>
                  </w:r>
                  <w:r>
                    <w:rPr>
                      <w:rFonts w:hint="eastAsia"/>
                      <w:szCs w:val="21"/>
                    </w:rPr>
                    <w:t>5</w:t>
                  </w:r>
                </w:p>
              </w:tc>
              <w:tc>
                <w:tcPr>
                  <w:tcW w:w="714" w:type="dxa"/>
                  <w:vMerge w:val="restart"/>
                  <w:tcBorders>
                    <w:tl2br w:val="nil"/>
                    <w:tr2bl w:val="nil"/>
                  </w:tcBorders>
                  <w:vAlign w:val="center"/>
                </w:tcPr>
                <w:p>
                  <w:pPr>
                    <w:jc w:val="center"/>
                    <w:rPr>
                      <w:szCs w:val="21"/>
                    </w:rPr>
                  </w:pPr>
                  <w:r>
                    <w:rPr>
                      <w:szCs w:val="21"/>
                    </w:rPr>
                    <w:t>0.5</w:t>
                  </w:r>
                </w:p>
              </w:tc>
              <w:tc>
                <w:tcPr>
                  <w:tcW w:w="707" w:type="dxa"/>
                  <w:vMerge w:val="restart"/>
                  <w:tcBorders>
                    <w:tl2br w:val="nil"/>
                    <w:tr2bl w:val="nil"/>
                  </w:tcBorders>
                  <w:vAlign w:val="center"/>
                </w:tcPr>
                <w:p>
                  <w:pPr>
                    <w:jc w:val="center"/>
                    <w:rPr>
                      <w:szCs w:val="21"/>
                    </w:rPr>
                  </w:pPr>
                  <w:r>
                    <w:rPr>
                      <w:rFonts w:hint="eastAsia"/>
                      <w:szCs w:val="21"/>
                    </w:rPr>
                    <w:t>120</w:t>
                  </w:r>
                </w:p>
              </w:tc>
              <w:tc>
                <w:tcPr>
                  <w:tcW w:w="1114" w:type="dxa"/>
                  <w:tcBorders>
                    <w:tl2br w:val="nil"/>
                    <w:tr2bl w:val="nil"/>
                  </w:tcBorders>
                  <w:vAlign w:val="center"/>
                </w:tcPr>
                <w:p>
                  <w:pPr>
                    <w:jc w:val="center"/>
                    <w:rPr>
                      <w:szCs w:val="21"/>
                    </w:rPr>
                  </w:pPr>
                  <w:r>
                    <w:rPr>
                      <w:szCs w:val="21"/>
                    </w:rPr>
                    <w:t>颗粒物</w:t>
                  </w:r>
                </w:p>
              </w:tc>
              <w:tc>
                <w:tcPr>
                  <w:tcW w:w="1103" w:type="dxa"/>
                  <w:tcBorders>
                    <w:tl2br w:val="nil"/>
                    <w:tr2bl w:val="nil"/>
                  </w:tcBorders>
                  <w:vAlign w:val="center"/>
                </w:tcPr>
                <w:p>
                  <w:pPr>
                    <w:jc w:val="center"/>
                    <w:rPr>
                      <w:szCs w:val="21"/>
                    </w:rPr>
                  </w:pPr>
                  <w:r>
                    <w:rPr>
                      <w:rFonts w:hint="eastAsia"/>
                      <w:szCs w:val="21"/>
                    </w:rPr>
                    <w:t>9.6</w:t>
                  </w:r>
                </w:p>
              </w:tc>
              <w:tc>
                <w:tcPr>
                  <w:tcW w:w="924" w:type="dxa"/>
                  <w:tcBorders>
                    <w:tl2br w:val="nil"/>
                    <w:tr2bl w:val="nil"/>
                  </w:tcBorders>
                  <w:vAlign w:val="center"/>
                </w:tcPr>
                <w:p>
                  <w:pPr>
                    <w:jc w:val="center"/>
                    <w:rPr>
                      <w:szCs w:val="21"/>
                    </w:rPr>
                  </w:pPr>
                  <w:r>
                    <w:rPr>
                      <w:rFonts w:hint="eastAsia"/>
                      <w:szCs w:val="21"/>
                    </w:rPr>
                    <w:t>0.073</w:t>
                  </w:r>
                </w:p>
              </w:tc>
              <w:tc>
                <w:tcPr>
                  <w:tcW w:w="875" w:type="dxa"/>
                  <w:tcBorders>
                    <w:tl2br w:val="nil"/>
                    <w:tr2bl w:val="nil"/>
                  </w:tcBorders>
                  <w:vAlign w:val="center"/>
                </w:tcPr>
                <w:p>
                  <w:pPr>
                    <w:jc w:val="center"/>
                    <w:rPr>
                      <w:szCs w:val="21"/>
                    </w:rPr>
                  </w:pPr>
                  <w:r>
                    <w:rPr>
                      <w:szCs w:val="21"/>
                    </w:rPr>
                    <w:t>50</w:t>
                  </w:r>
                </w:p>
              </w:tc>
              <w:tc>
                <w:tcPr>
                  <w:tcW w:w="1047" w:type="dxa"/>
                  <w:vMerge w:val="restart"/>
                  <w:tcBorders>
                    <w:tl2br w:val="nil"/>
                    <w:tr2bl w:val="nil"/>
                  </w:tcBorders>
                  <w:vAlign w:val="center"/>
                </w:tcPr>
                <w:p>
                  <w:pPr>
                    <w:jc w:val="center"/>
                    <w:rPr>
                      <w:szCs w:val="21"/>
                    </w:rPr>
                  </w:pPr>
                  <w:r>
                    <w:rPr>
                      <w:szCs w:val="21"/>
                    </w:rPr>
                    <w:t>《锅炉大气污染物排放标准》（GB 13271-2014）</w:t>
                  </w:r>
                </w:p>
              </w:tc>
            </w:tr>
            <w:tr>
              <w:trPr>
                <w:trHeight w:val="643" w:hRule="atLeast"/>
              </w:trPr>
              <w:tc>
                <w:tcPr>
                  <w:tcW w:w="433" w:type="dxa"/>
                  <w:vMerge w:val="continue"/>
                  <w:tcBorders>
                    <w:tl2br w:val="nil"/>
                    <w:tr2bl w:val="nil"/>
                  </w:tcBorders>
                  <w:vAlign w:val="center"/>
                </w:tcPr>
                <w:p>
                  <w:pPr>
                    <w:jc w:val="center"/>
                    <w:rPr>
                      <w:szCs w:val="21"/>
                    </w:rPr>
                  </w:pPr>
                </w:p>
              </w:tc>
              <w:tc>
                <w:tcPr>
                  <w:tcW w:w="700" w:type="dxa"/>
                  <w:vMerge w:val="continue"/>
                  <w:tcBorders>
                    <w:tl2br w:val="nil"/>
                    <w:tr2bl w:val="nil"/>
                  </w:tcBorders>
                  <w:vAlign w:val="center"/>
                </w:tcPr>
                <w:p>
                  <w:pPr>
                    <w:jc w:val="center"/>
                    <w:rPr>
                      <w:szCs w:val="21"/>
                    </w:rPr>
                  </w:pPr>
                </w:p>
              </w:tc>
              <w:tc>
                <w:tcPr>
                  <w:tcW w:w="516" w:type="dxa"/>
                  <w:vMerge w:val="continue"/>
                  <w:tcBorders>
                    <w:tl2br w:val="nil"/>
                    <w:tr2bl w:val="nil"/>
                  </w:tcBorders>
                  <w:vAlign w:val="center"/>
                </w:tcPr>
                <w:p>
                  <w:pPr>
                    <w:jc w:val="center"/>
                    <w:rPr>
                      <w:szCs w:val="21"/>
                    </w:rPr>
                  </w:pPr>
                </w:p>
              </w:tc>
              <w:tc>
                <w:tcPr>
                  <w:tcW w:w="665" w:type="dxa"/>
                  <w:vMerge w:val="continue"/>
                  <w:tcBorders>
                    <w:tl2br w:val="nil"/>
                    <w:tr2bl w:val="nil"/>
                  </w:tcBorders>
                  <w:vAlign w:val="center"/>
                </w:tcPr>
                <w:p>
                  <w:pPr>
                    <w:jc w:val="center"/>
                    <w:rPr>
                      <w:szCs w:val="21"/>
                    </w:rPr>
                  </w:pPr>
                </w:p>
              </w:tc>
              <w:tc>
                <w:tcPr>
                  <w:tcW w:w="714" w:type="dxa"/>
                  <w:vMerge w:val="continue"/>
                  <w:tcBorders>
                    <w:tl2br w:val="nil"/>
                    <w:tr2bl w:val="nil"/>
                  </w:tcBorders>
                  <w:vAlign w:val="center"/>
                </w:tcPr>
                <w:p>
                  <w:pPr>
                    <w:jc w:val="center"/>
                    <w:rPr>
                      <w:szCs w:val="21"/>
                    </w:rPr>
                  </w:pPr>
                </w:p>
              </w:tc>
              <w:tc>
                <w:tcPr>
                  <w:tcW w:w="707" w:type="dxa"/>
                  <w:vMerge w:val="continue"/>
                  <w:tcBorders>
                    <w:tl2br w:val="nil"/>
                    <w:tr2bl w:val="nil"/>
                  </w:tcBorders>
                  <w:vAlign w:val="center"/>
                </w:tcPr>
                <w:p>
                  <w:pPr>
                    <w:jc w:val="center"/>
                    <w:rPr>
                      <w:szCs w:val="21"/>
                    </w:rPr>
                  </w:pPr>
                </w:p>
              </w:tc>
              <w:tc>
                <w:tcPr>
                  <w:tcW w:w="1114" w:type="dxa"/>
                  <w:tcBorders>
                    <w:tl2br w:val="nil"/>
                    <w:tr2bl w:val="nil"/>
                  </w:tcBorders>
                  <w:vAlign w:val="center"/>
                </w:tcPr>
                <w:p>
                  <w:pPr>
                    <w:jc w:val="center"/>
                    <w:rPr>
                      <w:szCs w:val="21"/>
                    </w:rPr>
                  </w:pPr>
                  <w:r>
                    <w:rPr>
                      <w:szCs w:val="21"/>
                    </w:rPr>
                    <w:t>二氧化硫</w:t>
                  </w:r>
                </w:p>
              </w:tc>
              <w:tc>
                <w:tcPr>
                  <w:tcW w:w="1103" w:type="dxa"/>
                  <w:tcBorders>
                    <w:tl2br w:val="nil"/>
                    <w:tr2bl w:val="nil"/>
                  </w:tcBorders>
                  <w:vAlign w:val="center"/>
                </w:tcPr>
                <w:p>
                  <w:pPr>
                    <w:jc w:val="center"/>
                    <w:rPr>
                      <w:szCs w:val="21"/>
                    </w:rPr>
                  </w:pPr>
                  <w:r>
                    <w:rPr>
                      <w:rFonts w:hint="eastAsia"/>
                      <w:szCs w:val="21"/>
                    </w:rPr>
                    <w:t>1.2</w:t>
                  </w:r>
                </w:p>
              </w:tc>
              <w:tc>
                <w:tcPr>
                  <w:tcW w:w="924" w:type="dxa"/>
                  <w:tcBorders>
                    <w:tl2br w:val="nil"/>
                    <w:tr2bl w:val="nil"/>
                  </w:tcBorders>
                  <w:vAlign w:val="center"/>
                </w:tcPr>
                <w:p>
                  <w:pPr>
                    <w:jc w:val="center"/>
                    <w:rPr>
                      <w:szCs w:val="21"/>
                    </w:rPr>
                  </w:pPr>
                  <w:r>
                    <w:rPr>
                      <w:rFonts w:hint="eastAsia"/>
                      <w:szCs w:val="21"/>
                    </w:rPr>
                    <w:t>0.009</w:t>
                  </w:r>
                </w:p>
              </w:tc>
              <w:tc>
                <w:tcPr>
                  <w:tcW w:w="875" w:type="dxa"/>
                  <w:tcBorders>
                    <w:tl2br w:val="nil"/>
                    <w:tr2bl w:val="nil"/>
                  </w:tcBorders>
                  <w:vAlign w:val="center"/>
                </w:tcPr>
                <w:p>
                  <w:pPr>
                    <w:jc w:val="center"/>
                    <w:rPr>
                      <w:szCs w:val="21"/>
                    </w:rPr>
                  </w:pPr>
                  <w:r>
                    <w:rPr>
                      <w:szCs w:val="21"/>
                    </w:rPr>
                    <w:t>300</w:t>
                  </w:r>
                </w:p>
              </w:tc>
              <w:tc>
                <w:tcPr>
                  <w:tcW w:w="1047" w:type="dxa"/>
                  <w:vMerge w:val="continue"/>
                  <w:tcBorders>
                    <w:tl2br w:val="nil"/>
                    <w:tr2bl w:val="nil"/>
                  </w:tcBorders>
                  <w:vAlign w:val="center"/>
                </w:tcPr>
                <w:p>
                  <w:pPr>
                    <w:jc w:val="center"/>
                    <w:rPr>
                      <w:szCs w:val="21"/>
                    </w:rPr>
                  </w:pPr>
                </w:p>
              </w:tc>
            </w:tr>
            <w:tr>
              <w:trPr>
                <w:trHeight w:val="340" w:hRule="atLeast"/>
              </w:trPr>
              <w:tc>
                <w:tcPr>
                  <w:tcW w:w="433" w:type="dxa"/>
                  <w:vMerge w:val="continue"/>
                  <w:tcBorders>
                    <w:tl2br w:val="nil"/>
                    <w:tr2bl w:val="nil"/>
                  </w:tcBorders>
                  <w:vAlign w:val="center"/>
                </w:tcPr>
                <w:p>
                  <w:pPr>
                    <w:jc w:val="center"/>
                    <w:rPr>
                      <w:szCs w:val="21"/>
                    </w:rPr>
                  </w:pPr>
                </w:p>
              </w:tc>
              <w:tc>
                <w:tcPr>
                  <w:tcW w:w="700" w:type="dxa"/>
                  <w:vMerge w:val="continue"/>
                  <w:tcBorders>
                    <w:tl2br w:val="nil"/>
                    <w:tr2bl w:val="nil"/>
                  </w:tcBorders>
                  <w:vAlign w:val="center"/>
                </w:tcPr>
                <w:p>
                  <w:pPr>
                    <w:jc w:val="center"/>
                    <w:rPr>
                      <w:szCs w:val="21"/>
                    </w:rPr>
                  </w:pPr>
                </w:p>
              </w:tc>
              <w:tc>
                <w:tcPr>
                  <w:tcW w:w="516" w:type="dxa"/>
                  <w:vMerge w:val="continue"/>
                  <w:tcBorders>
                    <w:tl2br w:val="nil"/>
                    <w:tr2bl w:val="nil"/>
                  </w:tcBorders>
                  <w:vAlign w:val="center"/>
                </w:tcPr>
                <w:p>
                  <w:pPr>
                    <w:jc w:val="center"/>
                    <w:rPr>
                      <w:szCs w:val="21"/>
                    </w:rPr>
                  </w:pPr>
                </w:p>
              </w:tc>
              <w:tc>
                <w:tcPr>
                  <w:tcW w:w="665" w:type="dxa"/>
                  <w:vMerge w:val="continue"/>
                  <w:tcBorders>
                    <w:tl2br w:val="nil"/>
                    <w:tr2bl w:val="nil"/>
                  </w:tcBorders>
                  <w:vAlign w:val="center"/>
                </w:tcPr>
                <w:p>
                  <w:pPr>
                    <w:jc w:val="center"/>
                    <w:rPr>
                      <w:szCs w:val="21"/>
                    </w:rPr>
                  </w:pPr>
                </w:p>
              </w:tc>
              <w:tc>
                <w:tcPr>
                  <w:tcW w:w="714" w:type="dxa"/>
                  <w:vMerge w:val="continue"/>
                  <w:tcBorders>
                    <w:tl2br w:val="nil"/>
                    <w:tr2bl w:val="nil"/>
                  </w:tcBorders>
                  <w:vAlign w:val="center"/>
                </w:tcPr>
                <w:p>
                  <w:pPr>
                    <w:jc w:val="center"/>
                    <w:rPr>
                      <w:szCs w:val="21"/>
                    </w:rPr>
                  </w:pPr>
                </w:p>
              </w:tc>
              <w:tc>
                <w:tcPr>
                  <w:tcW w:w="707" w:type="dxa"/>
                  <w:vMerge w:val="continue"/>
                  <w:tcBorders>
                    <w:tl2br w:val="nil"/>
                    <w:tr2bl w:val="nil"/>
                  </w:tcBorders>
                  <w:vAlign w:val="center"/>
                </w:tcPr>
                <w:p>
                  <w:pPr>
                    <w:jc w:val="center"/>
                    <w:rPr>
                      <w:szCs w:val="21"/>
                    </w:rPr>
                  </w:pPr>
                </w:p>
              </w:tc>
              <w:tc>
                <w:tcPr>
                  <w:tcW w:w="1114" w:type="dxa"/>
                  <w:tcBorders>
                    <w:tl2br w:val="nil"/>
                    <w:tr2bl w:val="nil"/>
                  </w:tcBorders>
                  <w:vAlign w:val="center"/>
                </w:tcPr>
                <w:p>
                  <w:pPr>
                    <w:jc w:val="center"/>
                    <w:rPr>
                      <w:szCs w:val="21"/>
                    </w:rPr>
                  </w:pPr>
                  <w:r>
                    <w:rPr>
                      <w:szCs w:val="21"/>
                    </w:rPr>
                    <w:t>氮氧化物</w:t>
                  </w:r>
                </w:p>
              </w:tc>
              <w:tc>
                <w:tcPr>
                  <w:tcW w:w="1103" w:type="dxa"/>
                  <w:tcBorders>
                    <w:tl2br w:val="nil"/>
                    <w:tr2bl w:val="nil"/>
                  </w:tcBorders>
                  <w:vAlign w:val="center"/>
                </w:tcPr>
                <w:p>
                  <w:pPr>
                    <w:jc w:val="center"/>
                    <w:rPr>
                      <w:szCs w:val="21"/>
                    </w:rPr>
                  </w:pPr>
                  <w:r>
                    <w:rPr>
                      <w:rFonts w:hint="eastAsia"/>
                      <w:szCs w:val="21"/>
                    </w:rPr>
                    <w:t>169</w:t>
                  </w:r>
                </w:p>
              </w:tc>
              <w:tc>
                <w:tcPr>
                  <w:tcW w:w="924" w:type="dxa"/>
                  <w:tcBorders>
                    <w:tl2br w:val="nil"/>
                    <w:tr2bl w:val="nil"/>
                  </w:tcBorders>
                  <w:vAlign w:val="center"/>
                </w:tcPr>
                <w:p>
                  <w:pPr>
                    <w:jc w:val="center"/>
                    <w:rPr>
                      <w:szCs w:val="21"/>
                    </w:rPr>
                  </w:pPr>
                  <w:r>
                    <w:rPr>
                      <w:rFonts w:hint="eastAsia"/>
                      <w:szCs w:val="21"/>
                    </w:rPr>
                    <w:t>1.292</w:t>
                  </w:r>
                </w:p>
              </w:tc>
              <w:tc>
                <w:tcPr>
                  <w:tcW w:w="875" w:type="dxa"/>
                  <w:tcBorders>
                    <w:tl2br w:val="nil"/>
                    <w:tr2bl w:val="nil"/>
                  </w:tcBorders>
                  <w:vAlign w:val="center"/>
                </w:tcPr>
                <w:p>
                  <w:pPr>
                    <w:jc w:val="center"/>
                    <w:rPr>
                      <w:szCs w:val="21"/>
                    </w:rPr>
                  </w:pPr>
                  <w:r>
                    <w:rPr>
                      <w:szCs w:val="21"/>
                    </w:rPr>
                    <w:t>300</w:t>
                  </w:r>
                </w:p>
              </w:tc>
              <w:tc>
                <w:tcPr>
                  <w:tcW w:w="1047" w:type="dxa"/>
                  <w:vMerge w:val="continue"/>
                  <w:tcBorders>
                    <w:tl2br w:val="nil"/>
                    <w:tr2bl w:val="nil"/>
                  </w:tcBorders>
                  <w:vAlign w:val="center"/>
                </w:tcPr>
                <w:p>
                  <w:pPr>
                    <w:jc w:val="center"/>
                    <w:rPr>
                      <w:szCs w:val="21"/>
                    </w:rPr>
                  </w:pPr>
                </w:p>
              </w:tc>
            </w:tr>
            <w:tr>
              <w:trPr>
                <w:trHeight w:val="340" w:hRule="atLeast"/>
              </w:trPr>
              <w:tc>
                <w:tcPr>
                  <w:tcW w:w="3735" w:type="dxa"/>
                  <w:gridSpan w:val="6"/>
                  <w:vMerge w:val="restart"/>
                  <w:tcBorders>
                    <w:tl2br w:val="nil"/>
                    <w:tr2bl w:val="nil"/>
                  </w:tcBorders>
                  <w:vAlign w:val="center"/>
                </w:tcPr>
                <w:p>
                  <w:pPr>
                    <w:jc w:val="center"/>
                    <w:rPr>
                      <w:szCs w:val="21"/>
                    </w:rPr>
                  </w:pPr>
                  <w:r>
                    <w:rPr>
                      <w:szCs w:val="21"/>
                    </w:rPr>
                    <w:t>一般排放口合计</w:t>
                  </w:r>
                </w:p>
              </w:tc>
              <w:tc>
                <w:tcPr>
                  <w:tcW w:w="1114" w:type="dxa"/>
                  <w:tcBorders>
                    <w:tl2br w:val="nil"/>
                    <w:tr2bl w:val="nil"/>
                  </w:tcBorders>
                  <w:vAlign w:val="center"/>
                </w:tcPr>
                <w:p>
                  <w:pPr>
                    <w:jc w:val="center"/>
                    <w:rPr>
                      <w:szCs w:val="21"/>
                    </w:rPr>
                  </w:pPr>
                  <w:r>
                    <w:rPr>
                      <w:szCs w:val="21"/>
                    </w:rPr>
                    <w:t>颗粒物</w:t>
                  </w:r>
                </w:p>
              </w:tc>
              <w:tc>
                <w:tcPr>
                  <w:tcW w:w="3949" w:type="dxa"/>
                  <w:gridSpan w:val="4"/>
                  <w:tcBorders>
                    <w:tl2br w:val="nil"/>
                    <w:tr2bl w:val="nil"/>
                  </w:tcBorders>
                  <w:vAlign w:val="center"/>
                </w:tcPr>
                <w:p>
                  <w:pPr>
                    <w:jc w:val="center"/>
                    <w:rPr>
                      <w:szCs w:val="21"/>
                    </w:rPr>
                  </w:pPr>
                  <w:r>
                    <w:rPr>
                      <w:rFonts w:hint="eastAsia"/>
                      <w:szCs w:val="21"/>
                    </w:rPr>
                    <w:t>0.073t/a</w:t>
                  </w:r>
                </w:p>
              </w:tc>
            </w:tr>
            <w:tr>
              <w:trPr>
                <w:trHeight w:val="340" w:hRule="atLeast"/>
              </w:trPr>
              <w:tc>
                <w:tcPr>
                  <w:tcW w:w="3735" w:type="dxa"/>
                  <w:gridSpan w:val="6"/>
                  <w:vMerge w:val="continue"/>
                  <w:tcBorders>
                    <w:tl2br w:val="nil"/>
                    <w:tr2bl w:val="nil"/>
                  </w:tcBorders>
                  <w:vAlign w:val="center"/>
                </w:tcPr>
                <w:p>
                  <w:pPr>
                    <w:jc w:val="center"/>
                    <w:rPr>
                      <w:szCs w:val="21"/>
                    </w:rPr>
                  </w:pPr>
                </w:p>
              </w:tc>
              <w:tc>
                <w:tcPr>
                  <w:tcW w:w="1114" w:type="dxa"/>
                  <w:tcBorders>
                    <w:tl2br w:val="nil"/>
                    <w:tr2bl w:val="nil"/>
                  </w:tcBorders>
                  <w:vAlign w:val="center"/>
                </w:tcPr>
                <w:p>
                  <w:pPr>
                    <w:jc w:val="center"/>
                    <w:rPr>
                      <w:szCs w:val="21"/>
                    </w:rPr>
                  </w:pPr>
                  <w:r>
                    <w:rPr>
                      <w:szCs w:val="21"/>
                    </w:rPr>
                    <w:t>二氧化硫</w:t>
                  </w:r>
                </w:p>
              </w:tc>
              <w:tc>
                <w:tcPr>
                  <w:tcW w:w="3949" w:type="dxa"/>
                  <w:gridSpan w:val="4"/>
                  <w:tcBorders>
                    <w:tl2br w:val="nil"/>
                    <w:tr2bl w:val="nil"/>
                  </w:tcBorders>
                  <w:vAlign w:val="center"/>
                </w:tcPr>
                <w:p>
                  <w:pPr>
                    <w:jc w:val="center"/>
                    <w:rPr>
                      <w:szCs w:val="21"/>
                    </w:rPr>
                  </w:pPr>
                  <w:r>
                    <w:rPr>
                      <w:rFonts w:hint="eastAsia"/>
                      <w:szCs w:val="21"/>
                    </w:rPr>
                    <w:t>0.009t/a</w:t>
                  </w:r>
                </w:p>
              </w:tc>
            </w:tr>
            <w:tr>
              <w:trPr>
                <w:trHeight w:val="340" w:hRule="atLeast"/>
              </w:trPr>
              <w:tc>
                <w:tcPr>
                  <w:tcW w:w="3735" w:type="dxa"/>
                  <w:gridSpan w:val="6"/>
                  <w:vMerge w:val="continue"/>
                  <w:tcBorders>
                    <w:tl2br w:val="nil"/>
                    <w:tr2bl w:val="nil"/>
                  </w:tcBorders>
                  <w:vAlign w:val="center"/>
                </w:tcPr>
                <w:p>
                  <w:pPr>
                    <w:jc w:val="center"/>
                    <w:rPr>
                      <w:szCs w:val="21"/>
                    </w:rPr>
                  </w:pPr>
                </w:p>
              </w:tc>
              <w:tc>
                <w:tcPr>
                  <w:tcW w:w="1114" w:type="dxa"/>
                  <w:tcBorders>
                    <w:tl2br w:val="nil"/>
                    <w:tr2bl w:val="nil"/>
                  </w:tcBorders>
                  <w:vAlign w:val="center"/>
                </w:tcPr>
                <w:p>
                  <w:pPr>
                    <w:jc w:val="center"/>
                    <w:rPr>
                      <w:szCs w:val="21"/>
                    </w:rPr>
                  </w:pPr>
                  <w:r>
                    <w:rPr>
                      <w:szCs w:val="21"/>
                    </w:rPr>
                    <w:t>氮氧化物</w:t>
                  </w:r>
                </w:p>
              </w:tc>
              <w:tc>
                <w:tcPr>
                  <w:tcW w:w="3949" w:type="dxa"/>
                  <w:gridSpan w:val="4"/>
                  <w:tcBorders>
                    <w:tl2br w:val="nil"/>
                    <w:tr2bl w:val="nil"/>
                  </w:tcBorders>
                  <w:vAlign w:val="center"/>
                </w:tcPr>
                <w:p>
                  <w:pPr>
                    <w:jc w:val="center"/>
                    <w:rPr>
                      <w:szCs w:val="21"/>
                    </w:rPr>
                  </w:pPr>
                  <w:r>
                    <w:rPr>
                      <w:rFonts w:hint="eastAsia"/>
                      <w:szCs w:val="21"/>
                    </w:rPr>
                    <w:t>1.292t/a</w:t>
                  </w:r>
                </w:p>
              </w:tc>
            </w:tr>
          </w:tbl>
          <w:p>
            <w:pPr>
              <w:jc w:val="center"/>
              <w:rPr>
                <w:rFonts w:eastAsia="宋体"/>
                <w:bCs/>
                <w:color w:val="000000"/>
                <w:sz w:val="24"/>
              </w:rPr>
            </w:pPr>
            <w:r>
              <w:rPr>
                <w:bCs/>
                <w:color w:val="000000"/>
                <w:sz w:val="24"/>
              </w:rPr>
              <w:t>表</w:t>
            </w:r>
            <w:r>
              <w:rPr>
                <w:rFonts w:hint="eastAsia"/>
                <w:bCs/>
                <w:color w:val="000000"/>
                <w:sz w:val="24"/>
              </w:rPr>
              <w:t>37</w:t>
            </w:r>
            <w:r>
              <w:rPr>
                <w:bCs/>
                <w:color w:val="000000"/>
                <w:sz w:val="24"/>
              </w:rPr>
              <w:t xml:space="preserve">  </w:t>
            </w:r>
            <w:r>
              <w:rPr>
                <w:rFonts w:eastAsia="宋体"/>
                <w:bCs/>
                <w:color w:val="000000"/>
                <w:sz w:val="24"/>
              </w:rPr>
              <w:t>废气污染源监测计划</w:t>
            </w:r>
          </w:p>
          <w:tbl>
            <w:tblPr>
              <w:tblW w:w="8804"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2267"/>
              <w:gridCol w:w="2314"/>
              <w:gridCol w:w="1544"/>
              <w:gridCol w:w="1491"/>
            </w:tblGrid>
            <w:tr>
              <w:trPr>
                <w:trHeight w:val="340" w:hRule="atLeast"/>
                <w:jc w:val="center"/>
              </w:trPr>
              <w:tc>
                <w:tcPr>
                  <w:tcW w:w="1188" w:type="dxa"/>
                  <w:vAlign w:val="center"/>
                </w:tcPr>
                <w:p>
                  <w:pPr>
                    <w:jc w:val="center"/>
                    <w:rPr>
                      <w:rFonts w:eastAsia="宋体"/>
                      <w:b w:val="0"/>
                      <w:bCs/>
                      <w:color w:val="000000"/>
                      <w:kern w:val="0"/>
                      <w:sz w:val="18"/>
                      <w:szCs w:val="21"/>
                    </w:rPr>
                  </w:pPr>
                  <w:r>
                    <w:rPr>
                      <w:rFonts w:eastAsia="宋体"/>
                      <w:b w:val="0"/>
                      <w:bCs/>
                      <w:color w:val="000000"/>
                      <w:kern w:val="0"/>
                      <w:sz w:val="18"/>
                      <w:szCs w:val="21"/>
                    </w:rPr>
                    <w:t>类别</w:t>
                  </w:r>
                </w:p>
              </w:tc>
              <w:tc>
                <w:tcPr>
                  <w:tcW w:w="2267" w:type="dxa"/>
                  <w:vAlign w:val="center"/>
                </w:tcPr>
                <w:p>
                  <w:pPr>
                    <w:jc w:val="center"/>
                    <w:rPr>
                      <w:rFonts w:eastAsia="宋体"/>
                      <w:b w:val="0"/>
                      <w:bCs/>
                      <w:color w:val="000000"/>
                      <w:kern w:val="0"/>
                      <w:sz w:val="18"/>
                      <w:szCs w:val="21"/>
                    </w:rPr>
                  </w:pPr>
                  <w:r>
                    <w:rPr>
                      <w:rFonts w:eastAsia="宋体"/>
                      <w:b w:val="0"/>
                      <w:bCs/>
                      <w:color w:val="000000"/>
                      <w:kern w:val="0"/>
                      <w:sz w:val="18"/>
                      <w:szCs w:val="21"/>
                    </w:rPr>
                    <w:t>监测点位</w:t>
                  </w:r>
                </w:p>
              </w:tc>
              <w:tc>
                <w:tcPr>
                  <w:tcW w:w="2314" w:type="dxa"/>
                  <w:vAlign w:val="center"/>
                </w:tcPr>
                <w:p>
                  <w:pPr>
                    <w:jc w:val="center"/>
                    <w:rPr>
                      <w:rFonts w:eastAsia="宋体"/>
                      <w:b w:val="0"/>
                      <w:bCs/>
                      <w:color w:val="000000"/>
                      <w:kern w:val="0"/>
                      <w:sz w:val="18"/>
                      <w:szCs w:val="21"/>
                    </w:rPr>
                  </w:pPr>
                  <w:r>
                    <w:rPr>
                      <w:rFonts w:eastAsia="宋体"/>
                      <w:b w:val="0"/>
                      <w:bCs/>
                      <w:color w:val="000000"/>
                      <w:kern w:val="0"/>
                      <w:sz w:val="18"/>
                      <w:szCs w:val="21"/>
                    </w:rPr>
                    <w:t>监测指标</w:t>
                  </w:r>
                </w:p>
              </w:tc>
              <w:tc>
                <w:tcPr>
                  <w:tcW w:w="1544" w:type="dxa"/>
                  <w:vAlign w:val="center"/>
                </w:tcPr>
                <w:p>
                  <w:pPr>
                    <w:jc w:val="center"/>
                    <w:rPr>
                      <w:rFonts w:eastAsia="宋体"/>
                      <w:b w:val="0"/>
                      <w:bCs/>
                      <w:color w:val="000000"/>
                      <w:kern w:val="0"/>
                      <w:sz w:val="18"/>
                      <w:szCs w:val="21"/>
                    </w:rPr>
                  </w:pPr>
                  <w:r>
                    <w:rPr>
                      <w:rFonts w:eastAsia="宋体"/>
                      <w:b w:val="0"/>
                      <w:bCs/>
                      <w:color w:val="000000"/>
                      <w:kern w:val="0"/>
                      <w:sz w:val="18"/>
                      <w:szCs w:val="21"/>
                    </w:rPr>
                    <w:t>监测频次</w:t>
                  </w:r>
                </w:p>
              </w:tc>
              <w:tc>
                <w:tcPr>
                  <w:tcW w:w="1491" w:type="dxa"/>
                  <w:vAlign w:val="center"/>
                </w:tcPr>
                <w:p>
                  <w:pPr>
                    <w:jc w:val="center"/>
                    <w:rPr>
                      <w:rFonts w:eastAsia="宋体"/>
                      <w:b w:val="0"/>
                      <w:bCs/>
                      <w:color w:val="000000"/>
                      <w:kern w:val="0"/>
                      <w:sz w:val="18"/>
                      <w:szCs w:val="21"/>
                    </w:rPr>
                  </w:pPr>
                  <w:r>
                    <w:rPr>
                      <w:rFonts w:eastAsia="宋体"/>
                      <w:b w:val="0"/>
                      <w:bCs/>
                      <w:color w:val="000000"/>
                      <w:kern w:val="0"/>
                      <w:sz w:val="18"/>
                      <w:szCs w:val="21"/>
                    </w:rPr>
                    <w:t>执行标准</w:t>
                  </w:r>
                </w:p>
              </w:tc>
            </w:tr>
            <w:tr>
              <w:trPr>
                <w:trHeight w:val="340" w:hRule="atLeast"/>
                <w:jc w:val="center"/>
              </w:trPr>
              <w:tc>
                <w:tcPr>
                  <w:tcW w:w="1188" w:type="dxa"/>
                  <w:vAlign w:val="center"/>
                </w:tcPr>
                <w:p>
                  <w:pPr>
                    <w:adjustRightInd w:val="0"/>
                    <w:snapToGrid w:val="0"/>
                    <w:jc w:val="center"/>
                    <w:rPr>
                      <w:rFonts w:eastAsia="宋体"/>
                      <w:color w:val="000000"/>
                      <w:sz w:val="18"/>
                      <w:szCs w:val="21"/>
                    </w:rPr>
                  </w:pPr>
                  <w:r>
                    <w:rPr>
                      <w:rFonts w:eastAsia="宋体"/>
                      <w:color w:val="000000"/>
                      <w:sz w:val="18"/>
                      <w:szCs w:val="21"/>
                    </w:rPr>
                    <w:t>废气有组织排放</w:t>
                  </w:r>
                </w:p>
              </w:tc>
              <w:tc>
                <w:tcPr>
                  <w:tcW w:w="2267" w:type="dxa"/>
                  <w:vAlign w:val="center"/>
                </w:tcPr>
                <w:p>
                  <w:pPr>
                    <w:jc w:val="center"/>
                    <w:rPr>
                      <w:rFonts w:eastAsia="宋体"/>
                      <w:color w:val="000000"/>
                      <w:sz w:val="18"/>
                      <w:szCs w:val="21"/>
                    </w:rPr>
                  </w:pPr>
                  <w:r>
                    <w:rPr>
                      <w:rFonts w:hint="eastAsia"/>
                      <w:sz w:val="18"/>
                      <w:szCs w:val="21"/>
                    </w:rPr>
                    <w:t>4.0</w:t>
                  </w:r>
                  <w:r>
                    <w:rPr>
                      <w:sz w:val="18"/>
                      <w:szCs w:val="21"/>
                    </w:rPr>
                    <w:t>t/h生物质锅炉</w:t>
                  </w:r>
                  <w:r>
                    <w:rPr>
                      <w:rFonts w:hint="eastAsia"/>
                      <w:sz w:val="18"/>
                      <w:szCs w:val="21"/>
                    </w:rPr>
                    <w:t>（DA003）</w:t>
                  </w:r>
                </w:p>
              </w:tc>
              <w:tc>
                <w:tcPr>
                  <w:tcW w:w="2314" w:type="dxa"/>
                  <w:vAlign w:val="center"/>
                </w:tcPr>
                <w:p>
                  <w:pPr>
                    <w:jc w:val="center"/>
                    <w:rPr>
                      <w:rFonts w:eastAsia="宋体"/>
                      <w:bCs/>
                      <w:color w:val="000000"/>
                      <w:kern w:val="0"/>
                      <w:sz w:val="18"/>
                      <w:szCs w:val="21"/>
                    </w:rPr>
                  </w:pPr>
                  <w:r>
                    <w:rPr>
                      <w:rFonts w:hint="eastAsia" w:eastAsia="宋体"/>
                      <w:bCs/>
                      <w:color w:val="000000"/>
                      <w:kern w:val="0"/>
                      <w:sz w:val="18"/>
                      <w:szCs w:val="21"/>
                    </w:rPr>
                    <w:t>颗粒物、二氧化硫、氮氧化物、烟气黑度</w:t>
                  </w:r>
                </w:p>
              </w:tc>
              <w:tc>
                <w:tcPr>
                  <w:tcW w:w="1544" w:type="dxa"/>
                  <w:vAlign w:val="center"/>
                </w:tcPr>
                <w:p>
                  <w:pPr>
                    <w:jc w:val="center"/>
                    <w:rPr>
                      <w:rFonts w:eastAsia="宋体"/>
                      <w:bCs/>
                      <w:color w:val="000000"/>
                      <w:kern w:val="0"/>
                      <w:sz w:val="18"/>
                      <w:szCs w:val="21"/>
                    </w:rPr>
                  </w:pPr>
                  <w:r>
                    <w:rPr>
                      <w:rFonts w:eastAsia="宋体"/>
                      <w:bCs/>
                      <w:color w:val="000000"/>
                      <w:kern w:val="0"/>
                      <w:sz w:val="18"/>
                      <w:szCs w:val="21"/>
                    </w:rPr>
                    <w:t>1次/</w:t>
                  </w:r>
                  <w:r>
                    <w:rPr>
                      <w:rFonts w:hint="eastAsia" w:eastAsia="宋体"/>
                      <w:bCs/>
                      <w:color w:val="000000"/>
                      <w:kern w:val="0"/>
                      <w:sz w:val="18"/>
                      <w:szCs w:val="21"/>
                    </w:rPr>
                    <w:t>月</w:t>
                  </w:r>
                </w:p>
              </w:tc>
              <w:tc>
                <w:tcPr>
                  <w:tcW w:w="1491" w:type="dxa"/>
                  <w:vMerge w:val="restart"/>
                  <w:vAlign w:val="center"/>
                </w:tcPr>
                <w:p>
                  <w:pPr>
                    <w:jc w:val="center"/>
                    <w:rPr>
                      <w:rFonts w:eastAsia="宋体"/>
                      <w:bCs/>
                      <w:color w:val="000000"/>
                      <w:kern w:val="0"/>
                      <w:sz w:val="18"/>
                      <w:szCs w:val="21"/>
                    </w:rPr>
                  </w:pPr>
                  <w:r>
                    <w:rPr>
                      <w:sz w:val="18"/>
                      <w:szCs w:val="21"/>
                    </w:rPr>
                    <w:t>《锅炉大气污染物排放标准》（GB 13271-2014）</w:t>
                  </w:r>
                </w:p>
              </w:tc>
            </w:tr>
            <w:tr>
              <w:trPr>
                <w:trHeight w:val="340" w:hRule="atLeast"/>
                <w:jc w:val="center"/>
              </w:trPr>
              <w:tc>
                <w:tcPr>
                  <w:tcW w:w="1188" w:type="dxa"/>
                  <w:vAlign w:val="center"/>
                </w:tcPr>
                <w:p>
                  <w:pPr>
                    <w:jc w:val="center"/>
                    <w:rPr>
                      <w:rFonts w:eastAsia="宋体"/>
                      <w:bCs/>
                      <w:color w:val="000000"/>
                      <w:kern w:val="0"/>
                      <w:sz w:val="18"/>
                      <w:szCs w:val="21"/>
                    </w:rPr>
                  </w:pPr>
                  <w:r>
                    <w:rPr>
                      <w:rFonts w:eastAsia="宋体"/>
                      <w:bCs/>
                      <w:color w:val="000000"/>
                      <w:kern w:val="0"/>
                      <w:sz w:val="18"/>
                      <w:szCs w:val="21"/>
                    </w:rPr>
                    <w:t>废气无组织排放</w:t>
                  </w:r>
                </w:p>
              </w:tc>
              <w:tc>
                <w:tcPr>
                  <w:tcW w:w="2267" w:type="dxa"/>
                  <w:vAlign w:val="center"/>
                </w:tcPr>
                <w:p>
                  <w:pPr>
                    <w:jc w:val="center"/>
                    <w:rPr>
                      <w:rFonts w:eastAsia="宋体"/>
                      <w:bCs/>
                      <w:color w:val="000000"/>
                      <w:kern w:val="0"/>
                      <w:sz w:val="18"/>
                      <w:szCs w:val="21"/>
                    </w:rPr>
                  </w:pPr>
                  <w:r>
                    <w:rPr>
                      <w:rFonts w:eastAsia="宋体"/>
                      <w:bCs/>
                      <w:color w:val="000000"/>
                      <w:kern w:val="0"/>
                      <w:sz w:val="18"/>
                      <w:szCs w:val="21"/>
                    </w:rPr>
                    <w:t>厂界上风向1点、厂界下风向3点</w:t>
                  </w:r>
                </w:p>
              </w:tc>
              <w:tc>
                <w:tcPr>
                  <w:tcW w:w="2314" w:type="dxa"/>
                  <w:vAlign w:val="center"/>
                </w:tcPr>
                <w:p>
                  <w:pPr>
                    <w:jc w:val="center"/>
                    <w:rPr>
                      <w:rFonts w:eastAsia="宋体"/>
                      <w:bCs/>
                      <w:color w:val="000000"/>
                      <w:kern w:val="0"/>
                      <w:sz w:val="18"/>
                      <w:szCs w:val="21"/>
                    </w:rPr>
                  </w:pPr>
                  <w:r>
                    <w:rPr>
                      <w:rFonts w:eastAsia="宋体"/>
                      <w:bCs/>
                      <w:color w:val="000000"/>
                      <w:kern w:val="0"/>
                      <w:sz w:val="18"/>
                      <w:szCs w:val="21"/>
                    </w:rPr>
                    <w:t>颗粒物</w:t>
                  </w:r>
                </w:p>
              </w:tc>
              <w:tc>
                <w:tcPr>
                  <w:tcW w:w="1544" w:type="dxa"/>
                  <w:vAlign w:val="center"/>
                </w:tcPr>
                <w:p>
                  <w:pPr>
                    <w:jc w:val="center"/>
                    <w:rPr>
                      <w:rFonts w:eastAsia="宋体"/>
                      <w:bCs/>
                      <w:color w:val="000000"/>
                      <w:kern w:val="0"/>
                      <w:sz w:val="18"/>
                      <w:szCs w:val="21"/>
                    </w:rPr>
                  </w:pPr>
                  <w:r>
                    <w:rPr>
                      <w:rFonts w:eastAsia="宋体"/>
                      <w:bCs/>
                      <w:color w:val="000000"/>
                      <w:kern w:val="0"/>
                      <w:sz w:val="18"/>
                      <w:szCs w:val="21"/>
                    </w:rPr>
                    <w:t>1次/</w:t>
                  </w:r>
                  <w:r>
                    <w:rPr>
                      <w:rFonts w:hint="eastAsia" w:eastAsia="宋体"/>
                      <w:bCs/>
                      <w:color w:val="000000"/>
                      <w:kern w:val="0"/>
                      <w:sz w:val="18"/>
                      <w:szCs w:val="21"/>
                    </w:rPr>
                    <w:t>季度</w:t>
                  </w:r>
                </w:p>
              </w:tc>
              <w:tc>
                <w:tcPr>
                  <w:tcW w:w="1491" w:type="dxa"/>
                  <w:vMerge w:val="continue"/>
                  <w:vAlign w:val="center"/>
                </w:tcPr>
                <w:p>
                  <w:pPr>
                    <w:jc w:val="center"/>
                    <w:rPr>
                      <w:rFonts w:eastAsia="宋体"/>
                      <w:bCs/>
                      <w:color w:val="000000"/>
                      <w:kern w:val="0"/>
                      <w:sz w:val="18"/>
                      <w:szCs w:val="21"/>
                    </w:rPr>
                  </w:pPr>
                </w:p>
              </w:tc>
            </w:tr>
          </w:tbl>
          <w:p>
            <w:pPr>
              <w:spacing w:line="360" w:lineRule="auto"/>
              <w:ind w:firstLine="482" w:firstLineChars="200"/>
              <w:rPr>
                <w:b/>
                <w:bCs/>
                <w:sz w:val="24"/>
              </w:rPr>
            </w:pPr>
            <w:bookmarkStart w:id="8" w:name="_Toc193102526"/>
            <w:bookmarkStart w:id="9" w:name="_Toc29392"/>
            <w:r>
              <w:rPr>
                <w:rFonts w:hint="eastAsia"/>
                <w:b/>
                <w:bCs/>
                <w:iCs/>
                <w:sz w:val="24"/>
              </w:rPr>
              <w:t>（4）</w:t>
            </w:r>
            <w:r>
              <w:rPr>
                <w:b/>
                <w:bCs/>
                <w:sz w:val="24"/>
              </w:rPr>
              <w:t>非正常工况</w:t>
            </w:r>
            <w:bookmarkEnd w:id="8"/>
            <w:bookmarkEnd w:id="9"/>
          </w:p>
          <w:p>
            <w:pPr>
              <w:spacing w:line="360" w:lineRule="auto"/>
              <w:ind w:firstLine="480" w:firstLineChars="200"/>
              <w:rPr>
                <w:sz w:val="24"/>
              </w:rPr>
            </w:pPr>
            <w:r>
              <w:rPr>
                <w:sz w:val="24"/>
              </w:rPr>
              <w:t>非正常排放是指非正常工况下的污染物排放，主要是启炉、停炉、污染物排放控制措施达不到应有效率情况下的排放。</w:t>
            </w:r>
          </w:p>
          <w:p>
            <w:pPr>
              <w:spacing w:line="360" w:lineRule="auto"/>
              <w:ind w:firstLine="480" w:firstLineChars="200"/>
              <w:rPr>
                <w:sz w:val="24"/>
              </w:rPr>
            </w:pPr>
            <w:r>
              <w:rPr>
                <w:rFonts w:hint="eastAsia" w:ascii="宋体" w:hAnsi="宋体" w:cs="宋体"/>
                <w:sz w:val="24"/>
              </w:rPr>
              <w:t>①</w:t>
            </w:r>
            <w:r>
              <w:rPr>
                <w:sz w:val="24"/>
              </w:rPr>
              <w:t>启炉</w:t>
            </w:r>
          </w:p>
          <w:p>
            <w:pPr>
              <w:spacing w:line="360" w:lineRule="auto"/>
              <w:ind w:firstLine="480" w:firstLineChars="200"/>
              <w:rPr>
                <w:sz w:val="24"/>
              </w:rPr>
            </w:pPr>
            <w:r>
              <w:rPr>
                <w:sz w:val="24"/>
              </w:rPr>
              <w:t>项目锅炉开启前，无需对设备进行清理等，无三废产生。</w:t>
            </w:r>
          </w:p>
          <w:p>
            <w:pPr>
              <w:spacing w:line="360" w:lineRule="auto"/>
              <w:ind w:firstLine="480" w:firstLineChars="200"/>
              <w:rPr>
                <w:sz w:val="24"/>
              </w:rPr>
            </w:pPr>
            <w:r>
              <w:rPr>
                <w:rFonts w:hint="eastAsia" w:ascii="宋体" w:hAnsi="宋体" w:cs="宋体"/>
                <w:sz w:val="24"/>
              </w:rPr>
              <w:t>②</w:t>
            </w:r>
            <w:r>
              <w:rPr>
                <w:sz w:val="24"/>
              </w:rPr>
              <w:t>停炉</w:t>
            </w:r>
          </w:p>
          <w:p>
            <w:pPr>
              <w:spacing w:line="360" w:lineRule="auto"/>
              <w:ind w:firstLine="480" w:firstLineChars="200"/>
              <w:rPr>
                <w:sz w:val="24"/>
              </w:rPr>
            </w:pPr>
            <w:r>
              <w:rPr>
                <w:sz w:val="24"/>
              </w:rPr>
              <w:t>本项目在停炉时应待废气排放完后再停止环保设施运行。</w:t>
            </w:r>
          </w:p>
          <w:p>
            <w:pPr>
              <w:spacing w:line="360" w:lineRule="auto"/>
              <w:ind w:firstLine="480" w:firstLineChars="200"/>
              <w:rPr>
                <w:sz w:val="24"/>
              </w:rPr>
            </w:pPr>
            <w:r>
              <w:rPr>
                <w:rFonts w:hint="eastAsia" w:ascii="宋体" w:hAnsi="宋体" w:cs="宋体"/>
                <w:sz w:val="24"/>
              </w:rPr>
              <w:t>③</w:t>
            </w:r>
            <w:r>
              <w:rPr>
                <w:sz w:val="24"/>
              </w:rPr>
              <w:t>一般性事故</w:t>
            </w:r>
          </w:p>
          <w:p>
            <w:pPr>
              <w:spacing w:line="360" w:lineRule="auto"/>
              <w:ind w:firstLine="480" w:firstLineChars="200"/>
              <w:rPr>
                <w:sz w:val="24"/>
              </w:rPr>
            </w:pPr>
            <w:r>
              <w:rPr>
                <w:sz w:val="24"/>
              </w:rPr>
              <w:t>在布袋除尘器故障情况下，本项目主要为颗粒物除尘效率减半，非正常废气排放情况见下表。</w:t>
            </w:r>
          </w:p>
          <w:p>
            <w:pPr>
              <w:jc w:val="center"/>
              <w:rPr>
                <w:sz w:val="24"/>
              </w:rPr>
            </w:pPr>
            <w:r>
              <w:rPr>
                <w:rFonts w:hint="eastAsia"/>
                <w:sz w:val="24"/>
              </w:rPr>
              <w:t xml:space="preserve">表38  </w:t>
            </w:r>
            <w:r>
              <w:rPr>
                <w:sz w:val="24"/>
              </w:rPr>
              <w:t>非正常排放情况一览表</w:t>
            </w:r>
          </w:p>
          <w:tbl>
            <w:tblPr>
              <w:tblW w:w="8804"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749"/>
              <w:gridCol w:w="868"/>
              <w:gridCol w:w="738"/>
              <w:gridCol w:w="2224"/>
              <w:gridCol w:w="1437"/>
              <w:gridCol w:w="1083"/>
              <w:gridCol w:w="914"/>
              <w:gridCol w:w="791"/>
            </w:tblGrid>
            <w:tr>
              <w:trPr>
                <w:jc w:val="center"/>
              </w:trPr>
              <w:tc>
                <w:tcPr>
                  <w:tcW w:w="749" w:type="dxa"/>
                  <w:vAlign w:val="center"/>
                </w:tcPr>
                <w:p>
                  <w:pPr>
                    <w:pStyle w:val="22"/>
                  </w:pPr>
                  <w:r>
                    <w:t>生产单元</w:t>
                  </w:r>
                </w:p>
              </w:tc>
              <w:tc>
                <w:tcPr>
                  <w:tcW w:w="868" w:type="dxa"/>
                  <w:vAlign w:val="center"/>
                </w:tcPr>
                <w:p>
                  <w:pPr>
                    <w:pStyle w:val="22"/>
                  </w:pPr>
                  <w:r>
                    <w:t>污染源</w:t>
                  </w:r>
                </w:p>
              </w:tc>
              <w:tc>
                <w:tcPr>
                  <w:tcW w:w="738" w:type="dxa"/>
                  <w:vAlign w:val="center"/>
                </w:tcPr>
                <w:p>
                  <w:pPr>
                    <w:pStyle w:val="22"/>
                  </w:pPr>
                  <w:r>
                    <w:t>污染物</w:t>
                  </w:r>
                </w:p>
              </w:tc>
              <w:tc>
                <w:tcPr>
                  <w:tcW w:w="2224" w:type="dxa"/>
                  <w:vAlign w:val="center"/>
                </w:tcPr>
                <w:p>
                  <w:pPr>
                    <w:pStyle w:val="22"/>
                  </w:pPr>
                  <w:r>
                    <w:t>处理效率</w:t>
                  </w:r>
                </w:p>
              </w:tc>
              <w:tc>
                <w:tcPr>
                  <w:tcW w:w="1437" w:type="dxa"/>
                  <w:vAlign w:val="center"/>
                </w:tcPr>
                <w:p>
                  <w:pPr>
                    <w:pStyle w:val="22"/>
                  </w:pPr>
                  <w:r>
                    <w:t>排放浓度</w:t>
                  </w:r>
                </w:p>
              </w:tc>
              <w:tc>
                <w:tcPr>
                  <w:tcW w:w="1083" w:type="dxa"/>
                  <w:vAlign w:val="center"/>
                </w:tcPr>
                <w:p>
                  <w:pPr>
                    <w:pStyle w:val="22"/>
                  </w:pPr>
                  <w:r>
                    <w:t>排放速率</w:t>
                  </w:r>
                </w:p>
              </w:tc>
              <w:tc>
                <w:tcPr>
                  <w:tcW w:w="914" w:type="dxa"/>
                  <w:vAlign w:val="center"/>
                </w:tcPr>
                <w:p>
                  <w:pPr>
                    <w:pStyle w:val="22"/>
                  </w:pPr>
                  <w:r>
                    <w:t>持续时间min</w:t>
                  </w:r>
                </w:p>
              </w:tc>
              <w:tc>
                <w:tcPr>
                  <w:tcW w:w="791" w:type="dxa"/>
                  <w:vAlign w:val="center"/>
                </w:tcPr>
                <w:p>
                  <w:pPr>
                    <w:pStyle w:val="22"/>
                  </w:pPr>
                  <w:r>
                    <w:t>频次</w:t>
                  </w:r>
                </w:p>
              </w:tc>
            </w:tr>
            <w:tr>
              <w:trPr>
                <w:trHeight w:val="90" w:hRule="atLeast"/>
                <w:jc w:val="center"/>
              </w:trPr>
              <w:tc>
                <w:tcPr>
                  <w:tcW w:w="749" w:type="dxa"/>
                  <w:vAlign w:val="center"/>
                </w:tcPr>
                <w:p>
                  <w:pPr>
                    <w:pStyle w:val="22"/>
                  </w:pPr>
                  <w:r>
                    <w:rPr>
                      <w:rFonts w:hint="eastAsia"/>
                    </w:rPr>
                    <w:t>热力单元</w:t>
                  </w:r>
                </w:p>
              </w:tc>
              <w:tc>
                <w:tcPr>
                  <w:tcW w:w="868" w:type="dxa"/>
                  <w:vAlign w:val="center"/>
                </w:tcPr>
                <w:p>
                  <w:pPr>
                    <w:pStyle w:val="22"/>
                  </w:pPr>
                  <w:r>
                    <w:t>生物质锅炉</w:t>
                  </w:r>
                </w:p>
              </w:tc>
              <w:tc>
                <w:tcPr>
                  <w:tcW w:w="738" w:type="dxa"/>
                  <w:vAlign w:val="center"/>
                </w:tcPr>
                <w:p>
                  <w:pPr>
                    <w:widowControl/>
                    <w:jc w:val="center"/>
                    <w:textAlignment w:val="center"/>
                    <w:rPr>
                      <w:szCs w:val="21"/>
                    </w:rPr>
                  </w:pPr>
                  <w:r>
                    <w:rPr>
                      <w:szCs w:val="21"/>
                    </w:rPr>
                    <w:t>颗粒物</w:t>
                  </w:r>
                </w:p>
              </w:tc>
              <w:tc>
                <w:tcPr>
                  <w:tcW w:w="2224" w:type="dxa"/>
                  <w:vAlign w:val="center"/>
                </w:tcPr>
                <w:p>
                  <w:pPr>
                    <w:widowControl/>
                    <w:jc w:val="center"/>
                    <w:rPr>
                      <w:szCs w:val="21"/>
                    </w:rPr>
                  </w:pPr>
                  <w:r>
                    <w:rPr>
                      <w:szCs w:val="21"/>
                    </w:rPr>
                    <w:t>布袋除尘器破损，处理效率</w:t>
                  </w:r>
                  <w:r>
                    <w:rPr>
                      <w:rFonts w:hint="eastAsia"/>
                      <w:szCs w:val="21"/>
                    </w:rPr>
                    <w:t>失效</w:t>
                  </w:r>
                </w:p>
              </w:tc>
              <w:tc>
                <w:tcPr>
                  <w:tcW w:w="1437" w:type="dxa"/>
                  <w:vAlign w:val="center"/>
                </w:tcPr>
                <w:p>
                  <w:pPr>
                    <w:widowControl/>
                    <w:adjustRightInd w:val="0"/>
                    <w:snapToGrid w:val="0"/>
                    <w:jc w:val="center"/>
                    <w:rPr>
                      <w:szCs w:val="21"/>
                    </w:rPr>
                  </w:pPr>
                  <w:r>
                    <w:rPr>
                      <w:rFonts w:hint="eastAsia"/>
                      <w:szCs w:val="21"/>
                    </w:rPr>
                    <w:t>954</w:t>
                  </w:r>
                  <w:r>
                    <w:rPr>
                      <w:szCs w:val="21"/>
                    </w:rPr>
                    <w:t>mg/m</w:t>
                  </w:r>
                  <w:r>
                    <w:rPr>
                      <w:szCs w:val="21"/>
                      <w:vertAlign w:val="superscript"/>
                    </w:rPr>
                    <w:t>3</w:t>
                  </w:r>
                </w:p>
              </w:tc>
              <w:tc>
                <w:tcPr>
                  <w:tcW w:w="1083" w:type="dxa"/>
                  <w:vAlign w:val="center"/>
                </w:tcPr>
                <w:p>
                  <w:pPr>
                    <w:pStyle w:val="22"/>
                  </w:pPr>
                  <w:r>
                    <w:rPr>
                      <w:rFonts w:hint="eastAsia"/>
                    </w:rPr>
                    <w:t>2.08</w:t>
                  </w:r>
                  <w:r>
                    <w:t>kg/h</w:t>
                  </w:r>
                </w:p>
              </w:tc>
              <w:tc>
                <w:tcPr>
                  <w:tcW w:w="914" w:type="dxa"/>
                  <w:vAlign w:val="center"/>
                </w:tcPr>
                <w:p>
                  <w:pPr>
                    <w:pStyle w:val="22"/>
                  </w:pPr>
                  <w:r>
                    <w:t>≤30</w:t>
                  </w:r>
                </w:p>
              </w:tc>
              <w:tc>
                <w:tcPr>
                  <w:tcW w:w="791" w:type="dxa"/>
                  <w:vAlign w:val="center"/>
                </w:tcPr>
                <w:p>
                  <w:pPr>
                    <w:pStyle w:val="22"/>
                  </w:pPr>
                  <w:r>
                    <w:t>1次/采暖期</w:t>
                  </w:r>
                </w:p>
              </w:tc>
            </w:tr>
          </w:tbl>
          <w:p>
            <w:pPr>
              <w:spacing w:line="360" w:lineRule="auto"/>
              <w:ind w:firstLine="480" w:firstLineChars="200"/>
              <w:rPr>
                <w:sz w:val="24"/>
              </w:rPr>
            </w:pPr>
            <w:r>
              <w:rPr>
                <w:sz w:val="24"/>
              </w:rPr>
              <w:t>控制措施：加强除尘设备巡检，消除设备隐患，保证正常运行。布袋除尘器应安装差压计，及时更换布袋除尘器滤袋，保证滤袋完整无破损。如临时污染防治设施故障，要立即抢修，及时停止锅炉燃烧，避免事故状态下废气影响环境；在平时日常生产过程中应加强生产设备和环保设施的维护及检修，避免治理措施发生故障导致的异常排放。</w:t>
            </w:r>
          </w:p>
          <w:p>
            <w:pPr>
              <w:pStyle w:val="9"/>
              <w:ind w:firstLine="482"/>
              <w:rPr>
                <w:rFonts w:cs="Times New Roman"/>
                <w:b/>
                <w:bCs/>
              </w:rPr>
            </w:pPr>
            <w:r>
              <w:rPr>
                <w:rFonts w:cs="Times New Roman"/>
                <w:b/>
                <w:bCs/>
              </w:rPr>
              <w:t>2</w:t>
            </w:r>
            <w:r>
              <w:rPr>
                <w:rFonts w:hint="eastAsia" w:cs="Times New Roman"/>
                <w:b/>
                <w:bCs/>
              </w:rPr>
              <w:t>、</w:t>
            </w:r>
            <w:r>
              <w:rPr>
                <w:rFonts w:cs="Times New Roman"/>
                <w:b/>
                <w:bCs/>
              </w:rPr>
              <w:t>废水</w:t>
            </w:r>
          </w:p>
          <w:p>
            <w:pPr>
              <w:pStyle w:val="9"/>
              <w:ind w:firstLine="480"/>
              <w:rPr>
                <w:rFonts w:cs="Times New Roman"/>
              </w:rPr>
            </w:pPr>
            <w:r>
              <w:rPr>
                <w:rFonts w:cs="Times New Roman"/>
              </w:rPr>
              <w:t>本项目废水主要为锅炉排污水，锅炉排污水量为</w:t>
            </w:r>
            <w:r>
              <w:rPr>
                <w:rFonts w:hint="eastAsia"/>
                <w:bCs/>
              </w:rPr>
              <w:t>0.1</w:t>
            </w:r>
            <w:r>
              <w:t>m</w:t>
            </w:r>
            <w:r>
              <w:rPr>
                <w:vertAlign w:val="superscript"/>
              </w:rPr>
              <w:t>3</w:t>
            </w:r>
            <w:r>
              <w:t>/</w:t>
            </w:r>
            <w:r>
              <w:rPr>
                <w:rFonts w:hint="eastAsia"/>
              </w:rPr>
              <w:t>d</w:t>
            </w:r>
            <w:r>
              <w:rPr>
                <w:bCs/>
              </w:rPr>
              <w:t>（</w:t>
            </w:r>
            <w:r>
              <w:rPr>
                <w:rFonts w:hint="eastAsia"/>
                <w:bCs/>
              </w:rPr>
              <w:t>31.9</w:t>
            </w:r>
            <w:r>
              <w:t>m</w:t>
            </w:r>
            <w:r>
              <w:rPr>
                <w:vertAlign w:val="superscript"/>
              </w:rPr>
              <w:t>3</w:t>
            </w:r>
            <w:r>
              <w:t>/a</w:t>
            </w:r>
            <w:r>
              <w:rPr>
                <w:bCs/>
              </w:rPr>
              <w:t>）</w:t>
            </w:r>
            <w:r>
              <w:rPr>
                <w:rFonts w:cs="Times New Roman"/>
              </w:rPr>
              <w:t>，锅炉排污水</w:t>
            </w:r>
            <w:r>
              <w:rPr>
                <w:rFonts w:hint="eastAsia" w:cs="Times New Roman"/>
              </w:rPr>
              <w:t>属于清洁下水，用于厂区地面洒水降尘，不外排</w:t>
            </w:r>
            <w:r>
              <w:rPr>
                <w:rFonts w:cs="Times New Roman"/>
              </w:rPr>
              <w:t>。</w:t>
            </w:r>
          </w:p>
          <w:p>
            <w:pPr>
              <w:pStyle w:val="9"/>
              <w:ind w:firstLine="480"/>
              <w:rPr>
                <w:rFonts w:cs="Times New Roman"/>
              </w:rPr>
            </w:pPr>
            <w:r>
              <w:rPr>
                <w:rFonts w:eastAsia="宋体"/>
                <w:color w:val="000000"/>
              </w:rPr>
              <w:t>本项目</w:t>
            </w:r>
            <w:r>
              <w:rPr>
                <w:rFonts w:hint="eastAsia" w:eastAsia="宋体"/>
                <w:color w:val="000000"/>
              </w:rPr>
              <w:t>不新增劳动定员，全部依托现有工作人员，</w:t>
            </w:r>
            <w:r>
              <w:rPr>
                <w:lang w:val="zh-CN"/>
              </w:rPr>
              <w:t>生活污</w:t>
            </w:r>
            <w:r>
              <w:rPr>
                <w:rFonts w:hint="eastAsia"/>
                <w:lang w:val="zh-CN"/>
              </w:rPr>
              <w:t>水排入</w:t>
            </w:r>
            <w:r>
              <w:rPr>
                <w:szCs w:val="22"/>
              </w:rPr>
              <w:t>防渗旱厕，定期清掏用作农家肥</w:t>
            </w:r>
            <w:r>
              <w:t>，不会对地表水环境造成影响。</w:t>
            </w:r>
          </w:p>
          <w:p>
            <w:pPr>
              <w:spacing w:line="360" w:lineRule="auto"/>
              <w:ind w:firstLine="480" w:firstLineChars="200"/>
              <w:rPr>
                <w:color w:val="000000"/>
                <w:sz w:val="24"/>
              </w:rPr>
            </w:pPr>
            <w:r>
              <w:rPr>
                <w:color w:val="000000"/>
                <w:sz w:val="24"/>
              </w:rPr>
              <w:t>运营期废水污染防治措施：</w:t>
            </w:r>
          </w:p>
          <w:p>
            <w:pPr>
              <w:spacing w:line="360" w:lineRule="auto"/>
              <w:ind w:firstLine="480" w:firstLineChars="200"/>
              <w:rPr>
                <w:color w:val="000000"/>
                <w:sz w:val="24"/>
              </w:rPr>
            </w:pPr>
            <w:r>
              <w:rPr>
                <w:color w:val="000000"/>
                <w:sz w:val="24"/>
              </w:rPr>
              <w:t>项目废水不外排，严格把控工作人员的日常行为，避免对项目所在地的水体造成污染。只要企业在生产管理和污水排放这方面严格管控，企业产生的污染对地下水和地表水环境污染较小。</w:t>
            </w:r>
          </w:p>
          <w:p>
            <w:pPr>
              <w:pStyle w:val="9"/>
              <w:ind w:firstLine="482"/>
              <w:rPr>
                <w:rFonts w:cs="Times New Roman"/>
                <w:b/>
                <w:bCs/>
                <w:u w:val="single"/>
              </w:rPr>
            </w:pPr>
            <w:r>
              <w:rPr>
                <w:rFonts w:cs="Times New Roman"/>
                <w:b/>
                <w:bCs/>
                <w:u w:val="single"/>
              </w:rPr>
              <w:t>3、噪声</w:t>
            </w:r>
          </w:p>
          <w:p>
            <w:pPr>
              <w:pStyle w:val="9"/>
              <w:ind w:firstLine="482"/>
              <w:rPr>
                <w:rFonts w:cs="Times New Roman"/>
                <w:b/>
                <w:bCs/>
                <w:szCs w:val="21"/>
                <w:u w:val="single"/>
              </w:rPr>
            </w:pPr>
            <w:r>
              <w:rPr>
                <w:rFonts w:hint="eastAsia" w:cs="Times New Roman"/>
                <w:b/>
                <w:bCs/>
                <w:szCs w:val="21"/>
                <w:u w:val="single"/>
              </w:rPr>
              <w:t>（1）</w:t>
            </w:r>
            <w:r>
              <w:rPr>
                <w:rFonts w:cs="Times New Roman"/>
                <w:b/>
                <w:bCs/>
                <w:szCs w:val="21"/>
                <w:u w:val="single"/>
              </w:rPr>
              <w:t>主要噪声源</w:t>
            </w:r>
          </w:p>
          <w:p>
            <w:pPr>
              <w:pStyle w:val="9"/>
              <w:ind w:firstLine="480"/>
              <w:rPr>
                <w:rFonts w:cs="Times New Roman"/>
                <w:szCs w:val="21"/>
                <w:u w:val="single"/>
              </w:rPr>
            </w:pPr>
            <w:r>
              <w:rPr>
                <w:rFonts w:cs="Times New Roman"/>
                <w:szCs w:val="21"/>
                <w:u w:val="single"/>
              </w:rPr>
              <w:t>项目运营期主要噪声源为</w:t>
            </w:r>
            <w:r>
              <w:rPr>
                <w:rFonts w:hint="eastAsia" w:cs="Times New Roman"/>
                <w:szCs w:val="21"/>
                <w:u w:val="single"/>
              </w:rPr>
              <w:t>上料机、</w:t>
            </w:r>
            <w:r>
              <w:rPr>
                <w:rFonts w:cs="Times New Roman"/>
                <w:szCs w:val="21"/>
                <w:u w:val="single"/>
              </w:rPr>
              <w:t>除灰渣机、引风机等，类比同类项目，</w:t>
            </w:r>
            <w:r>
              <w:rPr>
                <w:rFonts w:hint="eastAsia" w:cs="Times New Roman"/>
                <w:szCs w:val="21"/>
                <w:u w:val="single"/>
              </w:rPr>
              <w:t>预测过程中，在预测室内噪声源对室外影响时，建筑物的隔声量按照北方一般建筑材料对待，在本次预测中，建筑物隔声取值15dB（A），</w:t>
            </w:r>
            <w:r>
              <w:rPr>
                <w:rFonts w:cs="Times New Roman"/>
                <w:szCs w:val="21"/>
                <w:u w:val="single"/>
              </w:rPr>
              <w:t>项目主要噪声设备噪声源强情况详见下表</w:t>
            </w:r>
            <w:r>
              <w:rPr>
                <w:rFonts w:hint="eastAsia" w:cs="Times New Roman"/>
                <w:szCs w:val="21"/>
                <w:u w:val="single"/>
              </w:rPr>
              <w:t>。</w:t>
            </w:r>
          </w:p>
          <w:p>
            <w:pPr>
              <w:pStyle w:val="25"/>
              <w:numPr>
                <w:ilvl w:val="0"/>
                <w:numId w:val="0"/>
              </w:numPr>
              <w:ind w:firstLine="284"/>
              <w:rPr>
                <w:b w:val="0"/>
                <w:bCs/>
                <w:u w:val="single"/>
                <w:lang w:val="zh-CN"/>
              </w:rPr>
            </w:pPr>
            <w:r>
              <w:rPr>
                <w:rFonts w:ascii="Times New Roman" w:hAnsi="Times New Roman"/>
                <w:b w:val="0"/>
                <w:bCs/>
                <w:u w:val="single"/>
                <w:lang w:val="zh-CN"/>
              </w:rPr>
              <w:t>表</w:t>
            </w:r>
            <w:r>
              <w:rPr>
                <w:rFonts w:hint="eastAsia" w:ascii="Times New Roman" w:hAnsi="Times New Roman"/>
                <w:b w:val="0"/>
                <w:bCs/>
                <w:u w:val="single"/>
              </w:rPr>
              <w:t xml:space="preserve">39  </w:t>
            </w:r>
            <w:r>
              <w:rPr>
                <w:b w:val="0"/>
                <w:bCs/>
                <w:u w:val="single"/>
                <w:lang w:val="zh-CN"/>
              </w:rPr>
              <w:t>主要噪声产生、治理情况表</w:t>
            </w:r>
          </w:p>
          <w:tbl>
            <w:tblPr>
              <w:tblW w:w="8798" w:type="dxa"/>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7" w:type="dxa"/>
                <w:left w:w="17" w:type="dxa"/>
                <w:bottom w:w="17" w:type="dxa"/>
                <w:right w:w="17" w:type="dxa"/>
              </w:tblCellMar>
            </w:tblPr>
            <w:tblGrid>
              <w:gridCol w:w="415"/>
              <w:gridCol w:w="1011"/>
              <w:gridCol w:w="605"/>
              <w:gridCol w:w="538"/>
              <w:gridCol w:w="771"/>
              <w:gridCol w:w="618"/>
              <w:gridCol w:w="519"/>
              <w:gridCol w:w="567"/>
              <w:gridCol w:w="540"/>
              <w:gridCol w:w="528"/>
              <w:gridCol w:w="611"/>
              <w:gridCol w:w="690"/>
              <w:gridCol w:w="690"/>
              <w:gridCol w:w="695"/>
            </w:tblGrid>
            <w:tr>
              <w:trPr>
                <w:trHeight w:val="340" w:hRule="atLeast"/>
                <w:jc w:val="center"/>
              </w:trPr>
              <w:tc>
                <w:tcPr>
                  <w:tcW w:w="415" w:type="dxa"/>
                  <w:vMerge w:val="restart"/>
                  <w:tcBorders>
                    <w:tl2br w:val="nil"/>
                    <w:tr2bl w:val="nil"/>
                  </w:tcBorders>
                  <w:vAlign w:val="center"/>
                </w:tcPr>
                <w:p>
                  <w:pPr>
                    <w:widowControl/>
                    <w:jc w:val="center"/>
                    <w:textAlignment w:val="center"/>
                    <w:rPr>
                      <w:szCs w:val="21"/>
                      <w:u w:val="single"/>
                    </w:rPr>
                  </w:pPr>
                  <w:r>
                    <w:rPr>
                      <w:szCs w:val="21"/>
                      <w:u w:val="single"/>
                    </w:rPr>
                    <w:t>建筑物名称</w:t>
                  </w:r>
                </w:p>
              </w:tc>
              <w:tc>
                <w:tcPr>
                  <w:tcW w:w="1011" w:type="dxa"/>
                  <w:vMerge w:val="restart"/>
                  <w:tcBorders>
                    <w:tl2br w:val="nil"/>
                    <w:tr2bl w:val="nil"/>
                  </w:tcBorders>
                  <w:vAlign w:val="center"/>
                </w:tcPr>
                <w:p>
                  <w:pPr>
                    <w:widowControl/>
                    <w:jc w:val="center"/>
                    <w:textAlignment w:val="center"/>
                    <w:rPr>
                      <w:szCs w:val="21"/>
                      <w:u w:val="single"/>
                    </w:rPr>
                  </w:pPr>
                  <w:r>
                    <w:rPr>
                      <w:szCs w:val="21"/>
                      <w:u w:val="single"/>
                    </w:rPr>
                    <w:t>声源名称</w:t>
                  </w:r>
                </w:p>
              </w:tc>
              <w:tc>
                <w:tcPr>
                  <w:tcW w:w="605" w:type="dxa"/>
                  <w:vMerge w:val="restart"/>
                  <w:tcBorders>
                    <w:tl2br w:val="nil"/>
                    <w:tr2bl w:val="nil"/>
                  </w:tcBorders>
                  <w:vAlign w:val="center"/>
                </w:tcPr>
                <w:p>
                  <w:pPr>
                    <w:widowControl/>
                    <w:jc w:val="center"/>
                    <w:textAlignment w:val="center"/>
                    <w:rPr>
                      <w:szCs w:val="21"/>
                      <w:u w:val="single"/>
                    </w:rPr>
                  </w:pPr>
                  <w:r>
                    <w:rPr>
                      <w:szCs w:val="21"/>
                      <w:u w:val="single"/>
                    </w:rPr>
                    <w:t>型号</w:t>
                  </w:r>
                </w:p>
              </w:tc>
              <w:tc>
                <w:tcPr>
                  <w:tcW w:w="538" w:type="dxa"/>
                  <w:vMerge w:val="restart"/>
                  <w:tcBorders>
                    <w:tl2br w:val="nil"/>
                    <w:tr2bl w:val="nil"/>
                  </w:tcBorders>
                  <w:vAlign w:val="center"/>
                </w:tcPr>
                <w:p>
                  <w:pPr>
                    <w:widowControl/>
                    <w:jc w:val="center"/>
                    <w:textAlignment w:val="center"/>
                    <w:rPr>
                      <w:szCs w:val="21"/>
                      <w:u w:val="single"/>
                    </w:rPr>
                  </w:pPr>
                  <w:r>
                    <w:rPr>
                      <w:szCs w:val="21"/>
                      <w:u w:val="single"/>
                    </w:rPr>
                    <w:t>声源源强</w:t>
                  </w:r>
                </w:p>
              </w:tc>
              <w:tc>
                <w:tcPr>
                  <w:tcW w:w="771" w:type="dxa"/>
                  <w:vMerge w:val="restart"/>
                  <w:tcBorders>
                    <w:tl2br w:val="nil"/>
                    <w:tr2bl w:val="nil"/>
                  </w:tcBorders>
                  <w:vAlign w:val="center"/>
                </w:tcPr>
                <w:p>
                  <w:pPr>
                    <w:widowControl/>
                    <w:jc w:val="center"/>
                    <w:textAlignment w:val="center"/>
                    <w:rPr>
                      <w:szCs w:val="21"/>
                      <w:u w:val="single"/>
                    </w:rPr>
                  </w:pPr>
                  <w:r>
                    <w:rPr>
                      <w:szCs w:val="21"/>
                      <w:u w:val="single"/>
                    </w:rPr>
                    <w:t>声源控制措施</w:t>
                  </w:r>
                </w:p>
              </w:tc>
              <w:tc>
                <w:tcPr>
                  <w:tcW w:w="1704" w:type="dxa"/>
                  <w:gridSpan w:val="3"/>
                  <w:tcBorders>
                    <w:tl2br w:val="nil"/>
                    <w:tr2bl w:val="nil"/>
                  </w:tcBorders>
                  <w:vAlign w:val="center"/>
                </w:tcPr>
                <w:p>
                  <w:pPr>
                    <w:widowControl/>
                    <w:jc w:val="center"/>
                    <w:textAlignment w:val="center"/>
                    <w:rPr>
                      <w:szCs w:val="21"/>
                      <w:u w:val="single"/>
                    </w:rPr>
                  </w:pPr>
                  <w:r>
                    <w:rPr>
                      <w:szCs w:val="21"/>
                      <w:u w:val="single"/>
                    </w:rPr>
                    <w:t>空间相对位置/m</w:t>
                  </w:r>
                </w:p>
              </w:tc>
              <w:tc>
                <w:tcPr>
                  <w:tcW w:w="540" w:type="dxa"/>
                  <w:vMerge w:val="restart"/>
                  <w:tcBorders>
                    <w:tl2br w:val="nil"/>
                    <w:tr2bl w:val="nil"/>
                  </w:tcBorders>
                  <w:vAlign w:val="center"/>
                </w:tcPr>
                <w:p>
                  <w:pPr>
                    <w:widowControl/>
                    <w:jc w:val="center"/>
                    <w:textAlignment w:val="center"/>
                    <w:rPr>
                      <w:szCs w:val="21"/>
                      <w:u w:val="single"/>
                    </w:rPr>
                  </w:pPr>
                  <w:r>
                    <w:rPr>
                      <w:szCs w:val="21"/>
                      <w:u w:val="single"/>
                    </w:rPr>
                    <w:t>距室内边界距离</w:t>
                  </w:r>
                </w:p>
              </w:tc>
              <w:tc>
                <w:tcPr>
                  <w:tcW w:w="528" w:type="dxa"/>
                  <w:vMerge w:val="restart"/>
                  <w:tcBorders>
                    <w:tl2br w:val="nil"/>
                    <w:tr2bl w:val="nil"/>
                  </w:tcBorders>
                  <w:vAlign w:val="center"/>
                </w:tcPr>
                <w:p>
                  <w:pPr>
                    <w:widowControl/>
                    <w:jc w:val="center"/>
                    <w:textAlignment w:val="center"/>
                    <w:rPr>
                      <w:szCs w:val="21"/>
                      <w:u w:val="single"/>
                    </w:rPr>
                  </w:pPr>
                  <w:r>
                    <w:rPr>
                      <w:szCs w:val="21"/>
                      <w:u w:val="single"/>
                    </w:rPr>
                    <w:t>室内边界声级</w:t>
                  </w:r>
                </w:p>
              </w:tc>
              <w:tc>
                <w:tcPr>
                  <w:tcW w:w="611" w:type="dxa"/>
                  <w:vMerge w:val="restart"/>
                  <w:tcBorders>
                    <w:tl2br w:val="nil"/>
                    <w:tr2bl w:val="nil"/>
                  </w:tcBorders>
                  <w:vAlign w:val="center"/>
                </w:tcPr>
                <w:p>
                  <w:pPr>
                    <w:widowControl/>
                    <w:jc w:val="center"/>
                    <w:textAlignment w:val="center"/>
                    <w:rPr>
                      <w:szCs w:val="21"/>
                      <w:u w:val="single"/>
                    </w:rPr>
                  </w:pPr>
                  <w:r>
                    <w:rPr>
                      <w:szCs w:val="21"/>
                      <w:u w:val="single"/>
                    </w:rPr>
                    <w:t>运行时段（h）</w:t>
                  </w:r>
                </w:p>
              </w:tc>
              <w:tc>
                <w:tcPr>
                  <w:tcW w:w="690" w:type="dxa"/>
                  <w:vMerge w:val="restart"/>
                  <w:tcBorders>
                    <w:tl2br w:val="nil"/>
                    <w:tr2bl w:val="nil"/>
                  </w:tcBorders>
                  <w:vAlign w:val="center"/>
                </w:tcPr>
                <w:p>
                  <w:pPr>
                    <w:widowControl/>
                    <w:jc w:val="center"/>
                    <w:textAlignment w:val="center"/>
                    <w:rPr>
                      <w:szCs w:val="21"/>
                      <w:u w:val="single"/>
                    </w:rPr>
                  </w:pPr>
                  <w:r>
                    <w:rPr>
                      <w:szCs w:val="21"/>
                      <w:u w:val="single"/>
                    </w:rPr>
                    <w:t>建筑物插入损失dB（A）</w:t>
                  </w:r>
                </w:p>
              </w:tc>
              <w:tc>
                <w:tcPr>
                  <w:tcW w:w="1385" w:type="dxa"/>
                  <w:gridSpan w:val="2"/>
                  <w:tcBorders>
                    <w:tl2br w:val="nil"/>
                    <w:tr2bl w:val="nil"/>
                  </w:tcBorders>
                  <w:vAlign w:val="center"/>
                </w:tcPr>
                <w:p>
                  <w:pPr>
                    <w:widowControl/>
                    <w:jc w:val="center"/>
                    <w:textAlignment w:val="center"/>
                    <w:rPr>
                      <w:szCs w:val="21"/>
                      <w:u w:val="single"/>
                    </w:rPr>
                  </w:pPr>
                  <w:r>
                    <w:rPr>
                      <w:szCs w:val="21"/>
                      <w:u w:val="single"/>
                    </w:rPr>
                    <w:t>建筑物外噪声</w:t>
                  </w:r>
                </w:p>
              </w:tc>
            </w:tr>
            <w:tr>
              <w:trPr>
                <w:trHeight w:val="340" w:hRule="atLeast"/>
                <w:jc w:val="center"/>
              </w:trPr>
              <w:tc>
                <w:tcPr>
                  <w:tcW w:w="415" w:type="dxa"/>
                  <w:vMerge w:val="continue"/>
                  <w:tcBorders>
                    <w:tl2br w:val="nil"/>
                    <w:tr2bl w:val="nil"/>
                  </w:tcBorders>
                  <w:vAlign w:val="center"/>
                </w:tcPr>
                <w:p>
                  <w:pPr>
                    <w:widowControl/>
                    <w:jc w:val="center"/>
                    <w:textAlignment w:val="center"/>
                    <w:rPr>
                      <w:szCs w:val="21"/>
                      <w:u w:val="single"/>
                    </w:rPr>
                  </w:pPr>
                </w:p>
              </w:tc>
              <w:tc>
                <w:tcPr>
                  <w:tcW w:w="1011" w:type="dxa"/>
                  <w:vMerge w:val="continue"/>
                  <w:tcBorders>
                    <w:tl2br w:val="nil"/>
                    <w:tr2bl w:val="nil"/>
                  </w:tcBorders>
                  <w:vAlign w:val="center"/>
                </w:tcPr>
                <w:p>
                  <w:pPr>
                    <w:widowControl/>
                    <w:jc w:val="center"/>
                    <w:textAlignment w:val="center"/>
                    <w:rPr>
                      <w:szCs w:val="21"/>
                      <w:u w:val="single"/>
                    </w:rPr>
                  </w:pPr>
                </w:p>
              </w:tc>
              <w:tc>
                <w:tcPr>
                  <w:tcW w:w="605" w:type="dxa"/>
                  <w:vMerge w:val="continue"/>
                  <w:tcBorders>
                    <w:tl2br w:val="nil"/>
                    <w:tr2bl w:val="nil"/>
                  </w:tcBorders>
                  <w:vAlign w:val="center"/>
                </w:tcPr>
                <w:p>
                  <w:pPr>
                    <w:widowControl/>
                    <w:jc w:val="center"/>
                    <w:textAlignment w:val="center"/>
                    <w:rPr>
                      <w:szCs w:val="21"/>
                      <w:u w:val="single"/>
                    </w:rPr>
                  </w:pPr>
                </w:p>
              </w:tc>
              <w:tc>
                <w:tcPr>
                  <w:tcW w:w="538" w:type="dxa"/>
                  <w:vMerge w:val="continue"/>
                  <w:tcBorders>
                    <w:tl2br w:val="nil"/>
                    <w:tr2bl w:val="nil"/>
                  </w:tcBorders>
                  <w:vAlign w:val="center"/>
                </w:tcPr>
                <w:p>
                  <w:pPr>
                    <w:widowControl/>
                    <w:jc w:val="center"/>
                    <w:textAlignment w:val="center"/>
                    <w:rPr>
                      <w:szCs w:val="21"/>
                      <w:u w:val="single"/>
                    </w:rPr>
                  </w:pPr>
                </w:p>
              </w:tc>
              <w:tc>
                <w:tcPr>
                  <w:tcW w:w="771" w:type="dxa"/>
                  <w:vMerge w:val="continue"/>
                  <w:tcBorders>
                    <w:tl2br w:val="nil"/>
                    <w:tr2bl w:val="nil"/>
                  </w:tcBorders>
                  <w:vAlign w:val="center"/>
                </w:tcPr>
                <w:p>
                  <w:pPr>
                    <w:widowControl/>
                    <w:jc w:val="center"/>
                    <w:textAlignment w:val="center"/>
                    <w:rPr>
                      <w:szCs w:val="21"/>
                      <w:u w:val="single"/>
                    </w:rPr>
                  </w:pPr>
                </w:p>
              </w:tc>
              <w:tc>
                <w:tcPr>
                  <w:tcW w:w="618" w:type="dxa"/>
                  <w:tcBorders>
                    <w:tl2br w:val="nil"/>
                    <w:tr2bl w:val="nil"/>
                  </w:tcBorders>
                  <w:vAlign w:val="center"/>
                </w:tcPr>
                <w:p>
                  <w:pPr>
                    <w:widowControl/>
                    <w:jc w:val="center"/>
                    <w:textAlignment w:val="center"/>
                    <w:rPr>
                      <w:szCs w:val="21"/>
                      <w:u w:val="single"/>
                    </w:rPr>
                  </w:pPr>
                  <w:r>
                    <w:rPr>
                      <w:szCs w:val="21"/>
                      <w:u w:val="single"/>
                    </w:rPr>
                    <w:t>X</w:t>
                  </w:r>
                </w:p>
              </w:tc>
              <w:tc>
                <w:tcPr>
                  <w:tcW w:w="519" w:type="dxa"/>
                  <w:tcBorders>
                    <w:tl2br w:val="nil"/>
                    <w:tr2bl w:val="nil"/>
                  </w:tcBorders>
                  <w:vAlign w:val="center"/>
                </w:tcPr>
                <w:p>
                  <w:pPr>
                    <w:widowControl/>
                    <w:jc w:val="center"/>
                    <w:textAlignment w:val="center"/>
                    <w:rPr>
                      <w:szCs w:val="21"/>
                      <w:u w:val="single"/>
                    </w:rPr>
                  </w:pPr>
                  <w:r>
                    <w:rPr>
                      <w:szCs w:val="21"/>
                      <w:u w:val="single"/>
                    </w:rPr>
                    <w:t>Y</w:t>
                  </w:r>
                </w:p>
              </w:tc>
              <w:tc>
                <w:tcPr>
                  <w:tcW w:w="567" w:type="dxa"/>
                  <w:tcBorders>
                    <w:tl2br w:val="nil"/>
                    <w:tr2bl w:val="nil"/>
                  </w:tcBorders>
                  <w:vAlign w:val="center"/>
                </w:tcPr>
                <w:p>
                  <w:pPr>
                    <w:widowControl/>
                    <w:jc w:val="center"/>
                    <w:textAlignment w:val="center"/>
                    <w:rPr>
                      <w:szCs w:val="21"/>
                      <w:u w:val="single"/>
                    </w:rPr>
                  </w:pPr>
                  <w:r>
                    <w:rPr>
                      <w:szCs w:val="21"/>
                      <w:u w:val="single"/>
                    </w:rPr>
                    <w:t>Z</w:t>
                  </w:r>
                </w:p>
              </w:tc>
              <w:tc>
                <w:tcPr>
                  <w:tcW w:w="540" w:type="dxa"/>
                  <w:vMerge w:val="continue"/>
                  <w:tcBorders>
                    <w:tl2br w:val="nil"/>
                    <w:tr2bl w:val="nil"/>
                  </w:tcBorders>
                  <w:vAlign w:val="center"/>
                </w:tcPr>
                <w:p>
                  <w:pPr>
                    <w:widowControl/>
                    <w:jc w:val="center"/>
                    <w:textAlignment w:val="center"/>
                    <w:rPr>
                      <w:szCs w:val="21"/>
                      <w:u w:val="single"/>
                    </w:rPr>
                  </w:pPr>
                </w:p>
              </w:tc>
              <w:tc>
                <w:tcPr>
                  <w:tcW w:w="528" w:type="dxa"/>
                  <w:vMerge w:val="continue"/>
                  <w:tcBorders>
                    <w:tl2br w:val="nil"/>
                    <w:tr2bl w:val="nil"/>
                  </w:tcBorders>
                  <w:vAlign w:val="center"/>
                </w:tcPr>
                <w:p>
                  <w:pPr>
                    <w:widowControl/>
                    <w:jc w:val="center"/>
                    <w:textAlignment w:val="center"/>
                    <w:rPr>
                      <w:szCs w:val="21"/>
                      <w:u w:val="single"/>
                    </w:rPr>
                  </w:pPr>
                </w:p>
              </w:tc>
              <w:tc>
                <w:tcPr>
                  <w:tcW w:w="611" w:type="dxa"/>
                  <w:vMerge w:val="continue"/>
                  <w:tcBorders>
                    <w:tl2br w:val="nil"/>
                    <w:tr2bl w:val="nil"/>
                  </w:tcBorders>
                  <w:vAlign w:val="center"/>
                </w:tcPr>
                <w:p>
                  <w:pPr>
                    <w:widowControl/>
                    <w:jc w:val="center"/>
                    <w:textAlignment w:val="center"/>
                    <w:rPr>
                      <w:szCs w:val="21"/>
                      <w:u w:val="single"/>
                    </w:rPr>
                  </w:pPr>
                </w:p>
              </w:tc>
              <w:tc>
                <w:tcPr>
                  <w:tcW w:w="690" w:type="dxa"/>
                  <w:vMerge w:val="continue"/>
                  <w:tcBorders>
                    <w:tl2br w:val="nil"/>
                    <w:tr2bl w:val="nil"/>
                  </w:tcBorders>
                  <w:vAlign w:val="center"/>
                </w:tcPr>
                <w:p>
                  <w:pPr>
                    <w:widowControl/>
                    <w:jc w:val="center"/>
                    <w:textAlignment w:val="center"/>
                    <w:rPr>
                      <w:szCs w:val="21"/>
                      <w:u w:val="single"/>
                    </w:rPr>
                  </w:pPr>
                </w:p>
              </w:tc>
              <w:tc>
                <w:tcPr>
                  <w:tcW w:w="690" w:type="dxa"/>
                  <w:tcBorders>
                    <w:tl2br w:val="nil"/>
                    <w:tr2bl w:val="nil"/>
                  </w:tcBorders>
                  <w:vAlign w:val="center"/>
                </w:tcPr>
                <w:p>
                  <w:pPr>
                    <w:widowControl/>
                    <w:jc w:val="center"/>
                    <w:textAlignment w:val="center"/>
                    <w:rPr>
                      <w:szCs w:val="21"/>
                      <w:u w:val="single"/>
                    </w:rPr>
                  </w:pPr>
                  <w:r>
                    <w:rPr>
                      <w:szCs w:val="21"/>
                      <w:u w:val="single"/>
                    </w:rPr>
                    <w:t>声压级/dB（A）</w:t>
                  </w:r>
                </w:p>
              </w:tc>
              <w:tc>
                <w:tcPr>
                  <w:tcW w:w="695" w:type="dxa"/>
                  <w:tcBorders>
                    <w:tl2br w:val="nil"/>
                    <w:tr2bl w:val="nil"/>
                  </w:tcBorders>
                  <w:vAlign w:val="center"/>
                </w:tcPr>
                <w:p>
                  <w:pPr>
                    <w:widowControl/>
                    <w:jc w:val="center"/>
                    <w:textAlignment w:val="center"/>
                    <w:rPr>
                      <w:szCs w:val="21"/>
                      <w:u w:val="single"/>
                    </w:rPr>
                  </w:pPr>
                  <w:r>
                    <w:rPr>
                      <w:szCs w:val="21"/>
                      <w:u w:val="single"/>
                    </w:rPr>
                    <w:t>建筑物外距离（m）</w:t>
                  </w:r>
                </w:p>
              </w:tc>
            </w:tr>
            <w:tr>
              <w:trPr>
                <w:trHeight w:val="340" w:hRule="atLeast"/>
                <w:jc w:val="center"/>
              </w:trPr>
              <w:tc>
                <w:tcPr>
                  <w:tcW w:w="415" w:type="dxa"/>
                  <w:vMerge w:val="restart"/>
                  <w:tcBorders>
                    <w:tl2br w:val="nil"/>
                    <w:tr2bl w:val="nil"/>
                  </w:tcBorders>
                  <w:vAlign w:val="center"/>
                </w:tcPr>
                <w:p>
                  <w:pPr>
                    <w:widowControl/>
                    <w:jc w:val="center"/>
                    <w:textAlignment w:val="center"/>
                    <w:rPr>
                      <w:szCs w:val="21"/>
                      <w:u w:val="single"/>
                    </w:rPr>
                  </w:pPr>
                  <w:r>
                    <w:rPr>
                      <w:szCs w:val="21"/>
                      <w:u w:val="single"/>
                    </w:rPr>
                    <w:t>锅炉房</w:t>
                  </w:r>
                </w:p>
              </w:tc>
              <w:tc>
                <w:tcPr>
                  <w:tcW w:w="1011" w:type="dxa"/>
                  <w:tcBorders>
                    <w:tl2br w:val="nil"/>
                    <w:tr2bl w:val="nil"/>
                  </w:tcBorders>
                  <w:vAlign w:val="center"/>
                </w:tcPr>
                <w:p>
                  <w:pPr>
                    <w:jc w:val="center"/>
                    <w:rPr>
                      <w:szCs w:val="21"/>
                      <w:u w:val="single"/>
                    </w:rPr>
                  </w:pPr>
                  <w:r>
                    <w:rPr>
                      <w:szCs w:val="21"/>
                      <w:u w:val="single"/>
                    </w:rPr>
                    <w:t>除灰渣机</w:t>
                  </w:r>
                </w:p>
              </w:tc>
              <w:tc>
                <w:tcPr>
                  <w:tcW w:w="605" w:type="dxa"/>
                  <w:vMerge w:val="restart"/>
                  <w:tcBorders>
                    <w:tl2br w:val="nil"/>
                    <w:tr2bl w:val="nil"/>
                  </w:tcBorders>
                  <w:vAlign w:val="center"/>
                </w:tcPr>
                <w:p>
                  <w:pPr>
                    <w:jc w:val="center"/>
                    <w:rPr>
                      <w:szCs w:val="21"/>
                      <w:u w:val="single"/>
                    </w:rPr>
                  </w:pPr>
                  <w:r>
                    <w:rPr>
                      <w:szCs w:val="21"/>
                      <w:u w:val="single"/>
                    </w:rPr>
                    <w:t>/</w:t>
                  </w:r>
                </w:p>
              </w:tc>
              <w:tc>
                <w:tcPr>
                  <w:tcW w:w="538" w:type="dxa"/>
                  <w:tcBorders>
                    <w:tl2br w:val="nil"/>
                    <w:tr2bl w:val="nil"/>
                  </w:tcBorders>
                  <w:vAlign w:val="center"/>
                </w:tcPr>
                <w:p>
                  <w:pPr>
                    <w:widowControl/>
                    <w:jc w:val="center"/>
                    <w:textAlignment w:val="center"/>
                    <w:rPr>
                      <w:szCs w:val="21"/>
                      <w:u w:val="single"/>
                    </w:rPr>
                  </w:pPr>
                  <w:r>
                    <w:rPr>
                      <w:szCs w:val="21"/>
                      <w:u w:val="single"/>
                    </w:rPr>
                    <w:t>70</w:t>
                  </w:r>
                </w:p>
              </w:tc>
              <w:tc>
                <w:tcPr>
                  <w:tcW w:w="771" w:type="dxa"/>
                  <w:vMerge w:val="restart"/>
                  <w:tcBorders>
                    <w:tl2br w:val="nil"/>
                    <w:tr2bl w:val="nil"/>
                  </w:tcBorders>
                  <w:vAlign w:val="center"/>
                </w:tcPr>
                <w:p>
                  <w:pPr>
                    <w:widowControl/>
                    <w:jc w:val="center"/>
                    <w:textAlignment w:val="center"/>
                    <w:rPr>
                      <w:szCs w:val="21"/>
                      <w:u w:val="single"/>
                    </w:rPr>
                  </w:pPr>
                  <w:r>
                    <w:rPr>
                      <w:szCs w:val="21"/>
                      <w:u w:val="single"/>
                    </w:rPr>
                    <w:t>低噪声设备、室内运行</w:t>
                  </w:r>
                </w:p>
              </w:tc>
              <w:tc>
                <w:tcPr>
                  <w:tcW w:w="618" w:type="dxa"/>
                  <w:tcBorders>
                    <w:tl2br w:val="nil"/>
                    <w:tr2bl w:val="nil"/>
                  </w:tcBorders>
                  <w:vAlign w:val="center"/>
                </w:tcPr>
                <w:p>
                  <w:pPr>
                    <w:widowControl/>
                    <w:jc w:val="center"/>
                    <w:textAlignment w:val="center"/>
                    <w:rPr>
                      <w:szCs w:val="21"/>
                      <w:u w:val="single"/>
                    </w:rPr>
                  </w:pPr>
                  <w:r>
                    <w:rPr>
                      <w:szCs w:val="21"/>
                      <w:u w:val="single"/>
                    </w:rPr>
                    <w:t>4</w:t>
                  </w:r>
                </w:p>
              </w:tc>
              <w:tc>
                <w:tcPr>
                  <w:tcW w:w="519" w:type="dxa"/>
                  <w:tcBorders>
                    <w:tl2br w:val="nil"/>
                    <w:tr2bl w:val="nil"/>
                  </w:tcBorders>
                  <w:vAlign w:val="center"/>
                </w:tcPr>
                <w:p>
                  <w:pPr>
                    <w:widowControl/>
                    <w:jc w:val="center"/>
                    <w:textAlignment w:val="center"/>
                    <w:rPr>
                      <w:szCs w:val="21"/>
                      <w:u w:val="single"/>
                    </w:rPr>
                  </w:pPr>
                  <w:r>
                    <w:rPr>
                      <w:rFonts w:hint="eastAsia"/>
                      <w:szCs w:val="21"/>
                      <w:u w:val="single"/>
                    </w:rPr>
                    <w:t>6</w:t>
                  </w:r>
                </w:p>
              </w:tc>
              <w:tc>
                <w:tcPr>
                  <w:tcW w:w="567" w:type="dxa"/>
                  <w:tcBorders>
                    <w:tl2br w:val="nil"/>
                    <w:tr2bl w:val="nil"/>
                  </w:tcBorders>
                  <w:vAlign w:val="center"/>
                </w:tcPr>
                <w:p>
                  <w:pPr>
                    <w:widowControl/>
                    <w:jc w:val="center"/>
                    <w:textAlignment w:val="center"/>
                    <w:rPr>
                      <w:szCs w:val="21"/>
                      <w:u w:val="single"/>
                    </w:rPr>
                  </w:pPr>
                  <w:r>
                    <w:rPr>
                      <w:szCs w:val="21"/>
                      <w:u w:val="single"/>
                    </w:rPr>
                    <w:t>1</w:t>
                  </w:r>
                </w:p>
              </w:tc>
              <w:tc>
                <w:tcPr>
                  <w:tcW w:w="540" w:type="dxa"/>
                  <w:tcBorders>
                    <w:tl2br w:val="nil"/>
                    <w:tr2bl w:val="nil"/>
                  </w:tcBorders>
                  <w:vAlign w:val="center"/>
                </w:tcPr>
                <w:p>
                  <w:pPr>
                    <w:widowControl/>
                    <w:jc w:val="center"/>
                    <w:textAlignment w:val="center"/>
                    <w:rPr>
                      <w:szCs w:val="21"/>
                      <w:u w:val="single"/>
                    </w:rPr>
                  </w:pPr>
                  <w:r>
                    <w:rPr>
                      <w:rFonts w:hint="eastAsia"/>
                      <w:szCs w:val="21"/>
                      <w:u w:val="single"/>
                    </w:rPr>
                    <w:t>2</w:t>
                  </w:r>
                </w:p>
              </w:tc>
              <w:tc>
                <w:tcPr>
                  <w:tcW w:w="528" w:type="dxa"/>
                  <w:tcBorders>
                    <w:tl2br w:val="nil"/>
                    <w:tr2bl w:val="nil"/>
                  </w:tcBorders>
                  <w:vAlign w:val="center"/>
                </w:tcPr>
                <w:p>
                  <w:pPr>
                    <w:widowControl/>
                    <w:jc w:val="center"/>
                    <w:textAlignment w:val="center"/>
                    <w:rPr>
                      <w:szCs w:val="21"/>
                      <w:u w:val="single"/>
                    </w:rPr>
                  </w:pPr>
                  <w:r>
                    <w:rPr>
                      <w:szCs w:val="21"/>
                      <w:u w:val="single"/>
                    </w:rPr>
                    <w:t>57.96</w:t>
                  </w:r>
                </w:p>
              </w:tc>
              <w:tc>
                <w:tcPr>
                  <w:tcW w:w="611" w:type="dxa"/>
                  <w:vMerge w:val="restart"/>
                  <w:tcBorders>
                    <w:tl2br w:val="nil"/>
                    <w:tr2bl w:val="nil"/>
                  </w:tcBorders>
                  <w:vAlign w:val="center"/>
                </w:tcPr>
                <w:p>
                  <w:pPr>
                    <w:widowControl/>
                    <w:jc w:val="center"/>
                    <w:textAlignment w:val="center"/>
                    <w:rPr>
                      <w:szCs w:val="21"/>
                      <w:u w:val="single"/>
                    </w:rPr>
                  </w:pPr>
                  <w:r>
                    <w:rPr>
                      <w:rFonts w:hint="eastAsia"/>
                      <w:szCs w:val="21"/>
                      <w:u w:val="single"/>
                    </w:rPr>
                    <w:t>11</w:t>
                  </w:r>
                </w:p>
              </w:tc>
              <w:tc>
                <w:tcPr>
                  <w:tcW w:w="690" w:type="dxa"/>
                  <w:tcBorders>
                    <w:tl2br w:val="nil"/>
                    <w:tr2bl w:val="nil"/>
                  </w:tcBorders>
                  <w:vAlign w:val="center"/>
                </w:tcPr>
                <w:p>
                  <w:pPr>
                    <w:widowControl/>
                    <w:jc w:val="center"/>
                    <w:textAlignment w:val="center"/>
                    <w:rPr>
                      <w:szCs w:val="21"/>
                      <w:u w:val="single"/>
                    </w:rPr>
                  </w:pPr>
                  <w:r>
                    <w:rPr>
                      <w:rFonts w:hint="eastAsia"/>
                      <w:szCs w:val="21"/>
                      <w:u w:val="single"/>
                    </w:rPr>
                    <w:t>15</w:t>
                  </w:r>
                </w:p>
              </w:tc>
              <w:tc>
                <w:tcPr>
                  <w:tcW w:w="690" w:type="dxa"/>
                  <w:tcBorders>
                    <w:tl2br w:val="nil"/>
                    <w:tr2bl w:val="nil"/>
                  </w:tcBorders>
                  <w:vAlign w:val="center"/>
                </w:tcPr>
                <w:p>
                  <w:pPr>
                    <w:widowControl/>
                    <w:jc w:val="center"/>
                    <w:textAlignment w:val="center"/>
                    <w:rPr>
                      <w:szCs w:val="21"/>
                      <w:u w:val="single"/>
                    </w:rPr>
                  </w:pPr>
                  <w:r>
                    <w:rPr>
                      <w:rFonts w:hint="eastAsia"/>
                      <w:szCs w:val="21"/>
                      <w:u w:val="single"/>
                    </w:rPr>
                    <w:t>42.96</w:t>
                  </w:r>
                </w:p>
              </w:tc>
              <w:tc>
                <w:tcPr>
                  <w:tcW w:w="695" w:type="dxa"/>
                  <w:tcBorders>
                    <w:tl2br w:val="nil"/>
                    <w:tr2bl w:val="nil"/>
                  </w:tcBorders>
                  <w:vAlign w:val="center"/>
                </w:tcPr>
                <w:p>
                  <w:pPr>
                    <w:widowControl/>
                    <w:jc w:val="center"/>
                    <w:textAlignment w:val="center"/>
                    <w:rPr>
                      <w:szCs w:val="21"/>
                      <w:u w:val="single"/>
                    </w:rPr>
                  </w:pPr>
                  <w:r>
                    <w:rPr>
                      <w:szCs w:val="21"/>
                      <w:u w:val="single"/>
                    </w:rPr>
                    <w:t>1</w:t>
                  </w:r>
                </w:p>
              </w:tc>
            </w:tr>
            <w:tr>
              <w:trPr>
                <w:trHeight w:val="340" w:hRule="atLeast"/>
                <w:jc w:val="center"/>
              </w:trPr>
              <w:tc>
                <w:tcPr>
                  <w:tcW w:w="415" w:type="dxa"/>
                  <w:vMerge w:val="continue"/>
                  <w:tcBorders>
                    <w:tl2br w:val="nil"/>
                    <w:tr2bl w:val="nil"/>
                  </w:tcBorders>
                  <w:vAlign w:val="center"/>
                </w:tcPr>
                <w:p>
                  <w:pPr>
                    <w:widowControl/>
                    <w:jc w:val="center"/>
                    <w:textAlignment w:val="center"/>
                    <w:rPr>
                      <w:szCs w:val="21"/>
                      <w:u w:val="single"/>
                    </w:rPr>
                  </w:pPr>
                </w:p>
              </w:tc>
              <w:tc>
                <w:tcPr>
                  <w:tcW w:w="1011" w:type="dxa"/>
                  <w:tcBorders>
                    <w:tl2br w:val="nil"/>
                    <w:tr2bl w:val="nil"/>
                  </w:tcBorders>
                  <w:vAlign w:val="center"/>
                </w:tcPr>
                <w:p>
                  <w:pPr>
                    <w:jc w:val="center"/>
                    <w:rPr>
                      <w:szCs w:val="21"/>
                      <w:u w:val="single"/>
                    </w:rPr>
                  </w:pPr>
                  <w:r>
                    <w:rPr>
                      <w:szCs w:val="21"/>
                      <w:u w:val="single"/>
                    </w:rPr>
                    <w:t>引风机</w:t>
                  </w:r>
                </w:p>
              </w:tc>
              <w:tc>
                <w:tcPr>
                  <w:tcW w:w="605" w:type="dxa"/>
                  <w:vMerge w:val="continue"/>
                  <w:tcBorders>
                    <w:tl2br w:val="nil"/>
                    <w:tr2bl w:val="nil"/>
                  </w:tcBorders>
                  <w:vAlign w:val="center"/>
                </w:tcPr>
                <w:p>
                  <w:pPr>
                    <w:jc w:val="center"/>
                    <w:rPr>
                      <w:szCs w:val="21"/>
                      <w:u w:val="single"/>
                    </w:rPr>
                  </w:pPr>
                </w:p>
              </w:tc>
              <w:tc>
                <w:tcPr>
                  <w:tcW w:w="538" w:type="dxa"/>
                  <w:tcBorders>
                    <w:tl2br w:val="nil"/>
                    <w:tr2bl w:val="nil"/>
                  </w:tcBorders>
                  <w:vAlign w:val="center"/>
                </w:tcPr>
                <w:p>
                  <w:pPr>
                    <w:widowControl/>
                    <w:jc w:val="center"/>
                    <w:textAlignment w:val="center"/>
                    <w:rPr>
                      <w:szCs w:val="21"/>
                      <w:u w:val="single"/>
                    </w:rPr>
                  </w:pPr>
                  <w:r>
                    <w:rPr>
                      <w:szCs w:val="21"/>
                      <w:u w:val="single"/>
                    </w:rPr>
                    <w:t>80</w:t>
                  </w:r>
                </w:p>
              </w:tc>
              <w:tc>
                <w:tcPr>
                  <w:tcW w:w="771" w:type="dxa"/>
                  <w:vMerge w:val="continue"/>
                  <w:tcBorders>
                    <w:tl2br w:val="nil"/>
                    <w:tr2bl w:val="nil"/>
                  </w:tcBorders>
                  <w:vAlign w:val="center"/>
                </w:tcPr>
                <w:p>
                  <w:pPr>
                    <w:widowControl/>
                    <w:jc w:val="center"/>
                    <w:textAlignment w:val="center"/>
                    <w:rPr>
                      <w:szCs w:val="21"/>
                      <w:u w:val="single"/>
                    </w:rPr>
                  </w:pPr>
                </w:p>
              </w:tc>
              <w:tc>
                <w:tcPr>
                  <w:tcW w:w="618" w:type="dxa"/>
                  <w:tcBorders>
                    <w:tl2br w:val="nil"/>
                    <w:tr2bl w:val="nil"/>
                  </w:tcBorders>
                  <w:vAlign w:val="center"/>
                </w:tcPr>
                <w:p>
                  <w:pPr>
                    <w:widowControl/>
                    <w:jc w:val="center"/>
                    <w:textAlignment w:val="center"/>
                    <w:rPr>
                      <w:szCs w:val="21"/>
                      <w:u w:val="single"/>
                    </w:rPr>
                  </w:pPr>
                  <w:r>
                    <w:rPr>
                      <w:szCs w:val="21"/>
                      <w:u w:val="single"/>
                    </w:rPr>
                    <w:t>5</w:t>
                  </w:r>
                </w:p>
              </w:tc>
              <w:tc>
                <w:tcPr>
                  <w:tcW w:w="519" w:type="dxa"/>
                  <w:tcBorders>
                    <w:tl2br w:val="nil"/>
                    <w:tr2bl w:val="nil"/>
                  </w:tcBorders>
                  <w:vAlign w:val="center"/>
                </w:tcPr>
                <w:p>
                  <w:pPr>
                    <w:widowControl/>
                    <w:jc w:val="center"/>
                    <w:textAlignment w:val="center"/>
                    <w:rPr>
                      <w:szCs w:val="21"/>
                      <w:u w:val="single"/>
                    </w:rPr>
                  </w:pPr>
                  <w:r>
                    <w:rPr>
                      <w:szCs w:val="21"/>
                      <w:u w:val="single"/>
                    </w:rPr>
                    <w:t>4</w:t>
                  </w:r>
                </w:p>
              </w:tc>
              <w:tc>
                <w:tcPr>
                  <w:tcW w:w="567" w:type="dxa"/>
                  <w:tcBorders>
                    <w:tl2br w:val="nil"/>
                    <w:tr2bl w:val="nil"/>
                  </w:tcBorders>
                  <w:vAlign w:val="center"/>
                </w:tcPr>
                <w:p>
                  <w:pPr>
                    <w:widowControl/>
                    <w:jc w:val="center"/>
                    <w:textAlignment w:val="center"/>
                    <w:rPr>
                      <w:szCs w:val="21"/>
                      <w:u w:val="single"/>
                    </w:rPr>
                  </w:pPr>
                  <w:r>
                    <w:rPr>
                      <w:szCs w:val="21"/>
                      <w:u w:val="single"/>
                    </w:rPr>
                    <w:t>1</w:t>
                  </w:r>
                </w:p>
              </w:tc>
              <w:tc>
                <w:tcPr>
                  <w:tcW w:w="540" w:type="dxa"/>
                  <w:tcBorders>
                    <w:tl2br w:val="nil"/>
                    <w:tr2bl w:val="nil"/>
                  </w:tcBorders>
                  <w:vAlign w:val="center"/>
                </w:tcPr>
                <w:p>
                  <w:pPr>
                    <w:widowControl/>
                    <w:jc w:val="center"/>
                    <w:textAlignment w:val="center"/>
                    <w:rPr>
                      <w:szCs w:val="21"/>
                      <w:u w:val="single"/>
                    </w:rPr>
                  </w:pPr>
                  <w:r>
                    <w:rPr>
                      <w:rFonts w:hint="eastAsia"/>
                      <w:szCs w:val="21"/>
                      <w:u w:val="single"/>
                    </w:rPr>
                    <w:t>3</w:t>
                  </w:r>
                </w:p>
              </w:tc>
              <w:tc>
                <w:tcPr>
                  <w:tcW w:w="528" w:type="dxa"/>
                  <w:tcBorders>
                    <w:tl2br w:val="nil"/>
                    <w:tr2bl w:val="nil"/>
                  </w:tcBorders>
                  <w:vAlign w:val="center"/>
                </w:tcPr>
                <w:p>
                  <w:pPr>
                    <w:widowControl/>
                    <w:jc w:val="center"/>
                    <w:textAlignment w:val="center"/>
                    <w:rPr>
                      <w:szCs w:val="21"/>
                      <w:u w:val="single"/>
                    </w:rPr>
                  </w:pPr>
                  <w:r>
                    <w:rPr>
                      <w:szCs w:val="21"/>
                      <w:u w:val="single"/>
                    </w:rPr>
                    <w:t>66.02</w:t>
                  </w:r>
                </w:p>
              </w:tc>
              <w:tc>
                <w:tcPr>
                  <w:tcW w:w="611" w:type="dxa"/>
                  <w:vMerge w:val="continue"/>
                  <w:tcBorders>
                    <w:tl2br w:val="nil"/>
                    <w:tr2bl w:val="nil"/>
                  </w:tcBorders>
                  <w:vAlign w:val="center"/>
                </w:tcPr>
                <w:p>
                  <w:pPr>
                    <w:widowControl/>
                    <w:jc w:val="center"/>
                    <w:textAlignment w:val="center"/>
                    <w:rPr>
                      <w:szCs w:val="21"/>
                      <w:u w:val="single"/>
                    </w:rPr>
                  </w:pPr>
                </w:p>
              </w:tc>
              <w:tc>
                <w:tcPr>
                  <w:tcW w:w="690" w:type="dxa"/>
                  <w:tcBorders>
                    <w:tl2br w:val="nil"/>
                    <w:tr2bl w:val="nil"/>
                  </w:tcBorders>
                  <w:vAlign w:val="center"/>
                </w:tcPr>
                <w:p>
                  <w:pPr>
                    <w:widowControl/>
                    <w:jc w:val="center"/>
                    <w:textAlignment w:val="center"/>
                    <w:rPr>
                      <w:szCs w:val="21"/>
                      <w:u w:val="single"/>
                    </w:rPr>
                  </w:pPr>
                  <w:r>
                    <w:rPr>
                      <w:rFonts w:hint="eastAsia"/>
                      <w:szCs w:val="21"/>
                      <w:u w:val="single"/>
                    </w:rPr>
                    <w:t>15</w:t>
                  </w:r>
                </w:p>
              </w:tc>
              <w:tc>
                <w:tcPr>
                  <w:tcW w:w="690" w:type="dxa"/>
                  <w:tcBorders>
                    <w:tl2br w:val="nil"/>
                    <w:tr2bl w:val="nil"/>
                  </w:tcBorders>
                  <w:vAlign w:val="center"/>
                </w:tcPr>
                <w:p>
                  <w:pPr>
                    <w:widowControl/>
                    <w:jc w:val="center"/>
                    <w:textAlignment w:val="center"/>
                    <w:rPr>
                      <w:szCs w:val="21"/>
                      <w:u w:val="single"/>
                    </w:rPr>
                  </w:pPr>
                  <w:r>
                    <w:rPr>
                      <w:rFonts w:hint="eastAsia"/>
                      <w:szCs w:val="21"/>
                      <w:u w:val="single"/>
                    </w:rPr>
                    <w:t>51.02</w:t>
                  </w:r>
                </w:p>
              </w:tc>
              <w:tc>
                <w:tcPr>
                  <w:tcW w:w="695" w:type="dxa"/>
                  <w:tcBorders>
                    <w:tl2br w:val="nil"/>
                    <w:tr2bl w:val="nil"/>
                  </w:tcBorders>
                  <w:vAlign w:val="center"/>
                </w:tcPr>
                <w:p>
                  <w:pPr>
                    <w:widowControl/>
                    <w:jc w:val="center"/>
                    <w:textAlignment w:val="center"/>
                    <w:rPr>
                      <w:szCs w:val="21"/>
                      <w:u w:val="single"/>
                    </w:rPr>
                  </w:pPr>
                  <w:r>
                    <w:rPr>
                      <w:szCs w:val="21"/>
                      <w:u w:val="single"/>
                    </w:rPr>
                    <w:t>1</w:t>
                  </w:r>
                </w:p>
              </w:tc>
            </w:tr>
            <w:tr>
              <w:trPr>
                <w:trHeight w:val="340" w:hRule="atLeast"/>
                <w:jc w:val="center"/>
              </w:trPr>
              <w:tc>
                <w:tcPr>
                  <w:tcW w:w="415" w:type="dxa"/>
                  <w:vMerge w:val="continue"/>
                  <w:tcBorders>
                    <w:tl2br w:val="nil"/>
                    <w:tr2bl w:val="nil"/>
                  </w:tcBorders>
                  <w:vAlign w:val="center"/>
                </w:tcPr>
                <w:p>
                  <w:pPr>
                    <w:widowControl/>
                    <w:jc w:val="center"/>
                    <w:textAlignment w:val="center"/>
                    <w:rPr>
                      <w:szCs w:val="21"/>
                      <w:u w:val="single"/>
                    </w:rPr>
                  </w:pPr>
                </w:p>
              </w:tc>
              <w:tc>
                <w:tcPr>
                  <w:tcW w:w="1011" w:type="dxa"/>
                  <w:tcBorders>
                    <w:tl2br w:val="nil"/>
                    <w:tr2bl w:val="nil"/>
                  </w:tcBorders>
                  <w:vAlign w:val="center"/>
                </w:tcPr>
                <w:p>
                  <w:pPr>
                    <w:jc w:val="center"/>
                    <w:rPr>
                      <w:szCs w:val="21"/>
                      <w:u w:val="single"/>
                    </w:rPr>
                  </w:pPr>
                  <w:r>
                    <w:rPr>
                      <w:szCs w:val="21"/>
                      <w:u w:val="single"/>
                    </w:rPr>
                    <w:t>上料装置</w:t>
                  </w:r>
                </w:p>
              </w:tc>
              <w:tc>
                <w:tcPr>
                  <w:tcW w:w="605" w:type="dxa"/>
                  <w:vMerge w:val="continue"/>
                  <w:tcBorders>
                    <w:tl2br w:val="nil"/>
                    <w:tr2bl w:val="nil"/>
                  </w:tcBorders>
                  <w:vAlign w:val="center"/>
                </w:tcPr>
                <w:p>
                  <w:pPr>
                    <w:jc w:val="center"/>
                    <w:rPr>
                      <w:szCs w:val="21"/>
                      <w:u w:val="single"/>
                    </w:rPr>
                  </w:pPr>
                </w:p>
              </w:tc>
              <w:tc>
                <w:tcPr>
                  <w:tcW w:w="538" w:type="dxa"/>
                  <w:tcBorders>
                    <w:tl2br w:val="nil"/>
                    <w:tr2bl w:val="nil"/>
                  </w:tcBorders>
                  <w:vAlign w:val="center"/>
                </w:tcPr>
                <w:p>
                  <w:pPr>
                    <w:widowControl/>
                    <w:jc w:val="center"/>
                    <w:textAlignment w:val="center"/>
                    <w:rPr>
                      <w:szCs w:val="21"/>
                      <w:u w:val="single"/>
                    </w:rPr>
                  </w:pPr>
                  <w:r>
                    <w:rPr>
                      <w:szCs w:val="21"/>
                      <w:u w:val="single"/>
                    </w:rPr>
                    <w:t>70</w:t>
                  </w:r>
                </w:p>
              </w:tc>
              <w:tc>
                <w:tcPr>
                  <w:tcW w:w="771" w:type="dxa"/>
                  <w:vMerge w:val="continue"/>
                  <w:tcBorders>
                    <w:tl2br w:val="nil"/>
                    <w:tr2bl w:val="nil"/>
                  </w:tcBorders>
                  <w:vAlign w:val="center"/>
                </w:tcPr>
                <w:p>
                  <w:pPr>
                    <w:widowControl/>
                    <w:jc w:val="center"/>
                    <w:textAlignment w:val="center"/>
                    <w:rPr>
                      <w:szCs w:val="21"/>
                      <w:u w:val="single"/>
                    </w:rPr>
                  </w:pPr>
                </w:p>
              </w:tc>
              <w:tc>
                <w:tcPr>
                  <w:tcW w:w="618" w:type="dxa"/>
                  <w:tcBorders>
                    <w:tl2br w:val="nil"/>
                    <w:tr2bl w:val="nil"/>
                  </w:tcBorders>
                  <w:vAlign w:val="center"/>
                </w:tcPr>
                <w:p>
                  <w:pPr>
                    <w:widowControl/>
                    <w:jc w:val="center"/>
                    <w:textAlignment w:val="center"/>
                    <w:rPr>
                      <w:szCs w:val="21"/>
                      <w:u w:val="single"/>
                    </w:rPr>
                  </w:pPr>
                  <w:r>
                    <w:rPr>
                      <w:szCs w:val="21"/>
                      <w:u w:val="single"/>
                    </w:rPr>
                    <w:t>4</w:t>
                  </w:r>
                </w:p>
              </w:tc>
              <w:tc>
                <w:tcPr>
                  <w:tcW w:w="519" w:type="dxa"/>
                  <w:tcBorders>
                    <w:tl2br w:val="nil"/>
                    <w:tr2bl w:val="nil"/>
                  </w:tcBorders>
                  <w:vAlign w:val="center"/>
                </w:tcPr>
                <w:p>
                  <w:pPr>
                    <w:widowControl/>
                    <w:jc w:val="center"/>
                    <w:textAlignment w:val="center"/>
                    <w:rPr>
                      <w:szCs w:val="21"/>
                      <w:u w:val="single"/>
                    </w:rPr>
                  </w:pPr>
                  <w:r>
                    <w:rPr>
                      <w:szCs w:val="21"/>
                      <w:u w:val="single"/>
                    </w:rPr>
                    <w:t>5</w:t>
                  </w:r>
                </w:p>
              </w:tc>
              <w:tc>
                <w:tcPr>
                  <w:tcW w:w="567" w:type="dxa"/>
                  <w:tcBorders>
                    <w:tl2br w:val="nil"/>
                    <w:tr2bl w:val="nil"/>
                  </w:tcBorders>
                  <w:vAlign w:val="center"/>
                </w:tcPr>
                <w:p>
                  <w:pPr>
                    <w:widowControl/>
                    <w:jc w:val="center"/>
                    <w:textAlignment w:val="center"/>
                    <w:rPr>
                      <w:szCs w:val="21"/>
                      <w:u w:val="single"/>
                    </w:rPr>
                  </w:pPr>
                  <w:r>
                    <w:rPr>
                      <w:szCs w:val="21"/>
                      <w:u w:val="single"/>
                    </w:rPr>
                    <w:t>1</w:t>
                  </w:r>
                </w:p>
              </w:tc>
              <w:tc>
                <w:tcPr>
                  <w:tcW w:w="540" w:type="dxa"/>
                  <w:tcBorders>
                    <w:tl2br w:val="nil"/>
                    <w:tr2bl w:val="nil"/>
                  </w:tcBorders>
                  <w:vAlign w:val="center"/>
                </w:tcPr>
                <w:p>
                  <w:pPr>
                    <w:widowControl/>
                    <w:jc w:val="center"/>
                    <w:textAlignment w:val="center"/>
                    <w:rPr>
                      <w:szCs w:val="21"/>
                      <w:u w:val="single"/>
                    </w:rPr>
                  </w:pPr>
                  <w:r>
                    <w:rPr>
                      <w:rFonts w:hint="eastAsia"/>
                      <w:szCs w:val="21"/>
                      <w:u w:val="single"/>
                    </w:rPr>
                    <w:t>3</w:t>
                  </w:r>
                </w:p>
              </w:tc>
              <w:tc>
                <w:tcPr>
                  <w:tcW w:w="528" w:type="dxa"/>
                  <w:tcBorders>
                    <w:tl2br w:val="nil"/>
                    <w:tr2bl w:val="nil"/>
                  </w:tcBorders>
                  <w:vAlign w:val="center"/>
                </w:tcPr>
                <w:p>
                  <w:pPr>
                    <w:widowControl/>
                    <w:jc w:val="center"/>
                    <w:textAlignment w:val="center"/>
                    <w:rPr>
                      <w:szCs w:val="21"/>
                      <w:u w:val="single"/>
                    </w:rPr>
                  </w:pPr>
                  <w:r>
                    <w:rPr>
                      <w:szCs w:val="21"/>
                      <w:u w:val="single"/>
                    </w:rPr>
                    <w:t>57.96</w:t>
                  </w:r>
                </w:p>
              </w:tc>
              <w:tc>
                <w:tcPr>
                  <w:tcW w:w="611" w:type="dxa"/>
                  <w:vMerge w:val="continue"/>
                  <w:tcBorders>
                    <w:tl2br w:val="nil"/>
                    <w:tr2bl w:val="nil"/>
                  </w:tcBorders>
                  <w:vAlign w:val="center"/>
                </w:tcPr>
                <w:p>
                  <w:pPr>
                    <w:widowControl/>
                    <w:jc w:val="center"/>
                    <w:textAlignment w:val="center"/>
                    <w:rPr>
                      <w:szCs w:val="21"/>
                      <w:u w:val="single"/>
                    </w:rPr>
                  </w:pPr>
                </w:p>
              </w:tc>
              <w:tc>
                <w:tcPr>
                  <w:tcW w:w="690" w:type="dxa"/>
                  <w:tcBorders>
                    <w:tl2br w:val="nil"/>
                    <w:tr2bl w:val="nil"/>
                  </w:tcBorders>
                  <w:vAlign w:val="center"/>
                </w:tcPr>
                <w:p>
                  <w:pPr>
                    <w:widowControl/>
                    <w:jc w:val="center"/>
                    <w:textAlignment w:val="center"/>
                    <w:rPr>
                      <w:szCs w:val="21"/>
                      <w:u w:val="single"/>
                    </w:rPr>
                  </w:pPr>
                  <w:r>
                    <w:rPr>
                      <w:rFonts w:hint="eastAsia"/>
                      <w:szCs w:val="21"/>
                      <w:u w:val="single"/>
                    </w:rPr>
                    <w:t>15</w:t>
                  </w:r>
                </w:p>
              </w:tc>
              <w:tc>
                <w:tcPr>
                  <w:tcW w:w="690" w:type="dxa"/>
                  <w:tcBorders>
                    <w:tl2br w:val="nil"/>
                    <w:tr2bl w:val="nil"/>
                  </w:tcBorders>
                  <w:vAlign w:val="center"/>
                </w:tcPr>
                <w:p>
                  <w:pPr>
                    <w:widowControl/>
                    <w:jc w:val="center"/>
                    <w:textAlignment w:val="center"/>
                    <w:rPr>
                      <w:szCs w:val="21"/>
                      <w:u w:val="single"/>
                    </w:rPr>
                  </w:pPr>
                  <w:r>
                    <w:rPr>
                      <w:rFonts w:hint="eastAsia"/>
                      <w:szCs w:val="21"/>
                      <w:u w:val="single"/>
                    </w:rPr>
                    <w:t>42.96</w:t>
                  </w:r>
                </w:p>
              </w:tc>
              <w:tc>
                <w:tcPr>
                  <w:tcW w:w="695" w:type="dxa"/>
                  <w:tcBorders>
                    <w:tl2br w:val="nil"/>
                    <w:tr2bl w:val="nil"/>
                  </w:tcBorders>
                  <w:vAlign w:val="center"/>
                </w:tcPr>
                <w:p>
                  <w:pPr>
                    <w:widowControl/>
                    <w:jc w:val="center"/>
                    <w:textAlignment w:val="center"/>
                    <w:rPr>
                      <w:szCs w:val="21"/>
                      <w:u w:val="single"/>
                    </w:rPr>
                  </w:pPr>
                  <w:r>
                    <w:rPr>
                      <w:szCs w:val="21"/>
                      <w:u w:val="single"/>
                    </w:rPr>
                    <w:t>1</w:t>
                  </w:r>
                </w:p>
              </w:tc>
            </w:tr>
            <w:tr>
              <w:trPr>
                <w:trHeight w:val="340" w:hRule="atLeast"/>
                <w:jc w:val="center"/>
              </w:trPr>
              <w:tc>
                <w:tcPr>
                  <w:tcW w:w="415" w:type="dxa"/>
                  <w:vMerge w:val="continue"/>
                  <w:tcBorders>
                    <w:tl2br w:val="nil"/>
                    <w:tr2bl w:val="nil"/>
                  </w:tcBorders>
                  <w:vAlign w:val="center"/>
                </w:tcPr>
                <w:p>
                  <w:pPr>
                    <w:widowControl/>
                    <w:jc w:val="center"/>
                    <w:textAlignment w:val="center"/>
                    <w:rPr>
                      <w:szCs w:val="21"/>
                      <w:u w:val="single"/>
                    </w:rPr>
                  </w:pPr>
                </w:p>
              </w:tc>
              <w:tc>
                <w:tcPr>
                  <w:tcW w:w="1011" w:type="dxa"/>
                  <w:tcBorders>
                    <w:tl2br w:val="nil"/>
                    <w:tr2bl w:val="nil"/>
                  </w:tcBorders>
                  <w:vAlign w:val="center"/>
                </w:tcPr>
                <w:p>
                  <w:pPr>
                    <w:jc w:val="center"/>
                    <w:rPr>
                      <w:szCs w:val="21"/>
                      <w:u w:val="single"/>
                    </w:rPr>
                  </w:pPr>
                  <w:r>
                    <w:rPr>
                      <w:rFonts w:hint="eastAsia"/>
                      <w:szCs w:val="21"/>
                      <w:u w:val="single"/>
                    </w:rPr>
                    <w:t>锅炉</w:t>
                  </w:r>
                </w:p>
              </w:tc>
              <w:tc>
                <w:tcPr>
                  <w:tcW w:w="605" w:type="dxa"/>
                  <w:vMerge w:val="continue"/>
                  <w:tcBorders>
                    <w:tl2br w:val="nil"/>
                    <w:tr2bl w:val="nil"/>
                  </w:tcBorders>
                  <w:vAlign w:val="center"/>
                </w:tcPr>
                <w:p>
                  <w:pPr>
                    <w:jc w:val="center"/>
                    <w:rPr>
                      <w:szCs w:val="21"/>
                      <w:u w:val="single"/>
                    </w:rPr>
                  </w:pPr>
                </w:p>
              </w:tc>
              <w:tc>
                <w:tcPr>
                  <w:tcW w:w="538" w:type="dxa"/>
                  <w:tcBorders>
                    <w:tl2br w:val="nil"/>
                    <w:tr2bl w:val="nil"/>
                  </w:tcBorders>
                  <w:vAlign w:val="center"/>
                </w:tcPr>
                <w:p>
                  <w:pPr>
                    <w:widowControl/>
                    <w:jc w:val="center"/>
                    <w:textAlignment w:val="center"/>
                    <w:rPr>
                      <w:szCs w:val="21"/>
                      <w:u w:val="single"/>
                    </w:rPr>
                  </w:pPr>
                  <w:r>
                    <w:rPr>
                      <w:rFonts w:hint="eastAsia"/>
                      <w:szCs w:val="21"/>
                      <w:u w:val="single"/>
                    </w:rPr>
                    <w:t>8</w:t>
                  </w:r>
                  <w:r>
                    <w:rPr>
                      <w:szCs w:val="21"/>
                      <w:u w:val="single"/>
                    </w:rPr>
                    <w:t>5</w:t>
                  </w:r>
                </w:p>
              </w:tc>
              <w:tc>
                <w:tcPr>
                  <w:tcW w:w="771" w:type="dxa"/>
                  <w:vMerge w:val="continue"/>
                  <w:tcBorders>
                    <w:tl2br w:val="nil"/>
                    <w:tr2bl w:val="nil"/>
                  </w:tcBorders>
                  <w:vAlign w:val="center"/>
                </w:tcPr>
                <w:p>
                  <w:pPr>
                    <w:widowControl/>
                    <w:jc w:val="center"/>
                    <w:textAlignment w:val="center"/>
                    <w:rPr>
                      <w:szCs w:val="21"/>
                      <w:u w:val="single"/>
                    </w:rPr>
                  </w:pPr>
                </w:p>
              </w:tc>
              <w:tc>
                <w:tcPr>
                  <w:tcW w:w="618" w:type="dxa"/>
                  <w:tcBorders>
                    <w:tl2br w:val="nil"/>
                    <w:tr2bl w:val="nil"/>
                  </w:tcBorders>
                  <w:vAlign w:val="center"/>
                </w:tcPr>
                <w:p>
                  <w:pPr>
                    <w:widowControl/>
                    <w:jc w:val="center"/>
                    <w:textAlignment w:val="center"/>
                    <w:rPr>
                      <w:szCs w:val="21"/>
                      <w:u w:val="single"/>
                    </w:rPr>
                  </w:pPr>
                  <w:r>
                    <w:rPr>
                      <w:szCs w:val="21"/>
                      <w:u w:val="single"/>
                    </w:rPr>
                    <w:t>3</w:t>
                  </w:r>
                </w:p>
              </w:tc>
              <w:tc>
                <w:tcPr>
                  <w:tcW w:w="519" w:type="dxa"/>
                  <w:tcBorders>
                    <w:tl2br w:val="nil"/>
                    <w:tr2bl w:val="nil"/>
                  </w:tcBorders>
                  <w:vAlign w:val="center"/>
                </w:tcPr>
                <w:p>
                  <w:pPr>
                    <w:widowControl/>
                    <w:jc w:val="center"/>
                    <w:textAlignment w:val="center"/>
                    <w:rPr>
                      <w:szCs w:val="21"/>
                      <w:u w:val="single"/>
                    </w:rPr>
                  </w:pPr>
                  <w:r>
                    <w:rPr>
                      <w:szCs w:val="21"/>
                      <w:u w:val="single"/>
                    </w:rPr>
                    <w:t>3</w:t>
                  </w:r>
                </w:p>
              </w:tc>
              <w:tc>
                <w:tcPr>
                  <w:tcW w:w="567" w:type="dxa"/>
                  <w:tcBorders>
                    <w:tl2br w:val="nil"/>
                    <w:tr2bl w:val="nil"/>
                  </w:tcBorders>
                  <w:vAlign w:val="center"/>
                </w:tcPr>
                <w:p>
                  <w:pPr>
                    <w:widowControl/>
                    <w:jc w:val="center"/>
                    <w:textAlignment w:val="center"/>
                    <w:rPr>
                      <w:szCs w:val="21"/>
                      <w:u w:val="single"/>
                    </w:rPr>
                  </w:pPr>
                  <w:r>
                    <w:rPr>
                      <w:szCs w:val="21"/>
                      <w:u w:val="single"/>
                    </w:rPr>
                    <w:t>1</w:t>
                  </w:r>
                </w:p>
              </w:tc>
              <w:tc>
                <w:tcPr>
                  <w:tcW w:w="540" w:type="dxa"/>
                  <w:tcBorders>
                    <w:tl2br w:val="nil"/>
                    <w:tr2bl w:val="nil"/>
                  </w:tcBorders>
                  <w:vAlign w:val="center"/>
                </w:tcPr>
                <w:p>
                  <w:pPr>
                    <w:widowControl/>
                    <w:jc w:val="center"/>
                    <w:textAlignment w:val="center"/>
                    <w:rPr>
                      <w:szCs w:val="21"/>
                      <w:u w:val="single"/>
                    </w:rPr>
                  </w:pPr>
                  <w:r>
                    <w:rPr>
                      <w:rFonts w:hint="eastAsia"/>
                      <w:szCs w:val="21"/>
                      <w:u w:val="single"/>
                    </w:rPr>
                    <w:t>2</w:t>
                  </w:r>
                </w:p>
              </w:tc>
              <w:tc>
                <w:tcPr>
                  <w:tcW w:w="528" w:type="dxa"/>
                  <w:tcBorders>
                    <w:tl2br w:val="nil"/>
                    <w:tr2bl w:val="nil"/>
                  </w:tcBorders>
                  <w:vAlign w:val="center"/>
                </w:tcPr>
                <w:p>
                  <w:pPr>
                    <w:widowControl/>
                    <w:jc w:val="center"/>
                    <w:textAlignment w:val="center"/>
                    <w:rPr>
                      <w:szCs w:val="21"/>
                      <w:u w:val="single"/>
                    </w:rPr>
                  </w:pPr>
                  <w:r>
                    <w:rPr>
                      <w:rFonts w:hint="eastAsia"/>
                      <w:szCs w:val="21"/>
                      <w:u w:val="single"/>
                    </w:rPr>
                    <w:t>75</w:t>
                  </w:r>
                  <w:r>
                    <w:rPr>
                      <w:szCs w:val="21"/>
                      <w:u w:val="single"/>
                    </w:rPr>
                    <w:t>.46</w:t>
                  </w:r>
                </w:p>
              </w:tc>
              <w:tc>
                <w:tcPr>
                  <w:tcW w:w="611" w:type="dxa"/>
                  <w:vMerge w:val="continue"/>
                  <w:tcBorders>
                    <w:tl2br w:val="nil"/>
                    <w:tr2bl w:val="nil"/>
                  </w:tcBorders>
                  <w:vAlign w:val="center"/>
                </w:tcPr>
                <w:p>
                  <w:pPr>
                    <w:widowControl/>
                    <w:jc w:val="center"/>
                    <w:textAlignment w:val="center"/>
                    <w:rPr>
                      <w:szCs w:val="21"/>
                      <w:u w:val="single"/>
                    </w:rPr>
                  </w:pPr>
                </w:p>
              </w:tc>
              <w:tc>
                <w:tcPr>
                  <w:tcW w:w="690" w:type="dxa"/>
                  <w:tcBorders>
                    <w:tl2br w:val="nil"/>
                    <w:tr2bl w:val="nil"/>
                  </w:tcBorders>
                  <w:vAlign w:val="center"/>
                </w:tcPr>
                <w:p>
                  <w:pPr>
                    <w:widowControl/>
                    <w:jc w:val="center"/>
                    <w:textAlignment w:val="center"/>
                    <w:rPr>
                      <w:szCs w:val="21"/>
                      <w:u w:val="single"/>
                    </w:rPr>
                  </w:pPr>
                  <w:r>
                    <w:rPr>
                      <w:rFonts w:hint="eastAsia"/>
                      <w:szCs w:val="21"/>
                      <w:u w:val="single"/>
                    </w:rPr>
                    <w:t>15</w:t>
                  </w:r>
                </w:p>
              </w:tc>
              <w:tc>
                <w:tcPr>
                  <w:tcW w:w="690" w:type="dxa"/>
                  <w:tcBorders>
                    <w:tl2br w:val="nil"/>
                    <w:tr2bl w:val="nil"/>
                  </w:tcBorders>
                  <w:vAlign w:val="center"/>
                </w:tcPr>
                <w:p>
                  <w:pPr>
                    <w:widowControl/>
                    <w:jc w:val="center"/>
                    <w:textAlignment w:val="center"/>
                    <w:rPr>
                      <w:szCs w:val="21"/>
                      <w:u w:val="single"/>
                    </w:rPr>
                  </w:pPr>
                  <w:r>
                    <w:rPr>
                      <w:rFonts w:hint="eastAsia"/>
                      <w:szCs w:val="21"/>
                      <w:u w:val="single"/>
                    </w:rPr>
                    <w:t>60.46</w:t>
                  </w:r>
                </w:p>
              </w:tc>
              <w:tc>
                <w:tcPr>
                  <w:tcW w:w="695" w:type="dxa"/>
                  <w:tcBorders>
                    <w:tl2br w:val="nil"/>
                    <w:tr2bl w:val="nil"/>
                  </w:tcBorders>
                  <w:vAlign w:val="center"/>
                </w:tcPr>
                <w:p>
                  <w:pPr>
                    <w:widowControl/>
                    <w:jc w:val="center"/>
                    <w:textAlignment w:val="center"/>
                    <w:rPr>
                      <w:szCs w:val="21"/>
                      <w:u w:val="single"/>
                    </w:rPr>
                  </w:pPr>
                  <w:r>
                    <w:rPr>
                      <w:szCs w:val="21"/>
                      <w:u w:val="single"/>
                    </w:rPr>
                    <w:t>1</w:t>
                  </w:r>
                </w:p>
              </w:tc>
            </w:tr>
          </w:tbl>
          <w:p>
            <w:pPr>
              <w:pStyle w:val="9"/>
              <w:ind w:firstLine="482"/>
              <w:rPr>
                <w:rFonts w:cs="Times New Roman"/>
                <w:b/>
                <w:bCs/>
                <w:szCs w:val="21"/>
                <w:u w:val="single"/>
              </w:rPr>
            </w:pPr>
            <w:r>
              <w:rPr>
                <w:rFonts w:hint="eastAsia" w:cs="Times New Roman"/>
                <w:b/>
                <w:bCs/>
                <w:szCs w:val="21"/>
                <w:u w:val="single"/>
              </w:rPr>
              <w:t>（2）</w:t>
            </w:r>
            <w:r>
              <w:rPr>
                <w:rFonts w:cs="Times New Roman"/>
                <w:b/>
                <w:bCs/>
                <w:szCs w:val="21"/>
                <w:u w:val="single"/>
              </w:rPr>
              <w:t>厂界达标情况分析</w:t>
            </w:r>
          </w:p>
          <w:p>
            <w:pPr>
              <w:spacing w:line="360" w:lineRule="auto"/>
              <w:ind w:firstLine="480"/>
              <w:rPr>
                <w:rFonts w:eastAsia="宋体"/>
                <w:color w:val="000000"/>
                <w:sz w:val="24"/>
                <w:szCs w:val="28"/>
                <w:u w:val="single"/>
              </w:rPr>
            </w:pPr>
            <w:r>
              <w:rPr>
                <w:rFonts w:eastAsia="宋体"/>
                <w:color w:val="000000"/>
                <w:sz w:val="24"/>
                <w:szCs w:val="28"/>
                <w:u w:val="single"/>
              </w:rPr>
              <w:t>根据《环境影响评价技术导则 声环境》（HJ2.4-2021）的规定，选取预测模式，应用过程中将根据具体情况作必要简化，计算过程如下：</w:t>
            </w:r>
          </w:p>
          <w:p>
            <w:pPr>
              <w:tabs>
                <w:tab w:val="left" w:pos="3705"/>
              </w:tabs>
              <w:wordWrap w:val="0"/>
              <w:spacing w:line="360" w:lineRule="auto"/>
              <w:ind w:firstLine="482"/>
              <w:rPr>
                <w:rFonts w:eastAsia="宋体"/>
                <w:color w:val="000000"/>
                <w:sz w:val="24"/>
                <w:u w:val="single"/>
              </w:rPr>
            </w:pPr>
            <w:r>
              <w:rPr>
                <w:rFonts w:eastAsia="宋体"/>
                <w:color w:val="000000"/>
                <w:sz w:val="24"/>
                <w:u w:val="single"/>
              </w:rPr>
              <w:t>①声环境影响预测模式</w:t>
            </w:r>
          </w:p>
          <w:p>
            <w:pPr>
              <w:wordWrap w:val="0"/>
              <w:spacing w:line="360" w:lineRule="auto"/>
              <w:jc w:val="center"/>
              <w:rPr>
                <w:rFonts w:eastAsia="宋体"/>
                <w:iCs/>
                <w:color w:val="000000"/>
                <w:kern w:val="0"/>
                <w:sz w:val="24"/>
                <w:u w:val="single"/>
              </w:rPr>
            </w:pPr>
            <w:r>
              <w:rPr>
                <w:rFonts w:ascii="Times New Roman" w:hAnsi="Times New Roman" w:eastAsia="宋体" w:cs="Times New Roman"/>
                <w:color w:val="000000"/>
                <w:kern w:val="2"/>
                <w:position w:val="-12"/>
                <w:sz w:val="24"/>
                <w:szCs w:val="24"/>
                <w:u w:val="single"/>
                <w:lang w:val="en-US" w:eastAsia="zh-CN" w:bidi="ar-SA"/>
              </w:rPr>
              <w:object>
                <v:shape id="_x0000_s1039" type="#_x0000_t75" style="height:21pt;width:93.75pt;rotation:0f;" o:ole="t" fillcolor="#FFFFFF" filled="f" o:preferrelative="t" stroked="f" coordorigin="0,0" coordsize="21600,21600">
                  <v:fill on="f" color2="#FFFFFF" focus="0%"/>
                  <v:imagedata gain="65536f" blacklevel="0f" gamma="0" o:title="" r:id="rId19"/>
                  <o:lock v:ext="edit" position="f" selection="f" grouping="f" rotation="f" cropping="f" text="f" aspectratio="t"/>
                  <w10:wrap type="none"/>
                  <w10:anchorlock/>
                </v:shape>
                <o:OLEObject Type="Embed" ProgID="" ShapeID="_x0000_s1039" DrawAspect="Content" ObjectID="_1038" r:id="rId18"/>
              </w:object>
            </w:r>
          </w:p>
          <w:p>
            <w:pPr>
              <w:wordWrap w:val="0"/>
              <w:spacing w:line="360" w:lineRule="auto"/>
              <w:ind w:firstLine="480" w:firstLineChars="200"/>
              <w:rPr>
                <w:rFonts w:eastAsia="宋体"/>
                <w:color w:val="000000"/>
                <w:sz w:val="24"/>
                <w:u w:val="single"/>
              </w:rPr>
            </w:pPr>
            <w:r>
              <w:rPr>
                <w:rFonts w:eastAsia="宋体"/>
                <w:color w:val="000000"/>
                <w:sz w:val="24"/>
                <w:u w:val="single"/>
              </w:rPr>
              <w:t>式中：</w:t>
            </w:r>
            <w:r>
              <w:rPr>
                <w:rFonts w:eastAsia="宋体"/>
                <w:i/>
                <w:color w:val="000000"/>
                <w:kern w:val="0"/>
                <w:sz w:val="24"/>
                <w:u w:val="single"/>
              </w:rPr>
              <w:t>L</w:t>
            </w:r>
            <w:r>
              <w:rPr>
                <w:rFonts w:eastAsia="宋体"/>
                <w:iCs/>
                <w:color w:val="000000"/>
                <w:kern w:val="0"/>
                <w:sz w:val="24"/>
                <w:u w:val="single"/>
                <w:vertAlign w:val="subscript"/>
              </w:rPr>
              <w:t>A</w:t>
            </w:r>
            <w:r>
              <w:rPr>
                <w:rFonts w:eastAsia="宋体"/>
                <w:iCs/>
                <w:color w:val="000000"/>
                <w:kern w:val="0"/>
                <w:sz w:val="24"/>
                <w:u w:val="single"/>
              </w:rPr>
              <w:t>（r）</w:t>
            </w:r>
            <w:r>
              <w:rPr>
                <w:rFonts w:eastAsia="宋体"/>
                <w:color w:val="000000"/>
                <w:sz w:val="24"/>
                <w:u w:val="single"/>
              </w:rPr>
              <w:t>—预测点r处A声级dB（A）；</w:t>
            </w:r>
          </w:p>
          <w:p>
            <w:pPr>
              <w:wordWrap w:val="0"/>
              <w:spacing w:line="360" w:lineRule="auto"/>
              <w:ind w:firstLine="1200" w:firstLineChars="500"/>
              <w:rPr>
                <w:rFonts w:eastAsia="宋体"/>
                <w:color w:val="000000"/>
                <w:sz w:val="24"/>
                <w:u w:val="single"/>
              </w:rPr>
            </w:pPr>
            <w:r>
              <w:rPr>
                <w:rFonts w:eastAsia="宋体"/>
                <w:i/>
                <w:color w:val="000000"/>
                <w:kern w:val="0"/>
                <w:sz w:val="24"/>
                <w:u w:val="single"/>
              </w:rPr>
              <w:t>L</w:t>
            </w:r>
            <w:r>
              <w:rPr>
                <w:rFonts w:eastAsia="宋体"/>
                <w:iCs/>
                <w:color w:val="000000"/>
                <w:kern w:val="0"/>
                <w:sz w:val="24"/>
                <w:u w:val="single"/>
                <w:vertAlign w:val="subscript"/>
              </w:rPr>
              <w:t>A</w:t>
            </w:r>
            <w:r>
              <w:rPr>
                <w:rFonts w:eastAsia="宋体"/>
                <w:iCs/>
                <w:color w:val="000000"/>
                <w:kern w:val="0"/>
                <w:sz w:val="24"/>
                <w:u w:val="single"/>
              </w:rPr>
              <w:t>（r</w:t>
            </w:r>
            <w:r>
              <w:rPr>
                <w:rFonts w:eastAsia="宋体"/>
                <w:iCs/>
                <w:color w:val="000000"/>
                <w:kern w:val="0"/>
                <w:sz w:val="24"/>
                <w:u w:val="single"/>
                <w:vertAlign w:val="subscript"/>
              </w:rPr>
              <w:t>0</w:t>
            </w:r>
            <w:r>
              <w:rPr>
                <w:rFonts w:eastAsia="宋体"/>
                <w:iCs/>
                <w:color w:val="000000"/>
                <w:kern w:val="0"/>
                <w:sz w:val="24"/>
                <w:u w:val="single"/>
              </w:rPr>
              <w:t>）</w:t>
            </w:r>
            <w:r>
              <w:rPr>
                <w:rFonts w:eastAsia="宋体"/>
                <w:color w:val="000000"/>
                <w:sz w:val="24"/>
                <w:u w:val="single"/>
              </w:rPr>
              <w:t>—r</w:t>
            </w:r>
            <w:r>
              <w:rPr>
                <w:rFonts w:eastAsia="宋体"/>
                <w:color w:val="000000"/>
                <w:sz w:val="24"/>
                <w:u w:val="single"/>
                <w:vertAlign w:val="subscript"/>
              </w:rPr>
              <w:t>0</w:t>
            </w:r>
            <w:r>
              <w:rPr>
                <w:rFonts w:eastAsia="宋体"/>
                <w:color w:val="000000"/>
                <w:sz w:val="24"/>
                <w:u w:val="single"/>
              </w:rPr>
              <w:t>处A声级dB（A）；</w:t>
            </w:r>
          </w:p>
          <w:p>
            <w:pPr>
              <w:wordWrap w:val="0"/>
              <w:spacing w:line="360" w:lineRule="auto"/>
              <w:ind w:firstLine="1200" w:firstLineChars="500"/>
              <w:rPr>
                <w:rFonts w:eastAsia="宋体"/>
                <w:color w:val="000000"/>
                <w:sz w:val="24"/>
                <w:u w:val="single"/>
              </w:rPr>
            </w:pPr>
            <w:r>
              <w:rPr>
                <w:rFonts w:eastAsia="宋体"/>
                <w:iCs/>
                <w:color w:val="000000"/>
                <w:sz w:val="24"/>
                <w:u w:val="single"/>
              </w:rPr>
              <w:t>A</w:t>
            </w:r>
            <w:r>
              <w:rPr>
                <w:rFonts w:eastAsia="宋体"/>
                <w:color w:val="000000"/>
                <w:sz w:val="24"/>
                <w:u w:val="single"/>
              </w:rPr>
              <w:t>—倍频带衰减dB（A）；</w:t>
            </w:r>
          </w:p>
          <w:p>
            <w:pPr>
              <w:wordWrap w:val="0"/>
              <w:autoSpaceDE w:val="0"/>
              <w:autoSpaceDN w:val="0"/>
              <w:spacing w:line="360" w:lineRule="auto"/>
              <w:ind w:firstLine="480" w:firstLineChars="200"/>
              <w:jc w:val="left"/>
              <w:rPr>
                <w:rFonts w:eastAsia="宋体"/>
                <w:color w:val="000000"/>
                <w:kern w:val="0"/>
                <w:sz w:val="24"/>
                <w:u w:val="single"/>
              </w:rPr>
            </w:pPr>
            <w:r>
              <w:rPr>
                <w:rFonts w:eastAsia="宋体"/>
                <w:color w:val="000000"/>
                <w:kern w:val="0"/>
                <w:sz w:val="24"/>
                <w:u w:val="single"/>
              </w:rPr>
              <w:t>②声源在预测点产生的等效声级贡献值（</w:t>
            </w:r>
            <w:r>
              <w:rPr>
                <w:rFonts w:eastAsia="宋体"/>
                <w:iCs/>
                <w:color w:val="000000"/>
                <w:kern w:val="0"/>
                <w:sz w:val="24"/>
                <w:u w:val="single"/>
              </w:rPr>
              <w:t>L</w:t>
            </w:r>
            <w:r>
              <w:rPr>
                <w:rFonts w:eastAsia="宋体"/>
                <w:iCs/>
                <w:color w:val="000000"/>
                <w:kern w:val="0"/>
                <w:sz w:val="24"/>
                <w:u w:val="single"/>
                <w:vertAlign w:val="subscript"/>
              </w:rPr>
              <w:t>eqg</w:t>
            </w:r>
            <w:r>
              <w:rPr>
                <w:rFonts w:eastAsia="宋体"/>
                <w:color w:val="000000"/>
                <w:kern w:val="0"/>
                <w:sz w:val="24"/>
                <w:u w:val="single"/>
              </w:rPr>
              <w:t>）计算公式：</w:t>
            </w:r>
          </w:p>
          <w:p>
            <w:pPr>
              <w:wordWrap w:val="0"/>
              <w:autoSpaceDE w:val="0"/>
              <w:autoSpaceDN w:val="0"/>
              <w:spacing w:line="360" w:lineRule="auto"/>
              <w:jc w:val="center"/>
              <w:rPr>
                <w:rFonts w:eastAsia="宋体"/>
                <w:color w:val="000000"/>
                <w:kern w:val="0"/>
                <w:sz w:val="24"/>
                <w:u w:val="single"/>
              </w:rPr>
            </w:pPr>
            <w:r>
              <w:rPr>
                <w:rFonts w:ascii="Times New Roman" w:hAnsi="Times New Roman" w:eastAsia="宋体" w:cs="Times New Roman"/>
                <w:color w:val="000000"/>
                <w:kern w:val="2"/>
                <w:position w:val="-28"/>
                <w:sz w:val="24"/>
                <w:szCs w:val="24"/>
                <w:u w:val="single"/>
                <w:lang w:val="en-US" w:eastAsia="zh-CN" w:bidi="ar-SA"/>
              </w:rPr>
              <w:object>
                <v:shape id="_x0000_s1040" type="#_x0000_t75" style="height:43.5pt;width:165.75pt;rotation:0f;" o:ole="t" fillcolor="#FFFFFF" filled="f" o:preferrelative="t" stroked="f" coordorigin="0,0" coordsize="21600,21600">
                  <v:fill on="f" color2="#FFFFFF" focus="0%"/>
                  <v:imagedata gain="65536f" blacklevel="0f" gamma="0" o:title="" r:id="rId21"/>
                  <o:lock v:ext="edit" position="f" selection="f" grouping="f" rotation="f" cropping="f" text="f" aspectratio="t"/>
                  <w10:wrap type="none"/>
                  <w10:anchorlock/>
                </v:shape>
                <o:OLEObject Type="Embed" ProgID="" ShapeID="_x0000_s1040" DrawAspect="Content" ObjectID="_1039" r:id="rId20"/>
              </w:object>
            </w:r>
          </w:p>
          <w:p>
            <w:pPr>
              <w:wordWrap w:val="0"/>
              <w:autoSpaceDE w:val="0"/>
              <w:autoSpaceDN w:val="0"/>
              <w:spacing w:line="360" w:lineRule="auto"/>
              <w:ind w:firstLine="480" w:firstLineChars="200"/>
              <w:jc w:val="left"/>
              <w:rPr>
                <w:rFonts w:eastAsia="宋体"/>
                <w:color w:val="000000"/>
                <w:kern w:val="0"/>
                <w:sz w:val="24"/>
                <w:u w:val="single"/>
              </w:rPr>
            </w:pPr>
            <w:r>
              <w:rPr>
                <w:rFonts w:eastAsia="宋体"/>
                <w:color w:val="000000"/>
                <w:kern w:val="0"/>
                <w:sz w:val="24"/>
                <w:u w:val="single"/>
              </w:rPr>
              <w:t>式中：</w:t>
            </w:r>
          </w:p>
          <w:p>
            <w:pPr>
              <w:wordWrap w:val="0"/>
              <w:autoSpaceDE w:val="0"/>
              <w:autoSpaceDN w:val="0"/>
              <w:spacing w:line="360" w:lineRule="auto"/>
              <w:ind w:firstLine="960" w:firstLineChars="400"/>
              <w:jc w:val="left"/>
              <w:rPr>
                <w:rFonts w:eastAsia="宋体"/>
                <w:color w:val="000000"/>
                <w:kern w:val="0"/>
                <w:sz w:val="24"/>
                <w:u w:val="single"/>
              </w:rPr>
            </w:pPr>
            <w:r>
              <w:rPr>
                <w:rFonts w:eastAsia="宋体"/>
                <w:i/>
                <w:color w:val="000000"/>
                <w:kern w:val="0"/>
                <w:sz w:val="24"/>
                <w:u w:val="single"/>
              </w:rPr>
              <w:t>L</w:t>
            </w:r>
            <w:r>
              <w:rPr>
                <w:rFonts w:eastAsia="宋体"/>
                <w:iCs/>
                <w:color w:val="000000"/>
                <w:kern w:val="0"/>
                <w:sz w:val="24"/>
                <w:u w:val="single"/>
                <w:vertAlign w:val="subscript"/>
              </w:rPr>
              <w:t>eqg</w:t>
            </w:r>
            <w:r>
              <w:rPr>
                <w:rFonts w:eastAsia="宋体"/>
                <w:color w:val="000000"/>
                <w:kern w:val="0"/>
                <w:sz w:val="24"/>
                <w:u w:val="single"/>
              </w:rPr>
              <w:t>—声源在预测点的等效声级贡献值dB（A）；</w:t>
            </w:r>
          </w:p>
          <w:p>
            <w:pPr>
              <w:wordWrap w:val="0"/>
              <w:autoSpaceDE w:val="0"/>
              <w:autoSpaceDN w:val="0"/>
              <w:spacing w:line="360" w:lineRule="auto"/>
              <w:ind w:firstLine="960" w:firstLineChars="400"/>
              <w:jc w:val="left"/>
              <w:rPr>
                <w:rFonts w:eastAsia="宋体"/>
                <w:color w:val="000000"/>
                <w:kern w:val="0"/>
                <w:sz w:val="24"/>
                <w:u w:val="single"/>
              </w:rPr>
            </w:pPr>
            <w:r>
              <w:rPr>
                <w:rFonts w:eastAsia="宋体"/>
                <w:i/>
                <w:color w:val="000000"/>
                <w:kern w:val="0"/>
                <w:sz w:val="24"/>
                <w:u w:val="single"/>
              </w:rPr>
              <w:t>L</w:t>
            </w:r>
            <w:r>
              <w:rPr>
                <w:rFonts w:eastAsia="宋体"/>
                <w:iCs/>
                <w:color w:val="000000"/>
                <w:kern w:val="0"/>
                <w:sz w:val="24"/>
                <w:u w:val="single"/>
                <w:vertAlign w:val="subscript"/>
              </w:rPr>
              <w:t>Ai</w:t>
            </w:r>
            <w:r>
              <w:rPr>
                <w:rFonts w:eastAsia="宋体"/>
                <w:color w:val="000000"/>
                <w:kern w:val="0"/>
                <w:sz w:val="24"/>
                <w:u w:val="single"/>
              </w:rPr>
              <w:t>—</w:t>
            </w:r>
            <w:r>
              <w:rPr>
                <w:rFonts w:eastAsia="宋体"/>
                <w:iCs/>
                <w:color w:val="000000"/>
                <w:kern w:val="0"/>
                <w:sz w:val="24"/>
                <w:u w:val="single"/>
              </w:rPr>
              <w:t>i</w:t>
            </w:r>
            <w:r>
              <w:rPr>
                <w:rFonts w:eastAsia="宋体"/>
                <w:color w:val="000000"/>
                <w:kern w:val="0"/>
                <w:sz w:val="24"/>
                <w:u w:val="single"/>
              </w:rPr>
              <w:t>声源在预测点产生的A声级dB（A）；</w:t>
            </w:r>
          </w:p>
          <w:p>
            <w:pPr>
              <w:wordWrap w:val="0"/>
              <w:autoSpaceDE w:val="0"/>
              <w:autoSpaceDN w:val="0"/>
              <w:spacing w:line="360" w:lineRule="auto"/>
              <w:ind w:firstLine="960" w:firstLineChars="400"/>
              <w:jc w:val="left"/>
              <w:rPr>
                <w:rFonts w:eastAsia="宋体"/>
                <w:color w:val="000000"/>
                <w:kern w:val="0"/>
                <w:sz w:val="24"/>
                <w:u w:val="single"/>
              </w:rPr>
            </w:pPr>
            <w:r>
              <w:rPr>
                <w:rFonts w:eastAsia="宋体"/>
                <w:iCs/>
                <w:color w:val="000000"/>
                <w:kern w:val="0"/>
                <w:sz w:val="24"/>
                <w:u w:val="single"/>
              </w:rPr>
              <w:t>T</w:t>
            </w:r>
            <w:r>
              <w:rPr>
                <w:rFonts w:eastAsia="宋体"/>
                <w:color w:val="000000"/>
                <w:kern w:val="0"/>
                <w:sz w:val="24"/>
                <w:u w:val="single"/>
              </w:rPr>
              <w:t>—预测计算的时间段s；</w:t>
            </w:r>
          </w:p>
          <w:p>
            <w:pPr>
              <w:wordWrap w:val="0"/>
              <w:autoSpaceDE w:val="0"/>
              <w:autoSpaceDN w:val="0"/>
              <w:spacing w:line="360" w:lineRule="auto"/>
              <w:ind w:firstLine="960" w:firstLineChars="400"/>
              <w:jc w:val="left"/>
              <w:rPr>
                <w:rFonts w:eastAsia="宋体"/>
                <w:color w:val="000000"/>
                <w:kern w:val="0"/>
                <w:sz w:val="24"/>
                <w:u w:val="single"/>
              </w:rPr>
            </w:pPr>
            <w:r>
              <w:rPr>
                <w:rFonts w:eastAsia="宋体"/>
                <w:iCs/>
                <w:color w:val="000000"/>
                <w:kern w:val="0"/>
                <w:sz w:val="24"/>
                <w:u w:val="single"/>
              </w:rPr>
              <w:t>t</w:t>
            </w:r>
            <w:r>
              <w:rPr>
                <w:rFonts w:eastAsia="宋体"/>
                <w:iCs/>
                <w:color w:val="000000"/>
                <w:kern w:val="0"/>
                <w:sz w:val="24"/>
                <w:u w:val="single"/>
                <w:vertAlign w:val="subscript"/>
              </w:rPr>
              <w:t>i</w:t>
            </w:r>
            <w:r>
              <w:rPr>
                <w:rFonts w:eastAsia="宋体"/>
                <w:color w:val="000000"/>
                <w:kern w:val="0"/>
                <w:sz w:val="24"/>
                <w:u w:val="single"/>
              </w:rPr>
              <w:t>—</w:t>
            </w:r>
            <w:r>
              <w:rPr>
                <w:rFonts w:eastAsia="宋体"/>
                <w:iCs/>
                <w:color w:val="000000"/>
                <w:kern w:val="0"/>
                <w:sz w:val="24"/>
                <w:u w:val="single"/>
              </w:rPr>
              <w:t>i</w:t>
            </w:r>
            <w:r>
              <w:rPr>
                <w:rFonts w:eastAsia="宋体"/>
                <w:color w:val="000000"/>
                <w:kern w:val="0"/>
                <w:sz w:val="24"/>
                <w:u w:val="single"/>
              </w:rPr>
              <w:t>声源在</w:t>
            </w:r>
            <w:r>
              <w:rPr>
                <w:rFonts w:eastAsia="宋体"/>
                <w:iCs/>
                <w:color w:val="000000"/>
                <w:kern w:val="0"/>
                <w:sz w:val="24"/>
                <w:u w:val="single"/>
              </w:rPr>
              <w:t>T</w:t>
            </w:r>
            <w:r>
              <w:rPr>
                <w:rFonts w:eastAsia="宋体"/>
                <w:color w:val="000000"/>
                <w:kern w:val="0"/>
                <w:sz w:val="24"/>
                <w:u w:val="single"/>
              </w:rPr>
              <w:t>时段内的运行时间s。</w:t>
            </w:r>
          </w:p>
          <w:p>
            <w:pPr>
              <w:wordWrap w:val="0"/>
              <w:spacing w:line="360" w:lineRule="auto"/>
              <w:ind w:firstLine="480" w:firstLineChars="200"/>
              <w:rPr>
                <w:rFonts w:eastAsia="宋体"/>
                <w:color w:val="000000"/>
                <w:sz w:val="24"/>
                <w:u w:val="single"/>
              </w:rPr>
            </w:pPr>
            <w:r>
              <w:rPr>
                <w:rFonts w:eastAsia="宋体"/>
                <w:color w:val="000000"/>
                <w:sz w:val="24"/>
                <w:u w:val="single"/>
              </w:rPr>
              <w:t>③在环境噪声预测中各噪声源作为点声源处理，故几何发散衰减：</w:t>
            </w:r>
          </w:p>
          <w:p>
            <w:pPr>
              <w:wordWrap w:val="0"/>
              <w:spacing w:line="360" w:lineRule="auto"/>
              <w:jc w:val="center"/>
              <w:rPr>
                <w:rFonts w:eastAsia="宋体"/>
                <w:color w:val="000000"/>
                <w:sz w:val="24"/>
                <w:u w:val="single"/>
              </w:rPr>
            </w:pPr>
            <w:r>
              <w:rPr>
                <w:rFonts w:ascii="Times New Roman" w:hAnsi="Times New Roman" w:eastAsia="宋体" w:cs="Times New Roman"/>
                <w:color w:val="000000"/>
                <w:kern w:val="2"/>
                <w:position w:val="-12"/>
                <w:sz w:val="24"/>
                <w:szCs w:val="24"/>
                <w:u w:val="single"/>
                <w:lang w:val="en-US" w:eastAsia="zh-CN" w:bidi="ar-SA"/>
              </w:rPr>
              <w:object>
                <v:shape id="_x0000_s1041" type="#_x0000_t75" style="height:21pt;width:93.75pt;rotation:0f;" o:ole="t" fillcolor="#FFFFFF" filled="f" o:preferrelative="t" stroked="f" coordorigin="0,0" coordsize="21600,21600">
                  <v:fill on="f" color2="#FFFFFF" focus="0%"/>
                  <v:imagedata gain="65536f" blacklevel="0f" gamma="0" o:title="" r:id="rId23"/>
                  <o:lock v:ext="edit" position="f" selection="f" grouping="f" rotation="f" cropping="f" text="f" aspectratio="t"/>
                  <w10:wrap type="none"/>
                  <w10:anchorlock/>
                </v:shape>
                <o:OLEObject Type="Embed" ProgID="" ShapeID="_x0000_s1041" DrawAspect="Content" ObjectID="_1040" r:id="rId22"/>
              </w:object>
            </w:r>
          </w:p>
          <w:p>
            <w:pPr>
              <w:wordWrap w:val="0"/>
              <w:spacing w:line="360" w:lineRule="auto"/>
              <w:ind w:firstLine="439" w:firstLineChars="183"/>
              <w:rPr>
                <w:rFonts w:eastAsia="宋体"/>
                <w:color w:val="000000"/>
                <w:sz w:val="24"/>
                <w:u w:val="single"/>
              </w:rPr>
            </w:pPr>
            <w:r>
              <w:rPr>
                <w:rFonts w:eastAsia="宋体"/>
                <w:color w:val="000000"/>
                <w:sz w:val="24"/>
                <w:u w:val="single"/>
              </w:rPr>
              <w:t>式中：A</w:t>
            </w:r>
            <w:r>
              <w:rPr>
                <w:rFonts w:eastAsia="宋体"/>
                <w:color w:val="000000"/>
                <w:sz w:val="24"/>
                <w:u w:val="single"/>
                <w:vertAlign w:val="subscript"/>
              </w:rPr>
              <w:t>div</w:t>
            </w:r>
            <w:r>
              <w:rPr>
                <w:rFonts w:eastAsia="宋体"/>
                <w:color w:val="000000"/>
                <w:sz w:val="24"/>
                <w:u w:val="single"/>
              </w:rPr>
              <w:t>—几何发散衰减；</w:t>
            </w:r>
          </w:p>
          <w:p>
            <w:pPr>
              <w:wordWrap w:val="0"/>
              <w:spacing w:line="360" w:lineRule="auto"/>
              <w:ind w:firstLine="1128" w:firstLineChars="470"/>
              <w:rPr>
                <w:rFonts w:eastAsia="宋体"/>
                <w:color w:val="000000"/>
                <w:sz w:val="24"/>
                <w:u w:val="single"/>
              </w:rPr>
            </w:pPr>
            <w:r>
              <w:rPr>
                <w:rFonts w:eastAsia="宋体"/>
                <w:color w:val="000000"/>
                <w:sz w:val="24"/>
                <w:u w:val="single"/>
              </w:rPr>
              <w:t>r</w:t>
            </w:r>
            <w:r>
              <w:rPr>
                <w:rFonts w:eastAsia="宋体"/>
                <w:color w:val="000000"/>
                <w:sz w:val="24"/>
                <w:u w:val="single"/>
                <w:vertAlign w:val="subscript"/>
              </w:rPr>
              <w:t>0</w:t>
            </w:r>
            <w:r>
              <w:rPr>
                <w:rFonts w:eastAsia="宋体"/>
                <w:color w:val="000000"/>
                <w:sz w:val="24"/>
                <w:u w:val="single"/>
              </w:rPr>
              <w:t>—噪声合成点与噪声源的距离m；</w:t>
            </w:r>
          </w:p>
          <w:p>
            <w:pPr>
              <w:wordWrap w:val="0"/>
              <w:snapToGrid w:val="0"/>
              <w:spacing w:line="360" w:lineRule="auto"/>
              <w:ind w:firstLine="1080" w:firstLineChars="450"/>
              <w:rPr>
                <w:rFonts w:eastAsia="宋体"/>
                <w:color w:val="000000"/>
                <w:sz w:val="24"/>
                <w:u w:val="single"/>
              </w:rPr>
            </w:pPr>
            <w:r>
              <w:rPr>
                <w:rFonts w:eastAsia="宋体"/>
                <w:color w:val="000000"/>
                <w:sz w:val="24"/>
                <w:u w:val="single"/>
              </w:rPr>
              <w:t>r—预测点与噪声源的距离m。</w:t>
            </w:r>
          </w:p>
          <w:p>
            <w:pPr>
              <w:spacing w:line="360" w:lineRule="auto"/>
              <w:ind w:firstLine="480" w:firstLineChars="200"/>
              <w:rPr>
                <w:rFonts w:eastAsia="宋体"/>
                <w:color w:val="000000"/>
                <w:sz w:val="24"/>
                <w:u w:val="single"/>
              </w:rPr>
            </w:pPr>
            <w:r>
              <w:rPr>
                <w:rFonts w:eastAsia="宋体"/>
                <w:color w:val="000000"/>
                <w:sz w:val="24"/>
                <w:u w:val="single"/>
              </w:rPr>
              <w:t>根据上述噪声预测模式，本项目对各厂界噪声监测点的影响预测结果见下表。</w:t>
            </w:r>
          </w:p>
          <w:p>
            <w:pPr>
              <w:jc w:val="center"/>
              <w:rPr>
                <w:rFonts w:eastAsia="宋体"/>
                <w:b/>
                <w:color w:val="000000"/>
                <w:sz w:val="24"/>
                <w:u w:val="single"/>
              </w:rPr>
            </w:pPr>
            <w:r>
              <w:rPr>
                <w:bCs/>
                <w:color w:val="000000"/>
                <w:sz w:val="24"/>
                <w:u w:val="single"/>
              </w:rPr>
              <w:t>表</w:t>
            </w:r>
            <w:r>
              <w:rPr>
                <w:rFonts w:hint="eastAsia"/>
                <w:bCs/>
                <w:color w:val="000000"/>
                <w:sz w:val="24"/>
                <w:u w:val="single"/>
              </w:rPr>
              <w:t>40</w:t>
            </w:r>
            <w:r>
              <w:rPr>
                <w:bCs/>
                <w:color w:val="000000"/>
                <w:sz w:val="24"/>
                <w:u w:val="single"/>
              </w:rPr>
              <w:t xml:space="preserve">  </w:t>
            </w:r>
            <w:r>
              <w:rPr>
                <w:rFonts w:eastAsia="宋体"/>
                <w:bCs/>
                <w:color w:val="000000"/>
                <w:sz w:val="24"/>
                <w:u w:val="single"/>
              </w:rPr>
              <w:t>项目各噪声源在厂界处预测结果</w:t>
            </w:r>
          </w:p>
          <w:tbl>
            <w:tblPr>
              <w:tblW w:w="8807"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07"/>
              <w:gridCol w:w="1000"/>
              <w:gridCol w:w="848"/>
              <w:gridCol w:w="845"/>
              <w:gridCol w:w="847"/>
              <w:gridCol w:w="844"/>
              <w:gridCol w:w="847"/>
              <w:gridCol w:w="845"/>
              <w:gridCol w:w="849"/>
              <w:gridCol w:w="875"/>
            </w:tblGrid>
            <w:tr>
              <w:trPr>
                <w:trHeight w:val="340" w:hRule="atLeast"/>
                <w:jc w:val="center"/>
              </w:trPr>
              <w:tc>
                <w:tcPr>
                  <w:tcW w:w="1007" w:type="dxa"/>
                  <w:vMerge w:val="restart"/>
                  <w:vAlign w:val="center"/>
                </w:tcPr>
                <w:p>
                  <w:pPr>
                    <w:pStyle w:val="41"/>
                    <w:jc w:val="center"/>
                    <w:rPr>
                      <w:rFonts w:ascii="Times New Roman" w:hAnsi="Times New Roman"/>
                      <w:b w:val="0"/>
                      <w:bCs/>
                      <w:color w:val="000000"/>
                      <w:sz w:val="18"/>
                      <w:u w:val="single"/>
                    </w:rPr>
                  </w:pPr>
                  <w:r>
                    <w:rPr>
                      <w:rFonts w:ascii="Times New Roman" w:hAnsi="Times New Roman"/>
                      <w:b w:val="0"/>
                      <w:bCs/>
                      <w:color w:val="000000"/>
                      <w:sz w:val="18"/>
                      <w:u w:val="single"/>
                    </w:rPr>
                    <w:t>声源位置</w:t>
                  </w:r>
                </w:p>
              </w:tc>
              <w:tc>
                <w:tcPr>
                  <w:tcW w:w="1000" w:type="dxa"/>
                  <w:vMerge w:val="restart"/>
                  <w:vAlign w:val="center"/>
                </w:tcPr>
                <w:p>
                  <w:pPr>
                    <w:pStyle w:val="41"/>
                    <w:jc w:val="center"/>
                    <w:rPr>
                      <w:rFonts w:ascii="Times New Roman" w:hAnsi="Times New Roman"/>
                      <w:b w:val="0"/>
                      <w:bCs/>
                      <w:color w:val="000000"/>
                      <w:sz w:val="18"/>
                      <w:u w:val="single"/>
                    </w:rPr>
                  </w:pPr>
                  <w:r>
                    <w:rPr>
                      <w:rFonts w:ascii="Times New Roman" w:hAnsi="Times New Roman"/>
                      <w:b w:val="0"/>
                      <w:bCs/>
                      <w:color w:val="000000"/>
                      <w:sz w:val="18"/>
                      <w:u w:val="single"/>
                    </w:rPr>
                    <w:t>声源强度dB（A）</w:t>
                  </w:r>
                </w:p>
              </w:tc>
              <w:tc>
                <w:tcPr>
                  <w:tcW w:w="1693" w:type="dxa"/>
                  <w:gridSpan w:val="2"/>
                  <w:vAlign w:val="center"/>
                </w:tcPr>
                <w:p>
                  <w:pPr>
                    <w:pStyle w:val="41"/>
                    <w:jc w:val="center"/>
                    <w:rPr>
                      <w:rFonts w:ascii="Times New Roman" w:hAnsi="Times New Roman"/>
                      <w:b w:val="0"/>
                      <w:bCs/>
                      <w:color w:val="000000"/>
                      <w:sz w:val="18"/>
                      <w:u w:val="single"/>
                    </w:rPr>
                  </w:pPr>
                  <w:r>
                    <w:rPr>
                      <w:rFonts w:ascii="Times New Roman" w:hAnsi="Times New Roman"/>
                      <w:b w:val="0"/>
                      <w:bCs/>
                      <w:color w:val="000000"/>
                      <w:sz w:val="18"/>
                      <w:u w:val="single"/>
                    </w:rPr>
                    <w:t>东厂界</w:t>
                  </w:r>
                </w:p>
              </w:tc>
              <w:tc>
                <w:tcPr>
                  <w:tcW w:w="1691" w:type="dxa"/>
                  <w:gridSpan w:val="2"/>
                  <w:vAlign w:val="center"/>
                </w:tcPr>
                <w:p>
                  <w:pPr>
                    <w:pStyle w:val="41"/>
                    <w:jc w:val="center"/>
                    <w:rPr>
                      <w:rFonts w:ascii="Times New Roman" w:hAnsi="Times New Roman"/>
                      <w:b w:val="0"/>
                      <w:bCs/>
                      <w:color w:val="000000"/>
                      <w:sz w:val="18"/>
                      <w:u w:val="single"/>
                    </w:rPr>
                  </w:pPr>
                  <w:r>
                    <w:rPr>
                      <w:rFonts w:ascii="Times New Roman" w:hAnsi="Times New Roman"/>
                      <w:b w:val="0"/>
                      <w:bCs/>
                      <w:color w:val="000000"/>
                      <w:sz w:val="18"/>
                      <w:u w:val="single"/>
                    </w:rPr>
                    <w:t>南厂界</w:t>
                  </w:r>
                </w:p>
              </w:tc>
              <w:tc>
                <w:tcPr>
                  <w:tcW w:w="1692" w:type="dxa"/>
                  <w:gridSpan w:val="2"/>
                  <w:vAlign w:val="center"/>
                </w:tcPr>
                <w:p>
                  <w:pPr>
                    <w:pStyle w:val="41"/>
                    <w:jc w:val="center"/>
                    <w:rPr>
                      <w:rFonts w:ascii="Times New Roman" w:hAnsi="Times New Roman"/>
                      <w:b w:val="0"/>
                      <w:bCs/>
                      <w:color w:val="000000"/>
                      <w:sz w:val="18"/>
                      <w:u w:val="single"/>
                    </w:rPr>
                  </w:pPr>
                  <w:r>
                    <w:rPr>
                      <w:rFonts w:ascii="Times New Roman" w:hAnsi="Times New Roman"/>
                      <w:b w:val="0"/>
                      <w:bCs/>
                      <w:color w:val="000000"/>
                      <w:sz w:val="18"/>
                      <w:u w:val="single"/>
                    </w:rPr>
                    <w:t>西厂界</w:t>
                  </w:r>
                </w:p>
              </w:tc>
              <w:tc>
                <w:tcPr>
                  <w:tcW w:w="1724" w:type="dxa"/>
                  <w:gridSpan w:val="2"/>
                  <w:vAlign w:val="center"/>
                </w:tcPr>
                <w:p>
                  <w:pPr>
                    <w:pStyle w:val="41"/>
                    <w:jc w:val="center"/>
                    <w:rPr>
                      <w:rFonts w:ascii="Times New Roman" w:hAnsi="Times New Roman"/>
                      <w:b w:val="0"/>
                      <w:bCs/>
                      <w:color w:val="000000"/>
                      <w:sz w:val="18"/>
                      <w:u w:val="single"/>
                    </w:rPr>
                  </w:pPr>
                  <w:r>
                    <w:rPr>
                      <w:rFonts w:ascii="Times New Roman" w:hAnsi="Times New Roman"/>
                      <w:b w:val="0"/>
                      <w:bCs/>
                      <w:color w:val="000000"/>
                      <w:sz w:val="18"/>
                      <w:u w:val="single"/>
                    </w:rPr>
                    <w:t>北厂界</w:t>
                  </w:r>
                </w:p>
              </w:tc>
            </w:tr>
            <w:tr>
              <w:trPr>
                <w:trHeight w:val="340" w:hRule="atLeast"/>
                <w:jc w:val="center"/>
              </w:trPr>
              <w:tc>
                <w:tcPr>
                  <w:tcW w:w="1007" w:type="dxa"/>
                  <w:vMerge w:val="continue"/>
                  <w:vAlign w:val="center"/>
                </w:tcPr>
                <w:p>
                  <w:pPr>
                    <w:pStyle w:val="41"/>
                    <w:jc w:val="center"/>
                    <w:rPr>
                      <w:rFonts w:ascii="Times New Roman" w:hAnsi="Times New Roman"/>
                      <w:bCs/>
                      <w:color w:val="000000"/>
                      <w:sz w:val="18"/>
                      <w:u w:val="single"/>
                    </w:rPr>
                  </w:pPr>
                </w:p>
              </w:tc>
              <w:tc>
                <w:tcPr>
                  <w:tcW w:w="1000" w:type="dxa"/>
                  <w:vMerge w:val="continue"/>
                  <w:vAlign w:val="center"/>
                </w:tcPr>
                <w:p>
                  <w:pPr>
                    <w:pStyle w:val="41"/>
                    <w:jc w:val="center"/>
                    <w:rPr>
                      <w:rFonts w:ascii="Times New Roman" w:hAnsi="Times New Roman"/>
                      <w:bCs/>
                      <w:color w:val="000000"/>
                      <w:sz w:val="18"/>
                      <w:u w:val="single"/>
                    </w:rPr>
                  </w:pPr>
                </w:p>
              </w:tc>
              <w:tc>
                <w:tcPr>
                  <w:tcW w:w="848" w:type="dxa"/>
                  <w:vAlign w:val="center"/>
                </w:tcPr>
                <w:p>
                  <w:pPr>
                    <w:pStyle w:val="41"/>
                    <w:jc w:val="center"/>
                    <w:rPr>
                      <w:rFonts w:ascii="Times New Roman" w:hAnsi="Times New Roman"/>
                      <w:bCs/>
                      <w:color w:val="000000"/>
                      <w:sz w:val="18"/>
                      <w:u w:val="single"/>
                    </w:rPr>
                  </w:pPr>
                  <w:r>
                    <w:rPr>
                      <w:rFonts w:ascii="Times New Roman" w:hAnsi="Times New Roman"/>
                      <w:bCs/>
                      <w:color w:val="000000"/>
                      <w:sz w:val="18"/>
                      <w:u w:val="single"/>
                    </w:rPr>
                    <w:t>距离（m）</w:t>
                  </w:r>
                </w:p>
              </w:tc>
              <w:tc>
                <w:tcPr>
                  <w:tcW w:w="845" w:type="dxa"/>
                  <w:vAlign w:val="center"/>
                </w:tcPr>
                <w:p>
                  <w:pPr>
                    <w:pStyle w:val="41"/>
                    <w:jc w:val="center"/>
                    <w:rPr>
                      <w:rFonts w:ascii="Times New Roman" w:hAnsi="Times New Roman"/>
                      <w:bCs/>
                      <w:color w:val="000000"/>
                      <w:sz w:val="18"/>
                      <w:u w:val="single"/>
                    </w:rPr>
                  </w:pPr>
                  <w:r>
                    <w:rPr>
                      <w:rFonts w:ascii="Times New Roman" w:hAnsi="Times New Roman"/>
                      <w:bCs/>
                      <w:color w:val="000000"/>
                      <w:sz w:val="18"/>
                      <w:u w:val="single"/>
                    </w:rPr>
                    <w:t>贡献值dB（A）</w:t>
                  </w:r>
                </w:p>
              </w:tc>
              <w:tc>
                <w:tcPr>
                  <w:tcW w:w="847" w:type="dxa"/>
                  <w:vAlign w:val="center"/>
                </w:tcPr>
                <w:p>
                  <w:pPr>
                    <w:pStyle w:val="41"/>
                    <w:jc w:val="center"/>
                    <w:rPr>
                      <w:rFonts w:ascii="Times New Roman" w:hAnsi="Times New Roman"/>
                      <w:bCs/>
                      <w:color w:val="000000"/>
                      <w:sz w:val="18"/>
                      <w:u w:val="single"/>
                    </w:rPr>
                  </w:pPr>
                  <w:r>
                    <w:rPr>
                      <w:rFonts w:ascii="Times New Roman" w:hAnsi="Times New Roman"/>
                      <w:bCs/>
                      <w:color w:val="000000"/>
                      <w:sz w:val="18"/>
                      <w:u w:val="single"/>
                    </w:rPr>
                    <w:t>距离（m）</w:t>
                  </w:r>
                </w:p>
              </w:tc>
              <w:tc>
                <w:tcPr>
                  <w:tcW w:w="844" w:type="dxa"/>
                  <w:vAlign w:val="center"/>
                </w:tcPr>
                <w:p>
                  <w:pPr>
                    <w:pStyle w:val="41"/>
                    <w:jc w:val="center"/>
                    <w:rPr>
                      <w:rFonts w:ascii="Times New Roman" w:hAnsi="Times New Roman"/>
                      <w:bCs/>
                      <w:color w:val="000000"/>
                      <w:sz w:val="18"/>
                      <w:u w:val="single"/>
                    </w:rPr>
                  </w:pPr>
                  <w:r>
                    <w:rPr>
                      <w:rFonts w:ascii="Times New Roman" w:hAnsi="Times New Roman"/>
                      <w:bCs/>
                      <w:color w:val="000000"/>
                      <w:sz w:val="18"/>
                      <w:u w:val="single"/>
                    </w:rPr>
                    <w:t>贡献值dB（A）</w:t>
                  </w:r>
                </w:p>
              </w:tc>
              <w:tc>
                <w:tcPr>
                  <w:tcW w:w="847" w:type="dxa"/>
                  <w:vAlign w:val="center"/>
                </w:tcPr>
                <w:p>
                  <w:pPr>
                    <w:pStyle w:val="41"/>
                    <w:jc w:val="center"/>
                    <w:rPr>
                      <w:rFonts w:ascii="Times New Roman" w:hAnsi="Times New Roman"/>
                      <w:bCs/>
                      <w:color w:val="000000"/>
                      <w:sz w:val="18"/>
                      <w:u w:val="single"/>
                    </w:rPr>
                  </w:pPr>
                  <w:r>
                    <w:rPr>
                      <w:rFonts w:ascii="Times New Roman" w:hAnsi="Times New Roman"/>
                      <w:bCs/>
                      <w:color w:val="000000"/>
                      <w:sz w:val="18"/>
                      <w:u w:val="single"/>
                    </w:rPr>
                    <w:t>距离（m）</w:t>
                  </w:r>
                </w:p>
              </w:tc>
              <w:tc>
                <w:tcPr>
                  <w:tcW w:w="845" w:type="dxa"/>
                  <w:vAlign w:val="center"/>
                </w:tcPr>
                <w:p>
                  <w:pPr>
                    <w:pStyle w:val="41"/>
                    <w:jc w:val="center"/>
                    <w:rPr>
                      <w:rFonts w:ascii="Times New Roman" w:hAnsi="Times New Roman"/>
                      <w:bCs/>
                      <w:color w:val="000000"/>
                      <w:sz w:val="18"/>
                      <w:u w:val="single"/>
                    </w:rPr>
                  </w:pPr>
                  <w:r>
                    <w:rPr>
                      <w:rFonts w:ascii="Times New Roman" w:hAnsi="Times New Roman"/>
                      <w:bCs/>
                      <w:color w:val="000000"/>
                      <w:sz w:val="18"/>
                      <w:u w:val="single"/>
                    </w:rPr>
                    <w:t>贡献值dB（A）</w:t>
                  </w:r>
                </w:p>
              </w:tc>
              <w:tc>
                <w:tcPr>
                  <w:tcW w:w="849" w:type="dxa"/>
                  <w:vAlign w:val="center"/>
                </w:tcPr>
                <w:p>
                  <w:pPr>
                    <w:pStyle w:val="41"/>
                    <w:jc w:val="center"/>
                    <w:rPr>
                      <w:rFonts w:ascii="Times New Roman" w:hAnsi="Times New Roman"/>
                      <w:bCs/>
                      <w:color w:val="000000"/>
                      <w:sz w:val="18"/>
                      <w:u w:val="single"/>
                    </w:rPr>
                  </w:pPr>
                  <w:r>
                    <w:rPr>
                      <w:rFonts w:ascii="Times New Roman" w:hAnsi="Times New Roman"/>
                      <w:bCs/>
                      <w:color w:val="000000"/>
                      <w:sz w:val="18"/>
                      <w:u w:val="single"/>
                    </w:rPr>
                    <w:t>距离（m）</w:t>
                  </w:r>
                </w:p>
              </w:tc>
              <w:tc>
                <w:tcPr>
                  <w:tcW w:w="875" w:type="dxa"/>
                  <w:vAlign w:val="center"/>
                </w:tcPr>
                <w:p>
                  <w:pPr>
                    <w:pStyle w:val="41"/>
                    <w:jc w:val="center"/>
                    <w:rPr>
                      <w:rFonts w:ascii="Times New Roman" w:hAnsi="Times New Roman"/>
                      <w:bCs/>
                      <w:color w:val="000000"/>
                      <w:sz w:val="18"/>
                      <w:u w:val="single"/>
                    </w:rPr>
                  </w:pPr>
                  <w:r>
                    <w:rPr>
                      <w:rFonts w:ascii="Times New Roman" w:hAnsi="Times New Roman"/>
                      <w:bCs/>
                      <w:color w:val="000000"/>
                      <w:sz w:val="18"/>
                      <w:u w:val="single"/>
                    </w:rPr>
                    <w:t>贡献值dB（A）</w:t>
                  </w:r>
                </w:p>
              </w:tc>
            </w:tr>
            <w:tr>
              <w:trPr>
                <w:trHeight w:val="340" w:hRule="atLeast"/>
                <w:jc w:val="center"/>
              </w:trPr>
              <w:tc>
                <w:tcPr>
                  <w:tcW w:w="1007" w:type="dxa"/>
                  <w:vAlign w:val="center"/>
                </w:tcPr>
                <w:p>
                  <w:pPr>
                    <w:pStyle w:val="41"/>
                    <w:jc w:val="center"/>
                    <w:rPr>
                      <w:rFonts w:ascii="Times New Roman" w:hAnsi="Times New Roman"/>
                      <w:bCs/>
                      <w:color w:val="000000"/>
                      <w:sz w:val="18"/>
                      <w:u w:val="single"/>
                    </w:rPr>
                  </w:pPr>
                  <w:r>
                    <w:rPr>
                      <w:rFonts w:ascii="Times New Roman" w:hAnsi="Times New Roman"/>
                      <w:bCs/>
                      <w:color w:val="000000"/>
                      <w:sz w:val="18"/>
                      <w:u w:val="single"/>
                    </w:rPr>
                    <w:t>锅炉房</w:t>
                  </w:r>
                </w:p>
              </w:tc>
              <w:tc>
                <w:tcPr>
                  <w:tcW w:w="1000" w:type="dxa"/>
                  <w:vAlign w:val="center"/>
                </w:tcPr>
                <w:p>
                  <w:pPr>
                    <w:pStyle w:val="41"/>
                    <w:jc w:val="center"/>
                    <w:rPr>
                      <w:rFonts w:ascii="Times New Roman" w:hAnsi="Times New Roman"/>
                      <w:bCs/>
                      <w:color w:val="000000"/>
                      <w:sz w:val="18"/>
                      <w:u w:val="single"/>
                    </w:rPr>
                  </w:pPr>
                  <w:r>
                    <w:rPr>
                      <w:rFonts w:hint="eastAsia" w:ascii="Times New Roman" w:hAnsi="Times New Roman"/>
                      <w:bCs/>
                      <w:color w:val="000000"/>
                      <w:sz w:val="18"/>
                      <w:u w:val="single"/>
                    </w:rPr>
                    <w:t>61.06</w:t>
                  </w:r>
                </w:p>
              </w:tc>
              <w:tc>
                <w:tcPr>
                  <w:tcW w:w="848" w:type="dxa"/>
                  <w:vAlign w:val="center"/>
                </w:tcPr>
                <w:p>
                  <w:pPr>
                    <w:pStyle w:val="41"/>
                    <w:jc w:val="center"/>
                    <w:rPr>
                      <w:rFonts w:ascii="Times New Roman" w:hAnsi="Times New Roman"/>
                      <w:bCs/>
                      <w:color w:val="000000"/>
                      <w:sz w:val="18"/>
                      <w:u w:val="single"/>
                    </w:rPr>
                  </w:pPr>
                  <w:r>
                    <w:rPr>
                      <w:rFonts w:hint="eastAsia" w:ascii="Times New Roman" w:hAnsi="Times New Roman"/>
                      <w:bCs/>
                      <w:color w:val="000000"/>
                      <w:sz w:val="18"/>
                      <w:u w:val="single"/>
                    </w:rPr>
                    <w:t>7</w:t>
                  </w:r>
                </w:p>
              </w:tc>
              <w:tc>
                <w:tcPr>
                  <w:tcW w:w="845" w:type="dxa"/>
                  <w:vAlign w:val="center"/>
                </w:tcPr>
                <w:p>
                  <w:pPr>
                    <w:pStyle w:val="41"/>
                    <w:jc w:val="center"/>
                    <w:rPr>
                      <w:rFonts w:ascii="Times New Roman" w:hAnsi="Times New Roman"/>
                      <w:bCs/>
                      <w:color w:val="000000"/>
                      <w:sz w:val="18"/>
                      <w:u w:val="single"/>
                    </w:rPr>
                  </w:pPr>
                  <w:r>
                    <w:rPr>
                      <w:rFonts w:hint="eastAsia" w:ascii="Times New Roman" w:hAnsi="Times New Roman"/>
                      <w:bCs/>
                      <w:color w:val="000000"/>
                      <w:sz w:val="18"/>
                      <w:u w:val="single"/>
                    </w:rPr>
                    <w:t>44.2</w:t>
                  </w:r>
                </w:p>
              </w:tc>
              <w:tc>
                <w:tcPr>
                  <w:tcW w:w="847" w:type="dxa"/>
                  <w:vAlign w:val="center"/>
                </w:tcPr>
                <w:p>
                  <w:pPr>
                    <w:pStyle w:val="41"/>
                    <w:jc w:val="center"/>
                    <w:rPr>
                      <w:rFonts w:ascii="Times New Roman" w:hAnsi="Times New Roman"/>
                      <w:bCs/>
                      <w:color w:val="000000"/>
                      <w:sz w:val="18"/>
                      <w:u w:val="single"/>
                    </w:rPr>
                  </w:pPr>
                  <w:r>
                    <w:rPr>
                      <w:rFonts w:hint="eastAsia" w:ascii="Times New Roman" w:hAnsi="Times New Roman"/>
                      <w:bCs/>
                      <w:color w:val="000000"/>
                      <w:sz w:val="18"/>
                      <w:u w:val="single"/>
                    </w:rPr>
                    <w:t>6</w:t>
                  </w:r>
                </w:p>
              </w:tc>
              <w:tc>
                <w:tcPr>
                  <w:tcW w:w="844" w:type="dxa"/>
                  <w:vAlign w:val="center"/>
                </w:tcPr>
                <w:p>
                  <w:pPr>
                    <w:pStyle w:val="41"/>
                    <w:jc w:val="center"/>
                    <w:rPr>
                      <w:rFonts w:ascii="Times New Roman" w:hAnsi="Times New Roman"/>
                      <w:bCs/>
                      <w:color w:val="000000"/>
                      <w:sz w:val="18"/>
                      <w:u w:val="single"/>
                    </w:rPr>
                  </w:pPr>
                  <w:r>
                    <w:rPr>
                      <w:rFonts w:hint="eastAsia" w:ascii="Times New Roman" w:hAnsi="Times New Roman"/>
                      <w:bCs/>
                      <w:color w:val="000000"/>
                      <w:sz w:val="18"/>
                      <w:u w:val="single"/>
                    </w:rPr>
                    <w:t>45.5</w:t>
                  </w:r>
                </w:p>
              </w:tc>
              <w:tc>
                <w:tcPr>
                  <w:tcW w:w="847" w:type="dxa"/>
                  <w:vAlign w:val="center"/>
                </w:tcPr>
                <w:p>
                  <w:pPr>
                    <w:pStyle w:val="41"/>
                    <w:jc w:val="center"/>
                    <w:rPr>
                      <w:rFonts w:ascii="Times New Roman" w:hAnsi="Times New Roman"/>
                      <w:bCs/>
                      <w:color w:val="000000"/>
                      <w:sz w:val="18"/>
                      <w:u w:val="single"/>
                    </w:rPr>
                  </w:pPr>
                  <w:r>
                    <w:rPr>
                      <w:rFonts w:hint="eastAsia" w:ascii="Times New Roman" w:hAnsi="Times New Roman"/>
                      <w:bCs/>
                      <w:color w:val="000000"/>
                      <w:sz w:val="18"/>
                      <w:u w:val="single"/>
                    </w:rPr>
                    <w:t>5</w:t>
                  </w:r>
                </w:p>
              </w:tc>
              <w:tc>
                <w:tcPr>
                  <w:tcW w:w="845" w:type="dxa"/>
                  <w:vAlign w:val="center"/>
                </w:tcPr>
                <w:p>
                  <w:pPr>
                    <w:pStyle w:val="41"/>
                    <w:jc w:val="center"/>
                    <w:rPr>
                      <w:rFonts w:ascii="Times New Roman" w:hAnsi="Times New Roman"/>
                      <w:bCs/>
                      <w:color w:val="000000"/>
                      <w:sz w:val="18"/>
                      <w:u w:val="single"/>
                    </w:rPr>
                  </w:pPr>
                  <w:r>
                    <w:rPr>
                      <w:rFonts w:hint="eastAsia" w:ascii="Times New Roman" w:hAnsi="Times New Roman"/>
                      <w:bCs/>
                      <w:color w:val="000000"/>
                      <w:sz w:val="18"/>
                      <w:u w:val="single"/>
                    </w:rPr>
                    <w:t>47.1</w:t>
                  </w:r>
                </w:p>
              </w:tc>
              <w:tc>
                <w:tcPr>
                  <w:tcW w:w="849" w:type="dxa"/>
                  <w:vAlign w:val="center"/>
                </w:tcPr>
                <w:p>
                  <w:pPr>
                    <w:pStyle w:val="41"/>
                    <w:jc w:val="center"/>
                    <w:rPr>
                      <w:rFonts w:ascii="Times New Roman" w:hAnsi="Times New Roman"/>
                      <w:bCs/>
                      <w:color w:val="000000"/>
                      <w:sz w:val="18"/>
                      <w:u w:val="single"/>
                    </w:rPr>
                  </w:pPr>
                  <w:r>
                    <w:rPr>
                      <w:rFonts w:hint="eastAsia" w:ascii="Times New Roman" w:hAnsi="Times New Roman"/>
                      <w:bCs/>
                      <w:color w:val="000000"/>
                      <w:sz w:val="18"/>
                      <w:u w:val="single"/>
                    </w:rPr>
                    <w:t>153</w:t>
                  </w:r>
                </w:p>
              </w:tc>
              <w:tc>
                <w:tcPr>
                  <w:tcW w:w="875" w:type="dxa"/>
                  <w:vAlign w:val="center"/>
                </w:tcPr>
                <w:p>
                  <w:pPr>
                    <w:pStyle w:val="41"/>
                    <w:jc w:val="center"/>
                    <w:rPr>
                      <w:rFonts w:ascii="Times New Roman" w:hAnsi="Times New Roman"/>
                      <w:bCs/>
                      <w:color w:val="000000"/>
                      <w:sz w:val="18"/>
                      <w:u w:val="single"/>
                    </w:rPr>
                  </w:pPr>
                  <w:r>
                    <w:rPr>
                      <w:rFonts w:hint="eastAsia" w:ascii="Times New Roman" w:hAnsi="Times New Roman"/>
                      <w:bCs/>
                      <w:color w:val="000000"/>
                      <w:sz w:val="18"/>
                      <w:u w:val="single"/>
                    </w:rPr>
                    <w:t>19.4</w:t>
                  </w:r>
                </w:p>
              </w:tc>
            </w:tr>
            <w:tr>
              <w:trPr>
                <w:trHeight w:val="340" w:hRule="atLeast"/>
                <w:jc w:val="center"/>
              </w:trPr>
              <w:tc>
                <w:tcPr>
                  <w:tcW w:w="2007" w:type="dxa"/>
                  <w:gridSpan w:val="2"/>
                  <w:vMerge w:val="restart"/>
                  <w:vAlign w:val="center"/>
                </w:tcPr>
                <w:p>
                  <w:pPr>
                    <w:pStyle w:val="41"/>
                    <w:jc w:val="center"/>
                    <w:rPr>
                      <w:rFonts w:ascii="Times New Roman" w:hAnsi="Times New Roman"/>
                      <w:bCs/>
                      <w:color w:val="000000"/>
                      <w:sz w:val="18"/>
                      <w:u w:val="single"/>
                    </w:rPr>
                  </w:pPr>
                  <w:r>
                    <w:rPr>
                      <w:rFonts w:ascii="Times New Roman" w:hAnsi="Times New Roman"/>
                      <w:bCs/>
                      <w:color w:val="000000"/>
                      <w:sz w:val="18"/>
                      <w:u w:val="single"/>
                    </w:rPr>
                    <w:t>标准值</w:t>
                  </w:r>
                </w:p>
              </w:tc>
              <w:tc>
                <w:tcPr>
                  <w:tcW w:w="1693" w:type="dxa"/>
                  <w:gridSpan w:val="2"/>
                  <w:vAlign w:val="center"/>
                </w:tcPr>
                <w:p>
                  <w:pPr>
                    <w:pStyle w:val="41"/>
                    <w:jc w:val="center"/>
                    <w:rPr>
                      <w:rFonts w:ascii="Times New Roman" w:hAnsi="Times New Roman"/>
                      <w:bCs/>
                      <w:color w:val="000000"/>
                      <w:sz w:val="18"/>
                      <w:u w:val="single"/>
                    </w:rPr>
                  </w:pPr>
                  <w:r>
                    <w:rPr>
                      <w:rFonts w:hint="eastAsia" w:ascii="Times New Roman" w:hAnsi="Times New Roman"/>
                      <w:bCs/>
                      <w:color w:val="000000"/>
                      <w:sz w:val="18"/>
                      <w:u w:val="single"/>
                    </w:rPr>
                    <w:t>65</w:t>
                  </w:r>
                </w:p>
              </w:tc>
              <w:tc>
                <w:tcPr>
                  <w:tcW w:w="1691" w:type="dxa"/>
                  <w:gridSpan w:val="2"/>
                  <w:vAlign w:val="center"/>
                </w:tcPr>
                <w:p>
                  <w:pPr>
                    <w:pStyle w:val="41"/>
                    <w:jc w:val="center"/>
                    <w:rPr>
                      <w:rFonts w:ascii="Times New Roman" w:hAnsi="Times New Roman"/>
                      <w:bCs/>
                      <w:color w:val="000000"/>
                      <w:sz w:val="18"/>
                      <w:u w:val="single"/>
                    </w:rPr>
                  </w:pPr>
                  <w:r>
                    <w:rPr>
                      <w:rFonts w:hint="eastAsia" w:ascii="Times New Roman" w:hAnsi="Times New Roman"/>
                      <w:bCs/>
                      <w:color w:val="000000"/>
                      <w:sz w:val="18"/>
                      <w:u w:val="single"/>
                    </w:rPr>
                    <w:t>65</w:t>
                  </w:r>
                </w:p>
              </w:tc>
              <w:tc>
                <w:tcPr>
                  <w:tcW w:w="1692" w:type="dxa"/>
                  <w:gridSpan w:val="2"/>
                  <w:vAlign w:val="center"/>
                </w:tcPr>
                <w:p>
                  <w:pPr>
                    <w:pStyle w:val="41"/>
                    <w:jc w:val="center"/>
                    <w:rPr>
                      <w:rFonts w:ascii="Times New Roman" w:hAnsi="Times New Roman"/>
                      <w:bCs/>
                      <w:color w:val="000000"/>
                      <w:sz w:val="18"/>
                      <w:u w:val="single"/>
                    </w:rPr>
                  </w:pPr>
                  <w:r>
                    <w:rPr>
                      <w:rFonts w:hint="eastAsia" w:ascii="Times New Roman" w:hAnsi="Times New Roman"/>
                      <w:bCs/>
                      <w:color w:val="000000"/>
                      <w:sz w:val="18"/>
                      <w:u w:val="single"/>
                    </w:rPr>
                    <w:t>65</w:t>
                  </w:r>
                </w:p>
              </w:tc>
              <w:tc>
                <w:tcPr>
                  <w:tcW w:w="1724" w:type="dxa"/>
                  <w:gridSpan w:val="2"/>
                  <w:vAlign w:val="center"/>
                </w:tcPr>
                <w:p>
                  <w:pPr>
                    <w:pStyle w:val="41"/>
                    <w:jc w:val="center"/>
                    <w:rPr>
                      <w:rFonts w:ascii="Times New Roman" w:hAnsi="Times New Roman"/>
                      <w:bCs/>
                      <w:color w:val="000000"/>
                      <w:sz w:val="18"/>
                      <w:u w:val="single"/>
                    </w:rPr>
                  </w:pPr>
                  <w:r>
                    <w:rPr>
                      <w:rFonts w:hint="eastAsia" w:ascii="Times New Roman" w:hAnsi="Times New Roman"/>
                      <w:bCs/>
                      <w:color w:val="000000"/>
                      <w:sz w:val="18"/>
                      <w:u w:val="single"/>
                    </w:rPr>
                    <w:t>65</w:t>
                  </w:r>
                </w:p>
              </w:tc>
            </w:tr>
            <w:tr>
              <w:trPr>
                <w:trHeight w:val="340" w:hRule="atLeast"/>
                <w:jc w:val="center"/>
              </w:trPr>
              <w:tc>
                <w:tcPr>
                  <w:tcW w:w="2007" w:type="dxa"/>
                  <w:gridSpan w:val="2"/>
                  <w:vMerge w:val="continue"/>
                  <w:vAlign w:val="center"/>
                </w:tcPr>
                <w:p>
                  <w:pPr>
                    <w:pStyle w:val="41"/>
                    <w:jc w:val="center"/>
                    <w:rPr>
                      <w:rFonts w:ascii="Times New Roman" w:hAnsi="Times New Roman"/>
                      <w:bCs/>
                      <w:color w:val="000000"/>
                      <w:sz w:val="18"/>
                      <w:u w:val="single"/>
                    </w:rPr>
                  </w:pPr>
                </w:p>
              </w:tc>
              <w:tc>
                <w:tcPr>
                  <w:tcW w:w="1693" w:type="dxa"/>
                  <w:gridSpan w:val="2"/>
                  <w:vAlign w:val="center"/>
                </w:tcPr>
                <w:p>
                  <w:pPr>
                    <w:pStyle w:val="41"/>
                    <w:jc w:val="center"/>
                    <w:rPr>
                      <w:rFonts w:ascii="Times New Roman" w:hAnsi="Times New Roman"/>
                      <w:bCs/>
                      <w:color w:val="000000"/>
                      <w:sz w:val="18"/>
                      <w:u w:val="single"/>
                    </w:rPr>
                  </w:pPr>
                  <w:r>
                    <w:rPr>
                      <w:rFonts w:hint="eastAsia" w:ascii="Times New Roman" w:hAnsi="Times New Roman"/>
                      <w:bCs/>
                      <w:color w:val="000000"/>
                      <w:sz w:val="18"/>
                      <w:u w:val="single"/>
                    </w:rPr>
                    <w:t>55</w:t>
                  </w:r>
                </w:p>
              </w:tc>
              <w:tc>
                <w:tcPr>
                  <w:tcW w:w="1691" w:type="dxa"/>
                  <w:gridSpan w:val="2"/>
                  <w:vAlign w:val="center"/>
                </w:tcPr>
                <w:p>
                  <w:pPr>
                    <w:pStyle w:val="41"/>
                    <w:jc w:val="center"/>
                    <w:rPr>
                      <w:rFonts w:ascii="Times New Roman" w:hAnsi="Times New Roman"/>
                      <w:bCs/>
                      <w:color w:val="000000"/>
                      <w:sz w:val="18"/>
                      <w:u w:val="single"/>
                    </w:rPr>
                  </w:pPr>
                  <w:r>
                    <w:rPr>
                      <w:rFonts w:hint="eastAsia" w:ascii="Times New Roman" w:hAnsi="Times New Roman"/>
                      <w:bCs/>
                      <w:color w:val="000000"/>
                      <w:sz w:val="18"/>
                      <w:u w:val="single"/>
                    </w:rPr>
                    <w:t>55</w:t>
                  </w:r>
                </w:p>
              </w:tc>
              <w:tc>
                <w:tcPr>
                  <w:tcW w:w="1692" w:type="dxa"/>
                  <w:gridSpan w:val="2"/>
                  <w:vAlign w:val="center"/>
                </w:tcPr>
                <w:p>
                  <w:pPr>
                    <w:pStyle w:val="41"/>
                    <w:jc w:val="center"/>
                    <w:rPr>
                      <w:rFonts w:ascii="Times New Roman" w:hAnsi="Times New Roman"/>
                      <w:bCs/>
                      <w:color w:val="000000"/>
                      <w:sz w:val="18"/>
                      <w:u w:val="single"/>
                    </w:rPr>
                  </w:pPr>
                  <w:r>
                    <w:rPr>
                      <w:rFonts w:hint="eastAsia" w:ascii="Times New Roman" w:hAnsi="Times New Roman"/>
                      <w:bCs/>
                      <w:color w:val="000000"/>
                      <w:sz w:val="18"/>
                      <w:u w:val="single"/>
                    </w:rPr>
                    <w:t>55</w:t>
                  </w:r>
                </w:p>
              </w:tc>
              <w:tc>
                <w:tcPr>
                  <w:tcW w:w="1724" w:type="dxa"/>
                  <w:gridSpan w:val="2"/>
                  <w:vAlign w:val="center"/>
                </w:tcPr>
                <w:p>
                  <w:pPr>
                    <w:pStyle w:val="41"/>
                    <w:jc w:val="center"/>
                    <w:rPr>
                      <w:rFonts w:ascii="Times New Roman" w:hAnsi="Times New Roman"/>
                      <w:bCs/>
                      <w:color w:val="000000"/>
                      <w:sz w:val="18"/>
                      <w:u w:val="single"/>
                    </w:rPr>
                  </w:pPr>
                  <w:r>
                    <w:rPr>
                      <w:rFonts w:hint="eastAsia" w:ascii="Times New Roman" w:hAnsi="Times New Roman"/>
                      <w:bCs/>
                      <w:color w:val="000000"/>
                      <w:sz w:val="18"/>
                      <w:u w:val="single"/>
                    </w:rPr>
                    <w:t>55</w:t>
                  </w:r>
                </w:p>
              </w:tc>
            </w:tr>
            <w:tr>
              <w:trPr>
                <w:trHeight w:val="340" w:hRule="atLeast"/>
                <w:jc w:val="center"/>
              </w:trPr>
              <w:tc>
                <w:tcPr>
                  <w:tcW w:w="2007" w:type="dxa"/>
                  <w:gridSpan w:val="2"/>
                  <w:vAlign w:val="center"/>
                </w:tcPr>
                <w:p>
                  <w:pPr>
                    <w:pStyle w:val="41"/>
                    <w:jc w:val="center"/>
                    <w:rPr>
                      <w:rFonts w:ascii="Times New Roman" w:hAnsi="Times New Roman"/>
                      <w:bCs/>
                      <w:color w:val="000000"/>
                      <w:sz w:val="18"/>
                      <w:u w:val="single"/>
                    </w:rPr>
                  </w:pPr>
                  <w:r>
                    <w:rPr>
                      <w:rFonts w:ascii="Times New Roman" w:hAnsi="Times New Roman"/>
                      <w:bCs/>
                      <w:color w:val="000000"/>
                      <w:sz w:val="18"/>
                      <w:u w:val="single"/>
                    </w:rPr>
                    <w:t>达标情况</w:t>
                  </w:r>
                </w:p>
              </w:tc>
              <w:tc>
                <w:tcPr>
                  <w:tcW w:w="1693" w:type="dxa"/>
                  <w:gridSpan w:val="2"/>
                  <w:vAlign w:val="center"/>
                </w:tcPr>
                <w:p>
                  <w:pPr>
                    <w:pStyle w:val="41"/>
                    <w:jc w:val="center"/>
                    <w:rPr>
                      <w:rFonts w:ascii="Times New Roman" w:hAnsi="Times New Roman"/>
                      <w:bCs/>
                      <w:color w:val="000000"/>
                      <w:sz w:val="18"/>
                      <w:u w:val="single"/>
                    </w:rPr>
                  </w:pPr>
                  <w:r>
                    <w:rPr>
                      <w:rFonts w:ascii="Times New Roman" w:hAnsi="Times New Roman"/>
                      <w:bCs/>
                      <w:color w:val="000000"/>
                      <w:sz w:val="18"/>
                      <w:u w:val="single"/>
                    </w:rPr>
                    <w:t>达标</w:t>
                  </w:r>
                </w:p>
              </w:tc>
              <w:tc>
                <w:tcPr>
                  <w:tcW w:w="1691" w:type="dxa"/>
                  <w:gridSpan w:val="2"/>
                  <w:vAlign w:val="center"/>
                </w:tcPr>
                <w:p>
                  <w:pPr>
                    <w:pStyle w:val="41"/>
                    <w:jc w:val="center"/>
                    <w:rPr>
                      <w:rFonts w:ascii="Times New Roman" w:hAnsi="Times New Roman"/>
                      <w:bCs/>
                      <w:color w:val="000000"/>
                      <w:sz w:val="18"/>
                      <w:u w:val="single"/>
                    </w:rPr>
                  </w:pPr>
                  <w:r>
                    <w:rPr>
                      <w:rFonts w:ascii="Times New Roman" w:hAnsi="Times New Roman"/>
                      <w:bCs/>
                      <w:color w:val="000000"/>
                      <w:sz w:val="18"/>
                      <w:u w:val="single"/>
                    </w:rPr>
                    <w:t>达标</w:t>
                  </w:r>
                </w:p>
              </w:tc>
              <w:tc>
                <w:tcPr>
                  <w:tcW w:w="1692" w:type="dxa"/>
                  <w:gridSpan w:val="2"/>
                  <w:vAlign w:val="center"/>
                </w:tcPr>
                <w:p>
                  <w:pPr>
                    <w:pStyle w:val="41"/>
                    <w:jc w:val="center"/>
                    <w:rPr>
                      <w:rFonts w:ascii="Times New Roman" w:hAnsi="Times New Roman"/>
                      <w:bCs/>
                      <w:color w:val="000000"/>
                      <w:sz w:val="18"/>
                      <w:u w:val="single"/>
                    </w:rPr>
                  </w:pPr>
                  <w:r>
                    <w:rPr>
                      <w:rFonts w:ascii="Times New Roman" w:hAnsi="Times New Roman"/>
                      <w:bCs/>
                      <w:color w:val="000000"/>
                      <w:sz w:val="18"/>
                      <w:u w:val="single"/>
                    </w:rPr>
                    <w:t>达标</w:t>
                  </w:r>
                </w:p>
              </w:tc>
              <w:tc>
                <w:tcPr>
                  <w:tcW w:w="1724" w:type="dxa"/>
                  <w:gridSpan w:val="2"/>
                  <w:vAlign w:val="center"/>
                </w:tcPr>
                <w:p>
                  <w:pPr>
                    <w:pStyle w:val="41"/>
                    <w:jc w:val="center"/>
                    <w:rPr>
                      <w:rFonts w:ascii="Times New Roman" w:hAnsi="Times New Roman"/>
                      <w:bCs/>
                      <w:color w:val="000000"/>
                      <w:sz w:val="18"/>
                      <w:u w:val="single"/>
                    </w:rPr>
                  </w:pPr>
                  <w:r>
                    <w:rPr>
                      <w:rFonts w:ascii="Times New Roman" w:hAnsi="Times New Roman"/>
                      <w:bCs/>
                      <w:color w:val="000000"/>
                      <w:sz w:val="18"/>
                      <w:u w:val="single"/>
                    </w:rPr>
                    <w:t>达标</w:t>
                  </w:r>
                </w:p>
              </w:tc>
            </w:tr>
          </w:tbl>
          <w:p>
            <w:pPr>
              <w:spacing w:line="360" w:lineRule="auto"/>
              <w:ind w:firstLine="480" w:firstLineChars="200"/>
              <w:rPr>
                <w:rFonts w:eastAsia="宋体"/>
                <w:color w:val="000000"/>
                <w:sz w:val="24"/>
                <w:u w:val="single"/>
              </w:rPr>
            </w:pPr>
            <w:r>
              <w:rPr>
                <w:rFonts w:eastAsia="宋体"/>
                <w:color w:val="000000"/>
                <w:sz w:val="24"/>
                <w:szCs w:val="22"/>
                <w:u w:val="single"/>
              </w:rPr>
              <w:t>由上表可知，本项目运营期设备噪声经采取设备基础减振、厂房</w:t>
            </w:r>
            <w:r>
              <w:rPr>
                <w:rFonts w:hint="eastAsia" w:eastAsia="宋体"/>
                <w:color w:val="000000"/>
                <w:sz w:val="24"/>
                <w:szCs w:val="22"/>
                <w:u w:val="single"/>
              </w:rPr>
              <w:t>密闭</w:t>
            </w:r>
            <w:r>
              <w:rPr>
                <w:rFonts w:eastAsia="宋体"/>
                <w:color w:val="000000"/>
                <w:sz w:val="24"/>
                <w:szCs w:val="22"/>
                <w:u w:val="single"/>
              </w:rPr>
              <w:t>及建筑材料隔声等降噪措施后，厂界四周</w:t>
            </w:r>
            <w:r>
              <w:rPr>
                <w:rFonts w:hint="eastAsia" w:eastAsia="宋体"/>
                <w:color w:val="000000"/>
                <w:sz w:val="24"/>
                <w:szCs w:val="22"/>
                <w:u w:val="single"/>
              </w:rPr>
              <w:t>预测</w:t>
            </w:r>
            <w:r>
              <w:rPr>
                <w:rFonts w:eastAsia="宋体"/>
                <w:color w:val="000000"/>
                <w:sz w:val="24"/>
                <w:szCs w:val="22"/>
                <w:u w:val="single"/>
              </w:rPr>
              <w:t>值满足《工业企业厂界环境噪声排放标准》（GB12348-2008）</w:t>
            </w:r>
            <w:r>
              <w:rPr>
                <w:rFonts w:hint="eastAsia" w:eastAsia="宋体"/>
                <w:color w:val="000000"/>
                <w:sz w:val="24"/>
                <w:szCs w:val="22"/>
                <w:u w:val="single"/>
              </w:rPr>
              <w:t>3</w:t>
            </w:r>
            <w:r>
              <w:rPr>
                <w:rFonts w:eastAsia="宋体"/>
                <w:color w:val="000000"/>
                <w:sz w:val="24"/>
                <w:szCs w:val="22"/>
                <w:u w:val="single"/>
              </w:rPr>
              <w:t>类标准要求。</w:t>
            </w:r>
            <w:r>
              <w:rPr>
                <w:rFonts w:eastAsia="宋体"/>
                <w:bCs/>
                <w:color w:val="000000"/>
                <w:sz w:val="24"/>
                <w:u w:val="single"/>
              </w:rPr>
              <w:t>因此本项目生产噪声对周边</w:t>
            </w:r>
            <w:r>
              <w:rPr>
                <w:rFonts w:hint="eastAsia" w:eastAsia="宋体"/>
                <w:bCs/>
                <w:color w:val="000000"/>
                <w:sz w:val="24"/>
                <w:u w:val="single"/>
              </w:rPr>
              <w:t>环境</w:t>
            </w:r>
            <w:r>
              <w:rPr>
                <w:rFonts w:eastAsia="宋体"/>
                <w:bCs/>
                <w:color w:val="000000"/>
                <w:sz w:val="24"/>
                <w:u w:val="single"/>
              </w:rPr>
              <w:t>影响较小</w:t>
            </w:r>
            <w:r>
              <w:rPr>
                <w:rFonts w:eastAsia="宋体"/>
                <w:color w:val="000000"/>
                <w:sz w:val="24"/>
                <w:u w:val="single"/>
              </w:rPr>
              <w:t>。</w:t>
            </w:r>
          </w:p>
          <w:p>
            <w:pPr>
              <w:spacing w:line="360" w:lineRule="auto"/>
              <w:ind w:firstLine="482" w:firstLineChars="200"/>
              <w:rPr>
                <w:rFonts w:eastAsia="宋体"/>
                <w:color w:val="000000"/>
                <w:sz w:val="24"/>
              </w:rPr>
            </w:pPr>
            <w:r>
              <w:rPr>
                <w:rFonts w:eastAsia="宋体"/>
                <w:b/>
                <w:bCs/>
                <w:color w:val="000000"/>
                <w:sz w:val="24"/>
              </w:rPr>
              <w:t>（3）噪声监测计划</w:t>
            </w:r>
          </w:p>
          <w:p>
            <w:pPr>
              <w:spacing w:line="360" w:lineRule="auto"/>
              <w:ind w:firstLine="480" w:firstLineChars="200"/>
              <w:rPr>
                <w:rFonts w:eastAsia="宋体"/>
                <w:bCs/>
                <w:color w:val="000000"/>
                <w:sz w:val="24"/>
              </w:rPr>
            </w:pPr>
            <w:r>
              <w:rPr>
                <w:rFonts w:eastAsia="宋体"/>
                <w:bCs/>
                <w:color w:val="000000"/>
                <w:sz w:val="24"/>
              </w:rPr>
              <w:t>依据</w:t>
            </w:r>
            <w:r>
              <w:rPr>
                <w:rFonts w:hint="eastAsia" w:eastAsia="宋体"/>
                <w:color w:val="000000"/>
                <w:sz w:val="24"/>
              </w:rPr>
              <w:t>《排污单位自行监测技术指南--火力发电及锅炉》（</w:t>
            </w:r>
            <w:r>
              <w:rPr>
                <w:rFonts w:eastAsia="宋体"/>
                <w:color w:val="000000"/>
                <w:sz w:val="24"/>
              </w:rPr>
              <w:t>HJ</w:t>
            </w:r>
            <w:r>
              <w:rPr>
                <w:rFonts w:hint="eastAsia" w:eastAsia="宋体"/>
                <w:color w:val="000000"/>
                <w:sz w:val="24"/>
              </w:rPr>
              <w:t xml:space="preserve"> 820-2017）</w:t>
            </w:r>
            <w:r>
              <w:rPr>
                <w:rFonts w:eastAsia="宋体"/>
                <w:bCs/>
                <w:color w:val="000000"/>
                <w:sz w:val="24"/>
              </w:rPr>
              <w:t>，项目运营期噪声监测计划如下表。</w:t>
            </w:r>
          </w:p>
          <w:p>
            <w:pPr>
              <w:tabs>
                <w:tab w:val="left" w:pos="0"/>
              </w:tabs>
              <w:jc w:val="center"/>
              <w:rPr>
                <w:rFonts w:eastAsia="宋体"/>
                <w:bCs/>
                <w:color w:val="000000"/>
                <w:sz w:val="24"/>
              </w:rPr>
            </w:pPr>
            <w:r>
              <w:rPr>
                <w:bCs/>
                <w:color w:val="000000"/>
                <w:sz w:val="24"/>
              </w:rPr>
              <w:t>表</w:t>
            </w:r>
            <w:r>
              <w:rPr>
                <w:rFonts w:hint="eastAsia"/>
                <w:bCs/>
                <w:color w:val="000000"/>
                <w:sz w:val="24"/>
              </w:rPr>
              <w:t>41</w:t>
            </w:r>
            <w:r>
              <w:rPr>
                <w:bCs/>
                <w:color w:val="000000"/>
                <w:sz w:val="24"/>
              </w:rPr>
              <w:t xml:space="preserve">  </w:t>
            </w:r>
            <w:r>
              <w:rPr>
                <w:rFonts w:eastAsia="宋体"/>
                <w:bCs/>
                <w:color w:val="000000"/>
                <w:sz w:val="24"/>
              </w:rPr>
              <w:t>噪声监测工作计划表</w:t>
            </w:r>
          </w:p>
          <w:tbl>
            <w:tblPr>
              <w:tblW w:w="8802"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542"/>
              <w:gridCol w:w="1382"/>
              <w:gridCol w:w="1422"/>
              <w:gridCol w:w="3456"/>
            </w:tblGrid>
            <w:tr>
              <w:trPr>
                <w:trHeight w:val="169" w:hRule="atLeast"/>
                <w:jc w:val="center"/>
              </w:trPr>
              <w:tc>
                <w:tcPr>
                  <w:tcW w:w="2542" w:type="dxa"/>
                  <w:vAlign w:val="center"/>
                </w:tcPr>
                <w:p>
                  <w:pPr>
                    <w:jc w:val="center"/>
                    <w:rPr>
                      <w:rFonts w:eastAsia="宋体"/>
                      <w:b w:val="0"/>
                      <w:bCs/>
                      <w:color w:val="000000"/>
                      <w:kern w:val="0"/>
                      <w:sz w:val="18"/>
                      <w:szCs w:val="21"/>
                    </w:rPr>
                  </w:pPr>
                  <w:r>
                    <w:rPr>
                      <w:rFonts w:eastAsia="宋体"/>
                      <w:b w:val="0"/>
                      <w:bCs/>
                      <w:color w:val="000000"/>
                      <w:kern w:val="0"/>
                      <w:sz w:val="18"/>
                      <w:szCs w:val="21"/>
                    </w:rPr>
                    <w:t>测点位置</w:t>
                  </w:r>
                </w:p>
              </w:tc>
              <w:tc>
                <w:tcPr>
                  <w:tcW w:w="1382" w:type="dxa"/>
                  <w:vAlign w:val="center"/>
                </w:tcPr>
                <w:p>
                  <w:pPr>
                    <w:jc w:val="center"/>
                    <w:rPr>
                      <w:rFonts w:eastAsia="宋体"/>
                      <w:b w:val="0"/>
                      <w:bCs/>
                      <w:color w:val="000000"/>
                      <w:kern w:val="0"/>
                      <w:sz w:val="18"/>
                      <w:szCs w:val="21"/>
                    </w:rPr>
                  </w:pPr>
                  <w:r>
                    <w:rPr>
                      <w:rFonts w:eastAsia="宋体"/>
                      <w:b w:val="0"/>
                      <w:bCs/>
                      <w:color w:val="000000"/>
                      <w:kern w:val="0"/>
                      <w:sz w:val="18"/>
                      <w:szCs w:val="21"/>
                    </w:rPr>
                    <w:t>监测项目</w:t>
                  </w:r>
                </w:p>
              </w:tc>
              <w:tc>
                <w:tcPr>
                  <w:tcW w:w="1422" w:type="dxa"/>
                  <w:vAlign w:val="center"/>
                </w:tcPr>
                <w:p>
                  <w:pPr>
                    <w:jc w:val="center"/>
                    <w:rPr>
                      <w:rFonts w:eastAsia="宋体"/>
                      <w:b w:val="0"/>
                      <w:bCs/>
                      <w:color w:val="000000"/>
                      <w:kern w:val="0"/>
                      <w:sz w:val="18"/>
                      <w:szCs w:val="21"/>
                    </w:rPr>
                  </w:pPr>
                  <w:r>
                    <w:rPr>
                      <w:rFonts w:eastAsia="宋体"/>
                      <w:b w:val="0"/>
                      <w:bCs/>
                      <w:color w:val="000000"/>
                      <w:kern w:val="0"/>
                      <w:sz w:val="18"/>
                      <w:szCs w:val="21"/>
                    </w:rPr>
                    <w:t>监测频次</w:t>
                  </w:r>
                </w:p>
              </w:tc>
              <w:tc>
                <w:tcPr>
                  <w:tcW w:w="3456" w:type="dxa"/>
                  <w:vAlign w:val="center"/>
                </w:tcPr>
                <w:p>
                  <w:pPr>
                    <w:widowControl/>
                    <w:jc w:val="center"/>
                    <w:rPr>
                      <w:rFonts w:eastAsia="宋体"/>
                      <w:b w:val="0"/>
                      <w:bCs/>
                      <w:color w:val="000000"/>
                      <w:kern w:val="0"/>
                      <w:sz w:val="18"/>
                      <w:szCs w:val="21"/>
                    </w:rPr>
                  </w:pPr>
                  <w:r>
                    <w:rPr>
                      <w:rFonts w:eastAsia="宋体"/>
                      <w:b w:val="0"/>
                      <w:bCs/>
                      <w:color w:val="000000"/>
                      <w:kern w:val="0"/>
                      <w:sz w:val="18"/>
                      <w:szCs w:val="21"/>
                    </w:rPr>
                    <w:t>执行标准</w:t>
                  </w:r>
                </w:p>
              </w:tc>
            </w:tr>
            <w:tr>
              <w:trPr>
                <w:trHeight w:val="770" w:hRule="atLeast"/>
                <w:jc w:val="center"/>
              </w:trPr>
              <w:tc>
                <w:tcPr>
                  <w:tcW w:w="2542" w:type="dxa"/>
                  <w:vAlign w:val="center"/>
                </w:tcPr>
                <w:p>
                  <w:pPr>
                    <w:jc w:val="center"/>
                    <w:rPr>
                      <w:rFonts w:eastAsia="宋体"/>
                      <w:bCs/>
                      <w:color w:val="000000"/>
                      <w:kern w:val="0"/>
                      <w:sz w:val="18"/>
                      <w:szCs w:val="21"/>
                    </w:rPr>
                  </w:pPr>
                  <w:r>
                    <w:rPr>
                      <w:rFonts w:eastAsia="宋体"/>
                      <w:bCs/>
                      <w:color w:val="000000"/>
                      <w:kern w:val="0"/>
                      <w:sz w:val="18"/>
                      <w:szCs w:val="21"/>
                    </w:rPr>
                    <w:t>厂界东、南、西、北侧1m处</w:t>
                  </w:r>
                </w:p>
              </w:tc>
              <w:tc>
                <w:tcPr>
                  <w:tcW w:w="1382" w:type="dxa"/>
                  <w:vAlign w:val="center"/>
                </w:tcPr>
                <w:p>
                  <w:pPr>
                    <w:widowControl/>
                    <w:jc w:val="center"/>
                    <w:rPr>
                      <w:rFonts w:eastAsia="宋体"/>
                      <w:bCs/>
                      <w:color w:val="000000"/>
                      <w:kern w:val="0"/>
                      <w:sz w:val="18"/>
                      <w:szCs w:val="21"/>
                    </w:rPr>
                  </w:pPr>
                  <w:r>
                    <w:rPr>
                      <w:rFonts w:eastAsia="宋体"/>
                      <w:bCs/>
                      <w:color w:val="000000"/>
                      <w:kern w:val="0"/>
                      <w:sz w:val="18"/>
                      <w:szCs w:val="21"/>
                    </w:rPr>
                    <w:t>等效连续A声级</w:t>
                  </w:r>
                </w:p>
              </w:tc>
              <w:tc>
                <w:tcPr>
                  <w:tcW w:w="1422" w:type="dxa"/>
                  <w:vAlign w:val="center"/>
                </w:tcPr>
                <w:p>
                  <w:pPr>
                    <w:jc w:val="center"/>
                    <w:rPr>
                      <w:rFonts w:eastAsia="宋体"/>
                      <w:bCs/>
                      <w:color w:val="000000"/>
                      <w:kern w:val="0"/>
                      <w:sz w:val="18"/>
                      <w:szCs w:val="21"/>
                    </w:rPr>
                  </w:pPr>
                  <w:r>
                    <w:rPr>
                      <w:rFonts w:eastAsia="宋体"/>
                      <w:bCs/>
                      <w:color w:val="000000"/>
                      <w:kern w:val="0"/>
                      <w:sz w:val="18"/>
                      <w:szCs w:val="21"/>
                    </w:rPr>
                    <w:t>1次/季</w:t>
                  </w:r>
                </w:p>
              </w:tc>
              <w:tc>
                <w:tcPr>
                  <w:tcW w:w="3456" w:type="dxa"/>
                  <w:vAlign w:val="center"/>
                </w:tcPr>
                <w:p>
                  <w:pPr>
                    <w:widowControl/>
                    <w:jc w:val="center"/>
                    <w:rPr>
                      <w:rFonts w:eastAsia="宋体"/>
                      <w:bCs/>
                      <w:color w:val="000000"/>
                      <w:kern w:val="0"/>
                      <w:sz w:val="18"/>
                      <w:szCs w:val="21"/>
                    </w:rPr>
                  </w:pPr>
                  <w:r>
                    <w:rPr>
                      <w:rFonts w:eastAsia="宋体"/>
                      <w:bCs/>
                      <w:color w:val="000000"/>
                      <w:kern w:val="0"/>
                      <w:sz w:val="18"/>
                      <w:szCs w:val="21"/>
                    </w:rPr>
                    <w:t>《工业企业厂界环境噪声排放标准》（GB12348-2008）中的</w:t>
                  </w:r>
                  <w:r>
                    <w:rPr>
                      <w:rFonts w:hint="eastAsia" w:eastAsia="宋体"/>
                      <w:bCs/>
                      <w:color w:val="000000"/>
                      <w:kern w:val="0"/>
                      <w:sz w:val="18"/>
                      <w:szCs w:val="21"/>
                    </w:rPr>
                    <w:t>3</w:t>
                  </w:r>
                  <w:r>
                    <w:rPr>
                      <w:rFonts w:eastAsia="宋体"/>
                      <w:bCs/>
                      <w:color w:val="000000"/>
                      <w:kern w:val="0"/>
                      <w:sz w:val="18"/>
                      <w:szCs w:val="21"/>
                    </w:rPr>
                    <w:t>类标准</w:t>
                  </w:r>
                </w:p>
              </w:tc>
            </w:tr>
          </w:tbl>
          <w:p>
            <w:pPr>
              <w:autoSpaceDE w:val="0"/>
              <w:autoSpaceDN w:val="0"/>
              <w:adjustRightInd w:val="0"/>
              <w:snapToGrid w:val="0"/>
              <w:spacing w:line="360" w:lineRule="auto"/>
              <w:ind w:firstLine="482"/>
              <w:rPr>
                <w:b/>
                <w:bCs/>
                <w:sz w:val="24"/>
              </w:rPr>
            </w:pPr>
            <w:r>
              <w:rPr>
                <w:b/>
                <w:bCs/>
                <w:sz w:val="24"/>
              </w:rPr>
              <w:t>4、固体废物</w:t>
            </w:r>
          </w:p>
          <w:p>
            <w:pPr>
              <w:adjustRightInd w:val="0"/>
              <w:snapToGrid w:val="0"/>
              <w:spacing w:line="360" w:lineRule="auto"/>
              <w:ind w:firstLine="480" w:firstLineChars="200"/>
              <w:rPr>
                <w:rFonts w:eastAsia="宋体"/>
                <w:color w:val="000000"/>
                <w:sz w:val="24"/>
                <w:u w:val="single"/>
              </w:rPr>
            </w:pPr>
            <w:r>
              <w:rPr>
                <w:bCs/>
                <w:sz w:val="24"/>
                <w:u w:val="single"/>
                <w:lang w:val="zh-CN"/>
              </w:rPr>
              <w:t>本项目</w:t>
            </w:r>
            <w:r>
              <w:rPr>
                <w:rFonts w:hint="eastAsia"/>
                <w:bCs/>
                <w:sz w:val="24"/>
                <w:u w:val="single"/>
              </w:rPr>
              <w:t>不</w:t>
            </w:r>
            <w:r>
              <w:rPr>
                <w:rFonts w:hint="eastAsia"/>
                <w:bCs/>
                <w:sz w:val="24"/>
                <w:u w:val="single"/>
                <w:lang w:val="zh-CN"/>
              </w:rPr>
              <w:t>新增劳动定员</w:t>
            </w:r>
            <w:r>
              <w:rPr>
                <w:bCs/>
                <w:sz w:val="24"/>
                <w:u w:val="single"/>
                <w:lang w:val="zh-CN"/>
              </w:rPr>
              <w:t>，</w:t>
            </w:r>
            <w:r>
              <w:rPr>
                <w:rFonts w:hint="eastAsia"/>
                <w:bCs/>
                <w:sz w:val="24"/>
                <w:u w:val="single"/>
              </w:rPr>
              <w:t>不会新增生活垃圾。</w:t>
            </w:r>
            <w:r>
              <w:rPr>
                <w:rFonts w:hint="eastAsia"/>
                <w:bCs/>
                <w:sz w:val="24"/>
                <w:u w:val="single"/>
                <w:lang w:val="zh-CN"/>
              </w:rPr>
              <w:t>锅炉运营期间产生的</w:t>
            </w:r>
            <w:r>
              <w:rPr>
                <w:bCs/>
                <w:sz w:val="24"/>
                <w:u w:val="single"/>
                <w:lang w:val="zh-CN"/>
              </w:rPr>
              <w:t>固体废物主要为</w:t>
            </w:r>
            <w:r>
              <w:rPr>
                <w:bCs/>
                <w:sz w:val="24"/>
                <w:u w:val="single"/>
              </w:rPr>
              <w:t>生物质灰渣、除尘灰与废布袋</w:t>
            </w:r>
            <w:r>
              <w:rPr>
                <w:rFonts w:hint="eastAsia"/>
                <w:bCs/>
                <w:sz w:val="24"/>
                <w:u w:val="single"/>
              </w:rPr>
              <w:t>。锅炉设备运行产生</w:t>
            </w:r>
            <w:r>
              <w:rPr>
                <w:rFonts w:hint="eastAsia" w:eastAsia="宋体"/>
                <w:color w:val="000000"/>
                <w:sz w:val="24"/>
                <w:u w:val="single"/>
              </w:rPr>
              <w:t>废机油</w:t>
            </w:r>
            <w:r>
              <w:rPr>
                <w:rFonts w:eastAsia="宋体"/>
                <w:color w:val="000000"/>
                <w:sz w:val="24"/>
                <w:u w:val="single"/>
              </w:rPr>
              <w:t>、含油抹布手套等分类收集，暂存于危废贮存点，委托有资质单位统一处理</w:t>
            </w:r>
            <w:r>
              <w:rPr>
                <w:rFonts w:hint="eastAsia" w:eastAsia="宋体"/>
                <w:color w:val="000000"/>
                <w:sz w:val="24"/>
                <w:u w:val="single"/>
              </w:rPr>
              <w:t>。</w:t>
            </w:r>
          </w:p>
          <w:p>
            <w:pPr>
              <w:adjustRightInd w:val="0"/>
              <w:snapToGrid w:val="0"/>
              <w:spacing w:line="360" w:lineRule="auto"/>
              <w:ind w:firstLine="480" w:firstLineChars="200"/>
              <w:rPr>
                <w:sz w:val="24"/>
                <w:u w:val="single"/>
              </w:rPr>
            </w:pPr>
            <w:r>
              <w:rPr>
                <w:sz w:val="24"/>
                <w:u w:val="single"/>
              </w:rPr>
              <w:t>（1）生物质灰渣</w:t>
            </w:r>
          </w:p>
          <w:p>
            <w:pPr>
              <w:adjustRightInd w:val="0"/>
              <w:snapToGrid w:val="0"/>
              <w:spacing w:line="360" w:lineRule="auto"/>
              <w:ind w:firstLine="480" w:firstLineChars="200"/>
              <w:rPr>
                <w:sz w:val="24"/>
                <w:u w:val="single"/>
              </w:rPr>
            </w:pPr>
            <w:r>
              <w:rPr>
                <w:sz w:val="24"/>
                <w:u w:val="single"/>
              </w:rPr>
              <w:t>参照《污染源源强核算技术指南 锅炉》（HJ991-2018），灰渣产生量按照下式进行计算：</w:t>
            </w:r>
          </w:p>
          <w:p>
            <w:pPr>
              <w:adjustRightInd w:val="0"/>
              <w:snapToGrid w:val="0"/>
              <w:spacing w:line="360" w:lineRule="auto"/>
              <w:ind w:firstLine="480" w:firstLineChars="200"/>
              <w:jc w:val="center"/>
              <w:rPr>
                <w:sz w:val="24"/>
                <w:u w:val="single"/>
              </w:rPr>
            </w:pPr>
            <w:r>
              <w:rPr>
                <w:rFonts w:ascii="Times New Roman" w:hAnsi="Times New Roman" w:eastAsia="宋体" w:cs="Times New Roman"/>
                <w:kern w:val="2"/>
                <w:position w:val="-30"/>
                <w:sz w:val="24"/>
                <w:szCs w:val="24"/>
                <w:u w:val="single"/>
                <w:lang w:val="en-US" w:eastAsia="zh-CN" w:bidi="ar-SA"/>
              </w:rPr>
              <w:object>
                <v:shape id="_x0000_s1042" type="#_x0000_t75" style="height:36pt;width:144.75pt;rotation:0f;" o:ole="t" fillcolor="#FFFFFF" filled="f" o:preferrelative="t" stroked="f" coordorigin="0,0" coordsize="21600,21600">
                  <v:fill on="f" color2="#FFFFFF" focus="0%"/>
                  <v:imagedata gain="65536f" blacklevel="0f" gamma="0" o:title="" r:id="rId25"/>
                  <o:lock v:ext="edit" position="f" selection="f" grouping="f" rotation="f" cropping="f" text="f" aspectratio="t"/>
                  <w10:wrap type="none"/>
                  <w10:anchorlock/>
                </v:shape>
                <o:OLEObject Type="Embed" ProgID="" ShapeID="_x0000_s1042" DrawAspect="Content" ObjectID="_1041" r:id="rId24"/>
              </w:object>
            </w:r>
          </w:p>
          <w:p>
            <w:pPr>
              <w:adjustRightInd w:val="0"/>
              <w:snapToGrid w:val="0"/>
              <w:spacing w:line="360" w:lineRule="auto"/>
              <w:ind w:firstLine="482"/>
              <w:rPr>
                <w:sz w:val="24"/>
                <w:u w:val="single"/>
              </w:rPr>
            </w:pPr>
            <w:r>
              <w:rPr>
                <w:sz w:val="24"/>
                <w:u w:val="single"/>
              </w:rPr>
              <w:t>式中：</w:t>
            </w:r>
            <w:r>
              <w:rPr>
                <w:rFonts w:ascii="Times New Roman" w:hAnsi="Times New Roman" w:eastAsia="宋体" w:cs="Times New Roman"/>
                <w:kern w:val="2"/>
                <w:position w:val="-10"/>
                <w:sz w:val="24"/>
                <w:szCs w:val="24"/>
                <w:u w:val="single"/>
                <w:lang w:val="en-US" w:eastAsia="zh-CN" w:bidi="ar-SA"/>
              </w:rPr>
              <w:object>
                <v:shape id="_x0000_s1043" type="#_x0000_t75" style="height:18.75pt;width:18.75pt;rotation:0f;" o:ole="t" fillcolor="#FFFFFF" filled="f" o:preferrelative="t" stroked="f" coordorigin="0,0" coordsize="21600,21600">
                  <v:fill on="f" color2="#FFFFFF" focus="0%"/>
                  <v:imagedata gain="65536f" blacklevel="0f" gamma="0" o:title="" r:id="rId27"/>
                  <o:lock v:ext="edit" position="f" selection="f" grouping="f" rotation="f" cropping="f" text="f" aspectratio="t"/>
                  <w10:wrap type="none"/>
                  <w10:anchorlock/>
                </v:shape>
                <o:OLEObject Type="Embed" ProgID="" ShapeID="_x0000_s1043" DrawAspect="Content" ObjectID="_1042" r:id="rId26"/>
              </w:object>
            </w:r>
            <w:r>
              <w:rPr>
                <w:sz w:val="24"/>
                <w:u w:val="single"/>
              </w:rPr>
              <w:t>—核算时段内灰渣产生量，t；</w:t>
            </w:r>
          </w:p>
          <w:p>
            <w:pPr>
              <w:adjustRightInd w:val="0"/>
              <w:snapToGrid w:val="0"/>
              <w:spacing w:line="360" w:lineRule="auto"/>
              <w:ind w:firstLine="1200" w:firstLineChars="500"/>
              <w:rPr>
                <w:sz w:val="24"/>
                <w:u w:val="single"/>
              </w:rPr>
            </w:pPr>
            <w:r>
              <w:rPr>
                <w:rFonts w:ascii="Times New Roman" w:hAnsi="Times New Roman" w:eastAsia="宋体" w:cs="Times New Roman"/>
                <w:kern w:val="2"/>
                <w:position w:val="-4"/>
                <w:sz w:val="24"/>
                <w:szCs w:val="24"/>
                <w:u w:val="single"/>
                <w:lang w:val="en-US" w:eastAsia="zh-CN" w:bidi="ar-SA"/>
              </w:rPr>
              <w:object>
                <v:shape id="_x0000_s1044" type="#_x0000_t75" style="height:12pt;width:11.25pt;rotation:0f;" o:ole="t" fillcolor="#FFFFFF" filled="f" o:preferrelative="t" stroked="f" coordorigin="0,0" coordsize="21600,21600">
                  <v:fill on="f" color2="#FFFFFF" focus="0%"/>
                  <v:imagedata gain="65536f" blacklevel="0f" gamma="0" o:title="" r:id="rId29"/>
                  <o:lock v:ext="edit" position="f" selection="f" grouping="f" rotation="f" cropping="f" text="f" aspectratio="t"/>
                  <w10:wrap type="none"/>
                  <w10:anchorlock/>
                </v:shape>
                <o:OLEObject Type="Embed" ProgID="" ShapeID="_x0000_s1044" DrawAspect="Content" ObjectID="_1043" r:id="rId28"/>
              </w:object>
            </w:r>
            <w:r>
              <w:rPr>
                <w:sz w:val="24"/>
                <w:u w:val="single"/>
              </w:rPr>
              <w:t>—核算时段内锅炉燃料耗量，t；</w:t>
            </w:r>
          </w:p>
          <w:p>
            <w:pPr>
              <w:adjustRightInd w:val="0"/>
              <w:snapToGrid w:val="0"/>
              <w:spacing w:line="360" w:lineRule="auto"/>
              <w:ind w:firstLine="1200" w:firstLineChars="500"/>
              <w:rPr>
                <w:sz w:val="24"/>
                <w:u w:val="single"/>
              </w:rPr>
            </w:pPr>
            <w:r>
              <w:rPr>
                <w:rFonts w:ascii="Times New Roman" w:hAnsi="Times New Roman" w:eastAsia="宋体" w:cs="Times New Roman"/>
                <w:kern w:val="2"/>
                <w:position w:val="-10"/>
                <w:sz w:val="24"/>
                <w:szCs w:val="24"/>
                <w:u w:val="single"/>
                <w:lang w:val="en-US" w:eastAsia="zh-CN" w:bidi="ar-SA"/>
              </w:rPr>
              <w:object>
                <v:shape id="_x0000_s1045" type="#_x0000_t75" style="height:18.75pt;width:15.75pt;rotation:0f;" o:ole="t" fillcolor="#FFFFFF" filled="f" o:preferrelative="t" stroked="f" coordorigin="0,0" coordsize="21600,21600">
                  <v:fill on="f" color2="#FFFFFF" focus="0%"/>
                  <v:imagedata gain="65536f" blacklevel="0f" gamma="0" o:title="" r:id="rId31"/>
                  <o:lock v:ext="edit" position="f" selection="f" grouping="f" rotation="f" cropping="f" text="f" aspectratio="t"/>
                  <w10:wrap type="none"/>
                  <w10:anchorlock/>
                </v:shape>
                <o:OLEObject Type="Embed" ProgID="" ShapeID="_x0000_s1045" DrawAspect="Content" ObjectID="_1044" r:id="rId30"/>
              </w:object>
            </w:r>
            <w:r>
              <w:rPr>
                <w:sz w:val="24"/>
                <w:u w:val="single"/>
              </w:rPr>
              <w:t>—收到基灰分的质量分数，%；</w:t>
            </w:r>
          </w:p>
          <w:p>
            <w:pPr>
              <w:adjustRightInd w:val="0"/>
              <w:snapToGrid w:val="0"/>
              <w:spacing w:line="360" w:lineRule="auto"/>
              <w:ind w:firstLine="1200" w:firstLineChars="500"/>
              <w:rPr>
                <w:sz w:val="24"/>
                <w:u w:val="single"/>
              </w:rPr>
            </w:pPr>
            <w:r>
              <w:rPr>
                <w:rFonts w:ascii="Times New Roman" w:hAnsi="Times New Roman" w:eastAsia="宋体" w:cs="Times New Roman"/>
                <w:kern w:val="2"/>
                <w:position w:val="-10"/>
                <w:sz w:val="24"/>
                <w:szCs w:val="24"/>
                <w:u w:val="single"/>
                <w:lang w:val="en-US" w:eastAsia="zh-CN" w:bidi="ar-SA"/>
              </w:rPr>
              <w:object>
                <v:shape id="_x0000_s1046" type="#_x0000_t75" style="height:18.75pt;width:14.25pt;rotation:0f;" o:ole="t" fillcolor="#FFFFFF" filled="f" o:preferrelative="t" stroked="f" coordorigin="0,0" coordsize="21600,21600">
                  <v:fill on="f" color2="#FFFFFF" focus="0%"/>
                  <v:imagedata gain="65536f" blacklevel="0f" gamma="0" o:title="" r:id="rId33"/>
                  <o:lock v:ext="edit" position="f" selection="f" grouping="f" rotation="f" cropping="f" text="f" aspectratio="t"/>
                  <w10:wrap type="none"/>
                  <w10:anchorlock/>
                </v:shape>
                <o:OLEObject Type="Embed" ProgID="" ShapeID="_x0000_s1046" DrawAspect="Content" ObjectID="_1045" r:id="rId32"/>
              </w:object>
            </w:r>
            <w:r>
              <w:rPr>
                <w:sz w:val="24"/>
                <w:u w:val="single"/>
              </w:rPr>
              <w:t>—锅炉机械不完全燃烧热损失，%；</w:t>
            </w:r>
          </w:p>
          <w:p>
            <w:pPr>
              <w:adjustRightInd w:val="0"/>
              <w:snapToGrid w:val="0"/>
              <w:spacing w:line="360" w:lineRule="auto"/>
              <w:ind w:firstLine="1200" w:firstLineChars="500"/>
              <w:rPr>
                <w:sz w:val="24"/>
                <w:u w:val="single"/>
              </w:rPr>
            </w:pPr>
            <w:r>
              <w:rPr>
                <w:rFonts w:ascii="Times New Roman" w:hAnsi="Times New Roman" w:eastAsia="宋体" w:cs="Times New Roman"/>
                <w:kern w:val="2"/>
                <w:position w:val="-26"/>
                <w:sz w:val="24"/>
                <w:szCs w:val="24"/>
                <w:u w:val="single"/>
                <w:lang w:val="en-US" w:eastAsia="zh-CN" w:bidi="ar-SA"/>
              </w:rPr>
              <w:object>
                <v:shape id="_x0000_s1047" type="#_x0000_t75" style="height:26.25pt;width:30.75pt;rotation:0f;" o:ole="t" fillcolor="#FFFFFF" filled="f" o:preferrelative="t" stroked="f" coordorigin="0,0" coordsize="21600,21600">
                  <v:fill on="f" color2="#FFFFFF" focus="0%"/>
                  <v:imagedata gain="65536f" blacklevel="0f" gamma="0" o:title="" r:id="rId35"/>
                  <o:lock v:ext="edit" position="f" selection="f" grouping="f" rotation="f" cropping="f" text="f" aspectratio="t"/>
                  <w10:wrap type="none"/>
                  <w10:anchorlock/>
                </v:shape>
                <o:OLEObject Type="Embed" ProgID="" ShapeID="_x0000_s1047" DrawAspect="Content" ObjectID="_1046" r:id="rId34"/>
              </w:object>
            </w:r>
            <w:r>
              <w:rPr>
                <w:sz w:val="24"/>
                <w:u w:val="single"/>
              </w:rPr>
              <w:t>—收到基低位发热量，kJ/kg。</w:t>
            </w:r>
          </w:p>
          <w:p>
            <w:pPr>
              <w:adjustRightInd w:val="0"/>
              <w:snapToGrid w:val="0"/>
              <w:spacing w:line="360" w:lineRule="auto"/>
              <w:ind w:firstLine="480" w:firstLineChars="200"/>
              <w:rPr>
                <w:sz w:val="24"/>
                <w:u w:val="single"/>
              </w:rPr>
            </w:pPr>
            <w:r>
              <w:rPr>
                <w:sz w:val="24"/>
                <w:u w:val="single"/>
              </w:rPr>
              <w:t>本项目年燃生物质量为</w:t>
            </w:r>
            <w:r>
              <w:rPr>
                <w:rFonts w:hint="eastAsia"/>
                <w:sz w:val="24"/>
                <w:u w:val="single"/>
              </w:rPr>
              <w:t>1000</w:t>
            </w:r>
            <w:r>
              <w:rPr>
                <w:sz w:val="24"/>
                <w:u w:val="single"/>
              </w:rPr>
              <w:t>t/a，收到基低位发热量为</w:t>
            </w:r>
            <w:r>
              <w:rPr>
                <w:rFonts w:hint="eastAsia"/>
                <w:sz w:val="24"/>
                <w:u w:val="single"/>
              </w:rPr>
              <w:t>17.22</w:t>
            </w:r>
            <w:r>
              <w:rPr>
                <w:sz w:val="24"/>
                <w:u w:val="single"/>
              </w:rPr>
              <w:t>MJ/kg，q</w:t>
            </w:r>
            <w:r>
              <w:rPr>
                <w:sz w:val="24"/>
                <w:u w:val="single"/>
                <w:vertAlign w:val="subscript"/>
              </w:rPr>
              <w:t>4</w:t>
            </w:r>
            <w:r>
              <w:rPr>
                <w:sz w:val="24"/>
                <w:u w:val="single"/>
              </w:rPr>
              <w:t>为10%，A</w:t>
            </w:r>
            <w:r>
              <w:rPr>
                <w:sz w:val="24"/>
                <w:u w:val="single"/>
                <w:vertAlign w:val="subscript"/>
              </w:rPr>
              <w:t>ar</w:t>
            </w:r>
            <w:r>
              <w:rPr>
                <w:sz w:val="24"/>
                <w:u w:val="single"/>
              </w:rPr>
              <w:t>为</w:t>
            </w:r>
            <w:r>
              <w:rPr>
                <w:rFonts w:hint="eastAsia"/>
                <w:sz w:val="24"/>
                <w:u w:val="single"/>
              </w:rPr>
              <w:t>1.24</w:t>
            </w:r>
            <w:r>
              <w:rPr>
                <w:sz w:val="24"/>
                <w:u w:val="single"/>
              </w:rPr>
              <w:t>%，根据计算生物质灰渣产生量为</w:t>
            </w:r>
            <w:r>
              <w:rPr>
                <w:rFonts w:hint="eastAsia"/>
                <w:sz w:val="24"/>
                <w:u w:val="single"/>
              </w:rPr>
              <w:t>12.45</w:t>
            </w:r>
            <w:r>
              <w:rPr>
                <w:sz w:val="24"/>
                <w:u w:val="single"/>
              </w:rPr>
              <w:t>t/a，袋装临时暂存于锅炉</w:t>
            </w:r>
            <w:r>
              <w:rPr>
                <w:rFonts w:hint="eastAsia"/>
                <w:sz w:val="24"/>
                <w:u w:val="single"/>
              </w:rPr>
              <w:t>房</w:t>
            </w:r>
            <w:r>
              <w:rPr>
                <w:sz w:val="24"/>
                <w:u w:val="single"/>
              </w:rPr>
              <w:t>，定期外售用作农田肥料。</w:t>
            </w:r>
          </w:p>
          <w:p>
            <w:pPr>
              <w:adjustRightInd w:val="0"/>
              <w:snapToGrid w:val="0"/>
              <w:spacing w:line="360" w:lineRule="auto"/>
              <w:ind w:firstLine="480" w:firstLineChars="200"/>
              <w:rPr>
                <w:sz w:val="24"/>
                <w:u w:val="single"/>
              </w:rPr>
            </w:pPr>
            <w:r>
              <w:rPr>
                <w:sz w:val="24"/>
                <w:u w:val="single"/>
              </w:rPr>
              <w:t>（2）除尘灰</w:t>
            </w:r>
          </w:p>
          <w:p>
            <w:pPr>
              <w:adjustRightInd w:val="0"/>
              <w:snapToGrid w:val="0"/>
              <w:spacing w:line="360" w:lineRule="auto"/>
              <w:ind w:firstLine="480" w:firstLineChars="200"/>
              <w:rPr>
                <w:sz w:val="24"/>
                <w:u w:val="single"/>
              </w:rPr>
            </w:pPr>
            <w:r>
              <w:rPr>
                <w:sz w:val="24"/>
                <w:u w:val="single"/>
              </w:rPr>
              <w:t>本项目布袋除尘器除尘灰产生量为</w:t>
            </w:r>
            <w:r>
              <w:rPr>
                <w:rFonts w:hint="eastAsia"/>
                <w:sz w:val="24"/>
                <w:u w:val="single"/>
              </w:rPr>
              <w:t>7.23t</w:t>
            </w:r>
            <w:r>
              <w:rPr>
                <w:sz w:val="24"/>
                <w:u w:val="single"/>
              </w:rPr>
              <w:t>/a，袋装临时暂存于锅炉旁，定期外售用作农田肥料。</w:t>
            </w:r>
          </w:p>
          <w:p>
            <w:pPr>
              <w:adjustRightInd w:val="0"/>
              <w:snapToGrid w:val="0"/>
              <w:spacing w:line="360" w:lineRule="auto"/>
              <w:ind w:firstLine="480" w:firstLineChars="200"/>
              <w:rPr>
                <w:sz w:val="24"/>
                <w:u w:val="single"/>
              </w:rPr>
            </w:pPr>
            <w:r>
              <w:rPr>
                <w:sz w:val="24"/>
                <w:u w:val="single"/>
              </w:rPr>
              <w:t>（3）废布袋</w:t>
            </w:r>
          </w:p>
          <w:p>
            <w:pPr>
              <w:adjustRightInd w:val="0"/>
              <w:snapToGrid w:val="0"/>
              <w:spacing w:line="360" w:lineRule="auto"/>
              <w:ind w:firstLine="480" w:firstLineChars="200"/>
              <w:rPr>
                <w:sz w:val="24"/>
                <w:u w:val="single"/>
              </w:rPr>
            </w:pPr>
            <w:r>
              <w:rPr>
                <w:sz w:val="24"/>
                <w:u w:val="single"/>
              </w:rPr>
              <w:t>生物质锅炉除尘装置更换布袋时会产生废弃及破损的废布袋，其产生量约为0.2t/a，废布袋由厂家更换收集后统一处理。</w:t>
            </w:r>
          </w:p>
          <w:p>
            <w:pPr>
              <w:adjustRightInd w:val="0"/>
              <w:snapToGrid w:val="0"/>
              <w:spacing w:line="360" w:lineRule="auto"/>
              <w:ind w:firstLine="480" w:firstLineChars="200"/>
              <w:rPr>
                <w:sz w:val="24"/>
                <w:u w:val="single"/>
              </w:rPr>
            </w:pPr>
            <w:r>
              <w:rPr>
                <w:rFonts w:hint="eastAsia"/>
                <w:sz w:val="24"/>
                <w:u w:val="single"/>
              </w:rPr>
              <w:t>（4）废机油</w:t>
            </w:r>
          </w:p>
          <w:p>
            <w:pPr>
              <w:adjustRightInd w:val="0"/>
              <w:snapToGrid w:val="0"/>
              <w:spacing w:line="360" w:lineRule="auto"/>
              <w:ind w:firstLine="480" w:firstLineChars="200"/>
              <w:rPr>
                <w:sz w:val="24"/>
                <w:u w:val="single"/>
              </w:rPr>
            </w:pPr>
            <w:r>
              <w:rPr>
                <w:rFonts w:hint="eastAsia"/>
                <w:sz w:val="24"/>
                <w:u w:val="single"/>
              </w:rPr>
              <w:t>锅炉</w:t>
            </w:r>
            <w:r>
              <w:rPr>
                <w:sz w:val="24"/>
                <w:u w:val="single"/>
              </w:rPr>
              <w:t>设备维护过程中产生的</w:t>
            </w:r>
            <w:r>
              <w:rPr>
                <w:rFonts w:hint="eastAsia"/>
                <w:sz w:val="24"/>
                <w:u w:val="single"/>
              </w:rPr>
              <w:t>废机油</w:t>
            </w:r>
            <w:r>
              <w:rPr>
                <w:sz w:val="24"/>
                <w:u w:val="single"/>
              </w:rPr>
              <w:t>约0.</w:t>
            </w:r>
            <w:r>
              <w:rPr>
                <w:rFonts w:hint="eastAsia"/>
                <w:sz w:val="24"/>
                <w:u w:val="single"/>
              </w:rPr>
              <w:t>5</w:t>
            </w:r>
            <w:r>
              <w:rPr>
                <w:sz w:val="24"/>
                <w:u w:val="single"/>
              </w:rPr>
              <w:t>t/a，根据《国家危险废物名录》（202</w:t>
            </w:r>
            <w:r>
              <w:rPr>
                <w:rFonts w:hint="eastAsia"/>
                <w:sz w:val="24"/>
                <w:u w:val="single"/>
              </w:rPr>
              <w:t>5</w:t>
            </w:r>
            <w:r>
              <w:rPr>
                <w:sz w:val="24"/>
                <w:u w:val="single"/>
              </w:rPr>
              <w:t>年版）可知，属于危险废物，废物类别为HW08，废物代码为900-214-08</w:t>
            </w:r>
            <w:r>
              <w:rPr>
                <w:rFonts w:hint="eastAsia"/>
                <w:sz w:val="24"/>
                <w:u w:val="single"/>
              </w:rPr>
              <w:t>，委托资质单位定期拉运处理。</w:t>
            </w:r>
          </w:p>
          <w:p>
            <w:pPr>
              <w:adjustRightInd w:val="0"/>
              <w:snapToGrid w:val="0"/>
              <w:spacing w:line="360" w:lineRule="auto"/>
              <w:ind w:firstLine="480" w:firstLineChars="200"/>
              <w:rPr>
                <w:sz w:val="24"/>
                <w:u w:val="single"/>
              </w:rPr>
            </w:pPr>
            <w:r>
              <w:rPr>
                <w:rFonts w:hint="eastAsia"/>
                <w:sz w:val="24"/>
                <w:u w:val="single"/>
              </w:rPr>
              <w:t>（5）</w:t>
            </w:r>
            <w:r>
              <w:rPr>
                <w:sz w:val="24"/>
                <w:u w:val="single"/>
              </w:rPr>
              <w:t>含油废抹布及手套</w:t>
            </w:r>
          </w:p>
          <w:p>
            <w:pPr>
              <w:adjustRightInd w:val="0"/>
              <w:snapToGrid w:val="0"/>
              <w:spacing w:line="360" w:lineRule="auto"/>
              <w:ind w:firstLine="480" w:firstLineChars="200"/>
              <w:rPr>
                <w:sz w:val="24"/>
                <w:u w:val="single"/>
              </w:rPr>
            </w:pPr>
            <w:r>
              <w:rPr>
                <w:rFonts w:hint="eastAsia"/>
                <w:sz w:val="24"/>
                <w:u w:val="single"/>
              </w:rPr>
              <w:t>锅炉</w:t>
            </w:r>
            <w:r>
              <w:rPr>
                <w:sz w:val="24"/>
                <w:u w:val="single"/>
              </w:rPr>
              <w:t>设备维修、维护过程中会产生含油废抹布及手套，产生量约为0.05t/a。根据《国家危险废物名录》（2025年版），含油抹布及手套属于“含有或沾染毒性、感染性危险废物的废弃包装物、容器、过滤吸附介质”，废物类别为HW49，废物代码：900-041-49。</w:t>
            </w:r>
            <w:r>
              <w:rPr>
                <w:rFonts w:hint="eastAsia"/>
                <w:sz w:val="24"/>
                <w:u w:val="single"/>
              </w:rPr>
              <w:t>委托资质单位定期拉运处理。</w:t>
            </w:r>
          </w:p>
          <w:p>
            <w:pPr>
              <w:adjustRightInd w:val="0"/>
              <w:snapToGrid w:val="0"/>
              <w:spacing w:line="360" w:lineRule="auto"/>
              <w:ind w:firstLine="480" w:firstLineChars="200"/>
              <w:rPr>
                <w:sz w:val="24"/>
                <w:u w:val="single"/>
              </w:rPr>
            </w:pPr>
            <w:r>
              <w:rPr>
                <w:sz w:val="24"/>
                <w:u w:val="single"/>
              </w:rPr>
              <w:t>本项目固体废物的排放量及处理处置措施详见</w:t>
            </w:r>
            <w:r>
              <w:rPr>
                <w:rFonts w:hint="eastAsia"/>
                <w:sz w:val="24"/>
                <w:u w:val="single"/>
              </w:rPr>
              <w:t>下表</w:t>
            </w:r>
            <w:r>
              <w:rPr>
                <w:sz w:val="24"/>
                <w:u w:val="single"/>
              </w:rPr>
              <w:t>。</w:t>
            </w:r>
          </w:p>
          <w:p>
            <w:pPr>
              <w:pStyle w:val="25"/>
              <w:numPr>
                <w:ilvl w:val="0"/>
                <w:numId w:val="0"/>
              </w:numPr>
              <w:ind w:firstLine="284"/>
              <w:rPr>
                <w:b w:val="0"/>
                <w:bCs/>
                <w:u w:val="single"/>
                <w:lang w:val="zh-CN"/>
              </w:rPr>
            </w:pPr>
            <w:r>
              <w:rPr>
                <w:rFonts w:ascii="Times New Roman" w:hAnsi="Times New Roman"/>
                <w:b w:val="0"/>
                <w:bCs/>
                <w:u w:val="single"/>
                <w:lang w:val="zh-CN"/>
              </w:rPr>
              <w:t>表</w:t>
            </w:r>
            <w:r>
              <w:rPr>
                <w:rFonts w:hint="eastAsia" w:ascii="Times New Roman" w:hAnsi="Times New Roman"/>
                <w:b w:val="0"/>
                <w:bCs/>
                <w:u w:val="single"/>
              </w:rPr>
              <w:t xml:space="preserve">42  </w:t>
            </w:r>
            <w:r>
              <w:rPr>
                <w:b w:val="0"/>
                <w:bCs/>
                <w:u w:val="single"/>
                <w:lang w:val="zh-CN"/>
              </w:rPr>
              <w:t>固体废物处理情况一览表</w:t>
            </w:r>
          </w:p>
          <w:tbl>
            <w:tblPr>
              <w:tblW w:w="8807"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767"/>
              <w:gridCol w:w="943"/>
              <w:gridCol w:w="1161"/>
              <w:gridCol w:w="1208"/>
              <w:gridCol w:w="844"/>
              <w:gridCol w:w="909"/>
              <w:gridCol w:w="865"/>
              <w:gridCol w:w="1147"/>
              <w:gridCol w:w="963"/>
            </w:tblGrid>
            <w:tr>
              <w:trPr>
                <w:trHeight w:val="340" w:hRule="atLeast"/>
                <w:jc w:val="center"/>
              </w:trPr>
              <w:tc>
                <w:tcPr>
                  <w:tcW w:w="767" w:type="dxa"/>
                  <w:vAlign w:val="center"/>
                </w:tcPr>
                <w:p>
                  <w:pPr>
                    <w:adjustRightInd w:val="0"/>
                    <w:snapToGrid w:val="0"/>
                    <w:jc w:val="center"/>
                    <w:rPr>
                      <w:bCs/>
                      <w:szCs w:val="21"/>
                      <w:u w:val="single"/>
                      <w:lang w:val="zh-CN"/>
                    </w:rPr>
                  </w:pPr>
                  <w:r>
                    <w:rPr>
                      <w:bCs/>
                      <w:szCs w:val="21"/>
                      <w:u w:val="single"/>
                      <w:lang w:val="zh-CN"/>
                    </w:rPr>
                    <w:t>产生环节</w:t>
                  </w:r>
                </w:p>
              </w:tc>
              <w:tc>
                <w:tcPr>
                  <w:tcW w:w="943" w:type="dxa"/>
                  <w:vAlign w:val="center"/>
                </w:tcPr>
                <w:p>
                  <w:pPr>
                    <w:adjustRightInd w:val="0"/>
                    <w:snapToGrid w:val="0"/>
                    <w:jc w:val="center"/>
                    <w:rPr>
                      <w:bCs/>
                      <w:szCs w:val="21"/>
                      <w:u w:val="single"/>
                      <w:lang w:val="zh-CN"/>
                    </w:rPr>
                  </w:pPr>
                  <w:r>
                    <w:rPr>
                      <w:bCs/>
                      <w:szCs w:val="21"/>
                      <w:u w:val="single"/>
                      <w:lang w:val="zh-CN"/>
                    </w:rPr>
                    <w:t>名称</w:t>
                  </w:r>
                </w:p>
              </w:tc>
              <w:tc>
                <w:tcPr>
                  <w:tcW w:w="1161" w:type="dxa"/>
                  <w:vAlign w:val="center"/>
                </w:tcPr>
                <w:p>
                  <w:pPr>
                    <w:adjustRightInd w:val="0"/>
                    <w:snapToGrid w:val="0"/>
                    <w:jc w:val="center"/>
                    <w:rPr>
                      <w:bCs/>
                      <w:szCs w:val="21"/>
                      <w:u w:val="single"/>
                      <w:lang w:val="zh-CN"/>
                    </w:rPr>
                  </w:pPr>
                  <w:r>
                    <w:rPr>
                      <w:bCs/>
                      <w:szCs w:val="21"/>
                      <w:u w:val="single"/>
                      <w:lang w:val="zh-CN"/>
                    </w:rPr>
                    <w:t>属性</w:t>
                  </w:r>
                </w:p>
              </w:tc>
              <w:tc>
                <w:tcPr>
                  <w:tcW w:w="1208" w:type="dxa"/>
                  <w:vAlign w:val="center"/>
                </w:tcPr>
                <w:p>
                  <w:pPr>
                    <w:adjustRightInd w:val="0"/>
                    <w:snapToGrid w:val="0"/>
                    <w:jc w:val="center"/>
                    <w:rPr>
                      <w:bCs/>
                      <w:szCs w:val="21"/>
                      <w:u w:val="single"/>
                      <w:lang w:val="zh-CN"/>
                    </w:rPr>
                  </w:pPr>
                  <w:r>
                    <w:rPr>
                      <w:bCs/>
                      <w:szCs w:val="21"/>
                      <w:u w:val="single"/>
                      <w:lang w:val="zh-CN"/>
                    </w:rPr>
                    <w:t>编码</w:t>
                  </w:r>
                </w:p>
              </w:tc>
              <w:tc>
                <w:tcPr>
                  <w:tcW w:w="844" w:type="dxa"/>
                  <w:vAlign w:val="center"/>
                </w:tcPr>
                <w:p>
                  <w:pPr>
                    <w:adjustRightInd w:val="0"/>
                    <w:snapToGrid w:val="0"/>
                    <w:jc w:val="center"/>
                    <w:rPr>
                      <w:bCs/>
                      <w:szCs w:val="21"/>
                      <w:u w:val="single"/>
                      <w:lang w:val="zh-CN"/>
                    </w:rPr>
                  </w:pPr>
                  <w:r>
                    <w:rPr>
                      <w:bCs/>
                      <w:szCs w:val="21"/>
                      <w:u w:val="single"/>
                      <w:lang w:val="zh-CN"/>
                    </w:rPr>
                    <w:t>性状</w:t>
                  </w:r>
                </w:p>
              </w:tc>
              <w:tc>
                <w:tcPr>
                  <w:tcW w:w="909" w:type="dxa"/>
                  <w:vAlign w:val="center"/>
                </w:tcPr>
                <w:p>
                  <w:pPr>
                    <w:adjustRightInd w:val="0"/>
                    <w:snapToGrid w:val="0"/>
                    <w:jc w:val="center"/>
                    <w:rPr>
                      <w:bCs/>
                      <w:szCs w:val="21"/>
                      <w:u w:val="single"/>
                      <w:lang w:val="zh-CN"/>
                    </w:rPr>
                  </w:pPr>
                  <w:r>
                    <w:rPr>
                      <w:bCs/>
                      <w:szCs w:val="21"/>
                      <w:u w:val="single"/>
                      <w:lang w:val="zh-CN"/>
                    </w:rPr>
                    <w:t>产生量t/a</w:t>
                  </w:r>
                </w:p>
              </w:tc>
              <w:tc>
                <w:tcPr>
                  <w:tcW w:w="865" w:type="dxa"/>
                  <w:vAlign w:val="center"/>
                </w:tcPr>
                <w:p>
                  <w:pPr>
                    <w:adjustRightInd w:val="0"/>
                    <w:snapToGrid w:val="0"/>
                    <w:jc w:val="center"/>
                    <w:rPr>
                      <w:bCs/>
                      <w:szCs w:val="21"/>
                      <w:u w:val="single"/>
                      <w:lang w:val="zh-CN"/>
                    </w:rPr>
                  </w:pPr>
                  <w:r>
                    <w:rPr>
                      <w:bCs/>
                      <w:szCs w:val="21"/>
                      <w:u w:val="single"/>
                      <w:lang w:val="zh-CN"/>
                    </w:rPr>
                    <w:t>贮存方式</w:t>
                  </w:r>
                </w:p>
              </w:tc>
              <w:tc>
                <w:tcPr>
                  <w:tcW w:w="1147" w:type="dxa"/>
                  <w:vAlign w:val="center"/>
                </w:tcPr>
                <w:p>
                  <w:pPr>
                    <w:adjustRightInd w:val="0"/>
                    <w:snapToGrid w:val="0"/>
                    <w:jc w:val="center"/>
                    <w:rPr>
                      <w:bCs/>
                      <w:szCs w:val="21"/>
                      <w:u w:val="single"/>
                      <w:lang w:val="zh-CN"/>
                    </w:rPr>
                  </w:pPr>
                  <w:r>
                    <w:rPr>
                      <w:bCs/>
                      <w:szCs w:val="21"/>
                      <w:u w:val="single"/>
                      <w:lang w:val="zh-CN"/>
                    </w:rPr>
                    <w:t>处置方式、去向</w:t>
                  </w:r>
                </w:p>
              </w:tc>
              <w:tc>
                <w:tcPr>
                  <w:tcW w:w="963" w:type="dxa"/>
                  <w:vAlign w:val="center"/>
                </w:tcPr>
                <w:p>
                  <w:pPr>
                    <w:adjustRightInd w:val="0"/>
                    <w:snapToGrid w:val="0"/>
                    <w:jc w:val="center"/>
                    <w:rPr>
                      <w:bCs/>
                      <w:szCs w:val="21"/>
                      <w:u w:val="single"/>
                      <w:lang w:val="zh-CN"/>
                    </w:rPr>
                  </w:pPr>
                  <w:r>
                    <w:rPr>
                      <w:bCs/>
                      <w:szCs w:val="21"/>
                      <w:u w:val="single"/>
                      <w:lang w:val="zh-CN"/>
                    </w:rPr>
                    <w:t>环境管理要求</w:t>
                  </w:r>
                </w:p>
              </w:tc>
            </w:tr>
            <w:tr>
              <w:trPr>
                <w:trHeight w:val="340" w:hRule="atLeast"/>
                <w:jc w:val="center"/>
              </w:trPr>
              <w:tc>
                <w:tcPr>
                  <w:tcW w:w="767" w:type="dxa"/>
                  <w:vMerge w:val="restart"/>
                  <w:vAlign w:val="center"/>
                </w:tcPr>
                <w:p>
                  <w:pPr>
                    <w:adjustRightInd w:val="0"/>
                    <w:snapToGrid w:val="0"/>
                    <w:jc w:val="center"/>
                    <w:rPr>
                      <w:bCs/>
                      <w:szCs w:val="21"/>
                      <w:u w:val="single"/>
                      <w:lang w:val="zh-CN"/>
                    </w:rPr>
                  </w:pPr>
                  <w:r>
                    <w:rPr>
                      <w:bCs/>
                      <w:szCs w:val="21"/>
                      <w:u w:val="single"/>
                    </w:rPr>
                    <w:t>锅炉</w:t>
                  </w:r>
                </w:p>
              </w:tc>
              <w:tc>
                <w:tcPr>
                  <w:tcW w:w="943" w:type="dxa"/>
                  <w:vAlign w:val="center"/>
                </w:tcPr>
                <w:p>
                  <w:pPr>
                    <w:adjustRightInd w:val="0"/>
                    <w:snapToGrid w:val="0"/>
                    <w:jc w:val="center"/>
                    <w:rPr>
                      <w:bCs/>
                      <w:szCs w:val="21"/>
                      <w:u w:val="single"/>
                    </w:rPr>
                  </w:pPr>
                  <w:r>
                    <w:rPr>
                      <w:bCs/>
                      <w:szCs w:val="21"/>
                      <w:u w:val="single"/>
                    </w:rPr>
                    <w:t>生物质灰渣</w:t>
                  </w:r>
                </w:p>
              </w:tc>
              <w:tc>
                <w:tcPr>
                  <w:tcW w:w="1161" w:type="dxa"/>
                  <w:vAlign w:val="center"/>
                </w:tcPr>
                <w:p>
                  <w:pPr>
                    <w:adjustRightInd w:val="0"/>
                    <w:snapToGrid w:val="0"/>
                    <w:jc w:val="center"/>
                    <w:rPr>
                      <w:bCs/>
                      <w:szCs w:val="21"/>
                      <w:u w:val="single"/>
                      <w:lang w:val="zh-CN"/>
                    </w:rPr>
                  </w:pPr>
                  <w:r>
                    <w:rPr>
                      <w:bCs/>
                      <w:szCs w:val="21"/>
                      <w:u w:val="single"/>
                      <w:lang w:val="zh-CN"/>
                    </w:rPr>
                    <w:t>一般工业固体废物</w:t>
                  </w:r>
                </w:p>
              </w:tc>
              <w:tc>
                <w:tcPr>
                  <w:tcW w:w="1208" w:type="dxa"/>
                  <w:vAlign w:val="center"/>
                </w:tcPr>
                <w:p>
                  <w:pPr>
                    <w:adjustRightInd w:val="0"/>
                    <w:snapToGrid w:val="0"/>
                    <w:jc w:val="center"/>
                    <w:rPr>
                      <w:bCs/>
                      <w:szCs w:val="21"/>
                      <w:u w:val="single"/>
                    </w:rPr>
                  </w:pPr>
                  <w:r>
                    <w:rPr>
                      <w:bCs/>
                      <w:szCs w:val="21"/>
                      <w:u w:val="single"/>
                    </w:rPr>
                    <w:t>900-099-S03</w:t>
                  </w:r>
                </w:p>
              </w:tc>
              <w:tc>
                <w:tcPr>
                  <w:tcW w:w="844" w:type="dxa"/>
                  <w:vAlign w:val="center"/>
                </w:tcPr>
                <w:p>
                  <w:pPr>
                    <w:adjustRightInd w:val="0"/>
                    <w:snapToGrid w:val="0"/>
                    <w:jc w:val="center"/>
                    <w:rPr>
                      <w:bCs/>
                      <w:szCs w:val="21"/>
                      <w:u w:val="single"/>
                      <w:lang w:val="zh-CN"/>
                    </w:rPr>
                  </w:pPr>
                  <w:r>
                    <w:rPr>
                      <w:bCs/>
                      <w:szCs w:val="21"/>
                      <w:u w:val="single"/>
                      <w:lang w:val="zh-CN"/>
                    </w:rPr>
                    <w:t>固体</w:t>
                  </w:r>
                </w:p>
              </w:tc>
              <w:tc>
                <w:tcPr>
                  <w:tcW w:w="909" w:type="dxa"/>
                  <w:vAlign w:val="center"/>
                </w:tcPr>
                <w:p>
                  <w:pPr>
                    <w:adjustRightInd w:val="0"/>
                    <w:snapToGrid w:val="0"/>
                    <w:jc w:val="center"/>
                    <w:rPr>
                      <w:bCs/>
                      <w:szCs w:val="21"/>
                      <w:u w:val="single"/>
                    </w:rPr>
                  </w:pPr>
                  <w:r>
                    <w:rPr>
                      <w:rFonts w:hint="eastAsia"/>
                      <w:bCs/>
                      <w:szCs w:val="21"/>
                      <w:u w:val="single"/>
                    </w:rPr>
                    <w:t>12.45</w:t>
                  </w:r>
                </w:p>
              </w:tc>
              <w:tc>
                <w:tcPr>
                  <w:tcW w:w="865" w:type="dxa"/>
                  <w:vMerge w:val="restart"/>
                  <w:vAlign w:val="center"/>
                </w:tcPr>
                <w:p>
                  <w:pPr>
                    <w:adjustRightInd w:val="0"/>
                    <w:snapToGrid w:val="0"/>
                    <w:jc w:val="center"/>
                    <w:rPr>
                      <w:bCs/>
                      <w:szCs w:val="21"/>
                      <w:u w:val="single"/>
                    </w:rPr>
                  </w:pPr>
                  <w:r>
                    <w:rPr>
                      <w:bCs/>
                      <w:szCs w:val="21"/>
                      <w:u w:val="single"/>
                      <w:lang w:val="zh-CN"/>
                    </w:rPr>
                    <w:t>暂存锅炉</w:t>
                  </w:r>
                  <w:r>
                    <w:rPr>
                      <w:rFonts w:hint="eastAsia"/>
                      <w:bCs/>
                      <w:szCs w:val="21"/>
                      <w:u w:val="single"/>
                    </w:rPr>
                    <w:t>旁</w:t>
                  </w:r>
                </w:p>
              </w:tc>
              <w:tc>
                <w:tcPr>
                  <w:tcW w:w="1147" w:type="dxa"/>
                  <w:vMerge w:val="restart"/>
                  <w:vAlign w:val="center"/>
                </w:tcPr>
                <w:p>
                  <w:pPr>
                    <w:adjustRightInd w:val="0"/>
                    <w:snapToGrid w:val="0"/>
                    <w:jc w:val="center"/>
                    <w:rPr>
                      <w:bCs/>
                      <w:szCs w:val="21"/>
                      <w:u w:val="single"/>
                      <w:lang w:val="zh-CN"/>
                    </w:rPr>
                  </w:pPr>
                  <w:r>
                    <w:rPr>
                      <w:bCs/>
                      <w:szCs w:val="21"/>
                      <w:u w:val="single"/>
                      <w:lang w:val="zh-CN"/>
                    </w:rPr>
                    <w:t>作农田肥料</w:t>
                  </w:r>
                </w:p>
              </w:tc>
              <w:tc>
                <w:tcPr>
                  <w:tcW w:w="963" w:type="dxa"/>
                  <w:vMerge w:val="restart"/>
                  <w:vAlign w:val="center"/>
                </w:tcPr>
                <w:p>
                  <w:pPr>
                    <w:adjustRightInd w:val="0"/>
                    <w:snapToGrid w:val="0"/>
                    <w:jc w:val="center"/>
                    <w:rPr>
                      <w:bCs/>
                      <w:szCs w:val="21"/>
                      <w:u w:val="single"/>
                      <w:lang w:val="zh-CN"/>
                    </w:rPr>
                  </w:pPr>
                  <w:r>
                    <w:rPr>
                      <w:bCs/>
                      <w:szCs w:val="21"/>
                      <w:u w:val="single"/>
                      <w:lang w:val="zh-CN"/>
                    </w:rPr>
                    <w:t>满足相应防渗漏、防雨淋、防扬尘等环境保护</w:t>
                  </w:r>
                </w:p>
              </w:tc>
            </w:tr>
            <w:tr>
              <w:trPr>
                <w:trHeight w:val="340" w:hRule="atLeast"/>
                <w:jc w:val="center"/>
              </w:trPr>
              <w:tc>
                <w:tcPr>
                  <w:tcW w:w="767" w:type="dxa"/>
                  <w:vMerge w:val="continue"/>
                  <w:vAlign w:val="center"/>
                </w:tcPr>
                <w:p>
                  <w:pPr>
                    <w:adjustRightInd w:val="0"/>
                    <w:snapToGrid w:val="0"/>
                    <w:jc w:val="center"/>
                    <w:rPr>
                      <w:bCs/>
                      <w:szCs w:val="21"/>
                      <w:u w:val="single"/>
                      <w:lang w:val="zh-CN"/>
                    </w:rPr>
                  </w:pPr>
                </w:p>
              </w:tc>
              <w:tc>
                <w:tcPr>
                  <w:tcW w:w="943" w:type="dxa"/>
                  <w:vAlign w:val="center"/>
                </w:tcPr>
                <w:p>
                  <w:pPr>
                    <w:adjustRightInd w:val="0"/>
                    <w:snapToGrid w:val="0"/>
                    <w:jc w:val="center"/>
                    <w:rPr>
                      <w:bCs/>
                      <w:szCs w:val="21"/>
                      <w:u w:val="single"/>
                      <w:lang w:val="zh-CN"/>
                    </w:rPr>
                  </w:pPr>
                  <w:r>
                    <w:rPr>
                      <w:bCs/>
                      <w:szCs w:val="21"/>
                      <w:u w:val="single"/>
                      <w:lang w:val="zh-CN"/>
                    </w:rPr>
                    <w:t>除尘灰</w:t>
                  </w:r>
                </w:p>
              </w:tc>
              <w:tc>
                <w:tcPr>
                  <w:tcW w:w="1161" w:type="dxa"/>
                  <w:vAlign w:val="center"/>
                </w:tcPr>
                <w:p>
                  <w:pPr>
                    <w:adjustRightInd w:val="0"/>
                    <w:snapToGrid w:val="0"/>
                    <w:jc w:val="center"/>
                    <w:rPr>
                      <w:bCs/>
                      <w:szCs w:val="21"/>
                      <w:u w:val="single"/>
                      <w:lang w:val="zh-CN"/>
                    </w:rPr>
                  </w:pPr>
                  <w:r>
                    <w:rPr>
                      <w:bCs/>
                      <w:szCs w:val="21"/>
                      <w:u w:val="single"/>
                      <w:lang w:val="zh-CN"/>
                    </w:rPr>
                    <w:t>一般工业固体废物</w:t>
                  </w:r>
                </w:p>
              </w:tc>
              <w:tc>
                <w:tcPr>
                  <w:tcW w:w="1208" w:type="dxa"/>
                  <w:vAlign w:val="center"/>
                </w:tcPr>
                <w:p>
                  <w:pPr>
                    <w:adjustRightInd w:val="0"/>
                    <w:snapToGrid w:val="0"/>
                    <w:jc w:val="center"/>
                    <w:rPr>
                      <w:bCs/>
                      <w:szCs w:val="21"/>
                      <w:u w:val="single"/>
                      <w:lang w:val="zh-CN"/>
                    </w:rPr>
                  </w:pPr>
                  <w:r>
                    <w:rPr>
                      <w:bCs/>
                      <w:szCs w:val="21"/>
                      <w:u w:val="single"/>
                    </w:rPr>
                    <w:t>900-099-S59</w:t>
                  </w:r>
                </w:p>
              </w:tc>
              <w:tc>
                <w:tcPr>
                  <w:tcW w:w="844" w:type="dxa"/>
                  <w:vAlign w:val="center"/>
                </w:tcPr>
                <w:p>
                  <w:pPr>
                    <w:adjustRightInd w:val="0"/>
                    <w:snapToGrid w:val="0"/>
                    <w:jc w:val="center"/>
                    <w:rPr>
                      <w:bCs/>
                      <w:szCs w:val="21"/>
                      <w:u w:val="single"/>
                      <w:lang w:val="zh-CN"/>
                    </w:rPr>
                  </w:pPr>
                  <w:r>
                    <w:rPr>
                      <w:bCs/>
                      <w:szCs w:val="21"/>
                      <w:u w:val="single"/>
                      <w:lang w:val="zh-CN"/>
                    </w:rPr>
                    <w:t>固体</w:t>
                  </w:r>
                </w:p>
              </w:tc>
              <w:tc>
                <w:tcPr>
                  <w:tcW w:w="909" w:type="dxa"/>
                  <w:vAlign w:val="center"/>
                </w:tcPr>
                <w:p>
                  <w:pPr>
                    <w:adjustRightInd w:val="0"/>
                    <w:snapToGrid w:val="0"/>
                    <w:jc w:val="center"/>
                    <w:rPr>
                      <w:bCs/>
                      <w:szCs w:val="21"/>
                      <w:u w:val="single"/>
                    </w:rPr>
                  </w:pPr>
                  <w:r>
                    <w:rPr>
                      <w:rFonts w:hint="eastAsia"/>
                      <w:bCs/>
                      <w:szCs w:val="21"/>
                      <w:u w:val="single"/>
                    </w:rPr>
                    <w:t>7.23</w:t>
                  </w:r>
                </w:p>
              </w:tc>
              <w:tc>
                <w:tcPr>
                  <w:tcW w:w="865" w:type="dxa"/>
                  <w:vMerge w:val="continue"/>
                  <w:vAlign w:val="center"/>
                </w:tcPr>
                <w:p>
                  <w:pPr>
                    <w:adjustRightInd w:val="0"/>
                    <w:snapToGrid w:val="0"/>
                    <w:jc w:val="center"/>
                    <w:rPr>
                      <w:bCs/>
                      <w:szCs w:val="21"/>
                      <w:u w:val="single"/>
                      <w:lang w:val="zh-CN"/>
                    </w:rPr>
                  </w:pPr>
                </w:p>
              </w:tc>
              <w:tc>
                <w:tcPr>
                  <w:tcW w:w="1147" w:type="dxa"/>
                  <w:vMerge w:val="continue"/>
                  <w:vAlign w:val="center"/>
                </w:tcPr>
                <w:p>
                  <w:pPr>
                    <w:adjustRightInd w:val="0"/>
                    <w:snapToGrid w:val="0"/>
                    <w:jc w:val="center"/>
                    <w:rPr>
                      <w:bCs/>
                      <w:szCs w:val="21"/>
                      <w:u w:val="single"/>
                      <w:lang w:val="zh-CN"/>
                    </w:rPr>
                  </w:pPr>
                </w:p>
              </w:tc>
              <w:tc>
                <w:tcPr>
                  <w:tcW w:w="963" w:type="dxa"/>
                  <w:vMerge w:val="continue"/>
                  <w:vAlign w:val="center"/>
                </w:tcPr>
                <w:p>
                  <w:pPr>
                    <w:adjustRightInd w:val="0"/>
                    <w:snapToGrid w:val="0"/>
                    <w:jc w:val="center"/>
                    <w:rPr>
                      <w:bCs/>
                      <w:szCs w:val="21"/>
                      <w:u w:val="single"/>
                      <w:lang w:val="zh-CN"/>
                    </w:rPr>
                  </w:pPr>
                </w:p>
              </w:tc>
            </w:tr>
            <w:tr>
              <w:trPr>
                <w:trHeight w:val="340" w:hRule="atLeast"/>
                <w:jc w:val="center"/>
              </w:trPr>
              <w:tc>
                <w:tcPr>
                  <w:tcW w:w="767" w:type="dxa"/>
                  <w:vAlign w:val="center"/>
                </w:tcPr>
                <w:p>
                  <w:pPr>
                    <w:adjustRightInd w:val="0"/>
                    <w:snapToGrid w:val="0"/>
                    <w:jc w:val="center"/>
                    <w:rPr>
                      <w:bCs/>
                      <w:szCs w:val="21"/>
                      <w:u w:val="single"/>
                    </w:rPr>
                  </w:pPr>
                  <w:r>
                    <w:rPr>
                      <w:rFonts w:hint="eastAsia"/>
                      <w:bCs/>
                      <w:szCs w:val="21"/>
                      <w:u w:val="single"/>
                    </w:rPr>
                    <w:t>废气治理措施</w:t>
                  </w:r>
                </w:p>
              </w:tc>
              <w:tc>
                <w:tcPr>
                  <w:tcW w:w="943" w:type="dxa"/>
                  <w:vAlign w:val="center"/>
                </w:tcPr>
                <w:p>
                  <w:pPr>
                    <w:adjustRightInd w:val="0"/>
                    <w:snapToGrid w:val="0"/>
                    <w:jc w:val="center"/>
                    <w:rPr>
                      <w:bCs/>
                      <w:szCs w:val="21"/>
                      <w:u w:val="single"/>
                    </w:rPr>
                  </w:pPr>
                  <w:r>
                    <w:rPr>
                      <w:bCs/>
                      <w:szCs w:val="21"/>
                      <w:u w:val="single"/>
                    </w:rPr>
                    <w:t>废布袋</w:t>
                  </w:r>
                </w:p>
              </w:tc>
              <w:tc>
                <w:tcPr>
                  <w:tcW w:w="1161" w:type="dxa"/>
                  <w:vAlign w:val="center"/>
                </w:tcPr>
                <w:p>
                  <w:pPr>
                    <w:adjustRightInd w:val="0"/>
                    <w:snapToGrid w:val="0"/>
                    <w:jc w:val="center"/>
                    <w:rPr>
                      <w:bCs/>
                      <w:szCs w:val="21"/>
                      <w:u w:val="single"/>
                    </w:rPr>
                  </w:pPr>
                  <w:r>
                    <w:rPr>
                      <w:bCs/>
                      <w:szCs w:val="21"/>
                      <w:u w:val="single"/>
                    </w:rPr>
                    <w:t>一般工业固体废物</w:t>
                  </w:r>
                </w:p>
              </w:tc>
              <w:tc>
                <w:tcPr>
                  <w:tcW w:w="1208" w:type="dxa"/>
                  <w:vAlign w:val="center"/>
                </w:tcPr>
                <w:p>
                  <w:pPr>
                    <w:adjustRightInd w:val="0"/>
                    <w:snapToGrid w:val="0"/>
                    <w:jc w:val="center"/>
                    <w:rPr>
                      <w:bCs/>
                      <w:szCs w:val="21"/>
                      <w:u w:val="single"/>
                    </w:rPr>
                  </w:pPr>
                  <w:r>
                    <w:rPr>
                      <w:bCs/>
                      <w:szCs w:val="21"/>
                      <w:u w:val="single"/>
                    </w:rPr>
                    <w:t>900-099-S03</w:t>
                  </w:r>
                </w:p>
              </w:tc>
              <w:tc>
                <w:tcPr>
                  <w:tcW w:w="844" w:type="dxa"/>
                  <w:vAlign w:val="center"/>
                </w:tcPr>
                <w:p>
                  <w:pPr>
                    <w:adjustRightInd w:val="0"/>
                    <w:snapToGrid w:val="0"/>
                    <w:jc w:val="center"/>
                    <w:rPr>
                      <w:bCs/>
                      <w:szCs w:val="21"/>
                      <w:u w:val="single"/>
                    </w:rPr>
                  </w:pPr>
                  <w:r>
                    <w:rPr>
                      <w:bCs/>
                      <w:szCs w:val="21"/>
                      <w:u w:val="single"/>
                    </w:rPr>
                    <w:t>固体</w:t>
                  </w:r>
                </w:p>
              </w:tc>
              <w:tc>
                <w:tcPr>
                  <w:tcW w:w="909" w:type="dxa"/>
                  <w:vAlign w:val="center"/>
                </w:tcPr>
                <w:p>
                  <w:pPr>
                    <w:adjustRightInd w:val="0"/>
                    <w:snapToGrid w:val="0"/>
                    <w:jc w:val="center"/>
                    <w:rPr>
                      <w:bCs/>
                      <w:szCs w:val="21"/>
                      <w:u w:val="single"/>
                    </w:rPr>
                  </w:pPr>
                  <w:r>
                    <w:rPr>
                      <w:bCs/>
                      <w:szCs w:val="21"/>
                      <w:u w:val="single"/>
                    </w:rPr>
                    <w:t>0.2</w:t>
                  </w:r>
                </w:p>
              </w:tc>
              <w:tc>
                <w:tcPr>
                  <w:tcW w:w="865" w:type="dxa"/>
                  <w:vAlign w:val="center"/>
                </w:tcPr>
                <w:p>
                  <w:pPr>
                    <w:adjustRightInd w:val="0"/>
                    <w:snapToGrid w:val="0"/>
                    <w:jc w:val="center"/>
                    <w:rPr>
                      <w:bCs/>
                      <w:szCs w:val="21"/>
                      <w:u w:val="single"/>
                    </w:rPr>
                  </w:pPr>
                  <w:r>
                    <w:rPr>
                      <w:bCs/>
                      <w:szCs w:val="21"/>
                      <w:u w:val="single"/>
                    </w:rPr>
                    <w:t>不贮存</w:t>
                  </w:r>
                </w:p>
              </w:tc>
              <w:tc>
                <w:tcPr>
                  <w:tcW w:w="1147" w:type="dxa"/>
                  <w:vAlign w:val="center"/>
                </w:tcPr>
                <w:p>
                  <w:pPr>
                    <w:adjustRightInd w:val="0"/>
                    <w:snapToGrid w:val="0"/>
                    <w:jc w:val="center"/>
                    <w:rPr>
                      <w:bCs/>
                      <w:szCs w:val="21"/>
                      <w:u w:val="single"/>
                    </w:rPr>
                  </w:pPr>
                  <w:r>
                    <w:rPr>
                      <w:bCs/>
                      <w:szCs w:val="21"/>
                      <w:u w:val="single"/>
                      <w:lang w:val="zh-CN"/>
                    </w:rPr>
                    <w:t>厂家更换收集</w:t>
                  </w:r>
                  <w:r>
                    <w:rPr>
                      <w:bCs/>
                      <w:szCs w:val="21"/>
                      <w:u w:val="single"/>
                    </w:rPr>
                    <w:t>后统一处理</w:t>
                  </w:r>
                </w:p>
              </w:tc>
              <w:tc>
                <w:tcPr>
                  <w:tcW w:w="963" w:type="dxa"/>
                  <w:vMerge w:val="continue"/>
                  <w:vAlign w:val="center"/>
                </w:tcPr>
                <w:p>
                  <w:pPr>
                    <w:adjustRightInd w:val="0"/>
                    <w:snapToGrid w:val="0"/>
                    <w:jc w:val="center"/>
                    <w:rPr>
                      <w:bCs/>
                      <w:szCs w:val="21"/>
                      <w:u w:val="single"/>
                      <w:lang w:val="zh-CN"/>
                    </w:rPr>
                  </w:pPr>
                </w:p>
              </w:tc>
            </w:tr>
            <w:tr>
              <w:trPr>
                <w:trHeight w:val="340" w:hRule="atLeast"/>
                <w:jc w:val="center"/>
              </w:trPr>
              <w:tc>
                <w:tcPr>
                  <w:tcW w:w="767" w:type="dxa"/>
                  <w:vMerge w:val="restart"/>
                  <w:vAlign w:val="center"/>
                </w:tcPr>
                <w:p>
                  <w:pPr>
                    <w:adjustRightInd w:val="0"/>
                    <w:snapToGrid w:val="0"/>
                    <w:jc w:val="center"/>
                    <w:rPr>
                      <w:bCs/>
                      <w:szCs w:val="21"/>
                      <w:u w:val="single"/>
                    </w:rPr>
                  </w:pPr>
                  <w:r>
                    <w:rPr>
                      <w:rFonts w:hint="eastAsia"/>
                      <w:bCs/>
                      <w:szCs w:val="21"/>
                      <w:u w:val="single"/>
                    </w:rPr>
                    <w:t>设备维修</w:t>
                  </w:r>
                </w:p>
              </w:tc>
              <w:tc>
                <w:tcPr>
                  <w:tcW w:w="943" w:type="dxa"/>
                  <w:vAlign w:val="center"/>
                </w:tcPr>
                <w:p>
                  <w:pPr>
                    <w:adjustRightInd w:val="0"/>
                    <w:snapToGrid w:val="0"/>
                    <w:jc w:val="center"/>
                    <w:rPr>
                      <w:bCs/>
                      <w:szCs w:val="21"/>
                      <w:u w:val="single"/>
                    </w:rPr>
                  </w:pPr>
                  <w:r>
                    <w:rPr>
                      <w:rFonts w:hint="eastAsia"/>
                      <w:bCs/>
                      <w:szCs w:val="21"/>
                      <w:u w:val="single"/>
                    </w:rPr>
                    <w:t>废机油</w:t>
                  </w:r>
                </w:p>
              </w:tc>
              <w:tc>
                <w:tcPr>
                  <w:tcW w:w="1161" w:type="dxa"/>
                  <w:vAlign w:val="center"/>
                </w:tcPr>
                <w:p>
                  <w:pPr>
                    <w:adjustRightInd w:val="0"/>
                    <w:snapToGrid w:val="0"/>
                    <w:jc w:val="center"/>
                    <w:rPr>
                      <w:bCs/>
                      <w:szCs w:val="21"/>
                      <w:u w:val="single"/>
                    </w:rPr>
                  </w:pPr>
                  <w:r>
                    <w:rPr>
                      <w:rFonts w:hint="eastAsia"/>
                      <w:bCs/>
                      <w:szCs w:val="21"/>
                      <w:u w:val="single"/>
                    </w:rPr>
                    <w:t>危险废物</w:t>
                  </w:r>
                </w:p>
              </w:tc>
              <w:tc>
                <w:tcPr>
                  <w:tcW w:w="1208" w:type="dxa"/>
                  <w:vAlign w:val="center"/>
                </w:tcPr>
                <w:p>
                  <w:pPr>
                    <w:adjustRightInd w:val="0"/>
                    <w:snapToGrid w:val="0"/>
                    <w:jc w:val="center"/>
                    <w:rPr>
                      <w:bCs/>
                      <w:szCs w:val="21"/>
                      <w:u w:val="single"/>
                    </w:rPr>
                  </w:pPr>
                  <w:r>
                    <w:rPr>
                      <w:bCs/>
                      <w:szCs w:val="21"/>
                      <w:u w:val="single"/>
                    </w:rPr>
                    <w:t>900-214-08</w:t>
                  </w:r>
                </w:p>
              </w:tc>
              <w:tc>
                <w:tcPr>
                  <w:tcW w:w="844" w:type="dxa"/>
                  <w:vAlign w:val="center"/>
                </w:tcPr>
                <w:p>
                  <w:pPr>
                    <w:adjustRightInd w:val="0"/>
                    <w:snapToGrid w:val="0"/>
                    <w:jc w:val="center"/>
                    <w:rPr>
                      <w:bCs/>
                      <w:szCs w:val="21"/>
                      <w:u w:val="single"/>
                    </w:rPr>
                  </w:pPr>
                  <w:r>
                    <w:rPr>
                      <w:rFonts w:hint="eastAsia"/>
                      <w:bCs/>
                      <w:szCs w:val="21"/>
                      <w:u w:val="single"/>
                    </w:rPr>
                    <w:t>半固态</w:t>
                  </w:r>
                </w:p>
              </w:tc>
              <w:tc>
                <w:tcPr>
                  <w:tcW w:w="909" w:type="dxa"/>
                  <w:vAlign w:val="center"/>
                </w:tcPr>
                <w:p>
                  <w:pPr>
                    <w:adjustRightInd w:val="0"/>
                    <w:snapToGrid w:val="0"/>
                    <w:jc w:val="center"/>
                    <w:rPr>
                      <w:bCs/>
                      <w:szCs w:val="21"/>
                      <w:u w:val="single"/>
                    </w:rPr>
                  </w:pPr>
                  <w:r>
                    <w:rPr>
                      <w:rFonts w:hint="eastAsia"/>
                      <w:bCs/>
                      <w:szCs w:val="21"/>
                      <w:u w:val="single"/>
                    </w:rPr>
                    <w:t>0.5</w:t>
                  </w:r>
                </w:p>
              </w:tc>
              <w:tc>
                <w:tcPr>
                  <w:tcW w:w="865" w:type="dxa"/>
                  <w:vMerge w:val="restart"/>
                  <w:vAlign w:val="center"/>
                </w:tcPr>
                <w:p>
                  <w:pPr>
                    <w:adjustRightInd w:val="0"/>
                    <w:snapToGrid w:val="0"/>
                    <w:jc w:val="center"/>
                    <w:rPr>
                      <w:bCs/>
                      <w:szCs w:val="21"/>
                      <w:u w:val="single"/>
                    </w:rPr>
                  </w:pPr>
                  <w:r>
                    <w:rPr>
                      <w:rFonts w:hint="eastAsia"/>
                      <w:bCs/>
                      <w:szCs w:val="21"/>
                      <w:u w:val="single"/>
                    </w:rPr>
                    <w:t>贮存危废暂存间</w:t>
                  </w:r>
                </w:p>
              </w:tc>
              <w:tc>
                <w:tcPr>
                  <w:tcW w:w="1147" w:type="dxa"/>
                  <w:vMerge w:val="restart"/>
                  <w:vAlign w:val="center"/>
                </w:tcPr>
                <w:p>
                  <w:pPr>
                    <w:adjustRightInd w:val="0"/>
                    <w:snapToGrid w:val="0"/>
                    <w:jc w:val="center"/>
                    <w:rPr>
                      <w:bCs/>
                      <w:szCs w:val="21"/>
                      <w:u w:val="single"/>
                    </w:rPr>
                  </w:pPr>
                  <w:r>
                    <w:rPr>
                      <w:rFonts w:hint="eastAsia"/>
                      <w:bCs/>
                      <w:szCs w:val="21"/>
                      <w:u w:val="single"/>
                    </w:rPr>
                    <w:t>委托资质单位进行处理</w:t>
                  </w:r>
                </w:p>
              </w:tc>
              <w:tc>
                <w:tcPr>
                  <w:tcW w:w="963" w:type="dxa"/>
                  <w:vMerge w:val="continue"/>
                  <w:vAlign w:val="center"/>
                </w:tcPr>
                <w:p>
                  <w:pPr>
                    <w:adjustRightInd w:val="0"/>
                    <w:snapToGrid w:val="0"/>
                    <w:jc w:val="center"/>
                    <w:rPr>
                      <w:bCs/>
                      <w:szCs w:val="21"/>
                      <w:u w:val="single"/>
                      <w:lang w:val="zh-CN"/>
                    </w:rPr>
                  </w:pPr>
                </w:p>
              </w:tc>
            </w:tr>
            <w:tr>
              <w:trPr>
                <w:trHeight w:val="340" w:hRule="atLeast"/>
                <w:jc w:val="center"/>
              </w:trPr>
              <w:tc>
                <w:tcPr>
                  <w:tcW w:w="767" w:type="dxa"/>
                  <w:vMerge w:val="continue"/>
                  <w:vAlign w:val="center"/>
                </w:tcPr>
                <w:p>
                  <w:pPr>
                    <w:adjustRightInd w:val="0"/>
                    <w:snapToGrid w:val="0"/>
                    <w:jc w:val="center"/>
                    <w:rPr>
                      <w:bCs/>
                      <w:szCs w:val="21"/>
                      <w:u w:val="single"/>
                    </w:rPr>
                  </w:pPr>
                </w:p>
              </w:tc>
              <w:tc>
                <w:tcPr>
                  <w:tcW w:w="943" w:type="dxa"/>
                  <w:vAlign w:val="center"/>
                </w:tcPr>
                <w:p>
                  <w:pPr>
                    <w:adjustRightInd w:val="0"/>
                    <w:snapToGrid w:val="0"/>
                    <w:jc w:val="center"/>
                    <w:rPr>
                      <w:bCs/>
                      <w:szCs w:val="21"/>
                      <w:u w:val="single"/>
                    </w:rPr>
                  </w:pPr>
                  <w:r>
                    <w:rPr>
                      <w:bCs/>
                      <w:szCs w:val="21"/>
                      <w:u w:val="single"/>
                    </w:rPr>
                    <w:t>含油废抹布及手套</w:t>
                  </w:r>
                </w:p>
              </w:tc>
              <w:tc>
                <w:tcPr>
                  <w:tcW w:w="1161" w:type="dxa"/>
                  <w:vAlign w:val="center"/>
                </w:tcPr>
                <w:p>
                  <w:pPr>
                    <w:adjustRightInd w:val="0"/>
                    <w:snapToGrid w:val="0"/>
                    <w:jc w:val="center"/>
                    <w:rPr>
                      <w:bCs/>
                      <w:szCs w:val="21"/>
                      <w:u w:val="single"/>
                    </w:rPr>
                  </w:pPr>
                  <w:r>
                    <w:rPr>
                      <w:rFonts w:hint="eastAsia"/>
                      <w:bCs/>
                      <w:szCs w:val="21"/>
                      <w:u w:val="single"/>
                    </w:rPr>
                    <w:t>危险废物</w:t>
                  </w:r>
                </w:p>
              </w:tc>
              <w:tc>
                <w:tcPr>
                  <w:tcW w:w="1208" w:type="dxa"/>
                  <w:vAlign w:val="center"/>
                </w:tcPr>
                <w:p>
                  <w:pPr>
                    <w:adjustRightInd w:val="0"/>
                    <w:snapToGrid w:val="0"/>
                    <w:jc w:val="center"/>
                    <w:rPr>
                      <w:bCs/>
                      <w:szCs w:val="21"/>
                      <w:u w:val="single"/>
                    </w:rPr>
                  </w:pPr>
                  <w:r>
                    <w:rPr>
                      <w:bCs/>
                      <w:szCs w:val="21"/>
                      <w:u w:val="single"/>
                    </w:rPr>
                    <w:t>900-041-49</w:t>
                  </w:r>
                </w:p>
              </w:tc>
              <w:tc>
                <w:tcPr>
                  <w:tcW w:w="844" w:type="dxa"/>
                  <w:vAlign w:val="center"/>
                </w:tcPr>
                <w:p>
                  <w:pPr>
                    <w:adjustRightInd w:val="0"/>
                    <w:snapToGrid w:val="0"/>
                    <w:jc w:val="center"/>
                    <w:rPr>
                      <w:bCs/>
                      <w:szCs w:val="21"/>
                      <w:u w:val="single"/>
                    </w:rPr>
                  </w:pPr>
                  <w:r>
                    <w:rPr>
                      <w:rFonts w:hint="eastAsia"/>
                      <w:bCs/>
                      <w:szCs w:val="21"/>
                      <w:u w:val="single"/>
                    </w:rPr>
                    <w:t>固废</w:t>
                  </w:r>
                </w:p>
              </w:tc>
              <w:tc>
                <w:tcPr>
                  <w:tcW w:w="909" w:type="dxa"/>
                  <w:vAlign w:val="center"/>
                </w:tcPr>
                <w:p>
                  <w:pPr>
                    <w:adjustRightInd w:val="0"/>
                    <w:snapToGrid w:val="0"/>
                    <w:jc w:val="center"/>
                    <w:rPr>
                      <w:bCs/>
                      <w:szCs w:val="21"/>
                      <w:u w:val="single"/>
                    </w:rPr>
                  </w:pPr>
                  <w:r>
                    <w:rPr>
                      <w:rFonts w:hint="eastAsia"/>
                      <w:bCs/>
                      <w:szCs w:val="21"/>
                      <w:u w:val="single"/>
                    </w:rPr>
                    <w:t>0.05</w:t>
                  </w:r>
                </w:p>
              </w:tc>
              <w:tc>
                <w:tcPr>
                  <w:tcW w:w="865" w:type="dxa"/>
                  <w:vMerge w:val="continue"/>
                  <w:vAlign w:val="center"/>
                </w:tcPr>
                <w:p>
                  <w:pPr>
                    <w:adjustRightInd w:val="0"/>
                    <w:snapToGrid w:val="0"/>
                    <w:jc w:val="center"/>
                    <w:rPr>
                      <w:bCs/>
                      <w:szCs w:val="21"/>
                      <w:u w:val="single"/>
                    </w:rPr>
                  </w:pPr>
                </w:p>
              </w:tc>
              <w:tc>
                <w:tcPr>
                  <w:tcW w:w="1147" w:type="dxa"/>
                  <w:vMerge w:val="continue"/>
                  <w:vAlign w:val="center"/>
                </w:tcPr>
                <w:p>
                  <w:pPr>
                    <w:adjustRightInd w:val="0"/>
                    <w:snapToGrid w:val="0"/>
                    <w:jc w:val="center"/>
                    <w:rPr>
                      <w:bCs/>
                      <w:szCs w:val="21"/>
                      <w:u w:val="single"/>
                      <w:lang w:val="zh-CN"/>
                    </w:rPr>
                  </w:pPr>
                </w:p>
              </w:tc>
              <w:tc>
                <w:tcPr>
                  <w:tcW w:w="963" w:type="dxa"/>
                  <w:vMerge w:val="continue"/>
                  <w:vAlign w:val="center"/>
                </w:tcPr>
                <w:p>
                  <w:pPr>
                    <w:adjustRightInd w:val="0"/>
                    <w:snapToGrid w:val="0"/>
                    <w:jc w:val="center"/>
                    <w:rPr>
                      <w:bCs/>
                      <w:szCs w:val="21"/>
                      <w:u w:val="single"/>
                      <w:lang w:val="zh-CN"/>
                    </w:rPr>
                  </w:pPr>
                </w:p>
              </w:tc>
            </w:tr>
          </w:tbl>
          <w:p>
            <w:pPr>
              <w:pStyle w:val="9"/>
              <w:ind w:firstLine="482"/>
              <w:rPr>
                <w:rFonts w:cs="Times New Roman"/>
                <w:b/>
                <w:bCs/>
                <w:szCs w:val="21"/>
              </w:rPr>
            </w:pPr>
            <w:r>
              <w:rPr>
                <w:rFonts w:hint="eastAsia" w:cs="Times New Roman"/>
                <w:b/>
                <w:bCs/>
                <w:szCs w:val="21"/>
              </w:rPr>
              <w:t>环境管理要求：</w:t>
            </w:r>
          </w:p>
          <w:p>
            <w:pPr>
              <w:adjustRightInd w:val="0"/>
              <w:snapToGrid w:val="0"/>
              <w:spacing w:line="360" w:lineRule="auto"/>
              <w:ind w:firstLine="480" w:firstLineChars="200"/>
              <w:rPr>
                <w:sz w:val="24"/>
              </w:rPr>
            </w:pPr>
            <w:r>
              <w:rPr>
                <w:rFonts w:hint="eastAsia"/>
                <w:sz w:val="24"/>
              </w:rPr>
              <w:t>根据《一般工业固体废物贮存和填埋污染控制标准》（GB18599-2020），一般工业固体废物的堆积、贮存必须采取防扬撒、防流失、防渗漏等污染防治措施。本项目废布袋由</w:t>
            </w:r>
            <w:r>
              <w:rPr>
                <w:rFonts w:hint="eastAsia"/>
                <w:sz w:val="24"/>
                <w:lang w:val="zh-CN"/>
              </w:rPr>
              <w:t>厂家更换收集</w:t>
            </w:r>
            <w:r>
              <w:rPr>
                <w:rFonts w:hint="eastAsia"/>
                <w:sz w:val="24"/>
              </w:rPr>
              <w:t>后统一处理；灰渣及除尘灰均袋装储存于锅炉</w:t>
            </w:r>
            <w:r>
              <w:rPr>
                <w:rFonts w:hint="eastAsia"/>
                <w:sz w:val="24"/>
                <w:lang w:val="zh-CN"/>
              </w:rPr>
              <w:t>房</w:t>
            </w:r>
            <w:r>
              <w:rPr>
                <w:rFonts w:hint="eastAsia"/>
                <w:sz w:val="24"/>
              </w:rPr>
              <w:t>旁，用作农田肥料。</w:t>
            </w:r>
          </w:p>
          <w:p>
            <w:pPr>
              <w:pStyle w:val="2"/>
              <w:spacing w:line="360" w:lineRule="auto"/>
              <w:ind w:left="0" w:leftChars="0" w:firstLine="420"/>
              <w:rPr>
                <w:color w:val="000000"/>
                <w:sz w:val="24"/>
              </w:rPr>
            </w:pPr>
            <w:r>
              <w:rPr>
                <w:color w:val="000000"/>
                <w:sz w:val="24"/>
              </w:rPr>
              <w:t>危险废物执行《危险废物贮存污染控制标准》（GB18597-2023）中相应标准。</w:t>
            </w:r>
          </w:p>
          <w:p>
            <w:pPr>
              <w:pStyle w:val="2"/>
              <w:spacing w:line="360" w:lineRule="auto"/>
              <w:ind w:left="0" w:leftChars="0" w:firstLine="420"/>
              <w:rPr>
                <w:color w:val="000000"/>
                <w:sz w:val="24"/>
                <w:u w:val="single"/>
              </w:rPr>
            </w:pPr>
            <w:r>
              <w:rPr>
                <w:rFonts w:hint="eastAsia"/>
                <w:color w:val="000000"/>
                <w:sz w:val="24"/>
                <w:u w:val="single"/>
              </w:rPr>
              <w:t>现有</w:t>
            </w:r>
            <w:r>
              <w:rPr>
                <w:color w:val="000000"/>
                <w:sz w:val="24"/>
                <w:u w:val="single"/>
              </w:rPr>
              <w:t>危废暂存</w:t>
            </w:r>
            <w:r>
              <w:rPr>
                <w:rFonts w:hint="eastAsia"/>
                <w:color w:val="000000"/>
                <w:sz w:val="24"/>
                <w:u w:val="single"/>
              </w:rPr>
              <w:t>间</w:t>
            </w:r>
            <w:r>
              <w:rPr>
                <w:color w:val="000000"/>
                <w:sz w:val="24"/>
                <w:u w:val="single"/>
              </w:rPr>
              <w:t>设置情况如下：</w:t>
            </w:r>
          </w:p>
          <w:p>
            <w:pPr>
              <w:pStyle w:val="2"/>
              <w:spacing w:line="360" w:lineRule="auto"/>
              <w:ind w:left="0" w:leftChars="0" w:firstLine="420"/>
              <w:rPr>
                <w:color w:val="000000"/>
                <w:sz w:val="24"/>
                <w:u w:val="single"/>
              </w:rPr>
            </w:pPr>
            <w:r>
              <w:rPr>
                <w:color w:val="000000"/>
                <w:sz w:val="24"/>
                <w:u w:val="single"/>
              </w:rPr>
              <w:t>危险废物收集后，暂存于厂区内</w:t>
            </w:r>
            <w:r>
              <w:rPr>
                <w:rFonts w:hint="eastAsia"/>
                <w:color w:val="000000"/>
                <w:sz w:val="24"/>
                <w:u w:val="single"/>
              </w:rPr>
              <w:t>现有危废暂存间。危废间位于厂区西北侧，占地面积10m</w:t>
            </w:r>
            <w:r>
              <w:rPr>
                <w:rFonts w:hint="eastAsia"/>
                <w:color w:val="000000"/>
                <w:sz w:val="24"/>
                <w:u w:val="single"/>
                <w:vertAlign w:val="superscript"/>
              </w:rPr>
              <w:t>2</w:t>
            </w:r>
            <w:r>
              <w:rPr>
                <w:rFonts w:hint="eastAsia"/>
                <w:color w:val="000000"/>
                <w:sz w:val="24"/>
                <w:u w:val="single"/>
              </w:rPr>
              <w:t>，建筑面积约9m</w:t>
            </w:r>
            <w:r>
              <w:rPr>
                <w:rFonts w:hint="eastAsia"/>
                <w:color w:val="000000"/>
                <w:sz w:val="24"/>
                <w:u w:val="single"/>
                <w:vertAlign w:val="superscript"/>
              </w:rPr>
              <w:t>2</w:t>
            </w:r>
            <w:r>
              <w:rPr>
                <w:rFonts w:hint="eastAsia"/>
                <w:color w:val="000000"/>
                <w:sz w:val="24"/>
                <w:u w:val="single"/>
              </w:rPr>
              <w:t>，危废间内设有隔断，分开储存实验废液、废试剂瓶、在线监测废液、废机油等。危废间存储废液隔断、危废间内无导流槽，无废液收集池，底部用若干托盘(73cm</w:t>
            </w:r>
            <w:r>
              <w:rPr>
                <w:rFonts w:ascii="Arial" w:hAnsi="Arial" w:cs="Arial"/>
                <w:color w:val="000000"/>
                <w:sz w:val="24"/>
                <w:u w:val="single"/>
              </w:rPr>
              <w:t>×</w:t>
            </w:r>
            <w:r>
              <w:rPr>
                <w:rFonts w:hint="eastAsia"/>
                <w:color w:val="000000"/>
                <w:sz w:val="24"/>
                <w:u w:val="single"/>
              </w:rPr>
              <w:t>80cm</w:t>
            </w:r>
            <w:r>
              <w:rPr>
                <w:rFonts w:ascii="Arial" w:hAnsi="Arial" w:cs="Arial"/>
                <w:color w:val="000000"/>
                <w:sz w:val="24"/>
                <w:u w:val="single"/>
              </w:rPr>
              <w:t>×</w:t>
            </w:r>
            <w:r>
              <w:rPr>
                <w:rFonts w:hint="eastAsia"/>
                <w:color w:val="000000"/>
                <w:sz w:val="24"/>
                <w:u w:val="single"/>
              </w:rPr>
              <w:t>50cm)承接散落废液。围堰高度50cm，危废间内地面全部硬化且做重点防渗处理，并设置围堰。现有</w:t>
            </w:r>
            <w:r>
              <w:rPr>
                <w:color w:val="000000"/>
                <w:sz w:val="24"/>
                <w:u w:val="single"/>
              </w:rPr>
              <w:t>危废暂存间</w:t>
            </w:r>
            <w:r>
              <w:rPr>
                <w:rFonts w:hint="eastAsia"/>
                <w:color w:val="000000"/>
                <w:sz w:val="24"/>
                <w:u w:val="single"/>
              </w:rPr>
              <w:t>的建设满足</w:t>
            </w:r>
            <w:r>
              <w:rPr>
                <w:color w:val="000000"/>
                <w:sz w:val="24"/>
                <w:u w:val="single"/>
              </w:rPr>
              <w:t>《危险废物贮存污染控制标准》（GB18597-2023）中的相关要求并进行</w:t>
            </w:r>
            <w:r>
              <w:rPr>
                <w:rFonts w:hint="eastAsia"/>
                <w:color w:val="000000"/>
                <w:sz w:val="24"/>
                <w:u w:val="single"/>
              </w:rPr>
              <w:t>了</w:t>
            </w:r>
            <w:r>
              <w:rPr>
                <w:color w:val="000000"/>
                <w:sz w:val="24"/>
                <w:u w:val="single"/>
              </w:rPr>
              <w:t>规范化管理。</w:t>
            </w:r>
            <w:r>
              <w:rPr>
                <w:rFonts w:hint="eastAsia"/>
                <w:color w:val="000000"/>
                <w:sz w:val="24"/>
                <w:u w:val="single"/>
              </w:rPr>
              <w:t>本项目为锅炉改建项目，不会新增固体废物类型，本次建设后固体废物产生估算量相较于现有工程产生的固体废物有减少的趋势，故现有危废暂存间可以满足本项目产生危险废物的贮存需求。</w:t>
            </w:r>
          </w:p>
          <w:p>
            <w:pPr>
              <w:autoSpaceDE w:val="0"/>
              <w:autoSpaceDN w:val="0"/>
              <w:adjustRightInd w:val="0"/>
              <w:snapToGrid w:val="0"/>
              <w:spacing w:line="360" w:lineRule="auto"/>
              <w:ind w:firstLine="482"/>
              <w:rPr>
                <w:b/>
                <w:bCs/>
                <w:sz w:val="24"/>
              </w:rPr>
            </w:pPr>
            <w:r>
              <w:rPr>
                <w:b/>
                <w:bCs/>
                <w:sz w:val="24"/>
              </w:rPr>
              <w:t>5、地下水和土壤影响分析</w:t>
            </w:r>
          </w:p>
          <w:p>
            <w:pPr>
              <w:spacing w:line="360" w:lineRule="auto"/>
              <w:ind w:firstLine="480" w:firstLineChars="200"/>
              <w:rPr>
                <w:color w:val="000000"/>
                <w:sz w:val="24"/>
              </w:rPr>
            </w:pPr>
            <w:r>
              <w:rPr>
                <w:color w:val="000000"/>
                <w:sz w:val="24"/>
              </w:rPr>
              <w:t>根据《环境影响评价技术导则地下水环境》（HJ610--2016）关于地下水环境保护措施与对策基本要求，地下水环境保护措施与对策应当符合《中华人民共和国水污染防治法》和《中华人民共和国环境影响评价法》的相关规定，按照“源头控制、分区防控、污染监控、应急响应”，重点突出饮用水水质安全的规定。</w:t>
            </w:r>
          </w:p>
          <w:p>
            <w:pPr>
              <w:spacing w:line="360" w:lineRule="auto"/>
              <w:ind w:firstLine="480" w:firstLineChars="200"/>
              <w:rPr>
                <w:color w:val="000000"/>
                <w:sz w:val="24"/>
              </w:rPr>
            </w:pPr>
            <w:r>
              <w:rPr>
                <w:color w:val="000000"/>
                <w:sz w:val="24"/>
              </w:rPr>
              <w:t>（1）污染途径</w:t>
            </w:r>
          </w:p>
          <w:p>
            <w:pPr>
              <w:spacing w:line="360" w:lineRule="auto"/>
              <w:ind w:firstLine="480" w:firstLineChars="200"/>
              <w:rPr>
                <w:color w:val="000000"/>
                <w:sz w:val="24"/>
              </w:rPr>
            </w:pPr>
            <w:r>
              <w:rPr>
                <w:color w:val="000000"/>
                <w:sz w:val="24"/>
              </w:rPr>
              <w:t>本项目营运期地下水、土壤污染可能的影响源来自于废水和固体废物。</w:t>
            </w:r>
          </w:p>
          <w:p>
            <w:pPr>
              <w:spacing w:line="360" w:lineRule="auto"/>
              <w:ind w:firstLine="480" w:firstLineChars="200"/>
              <w:rPr>
                <w:color w:val="000000"/>
                <w:sz w:val="24"/>
              </w:rPr>
            </w:pPr>
            <w:r>
              <w:rPr>
                <w:color w:val="000000"/>
                <w:sz w:val="24"/>
              </w:rPr>
              <w:t>（2）环境影响分析</w:t>
            </w:r>
          </w:p>
          <w:p>
            <w:pPr>
              <w:spacing w:line="360" w:lineRule="auto"/>
              <w:ind w:firstLine="480" w:firstLineChars="200"/>
              <w:rPr>
                <w:color w:val="000000"/>
                <w:sz w:val="24"/>
              </w:rPr>
            </w:pPr>
            <w:r>
              <w:rPr>
                <w:color w:val="000000"/>
                <w:sz w:val="24"/>
              </w:rPr>
              <w:t>①废水</w:t>
            </w:r>
          </w:p>
          <w:p>
            <w:pPr>
              <w:spacing w:line="360" w:lineRule="auto"/>
              <w:ind w:firstLine="480" w:firstLineChars="200"/>
              <w:rPr>
                <w:color w:val="000000"/>
                <w:sz w:val="24"/>
              </w:rPr>
            </w:pPr>
            <w:r>
              <w:rPr>
                <w:color w:val="000000"/>
                <w:sz w:val="24"/>
              </w:rPr>
              <w:t>本项目废水主要为</w:t>
            </w:r>
            <w:r>
              <w:rPr>
                <w:rFonts w:hint="eastAsia"/>
                <w:color w:val="000000"/>
                <w:sz w:val="24"/>
              </w:rPr>
              <w:t>锅炉排污水</w:t>
            </w:r>
            <w:r>
              <w:rPr>
                <w:color w:val="000000"/>
                <w:sz w:val="24"/>
              </w:rPr>
              <w:t>，</w:t>
            </w:r>
            <w:r>
              <w:rPr>
                <w:rFonts w:hint="eastAsia"/>
                <w:color w:val="000000"/>
                <w:sz w:val="24"/>
              </w:rPr>
              <w:t>锅炉排污水用于厂区地面洒水降尘不外排，</w:t>
            </w:r>
            <w:r>
              <w:rPr>
                <w:color w:val="000000"/>
                <w:sz w:val="24"/>
              </w:rPr>
              <w:t>不会对地下水、土壤造成影响。</w:t>
            </w:r>
          </w:p>
          <w:p>
            <w:pPr>
              <w:spacing w:line="360" w:lineRule="auto"/>
              <w:ind w:firstLine="480" w:firstLineChars="200"/>
              <w:rPr>
                <w:color w:val="000000"/>
                <w:sz w:val="24"/>
              </w:rPr>
            </w:pPr>
            <w:r>
              <w:rPr>
                <w:color w:val="000000"/>
                <w:sz w:val="24"/>
              </w:rPr>
              <w:t>②固体废物污染分析</w:t>
            </w:r>
          </w:p>
          <w:p>
            <w:pPr>
              <w:spacing w:line="360" w:lineRule="auto"/>
              <w:ind w:firstLine="480" w:firstLineChars="200"/>
              <w:rPr>
                <w:color w:val="000000"/>
                <w:sz w:val="24"/>
              </w:rPr>
            </w:pPr>
            <w:r>
              <w:rPr>
                <w:color w:val="000000"/>
                <w:sz w:val="24"/>
              </w:rPr>
              <w:t>危险废物在运输、贮存或堆放过程中通过扩散、降水淋洗等直接或间接地影响土壤。本项目固体废物能够全部得到综合利用和无害化处理，危险废物分区暂存，</w:t>
            </w:r>
            <w:r>
              <w:rPr>
                <w:rFonts w:hint="eastAsia"/>
                <w:color w:val="000000"/>
                <w:sz w:val="24"/>
              </w:rPr>
              <w:t>危废暂存间</w:t>
            </w:r>
            <w:r>
              <w:rPr>
                <w:color w:val="000000"/>
                <w:sz w:val="24"/>
              </w:rPr>
              <w:t>地面防渗，</w:t>
            </w:r>
            <w:r>
              <w:rPr>
                <w:rFonts w:hint="eastAsia"/>
                <w:color w:val="000000"/>
                <w:sz w:val="24"/>
              </w:rPr>
              <w:t>废机油</w:t>
            </w:r>
            <w:r>
              <w:rPr>
                <w:color w:val="000000"/>
                <w:sz w:val="24"/>
              </w:rPr>
              <w:t>（液态）暂存于危废间内单独贮存桶内，固体废物不会与土壤表层直接接触，不会对地下水、土壤产生影响。</w:t>
            </w:r>
          </w:p>
          <w:p>
            <w:pPr>
              <w:spacing w:line="360" w:lineRule="auto"/>
              <w:ind w:firstLine="480" w:firstLineChars="200"/>
              <w:rPr>
                <w:color w:val="000000"/>
                <w:sz w:val="24"/>
              </w:rPr>
            </w:pPr>
            <w:r>
              <w:rPr>
                <w:color w:val="000000"/>
                <w:sz w:val="24"/>
              </w:rPr>
              <w:t>综上分析，通过严格执行废水和固体废物环境保护措施，各种污染物均得到妥善处理处置，地下水、土壤环境不会发生较大变化，对区域地下水、土壤环境的影响相对较小。</w:t>
            </w:r>
          </w:p>
          <w:p>
            <w:pPr>
              <w:autoSpaceDE w:val="0"/>
              <w:autoSpaceDN w:val="0"/>
              <w:adjustRightInd w:val="0"/>
              <w:snapToGrid w:val="0"/>
              <w:spacing w:line="360" w:lineRule="auto"/>
              <w:ind w:firstLine="482"/>
              <w:rPr>
                <w:b/>
                <w:bCs/>
                <w:sz w:val="24"/>
              </w:rPr>
            </w:pPr>
            <w:r>
              <w:rPr>
                <w:b/>
                <w:bCs/>
                <w:sz w:val="24"/>
              </w:rPr>
              <w:t>6、生态</w:t>
            </w:r>
          </w:p>
          <w:p>
            <w:pPr>
              <w:spacing w:line="360" w:lineRule="auto"/>
              <w:ind w:firstLine="480" w:firstLineChars="200"/>
              <w:rPr>
                <w:rFonts w:eastAsia="宋体"/>
                <w:color w:val="000000"/>
                <w:sz w:val="24"/>
              </w:rPr>
            </w:pPr>
            <w:r>
              <w:rPr>
                <w:rFonts w:eastAsia="宋体"/>
                <w:color w:val="000000"/>
                <w:sz w:val="24"/>
              </w:rPr>
              <w:t>本项目</w:t>
            </w:r>
            <w:r>
              <w:rPr>
                <w:rFonts w:hint="eastAsia" w:eastAsia="宋体"/>
                <w:color w:val="000000"/>
                <w:sz w:val="24"/>
              </w:rPr>
              <w:t>依托</w:t>
            </w:r>
            <w:r>
              <w:rPr>
                <w:rFonts w:hint="eastAsia"/>
                <w:color w:val="000000"/>
                <w:kern w:val="0"/>
                <w:sz w:val="24"/>
              </w:rPr>
              <w:t>现有厂区锅炉房</w:t>
            </w:r>
            <w:r>
              <w:rPr>
                <w:rFonts w:hint="eastAsia" w:eastAsia="宋体"/>
                <w:color w:val="000000"/>
                <w:sz w:val="24"/>
              </w:rPr>
              <w:t>占地范围内进行建设</w:t>
            </w:r>
            <w:r>
              <w:rPr>
                <w:rFonts w:eastAsia="宋体"/>
                <w:color w:val="000000"/>
                <w:sz w:val="24"/>
              </w:rPr>
              <w:t>，不涉及新增占地。周边无生态环境保护目标，因此本次</w:t>
            </w:r>
            <w:r>
              <w:rPr>
                <w:rFonts w:hint="eastAsia" w:eastAsia="宋体"/>
                <w:color w:val="000000"/>
                <w:sz w:val="24"/>
              </w:rPr>
              <w:t>无需</w:t>
            </w:r>
            <w:r>
              <w:rPr>
                <w:rFonts w:eastAsia="宋体"/>
                <w:color w:val="000000"/>
                <w:sz w:val="24"/>
              </w:rPr>
              <w:t>开展生态环境影响评价。</w:t>
            </w:r>
          </w:p>
          <w:p>
            <w:pPr>
              <w:autoSpaceDE w:val="0"/>
              <w:autoSpaceDN w:val="0"/>
              <w:adjustRightInd w:val="0"/>
              <w:snapToGrid w:val="0"/>
              <w:spacing w:line="360" w:lineRule="auto"/>
              <w:ind w:firstLine="482"/>
              <w:rPr>
                <w:b/>
                <w:bCs/>
                <w:sz w:val="24"/>
              </w:rPr>
            </w:pPr>
            <w:r>
              <w:rPr>
                <w:b/>
                <w:bCs/>
                <w:sz w:val="24"/>
              </w:rPr>
              <w:t>7、环境风险</w:t>
            </w:r>
          </w:p>
          <w:p>
            <w:pPr>
              <w:spacing w:line="360" w:lineRule="auto"/>
              <w:ind w:firstLine="480" w:firstLineChars="200"/>
              <w:rPr>
                <w:rFonts w:eastAsia="宋体"/>
                <w:color w:val="000000"/>
                <w:sz w:val="24"/>
              </w:rPr>
            </w:pPr>
            <w:r>
              <w:rPr>
                <w:rFonts w:eastAsia="宋体"/>
                <w:color w:val="000000"/>
                <w:sz w:val="24"/>
              </w:rPr>
              <w:t>根据《建设项目环境风险评价技术导则》（HJ169-2018），计算所</w:t>
            </w:r>
            <w:r>
              <w:rPr>
                <w:rFonts w:hint="eastAsia" w:eastAsia="宋体"/>
                <w:color w:val="000000"/>
                <w:sz w:val="24"/>
              </w:rPr>
              <w:t>涉及</w:t>
            </w:r>
            <w:r>
              <w:rPr>
                <w:rFonts w:eastAsia="宋体"/>
                <w:color w:val="000000"/>
                <w:sz w:val="24"/>
              </w:rPr>
              <w:t>的每种危险物质在厂界内的最大存在总量与其在附录B中对应临界量的比值Q。在不同厂区的同一种物质，按其在厂界内的最大存在量计算。</w:t>
            </w:r>
          </w:p>
          <w:p>
            <w:pPr>
              <w:spacing w:line="360" w:lineRule="auto"/>
              <w:ind w:firstLine="480" w:firstLineChars="200"/>
              <w:rPr>
                <w:rFonts w:eastAsia="宋体"/>
                <w:color w:val="000000"/>
                <w:sz w:val="24"/>
              </w:rPr>
            </w:pPr>
            <w:r>
              <w:rPr>
                <w:rFonts w:eastAsia="宋体"/>
                <w:color w:val="000000"/>
                <w:sz w:val="24"/>
              </w:rPr>
              <w:t>当只涉及一种危险物质时，计算该物质的总量与其临界量比值，即Q：</w:t>
            </w:r>
          </w:p>
          <w:p>
            <w:pPr>
              <w:spacing w:line="360" w:lineRule="auto"/>
              <w:ind w:firstLine="480" w:firstLineChars="200"/>
              <w:rPr>
                <w:rFonts w:eastAsia="宋体"/>
                <w:color w:val="000000"/>
                <w:sz w:val="24"/>
              </w:rPr>
            </w:pPr>
            <w:r>
              <w:rPr>
                <w:rFonts w:eastAsia="宋体"/>
                <w:color w:val="000000"/>
                <w:sz w:val="24"/>
              </w:rPr>
              <w:t>当存在多种危险物质时，则按式（C.1）计算物质总量与其临界量比值（Q）：</w:t>
            </w:r>
          </w:p>
          <w:p>
            <w:pPr>
              <w:spacing w:line="360" w:lineRule="auto"/>
              <w:ind w:firstLine="480" w:firstLineChars="200"/>
              <w:jc w:val="center"/>
              <w:rPr>
                <w:rFonts w:eastAsia="宋体"/>
                <w:color w:val="000000"/>
                <w:sz w:val="24"/>
              </w:rPr>
            </w:pPr>
            <w:r>
              <w:rPr>
                <w:rFonts w:ascii="Times New Roman" w:hAnsi="Times New Roman" w:eastAsia="宋体" w:cs="Times New Roman"/>
                <w:color w:val="000000"/>
                <w:kern w:val="2"/>
                <w:sz w:val="24"/>
                <w:szCs w:val="24"/>
                <w:lang w:val="en-US" w:eastAsia="zh-CN" w:bidi="ar-SA"/>
              </w:rPr>
              <w:pict>
                <v:shape id="图片框 1047" o:spid="_x0000_s1048" type="#_x0000_t75" style="height:34.9pt;width:142.7pt;rotation:0f;" o:ole="f" fillcolor="#FFFFFF" filled="f" o:preferrelative="t" stroked="f" coordorigin="0,0" coordsize="21600,21600">
                  <v:fill on="f" color2="#FFFFFF" focus="0%"/>
                  <v:imagedata gain="65536f" blacklevel="0f" gamma="0" o:title="" r:id="rId36"/>
                  <o:lock v:ext="edit" position="f" selection="f" grouping="f" rotation="f" cropping="f" text="f" aspectratio="t"/>
                  <w10:wrap type="none"/>
                  <w10:anchorlock/>
                </v:shape>
              </w:pict>
            </w:r>
          </w:p>
          <w:p>
            <w:pPr>
              <w:spacing w:line="360" w:lineRule="auto"/>
              <w:ind w:firstLine="480" w:firstLineChars="200"/>
              <w:rPr>
                <w:rFonts w:eastAsia="宋体"/>
                <w:color w:val="000000"/>
                <w:sz w:val="24"/>
              </w:rPr>
            </w:pPr>
            <w:r>
              <w:rPr>
                <w:rFonts w:eastAsia="宋体"/>
                <w:color w:val="000000"/>
                <w:sz w:val="24"/>
              </w:rPr>
              <w:t>式中：q</w:t>
            </w:r>
            <w:r>
              <w:rPr>
                <w:rFonts w:eastAsia="宋体"/>
                <w:color w:val="000000"/>
                <w:sz w:val="24"/>
                <w:vertAlign w:val="subscript"/>
              </w:rPr>
              <w:t>1</w:t>
            </w:r>
            <w:r>
              <w:rPr>
                <w:rFonts w:eastAsia="宋体"/>
                <w:color w:val="000000"/>
                <w:sz w:val="24"/>
              </w:rPr>
              <w:t>，q</w:t>
            </w:r>
            <w:r>
              <w:rPr>
                <w:rFonts w:eastAsia="宋体"/>
                <w:color w:val="000000"/>
                <w:sz w:val="24"/>
                <w:vertAlign w:val="subscript"/>
              </w:rPr>
              <w:t>2</w:t>
            </w:r>
            <w:r>
              <w:rPr>
                <w:rFonts w:eastAsia="宋体"/>
                <w:color w:val="000000"/>
                <w:sz w:val="24"/>
              </w:rPr>
              <w:t>，...，q</w:t>
            </w:r>
            <w:r>
              <w:rPr>
                <w:rFonts w:eastAsia="宋体"/>
                <w:color w:val="000000"/>
                <w:sz w:val="24"/>
                <w:vertAlign w:val="subscript"/>
              </w:rPr>
              <w:t>n</w:t>
            </w:r>
            <w:r>
              <w:rPr>
                <w:rFonts w:eastAsia="宋体"/>
                <w:color w:val="000000"/>
                <w:sz w:val="24"/>
              </w:rPr>
              <w:t>—每种危险物质的最大存在总量，t；</w:t>
            </w:r>
          </w:p>
          <w:p>
            <w:pPr>
              <w:spacing w:line="360" w:lineRule="auto"/>
              <w:ind w:firstLine="1200" w:firstLineChars="500"/>
              <w:rPr>
                <w:rFonts w:eastAsia="宋体"/>
                <w:color w:val="000000"/>
                <w:sz w:val="24"/>
              </w:rPr>
            </w:pPr>
            <w:r>
              <w:rPr>
                <w:rFonts w:eastAsia="宋体"/>
                <w:color w:val="000000"/>
                <w:sz w:val="24"/>
              </w:rPr>
              <w:t>Q</w:t>
            </w:r>
            <w:r>
              <w:rPr>
                <w:rFonts w:eastAsia="宋体"/>
                <w:color w:val="000000"/>
                <w:sz w:val="24"/>
                <w:vertAlign w:val="subscript"/>
              </w:rPr>
              <w:t>1</w:t>
            </w:r>
            <w:r>
              <w:rPr>
                <w:rFonts w:eastAsia="宋体"/>
                <w:color w:val="000000"/>
                <w:sz w:val="24"/>
              </w:rPr>
              <w:t>，Q</w:t>
            </w:r>
            <w:r>
              <w:rPr>
                <w:rFonts w:eastAsia="宋体"/>
                <w:color w:val="000000"/>
                <w:sz w:val="24"/>
                <w:vertAlign w:val="subscript"/>
              </w:rPr>
              <w:t>2</w:t>
            </w:r>
            <w:r>
              <w:rPr>
                <w:rFonts w:eastAsia="宋体"/>
                <w:color w:val="000000"/>
                <w:sz w:val="24"/>
              </w:rPr>
              <w:t>，...，Q</w:t>
            </w:r>
            <w:r>
              <w:rPr>
                <w:rFonts w:eastAsia="宋体"/>
                <w:color w:val="000000"/>
                <w:sz w:val="24"/>
                <w:vertAlign w:val="subscript"/>
              </w:rPr>
              <w:t>n</w:t>
            </w:r>
            <w:r>
              <w:rPr>
                <w:rFonts w:eastAsia="宋体"/>
                <w:color w:val="000000"/>
                <w:sz w:val="24"/>
              </w:rPr>
              <w:t>—每种危险物质的临界量，t。</w:t>
            </w:r>
          </w:p>
          <w:p>
            <w:pPr>
              <w:spacing w:line="360" w:lineRule="auto"/>
              <w:ind w:firstLine="1200" w:firstLineChars="500"/>
              <w:rPr>
                <w:rFonts w:eastAsia="宋体"/>
                <w:color w:val="000000"/>
                <w:sz w:val="24"/>
              </w:rPr>
            </w:pPr>
            <w:r>
              <w:rPr>
                <w:rFonts w:eastAsia="宋体"/>
                <w:color w:val="000000"/>
                <w:sz w:val="24"/>
              </w:rPr>
              <w:t>当Q&lt;1时，该项目风险潜势为I。</w:t>
            </w:r>
          </w:p>
          <w:p>
            <w:pPr>
              <w:spacing w:line="360" w:lineRule="auto"/>
              <w:ind w:firstLine="1200" w:firstLineChars="500"/>
              <w:rPr>
                <w:rFonts w:eastAsia="宋体"/>
                <w:color w:val="000000"/>
                <w:sz w:val="24"/>
              </w:rPr>
            </w:pPr>
            <w:r>
              <w:rPr>
                <w:rFonts w:eastAsia="宋体"/>
                <w:color w:val="000000"/>
                <w:sz w:val="24"/>
              </w:rPr>
              <w:t>当Q&gt;1时，将Q值划分为：（1）1&lt;Q&lt;10；（2）10&lt;Q&lt;100；（3）Q&gt;100。</w:t>
            </w:r>
          </w:p>
          <w:p>
            <w:pPr>
              <w:spacing w:line="360" w:lineRule="auto"/>
              <w:ind w:firstLine="480" w:firstLineChars="200"/>
              <w:rPr>
                <w:rFonts w:eastAsia="宋体"/>
                <w:color w:val="000000"/>
                <w:sz w:val="24"/>
                <w:u w:val="single"/>
              </w:rPr>
            </w:pPr>
            <w:r>
              <w:rPr>
                <w:rFonts w:eastAsia="宋体"/>
                <w:color w:val="000000"/>
                <w:sz w:val="24"/>
                <w:u w:val="single"/>
              </w:rPr>
              <w:t>根据《建设项目环境风险评价技术导则》（HJ169-2018）及其附录B所提及的危险物质，本项目的危险废物为</w:t>
            </w:r>
            <w:r>
              <w:rPr>
                <w:rFonts w:hint="eastAsia" w:eastAsia="宋体"/>
                <w:color w:val="000000"/>
                <w:sz w:val="24"/>
                <w:u w:val="single"/>
              </w:rPr>
              <w:t>废机油</w:t>
            </w:r>
            <w:r>
              <w:rPr>
                <w:rFonts w:eastAsia="宋体"/>
                <w:color w:val="000000"/>
                <w:sz w:val="24"/>
                <w:u w:val="single"/>
              </w:rPr>
              <w:t>、含油废抹布及手套，本项目危险物质数量与临界量比值（Q）判定见下表。</w:t>
            </w:r>
          </w:p>
          <w:p>
            <w:pPr>
              <w:tabs>
                <w:tab w:val="left" w:pos="0"/>
              </w:tabs>
              <w:jc w:val="center"/>
              <w:rPr>
                <w:rFonts w:eastAsia="宋体"/>
                <w:bCs/>
                <w:color w:val="000000"/>
                <w:sz w:val="24"/>
                <w:u w:val="single"/>
              </w:rPr>
            </w:pPr>
            <w:r>
              <w:rPr>
                <w:bCs/>
                <w:color w:val="000000"/>
                <w:sz w:val="24"/>
                <w:u w:val="single"/>
              </w:rPr>
              <w:t>表</w:t>
            </w:r>
            <w:r>
              <w:rPr>
                <w:rFonts w:hint="eastAsia"/>
                <w:bCs/>
                <w:color w:val="000000"/>
                <w:sz w:val="24"/>
                <w:u w:val="single"/>
              </w:rPr>
              <w:t>43</w:t>
            </w:r>
            <w:r>
              <w:rPr>
                <w:bCs/>
                <w:color w:val="000000"/>
                <w:sz w:val="24"/>
                <w:u w:val="single"/>
              </w:rPr>
              <w:t xml:space="preserve">  </w:t>
            </w:r>
            <w:r>
              <w:rPr>
                <w:rFonts w:eastAsia="宋体"/>
                <w:bCs/>
                <w:color w:val="000000"/>
                <w:sz w:val="24"/>
                <w:u w:val="single"/>
              </w:rPr>
              <w:t>危险物质数量与临界量比值（Q）判定表</w:t>
            </w:r>
          </w:p>
          <w:tbl>
            <w:tblPr>
              <w:tblW w:w="880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882"/>
              <w:gridCol w:w="1476"/>
              <w:gridCol w:w="1922"/>
              <w:gridCol w:w="1762"/>
              <w:gridCol w:w="1763"/>
            </w:tblGrid>
            <w:tr>
              <w:trPr>
                <w:trHeight w:val="340" w:hRule="atLeast"/>
              </w:trPr>
              <w:tc>
                <w:tcPr>
                  <w:tcW w:w="1882" w:type="dxa"/>
                  <w:tcBorders>
                    <w:tl2br w:val="nil"/>
                    <w:tr2bl w:val="nil"/>
                  </w:tcBorders>
                  <w:vAlign w:val="center"/>
                </w:tcPr>
                <w:p>
                  <w:pPr>
                    <w:jc w:val="center"/>
                    <w:rPr>
                      <w:rFonts w:eastAsia="宋体"/>
                      <w:color w:val="000000"/>
                      <w:kern w:val="0"/>
                      <w:szCs w:val="21"/>
                      <w:u w:val="single"/>
                    </w:rPr>
                  </w:pPr>
                  <w:r>
                    <w:rPr>
                      <w:rFonts w:eastAsia="宋体"/>
                      <w:color w:val="000000"/>
                      <w:kern w:val="0"/>
                      <w:szCs w:val="21"/>
                      <w:u w:val="single"/>
                    </w:rPr>
                    <w:t>危险物质名称</w:t>
                  </w:r>
                </w:p>
              </w:tc>
              <w:tc>
                <w:tcPr>
                  <w:tcW w:w="1476" w:type="dxa"/>
                  <w:tcBorders>
                    <w:tl2br w:val="nil"/>
                    <w:tr2bl w:val="nil"/>
                  </w:tcBorders>
                  <w:vAlign w:val="center"/>
                </w:tcPr>
                <w:p>
                  <w:pPr>
                    <w:widowControl/>
                    <w:jc w:val="center"/>
                    <w:rPr>
                      <w:rFonts w:eastAsia="宋体"/>
                      <w:color w:val="000000"/>
                      <w:kern w:val="0"/>
                      <w:szCs w:val="21"/>
                      <w:u w:val="single"/>
                    </w:rPr>
                  </w:pPr>
                  <w:r>
                    <w:rPr>
                      <w:color w:val="000000"/>
                      <w:kern w:val="0"/>
                      <w:u w:val="single"/>
                    </w:rPr>
                    <w:t>CAS号</w:t>
                  </w:r>
                </w:p>
              </w:tc>
              <w:tc>
                <w:tcPr>
                  <w:tcW w:w="1922" w:type="dxa"/>
                  <w:tcBorders>
                    <w:tl2br w:val="nil"/>
                    <w:tr2bl w:val="nil"/>
                  </w:tcBorders>
                  <w:vAlign w:val="center"/>
                </w:tcPr>
                <w:p>
                  <w:pPr>
                    <w:widowControl/>
                    <w:jc w:val="center"/>
                    <w:rPr>
                      <w:rFonts w:eastAsia="宋体"/>
                      <w:color w:val="000000"/>
                      <w:kern w:val="0"/>
                      <w:szCs w:val="21"/>
                      <w:u w:val="single"/>
                    </w:rPr>
                  </w:pPr>
                  <w:r>
                    <w:rPr>
                      <w:rFonts w:eastAsia="宋体"/>
                      <w:color w:val="000000"/>
                      <w:kern w:val="0"/>
                      <w:szCs w:val="21"/>
                      <w:u w:val="single"/>
                    </w:rPr>
                    <w:t>厂界最大存在量/t</w:t>
                  </w:r>
                </w:p>
              </w:tc>
              <w:tc>
                <w:tcPr>
                  <w:tcW w:w="1762" w:type="dxa"/>
                  <w:tcBorders>
                    <w:tl2br w:val="nil"/>
                    <w:tr2bl w:val="nil"/>
                  </w:tcBorders>
                  <w:vAlign w:val="center"/>
                </w:tcPr>
                <w:p>
                  <w:pPr>
                    <w:widowControl/>
                    <w:jc w:val="center"/>
                    <w:rPr>
                      <w:rFonts w:eastAsia="宋体"/>
                      <w:color w:val="000000"/>
                      <w:kern w:val="0"/>
                      <w:szCs w:val="21"/>
                      <w:u w:val="single"/>
                    </w:rPr>
                  </w:pPr>
                  <w:r>
                    <w:rPr>
                      <w:rFonts w:eastAsia="宋体"/>
                      <w:color w:val="000000"/>
                      <w:kern w:val="0"/>
                      <w:szCs w:val="21"/>
                      <w:u w:val="single"/>
                    </w:rPr>
                    <w:t>临界量/t</w:t>
                  </w:r>
                </w:p>
              </w:tc>
              <w:tc>
                <w:tcPr>
                  <w:tcW w:w="1763" w:type="dxa"/>
                  <w:tcBorders>
                    <w:tl2br w:val="nil"/>
                    <w:tr2bl w:val="nil"/>
                  </w:tcBorders>
                  <w:vAlign w:val="center"/>
                </w:tcPr>
                <w:p>
                  <w:pPr>
                    <w:widowControl/>
                    <w:jc w:val="center"/>
                    <w:rPr>
                      <w:rFonts w:eastAsia="宋体"/>
                      <w:color w:val="000000"/>
                      <w:kern w:val="0"/>
                      <w:szCs w:val="21"/>
                      <w:u w:val="single"/>
                    </w:rPr>
                  </w:pPr>
                  <w:r>
                    <w:rPr>
                      <w:rFonts w:eastAsia="宋体"/>
                      <w:color w:val="000000"/>
                      <w:kern w:val="0"/>
                      <w:szCs w:val="21"/>
                      <w:u w:val="single"/>
                    </w:rPr>
                    <w:t>Q值</w:t>
                  </w:r>
                </w:p>
              </w:tc>
            </w:tr>
            <w:tr>
              <w:trPr>
                <w:trHeight w:val="340" w:hRule="atLeast"/>
              </w:trPr>
              <w:tc>
                <w:tcPr>
                  <w:tcW w:w="1882" w:type="dxa"/>
                  <w:tcBorders>
                    <w:tl2br w:val="nil"/>
                    <w:tr2bl w:val="nil"/>
                  </w:tcBorders>
                  <w:vAlign w:val="center"/>
                </w:tcPr>
                <w:p>
                  <w:pPr>
                    <w:jc w:val="center"/>
                    <w:rPr>
                      <w:rFonts w:eastAsia="宋体"/>
                      <w:color w:val="000000"/>
                      <w:kern w:val="0"/>
                      <w:szCs w:val="21"/>
                      <w:u w:val="single"/>
                    </w:rPr>
                  </w:pPr>
                  <w:r>
                    <w:rPr>
                      <w:rFonts w:hint="eastAsia" w:eastAsia="宋体"/>
                      <w:color w:val="000000"/>
                      <w:kern w:val="0"/>
                      <w:szCs w:val="21"/>
                      <w:u w:val="single"/>
                    </w:rPr>
                    <w:t>废机油</w:t>
                  </w:r>
                </w:p>
              </w:tc>
              <w:tc>
                <w:tcPr>
                  <w:tcW w:w="1476" w:type="dxa"/>
                  <w:tcBorders>
                    <w:tl2br w:val="nil"/>
                    <w:tr2bl w:val="nil"/>
                  </w:tcBorders>
                  <w:vAlign w:val="center"/>
                </w:tcPr>
                <w:p>
                  <w:pPr>
                    <w:widowControl/>
                    <w:tabs>
                      <w:tab w:val="left" w:pos="376"/>
                    </w:tabs>
                    <w:adjustRightInd w:val="0"/>
                    <w:jc w:val="center"/>
                    <w:rPr>
                      <w:rFonts w:eastAsia="宋体"/>
                      <w:color w:val="000000"/>
                      <w:kern w:val="0"/>
                      <w:szCs w:val="21"/>
                      <w:u w:val="single"/>
                    </w:rPr>
                  </w:pPr>
                  <w:r>
                    <w:rPr>
                      <w:rFonts w:hint="eastAsia" w:eastAsia="宋体"/>
                      <w:color w:val="000000"/>
                      <w:kern w:val="0"/>
                      <w:szCs w:val="21"/>
                      <w:u w:val="single"/>
                    </w:rPr>
                    <w:t>/</w:t>
                  </w:r>
                </w:p>
              </w:tc>
              <w:tc>
                <w:tcPr>
                  <w:tcW w:w="1922" w:type="dxa"/>
                  <w:tcBorders>
                    <w:tl2br w:val="nil"/>
                    <w:tr2bl w:val="nil"/>
                  </w:tcBorders>
                  <w:vAlign w:val="center"/>
                </w:tcPr>
                <w:p>
                  <w:pPr>
                    <w:jc w:val="center"/>
                    <w:rPr>
                      <w:rFonts w:eastAsia="宋体"/>
                      <w:color w:val="000000"/>
                      <w:kern w:val="0"/>
                      <w:szCs w:val="21"/>
                      <w:u w:val="single"/>
                    </w:rPr>
                  </w:pPr>
                  <w:r>
                    <w:rPr>
                      <w:rFonts w:hint="eastAsia" w:eastAsia="宋体"/>
                      <w:color w:val="000000"/>
                      <w:kern w:val="0"/>
                      <w:szCs w:val="21"/>
                      <w:u w:val="single"/>
                    </w:rPr>
                    <w:t>0.5</w:t>
                  </w:r>
                </w:p>
              </w:tc>
              <w:tc>
                <w:tcPr>
                  <w:tcW w:w="1762" w:type="dxa"/>
                  <w:tcBorders>
                    <w:tl2br w:val="nil"/>
                    <w:tr2bl w:val="nil"/>
                  </w:tcBorders>
                  <w:vAlign w:val="center"/>
                </w:tcPr>
                <w:p>
                  <w:pPr>
                    <w:jc w:val="center"/>
                    <w:rPr>
                      <w:rFonts w:eastAsia="宋体"/>
                      <w:color w:val="000000"/>
                      <w:kern w:val="0"/>
                      <w:szCs w:val="21"/>
                      <w:u w:val="single"/>
                    </w:rPr>
                  </w:pPr>
                  <w:r>
                    <w:rPr>
                      <w:rFonts w:hint="eastAsia" w:eastAsia="宋体"/>
                      <w:color w:val="000000"/>
                      <w:kern w:val="0"/>
                      <w:szCs w:val="21"/>
                      <w:u w:val="single"/>
                    </w:rPr>
                    <w:t>2500</w:t>
                  </w:r>
                </w:p>
              </w:tc>
              <w:tc>
                <w:tcPr>
                  <w:tcW w:w="1763" w:type="dxa"/>
                  <w:tcBorders>
                    <w:tl2br w:val="nil"/>
                    <w:tr2bl w:val="nil"/>
                  </w:tcBorders>
                  <w:vAlign w:val="center"/>
                </w:tcPr>
                <w:p>
                  <w:pPr>
                    <w:jc w:val="center"/>
                    <w:rPr>
                      <w:rFonts w:eastAsia="宋体"/>
                      <w:color w:val="000000"/>
                      <w:kern w:val="0"/>
                      <w:szCs w:val="21"/>
                      <w:u w:val="single"/>
                    </w:rPr>
                  </w:pPr>
                  <w:r>
                    <w:rPr>
                      <w:rFonts w:hint="eastAsia" w:eastAsia="宋体"/>
                      <w:color w:val="000000"/>
                      <w:kern w:val="0"/>
                      <w:szCs w:val="21"/>
                      <w:u w:val="single"/>
                    </w:rPr>
                    <w:t>0.0002</w:t>
                  </w:r>
                </w:p>
              </w:tc>
            </w:tr>
            <w:tr>
              <w:trPr>
                <w:trHeight w:val="340" w:hRule="atLeast"/>
              </w:trPr>
              <w:tc>
                <w:tcPr>
                  <w:tcW w:w="1882" w:type="dxa"/>
                  <w:tcBorders>
                    <w:tl2br w:val="nil"/>
                    <w:tr2bl w:val="nil"/>
                  </w:tcBorders>
                  <w:vAlign w:val="center"/>
                </w:tcPr>
                <w:p>
                  <w:pPr>
                    <w:jc w:val="center"/>
                    <w:rPr>
                      <w:rFonts w:eastAsia="宋体"/>
                      <w:color w:val="000000"/>
                      <w:kern w:val="0"/>
                      <w:szCs w:val="21"/>
                      <w:u w:val="single"/>
                    </w:rPr>
                  </w:pPr>
                  <w:r>
                    <w:rPr>
                      <w:rFonts w:hint="eastAsia" w:eastAsia="宋体"/>
                      <w:color w:val="000000"/>
                      <w:kern w:val="0"/>
                      <w:szCs w:val="21"/>
                      <w:u w:val="single"/>
                    </w:rPr>
                    <w:t>含有抹布及手套</w:t>
                  </w:r>
                </w:p>
              </w:tc>
              <w:tc>
                <w:tcPr>
                  <w:tcW w:w="1476" w:type="dxa"/>
                  <w:tcBorders>
                    <w:tl2br w:val="nil"/>
                    <w:tr2bl w:val="nil"/>
                  </w:tcBorders>
                  <w:vAlign w:val="center"/>
                </w:tcPr>
                <w:p>
                  <w:pPr>
                    <w:widowControl/>
                    <w:tabs>
                      <w:tab w:val="left" w:pos="376"/>
                    </w:tabs>
                    <w:adjustRightInd w:val="0"/>
                    <w:jc w:val="center"/>
                    <w:rPr>
                      <w:color w:val="000000"/>
                      <w:kern w:val="0"/>
                      <w:u w:val="single"/>
                    </w:rPr>
                  </w:pPr>
                  <w:r>
                    <w:rPr>
                      <w:rFonts w:hint="eastAsia"/>
                      <w:color w:val="000000"/>
                      <w:kern w:val="0"/>
                      <w:u w:val="single"/>
                    </w:rPr>
                    <w:t>/</w:t>
                  </w:r>
                </w:p>
              </w:tc>
              <w:tc>
                <w:tcPr>
                  <w:tcW w:w="1922" w:type="dxa"/>
                  <w:tcBorders>
                    <w:tl2br w:val="nil"/>
                    <w:tr2bl w:val="nil"/>
                  </w:tcBorders>
                  <w:vAlign w:val="center"/>
                </w:tcPr>
                <w:p>
                  <w:pPr>
                    <w:jc w:val="center"/>
                    <w:rPr>
                      <w:rFonts w:eastAsia="宋体"/>
                      <w:color w:val="000000"/>
                      <w:kern w:val="0"/>
                      <w:szCs w:val="21"/>
                      <w:u w:val="single"/>
                    </w:rPr>
                  </w:pPr>
                  <w:r>
                    <w:rPr>
                      <w:rFonts w:hint="eastAsia" w:eastAsia="宋体"/>
                      <w:color w:val="000000"/>
                      <w:kern w:val="0"/>
                      <w:szCs w:val="21"/>
                      <w:u w:val="single"/>
                    </w:rPr>
                    <w:t>0.05</w:t>
                  </w:r>
                </w:p>
              </w:tc>
              <w:tc>
                <w:tcPr>
                  <w:tcW w:w="1762" w:type="dxa"/>
                  <w:tcBorders>
                    <w:tl2br w:val="nil"/>
                    <w:tr2bl w:val="nil"/>
                  </w:tcBorders>
                  <w:vAlign w:val="center"/>
                </w:tcPr>
                <w:p>
                  <w:pPr>
                    <w:jc w:val="center"/>
                    <w:rPr>
                      <w:rFonts w:eastAsia="宋体"/>
                      <w:color w:val="000000"/>
                      <w:kern w:val="0"/>
                      <w:szCs w:val="21"/>
                      <w:u w:val="single"/>
                    </w:rPr>
                  </w:pPr>
                  <w:r>
                    <w:rPr>
                      <w:rFonts w:hint="eastAsia" w:eastAsia="宋体"/>
                      <w:color w:val="000000"/>
                      <w:kern w:val="0"/>
                      <w:szCs w:val="21"/>
                      <w:u w:val="single"/>
                    </w:rPr>
                    <w:t>2500</w:t>
                  </w:r>
                </w:p>
              </w:tc>
              <w:tc>
                <w:tcPr>
                  <w:tcW w:w="1763" w:type="dxa"/>
                  <w:tcBorders>
                    <w:tl2br w:val="nil"/>
                    <w:tr2bl w:val="nil"/>
                  </w:tcBorders>
                  <w:vAlign w:val="center"/>
                </w:tcPr>
                <w:p>
                  <w:pPr>
                    <w:jc w:val="center"/>
                    <w:rPr>
                      <w:rFonts w:eastAsia="宋体"/>
                      <w:color w:val="000000"/>
                      <w:kern w:val="0"/>
                      <w:szCs w:val="21"/>
                      <w:u w:val="single"/>
                    </w:rPr>
                  </w:pPr>
                  <w:r>
                    <w:rPr>
                      <w:rFonts w:hint="eastAsia" w:eastAsia="宋体"/>
                      <w:color w:val="000000"/>
                      <w:kern w:val="0"/>
                      <w:szCs w:val="21"/>
                      <w:u w:val="single"/>
                    </w:rPr>
                    <w:t>0.00002</w:t>
                  </w:r>
                </w:p>
              </w:tc>
            </w:tr>
            <w:tr>
              <w:trPr>
                <w:trHeight w:val="340" w:hRule="atLeast"/>
              </w:trPr>
              <w:tc>
                <w:tcPr>
                  <w:tcW w:w="1882" w:type="dxa"/>
                  <w:tcBorders>
                    <w:tl2br w:val="nil"/>
                    <w:tr2bl w:val="nil"/>
                  </w:tcBorders>
                  <w:vAlign w:val="center"/>
                </w:tcPr>
                <w:p>
                  <w:pPr>
                    <w:jc w:val="center"/>
                    <w:rPr>
                      <w:rFonts w:eastAsia="宋体"/>
                      <w:color w:val="000000"/>
                      <w:kern w:val="0"/>
                      <w:szCs w:val="21"/>
                      <w:u w:val="single"/>
                    </w:rPr>
                  </w:pPr>
                  <w:r>
                    <w:rPr>
                      <w:rFonts w:hint="eastAsia" w:eastAsia="宋体"/>
                      <w:color w:val="000000"/>
                      <w:kern w:val="0"/>
                      <w:szCs w:val="21"/>
                      <w:u w:val="single"/>
                    </w:rPr>
                    <w:t>生物质燃料</w:t>
                  </w:r>
                </w:p>
              </w:tc>
              <w:tc>
                <w:tcPr>
                  <w:tcW w:w="1476" w:type="dxa"/>
                  <w:tcBorders>
                    <w:tl2br w:val="nil"/>
                    <w:tr2bl w:val="nil"/>
                  </w:tcBorders>
                  <w:vAlign w:val="center"/>
                </w:tcPr>
                <w:p>
                  <w:pPr>
                    <w:widowControl/>
                    <w:tabs>
                      <w:tab w:val="left" w:pos="376"/>
                    </w:tabs>
                    <w:adjustRightInd w:val="0"/>
                    <w:jc w:val="center"/>
                    <w:rPr>
                      <w:color w:val="000000"/>
                      <w:kern w:val="0"/>
                      <w:u w:val="single"/>
                    </w:rPr>
                  </w:pPr>
                  <w:r>
                    <w:rPr>
                      <w:rFonts w:hint="eastAsia"/>
                      <w:color w:val="000000"/>
                      <w:kern w:val="0"/>
                      <w:u w:val="single"/>
                    </w:rPr>
                    <w:t>/</w:t>
                  </w:r>
                </w:p>
              </w:tc>
              <w:tc>
                <w:tcPr>
                  <w:tcW w:w="1922" w:type="dxa"/>
                  <w:tcBorders>
                    <w:tl2br w:val="nil"/>
                    <w:tr2bl w:val="nil"/>
                  </w:tcBorders>
                  <w:vAlign w:val="center"/>
                </w:tcPr>
                <w:p>
                  <w:pPr>
                    <w:jc w:val="center"/>
                    <w:rPr>
                      <w:rFonts w:eastAsia="宋体"/>
                      <w:color w:val="000000"/>
                      <w:kern w:val="0"/>
                      <w:szCs w:val="21"/>
                      <w:u w:val="single"/>
                    </w:rPr>
                  </w:pPr>
                  <w:r>
                    <w:rPr>
                      <w:rFonts w:hint="eastAsia" w:eastAsia="宋体"/>
                      <w:color w:val="000000"/>
                      <w:kern w:val="0"/>
                      <w:szCs w:val="21"/>
                      <w:u w:val="single"/>
                    </w:rPr>
                    <w:t>100</w:t>
                  </w:r>
                </w:p>
              </w:tc>
              <w:tc>
                <w:tcPr>
                  <w:tcW w:w="1762" w:type="dxa"/>
                  <w:tcBorders>
                    <w:tl2br w:val="nil"/>
                    <w:tr2bl w:val="nil"/>
                  </w:tcBorders>
                  <w:vAlign w:val="center"/>
                </w:tcPr>
                <w:p>
                  <w:pPr>
                    <w:jc w:val="center"/>
                    <w:rPr>
                      <w:rFonts w:eastAsia="宋体"/>
                      <w:color w:val="000000"/>
                      <w:kern w:val="0"/>
                      <w:szCs w:val="21"/>
                      <w:u w:val="single"/>
                    </w:rPr>
                  </w:pPr>
                  <w:r>
                    <w:rPr>
                      <w:rFonts w:hint="eastAsia" w:eastAsia="宋体"/>
                      <w:color w:val="000000"/>
                      <w:kern w:val="0"/>
                      <w:szCs w:val="21"/>
                      <w:u w:val="single"/>
                    </w:rPr>
                    <w:t>/</w:t>
                  </w:r>
                </w:p>
              </w:tc>
              <w:tc>
                <w:tcPr>
                  <w:tcW w:w="1763" w:type="dxa"/>
                  <w:tcBorders>
                    <w:tl2br w:val="nil"/>
                    <w:tr2bl w:val="nil"/>
                  </w:tcBorders>
                  <w:vAlign w:val="center"/>
                </w:tcPr>
                <w:p>
                  <w:pPr>
                    <w:jc w:val="center"/>
                    <w:rPr>
                      <w:rFonts w:eastAsia="宋体"/>
                      <w:color w:val="000000"/>
                      <w:kern w:val="0"/>
                      <w:szCs w:val="21"/>
                      <w:u w:val="single"/>
                    </w:rPr>
                  </w:pPr>
                  <w:r>
                    <w:rPr>
                      <w:rFonts w:hint="eastAsia" w:eastAsia="宋体"/>
                      <w:color w:val="000000"/>
                      <w:kern w:val="0"/>
                      <w:szCs w:val="21"/>
                      <w:u w:val="single"/>
                    </w:rPr>
                    <w:t>/</w:t>
                  </w:r>
                </w:p>
              </w:tc>
            </w:tr>
          </w:tbl>
          <w:p>
            <w:pPr>
              <w:widowControl/>
              <w:spacing w:line="360" w:lineRule="auto"/>
              <w:ind w:firstLine="480" w:firstLineChars="200"/>
              <w:rPr>
                <w:color w:val="000000"/>
                <w:sz w:val="24"/>
                <w:u w:val="single"/>
              </w:rPr>
            </w:pPr>
            <w:r>
              <w:rPr>
                <w:color w:val="000000"/>
                <w:sz w:val="24"/>
                <w:u w:val="single"/>
              </w:rPr>
              <w:t>经计算，本项目Q=</w:t>
            </w:r>
            <w:r>
              <w:rPr>
                <w:rFonts w:hint="eastAsia"/>
                <w:color w:val="000000"/>
                <w:sz w:val="24"/>
                <w:u w:val="single"/>
              </w:rPr>
              <w:t>0.0002</w:t>
            </w:r>
            <w:r>
              <w:rPr>
                <w:color w:val="000000"/>
                <w:sz w:val="24"/>
                <w:u w:val="single"/>
              </w:rPr>
              <w:t>＜1（Q为危险物质的总量与其临界量比值或物质总量与其临界量比值），本项目环境风险潜势为I，评价工作等级为简单分析。</w:t>
            </w:r>
          </w:p>
          <w:p>
            <w:pPr>
              <w:widowControl/>
              <w:spacing w:line="360" w:lineRule="auto"/>
              <w:ind w:firstLine="480" w:firstLineChars="200"/>
              <w:rPr>
                <w:rFonts w:eastAsia="宋体"/>
                <w:color w:val="000000"/>
                <w:sz w:val="24"/>
                <w:u w:val="single"/>
              </w:rPr>
            </w:pPr>
            <w:r>
              <w:rPr>
                <w:rFonts w:eastAsia="宋体"/>
                <w:color w:val="000000"/>
                <w:sz w:val="24"/>
                <w:u w:val="single"/>
              </w:rPr>
              <w:t>（1）消防安全措施</w:t>
            </w:r>
          </w:p>
          <w:p>
            <w:pPr>
              <w:adjustRightInd w:val="0"/>
              <w:snapToGrid w:val="0"/>
              <w:spacing w:line="360" w:lineRule="auto"/>
              <w:ind w:firstLine="480" w:firstLineChars="200"/>
              <w:rPr>
                <w:sz w:val="24"/>
                <w:u w:val="single"/>
              </w:rPr>
            </w:pPr>
            <w:r>
              <w:rPr>
                <w:sz w:val="24"/>
                <w:u w:val="single"/>
              </w:rPr>
              <w:t>由于生物质本身具有可燃性，在储存过程中会有发生火灾的风险，如储存不当将会发生火灾，火灾产生伴生、次生环境风险物质消防废水以及烟气中颗粒物、二氧化硫、氮氧化物将对周围环境影响，同时锅炉废气治理设施故障状态下可能造成锅炉烟气中颗粒物超标排放。</w:t>
            </w:r>
          </w:p>
          <w:p>
            <w:pPr>
              <w:adjustRightInd w:val="0"/>
              <w:snapToGrid w:val="0"/>
              <w:spacing w:line="360" w:lineRule="auto"/>
              <w:ind w:firstLine="480" w:firstLineChars="200"/>
              <w:rPr>
                <w:u w:val="single"/>
              </w:rPr>
            </w:pPr>
            <w:r>
              <w:rPr>
                <w:sz w:val="24"/>
                <w:u w:val="single"/>
              </w:rPr>
              <w:t>本项目燃料存储区设置禁止明火标识，并设置专人进行看护，存储区设置灭火器等消防物资，一旦发生火灾应立即采取灭火措施，一旦发生火灾事故，火灾伴生的消防废物、消防废水经收集后外送有资质单位处理。锅炉废气治理设施定期检修，确保其正常运行，废气治理设施发生故障时应立即停产检修，避免锅炉烟气事故排放</w:t>
            </w:r>
            <w:r>
              <w:rPr>
                <w:u w:val="single"/>
              </w:rPr>
              <w:t>。</w:t>
            </w:r>
          </w:p>
          <w:p>
            <w:pPr>
              <w:widowControl/>
              <w:spacing w:line="360" w:lineRule="auto"/>
              <w:ind w:firstLine="480" w:firstLineChars="200"/>
              <w:rPr>
                <w:rFonts w:eastAsia="宋体"/>
                <w:color w:val="000000"/>
                <w:sz w:val="24"/>
                <w:u w:val="single"/>
              </w:rPr>
            </w:pPr>
            <w:r>
              <w:rPr>
                <w:rFonts w:eastAsia="宋体"/>
                <w:color w:val="000000"/>
                <w:sz w:val="24"/>
                <w:u w:val="single"/>
              </w:rPr>
              <w:t>①项目可能出现的环境风险主要为不注意用电安全引起的短路，进而引发火灾。因此建设单位必须做好用电防范工作。</w:t>
            </w:r>
          </w:p>
          <w:p>
            <w:pPr>
              <w:widowControl/>
              <w:spacing w:line="360" w:lineRule="auto"/>
              <w:ind w:firstLine="480" w:firstLineChars="200"/>
              <w:rPr>
                <w:rFonts w:eastAsia="宋体"/>
                <w:color w:val="000000"/>
                <w:sz w:val="24"/>
                <w:u w:val="single"/>
              </w:rPr>
            </w:pPr>
            <w:r>
              <w:rPr>
                <w:rFonts w:eastAsia="宋体"/>
                <w:color w:val="000000"/>
                <w:sz w:val="24"/>
                <w:u w:val="single"/>
              </w:rPr>
              <w:t>②厂区配备足够数量的灭火器、沙土和铁锹等消防器材。</w:t>
            </w:r>
          </w:p>
          <w:p>
            <w:pPr>
              <w:widowControl/>
              <w:spacing w:line="360" w:lineRule="auto"/>
              <w:ind w:firstLine="480" w:firstLineChars="200"/>
              <w:rPr>
                <w:rFonts w:eastAsia="宋体"/>
                <w:color w:val="000000"/>
                <w:sz w:val="24"/>
                <w:u w:val="single"/>
              </w:rPr>
            </w:pPr>
            <w:r>
              <w:rPr>
                <w:rFonts w:eastAsia="宋体"/>
                <w:color w:val="000000"/>
                <w:sz w:val="24"/>
                <w:u w:val="single"/>
              </w:rPr>
              <w:t>③强化安全生产管理及安全教育，制订完善的安全生产制度，采取严格的措施防止火灾事故的发生。</w:t>
            </w:r>
          </w:p>
          <w:p>
            <w:pPr>
              <w:widowControl/>
              <w:spacing w:line="360" w:lineRule="auto"/>
              <w:ind w:firstLine="480" w:firstLineChars="200"/>
              <w:rPr>
                <w:rFonts w:eastAsia="宋体"/>
                <w:color w:val="000000"/>
                <w:sz w:val="24"/>
                <w:u w:val="single"/>
              </w:rPr>
            </w:pPr>
            <w:r>
              <w:rPr>
                <w:rFonts w:eastAsia="宋体"/>
                <w:color w:val="000000"/>
                <w:sz w:val="24"/>
                <w:u w:val="single"/>
              </w:rPr>
              <w:t>（2）</w:t>
            </w:r>
            <w:r>
              <w:rPr>
                <w:rFonts w:hint="eastAsia" w:eastAsia="宋体"/>
                <w:color w:val="000000"/>
                <w:sz w:val="24"/>
                <w:u w:val="single"/>
              </w:rPr>
              <w:t>危废暂存间</w:t>
            </w:r>
          </w:p>
          <w:p>
            <w:pPr>
              <w:widowControl/>
              <w:spacing w:line="360" w:lineRule="auto"/>
              <w:ind w:firstLine="480" w:firstLineChars="200"/>
              <w:rPr>
                <w:rFonts w:eastAsia="宋体"/>
                <w:color w:val="000000"/>
                <w:sz w:val="24"/>
                <w:u w:val="single"/>
              </w:rPr>
            </w:pPr>
            <w:r>
              <w:rPr>
                <w:rFonts w:eastAsia="宋体"/>
                <w:color w:val="000000"/>
                <w:sz w:val="24"/>
                <w:u w:val="single"/>
              </w:rPr>
              <w:t>项目生产过程产生</w:t>
            </w:r>
            <w:r>
              <w:rPr>
                <w:rFonts w:hint="eastAsia" w:eastAsia="宋体"/>
                <w:color w:val="000000"/>
                <w:sz w:val="24"/>
                <w:u w:val="single"/>
              </w:rPr>
              <w:t>的危险废物</w:t>
            </w:r>
            <w:r>
              <w:rPr>
                <w:rFonts w:eastAsia="宋体"/>
                <w:color w:val="000000"/>
                <w:sz w:val="24"/>
                <w:u w:val="single"/>
              </w:rPr>
              <w:t>存放于</w:t>
            </w:r>
            <w:r>
              <w:rPr>
                <w:rFonts w:hint="eastAsia" w:eastAsia="宋体"/>
                <w:color w:val="000000"/>
                <w:sz w:val="24"/>
                <w:u w:val="single"/>
              </w:rPr>
              <w:t>现有危废暂存间</w:t>
            </w:r>
            <w:r>
              <w:rPr>
                <w:rFonts w:eastAsia="宋体"/>
                <w:color w:val="000000"/>
                <w:sz w:val="24"/>
                <w:u w:val="single"/>
              </w:rPr>
              <w:t>。要求如下：</w:t>
            </w:r>
          </w:p>
          <w:p>
            <w:pPr>
              <w:widowControl/>
              <w:spacing w:line="360" w:lineRule="auto"/>
              <w:ind w:firstLine="480" w:firstLineChars="200"/>
              <w:rPr>
                <w:rFonts w:eastAsia="宋体"/>
                <w:color w:val="000000"/>
                <w:sz w:val="24"/>
                <w:u w:val="single"/>
              </w:rPr>
            </w:pPr>
            <w:r>
              <w:rPr>
                <w:rFonts w:hint="eastAsia" w:eastAsia="宋体"/>
                <w:color w:val="000000"/>
                <w:sz w:val="24"/>
                <w:u w:val="single"/>
              </w:rPr>
              <w:t>危废暂存间已</w:t>
            </w:r>
            <w:r>
              <w:rPr>
                <w:rFonts w:eastAsia="宋体"/>
                <w:color w:val="000000"/>
                <w:sz w:val="24"/>
                <w:u w:val="single"/>
              </w:rPr>
              <w:t>按《危险废物贮存污染控制标准》（GB18597-20</w:t>
            </w:r>
            <w:r>
              <w:rPr>
                <w:rFonts w:hint="eastAsia" w:eastAsia="宋体"/>
                <w:color w:val="000000"/>
                <w:sz w:val="24"/>
                <w:u w:val="single"/>
              </w:rPr>
              <w:t>23</w:t>
            </w:r>
            <w:r>
              <w:rPr>
                <w:rFonts w:eastAsia="宋体"/>
                <w:color w:val="000000"/>
                <w:sz w:val="24"/>
                <w:u w:val="single"/>
              </w:rPr>
              <w:t>）要求设置，危险废物贮存及运输还应注意以下事项：</w:t>
            </w:r>
          </w:p>
          <w:p>
            <w:pPr>
              <w:widowControl/>
              <w:spacing w:line="360" w:lineRule="auto"/>
              <w:ind w:firstLine="480" w:firstLineChars="200"/>
              <w:rPr>
                <w:rFonts w:eastAsia="宋体"/>
                <w:color w:val="000000"/>
                <w:sz w:val="24"/>
                <w:u w:val="single"/>
              </w:rPr>
            </w:pPr>
            <w:r>
              <w:rPr>
                <w:rFonts w:eastAsia="宋体"/>
                <w:color w:val="000000"/>
                <w:sz w:val="24"/>
                <w:u w:val="single"/>
                <w:lang/>
              </w:rPr>
              <w:t>a.</w:t>
            </w:r>
            <w:r>
              <w:rPr>
                <w:rFonts w:eastAsia="宋体"/>
                <w:color w:val="000000"/>
                <w:sz w:val="24"/>
                <w:u w:val="single"/>
              </w:rPr>
              <w:t>储存于阴凉、干燥，通风良好的仓间，分类分开存放，不可混储混运；</w:t>
            </w:r>
          </w:p>
          <w:p>
            <w:pPr>
              <w:widowControl/>
              <w:spacing w:line="360" w:lineRule="auto"/>
              <w:ind w:firstLine="480" w:firstLineChars="200"/>
              <w:rPr>
                <w:rFonts w:eastAsia="宋体"/>
                <w:color w:val="000000"/>
                <w:sz w:val="24"/>
                <w:u w:val="single"/>
              </w:rPr>
            </w:pPr>
            <w:r>
              <w:rPr>
                <w:rFonts w:eastAsia="宋体"/>
                <w:color w:val="000000"/>
                <w:sz w:val="24"/>
                <w:u w:val="single"/>
                <w:lang/>
              </w:rPr>
              <w:t>b.</w:t>
            </w:r>
            <w:r>
              <w:rPr>
                <w:rFonts w:eastAsia="宋体"/>
                <w:color w:val="000000"/>
                <w:sz w:val="24"/>
                <w:u w:val="single"/>
              </w:rPr>
              <w:t>储区应备有泄漏应急处理设备和合适的收容材料，并分区设围堰（堤）、地面防渗；</w:t>
            </w:r>
          </w:p>
          <w:p>
            <w:pPr>
              <w:widowControl/>
              <w:spacing w:line="360" w:lineRule="auto"/>
              <w:ind w:firstLine="480" w:firstLineChars="200"/>
              <w:rPr>
                <w:rFonts w:eastAsia="宋体"/>
                <w:color w:val="000000"/>
                <w:sz w:val="24"/>
                <w:u w:val="single"/>
                <w:lang/>
              </w:rPr>
            </w:pPr>
            <w:r>
              <w:rPr>
                <w:rFonts w:eastAsia="宋体"/>
                <w:color w:val="000000"/>
                <w:sz w:val="24"/>
                <w:u w:val="single"/>
                <w:lang/>
              </w:rPr>
              <w:t>c.</w:t>
            </w:r>
            <w:r>
              <w:rPr>
                <w:rFonts w:eastAsia="宋体"/>
                <w:color w:val="000000"/>
                <w:sz w:val="24"/>
                <w:u w:val="single"/>
              </w:rPr>
              <w:t>搬运时要轻装轻卸，防止包装及容器损坏</w:t>
            </w:r>
            <w:r>
              <w:rPr>
                <w:rFonts w:eastAsia="宋体"/>
                <w:color w:val="000000"/>
                <w:sz w:val="24"/>
                <w:u w:val="single"/>
                <w:lang/>
              </w:rPr>
              <w:t>；</w:t>
            </w:r>
          </w:p>
          <w:p>
            <w:pPr>
              <w:widowControl/>
              <w:spacing w:line="360" w:lineRule="auto"/>
              <w:ind w:firstLine="480" w:firstLineChars="200"/>
              <w:rPr>
                <w:rFonts w:eastAsia="宋体"/>
                <w:color w:val="000000"/>
                <w:sz w:val="24"/>
                <w:u w:val="single"/>
              </w:rPr>
            </w:pPr>
            <w:r>
              <w:rPr>
                <w:rFonts w:eastAsia="宋体"/>
                <w:color w:val="000000"/>
                <w:sz w:val="24"/>
                <w:u w:val="single"/>
                <w:lang/>
              </w:rPr>
              <w:t>d.</w:t>
            </w:r>
            <w:r>
              <w:rPr>
                <w:rFonts w:eastAsia="宋体"/>
                <w:color w:val="000000"/>
                <w:sz w:val="24"/>
                <w:u w:val="single"/>
              </w:rPr>
              <w:t>分装和搬运作业应注意个人防护。</w:t>
            </w:r>
          </w:p>
          <w:p>
            <w:pPr>
              <w:widowControl/>
              <w:spacing w:line="360" w:lineRule="auto"/>
              <w:ind w:firstLine="480" w:firstLineChars="200"/>
              <w:rPr>
                <w:color w:val="000000"/>
                <w:sz w:val="24"/>
                <w:u w:val="single"/>
              </w:rPr>
            </w:pPr>
            <w:r>
              <w:rPr>
                <w:rFonts w:hint="eastAsia"/>
                <w:color w:val="000000"/>
                <w:sz w:val="24"/>
                <w:u w:val="single"/>
              </w:rPr>
              <w:t>（3）</w:t>
            </w:r>
            <w:r>
              <w:rPr>
                <w:color w:val="000000"/>
                <w:sz w:val="24"/>
                <w:u w:val="single"/>
              </w:rPr>
              <w:t>环境风险分析结论</w:t>
            </w:r>
          </w:p>
          <w:p>
            <w:pPr>
              <w:widowControl/>
              <w:spacing w:line="360" w:lineRule="auto"/>
              <w:ind w:firstLine="480" w:firstLineChars="200"/>
              <w:rPr>
                <w:color w:val="000000"/>
                <w:sz w:val="24"/>
                <w:u w:val="single"/>
              </w:rPr>
            </w:pPr>
            <w:r>
              <w:rPr>
                <w:color w:val="000000"/>
                <w:sz w:val="24"/>
                <w:u w:val="single"/>
              </w:rPr>
              <w:t>项目应严格按照消防安监部门的要求，做好防范措施，制定严格的管理规定和岗位责任制、加强职工的安全生产教育、提高风险意识，建立健全的公司突发环境事故应急组织机构，以便采取有效的措施来监测灾情及防止污染事故的进一步扩散。在采取以上措施的情况下，可以把环境风险控制在最低范围，则项目发生事故的可能性很小，环境风险程度可以接受。</w:t>
            </w:r>
          </w:p>
          <w:p>
            <w:pPr>
              <w:autoSpaceDE w:val="0"/>
              <w:autoSpaceDN w:val="0"/>
              <w:adjustRightInd w:val="0"/>
              <w:snapToGrid w:val="0"/>
              <w:spacing w:line="360" w:lineRule="auto"/>
              <w:ind w:firstLine="482"/>
              <w:rPr>
                <w:b/>
                <w:bCs/>
                <w:sz w:val="24"/>
                <w:u w:val="single"/>
              </w:rPr>
            </w:pPr>
            <w:r>
              <w:rPr>
                <w:rFonts w:hint="eastAsia"/>
                <w:b/>
                <w:bCs/>
                <w:sz w:val="24"/>
                <w:u w:val="single"/>
              </w:rPr>
              <w:t>8.</w:t>
            </w:r>
            <w:r>
              <w:rPr>
                <w:b/>
                <w:bCs/>
                <w:sz w:val="24"/>
                <w:u w:val="single"/>
              </w:rPr>
              <w:t>环保投资</w:t>
            </w:r>
          </w:p>
          <w:p>
            <w:pPr>
              <w:adjustRightInd w:val="0"/>
              <w:snapToGrid w:val="0"/>
              <w:spacing w:line="360" w:lineRule="auto"/>
              <w:ind w:firstLine="480" w:firstLineChars="200"/>
              <w:rPr>
                <w:sz w:val="24"/>
                <w:u w:val="single"/>
              </w:rPr>
            </w:pPr>
            <w:r>
              <w:rPr>
                <w:sz w:val="24"/>
                <w:u w:val="single"/>
              </w:rPr>
              <w:t>本</w:t>
            </w:r>
            <w:r>
              <w:rPr>
                <w:rFonts w:hint="eastAsia"/>
                <w:sz w:val="24"/>
                <w:u w:val="single"/>
              </w:rPr>
              <w:t>次</w:t>
            </w:r>
            <w:r>
              <w:rPr>
                <w:sz w:val="24"/>
                <w:u w:val="single"/>
              </w:rPr>
              <w:t>针对污染特征提出了相应的防治措施，以合理的经济投入减小环境污染，使本项目创造良好的环境效益，本项目总投资为</w:t>
            </w:r>
            <w:r>
              <w:rPr>
                <w:rFonts w:hint="eastAsia"/>
                <w:sz w:val="24"/>
                <w:u w:val="single"/>
              </w:rPr>
              <w:t>49</w:t>
            </w:r>
            <w:r>
              <w:rPr>
                <w:sz w:val="24"/>
                <w:u w:val="single"/>
              </w:rPr>
              <w:t>万元，其中环保投资为</w:t>
            </w:r>
            <w:r>
              <w:rPr>
                <w:rFonts w:hint="eastAsia"/>
                <w:sz w:val="24"/>
                <w:u w:val="single"/>
              </w:rPr>
              <w:t>15</w:t>
            </w:r>
            <w:r>
              <w:rPr>
                <w:sz w:val="24"/>
                <w:u w:val="single"/>
              </w:rPr>
              <w:t>万元，占总投资</w:t>
            </w:r>
            <w:r>
              <w:rPr>
                <w:rFonts w:hint="eastAsia"/>
                <w:sz w:val="24"/>
                <w:u w:val="single"/>
              </w:rPr>
              <w:t>30.6</w:t>
            </w:r>
            <w:r>
              <w:rPr>
                <w:sz w:val="24"/>
                <w:u w:val="single"/>
              </w:rPr>
              <w:t>%。环保投资估算详见下表。</w:t>
            </w:r>
          </w:p>
          <w:p>
            <w:pPr>
              <w:pStyle w:val="25"/>
              <w:numPr>
                <w:ilvl w:val="0"/>
                <w:numId w:val="0"/>
              </w:numPr>
              <w:ind w:firstLine="284"/>
              <w:rPr>
                <w:b w:val="0"/>
                <w:bCs/>
                <w:u w:val="single"/>
              </w:rPr>
            </w:pPr>
            <w:r>
              <w:rPr>
                <w:rFonts w:ascii="Times New Roman" w:hAnsi="Times New Roman"/>
                <w:b w:val="0"/>
                <w:bCs/>
                <w:u w:val="single"/>
              </w:rPr>
              <w:t>表</w:t>
            </w:r>
            <w:r>
              <w:rPr>
                <w:rFonts w:hint="eastAsia" w:ascii="Times New Roman" w:hAnsi="Times New Roman"/>
                <w:b w:val="0"/>
                <w:bCs/>
                <w:u w:val="single"/>
              </w:rPr>
              <w:t xml:space="preserve">44  </w:t>
            </w:r>
            <w:r>
              <w:rPr>
                <w:b w:val="0"/>
                <w:bCs/>
                <w:u w:val="single"/>
              </w:rPr>
              <w:t>环保投资明细表</w:t>
            </w:r>
          </w:p>
          <w:tbl>
            <w:tblPr>
              <w:tblW w:w="8753"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544"/>
              <w:gridCol w:w="1940"/>
              <w:gridCol w:w="4784"/>
              <w:gridCol w:w="1485"/>
            </w:tblGrid>
            <w:tr>
              <w:trPr>
                <w:trHeight w:val="106" w:hRule="atLeast"/>
              </w:trPr>
              <w:tc>
                <w:tcPr>
                  <w:tcW w:w="2484" w:type="dxa"/>
                  <w:gridSpan w:val="2"/>
                  <w:tcBorders>
                    <w:tl2br w:val="nil"/>
                    <w:tr2bl w:val="nil"/>
                  </w:tcBorders>
                  <w:vAlign w:val="center"/>
                </w:tcPr>
                <w:p>
                  <w:pPr>
                    <w:jc w:val="center"/>
                    <w:rPr>
                      <w:bCs/>
                      <w:szCs w:val="21"/>
                      <w:u w:val="single"/>
                    </w:rPr>
                  </w:pPr>
                  <w:r>
                    <w:rPr>
                      <w:bCs/>
                      <w:szCs w:val="21"/>
                      <w:u w:val="single"/>
                    </w:rPr>
                    <w:t>投资项目</w:t>
                  </w:r>
                </w:p>
              </w:tc>
              <w:tc>
                <w:tcPr>
                  <w:tcW w:w="4784" w:type="dxa"/>
                  <w:tcBorders>
                    <w:tl2br w:val="nil"/>
                    <w:tr2bl w:val="nil"/>
                  </w:tcBorders>
                  <w:vAlign w:val="center"/>
                </w:tcPr>
                <w:p>
                  <w:pPr>
                    <w:jc w:val="center"/>
                    <w:rPr>
                      <w:bCs/>
                      <w:szCs w:val="21"/>
                      <w:u w:val="single"/>
                    </w:rPr>
                  </w:pPr>
                  <w:r>
                    <w:rPr>
                      <w:bCs/>
                      <w:szCs w:val="21"/>
                      <w:u w:val="single"/>
                    </w:rPr>
                    <w:t>治理内容</w:t>
                  </w:r>
                </w:p>
              </w:tc>
              <w:tc>
                <w:tcPr>
                  <w:tcW w:w="1485" w:type="dxa"/>
                  <w:tcBorders>
                    <w:tl2br w:val="nil"/>
                    <w:tr2bl w:val="nil"/>
                  </w:tcBorders>
                  <w:vAlign w:val="center"/>
                </w:tcPr>
                <w:p>
                  <w:pPr>
                    <w:jc w:val="center"/>
                    <w:rPr>
                      <w:bCs/>
                      <w:szCs w:val="21"/>
                      <w:u w:val="single"/>
                    </w:rPr>
                  </w:pPr>
                  <w:r>
                    <w:rPr>
                      <w:bCs/>
                      <w:szCs w:val="21"/>
                      <w:u w:val="single"/>
                    </w:rPr>
                    <w:t>金额（万元）</w:t>
                  </w:r>
                </w:p>
              </w:tc>
            </w:tr>
            <w:tr>
              <w:trPr>
                <w:trHeight w:val="196" w:hRule="atLeast"/>
              </w:trPr>
              <w:tc>
                <w:tcPr>
                  <w:tcW w:w="544" w:type="dxa"/>
                  <w:vMerge w:val="restart"/>
                  <w:tcBorders>
                    <w:tl2br w:val="nil"/>
                    <w:tr2bl w:val="nil"/>
                  </w:tcBorders>
                  <w:vAlign w:val="center"/>
                </w:tcPr>
                <w:p>
                  <w:pPr>
                    <w:jc w:val="center"/>
                    <w:rPr>
                      <w:bCs/>
                      <w:szCs w:val="21"/>
                      <w:u w:val="single"/>
                    </w:rPr>
                  </w:pPr>
                  <w:bookmarkStart w:id="10" w:name="OLE_LINK6" w:colFirst="3" w:colLast="3"/>
                  <w:bookmarkStart w:id="11" w:name="OLE_LINK4" w:colFirst="3" w:colLast="3"/>
                  <w:bookmarkStart w:id="12" w:name="OLE_LINK5" w:colFirst="3" w:colLast="3"/>
                  <w:bookmarkStart w:id="13" w:name="_Hlk451850712"/>
                  <w:r>
                    <w:rPr>
                      <w:bCs/>
                      <w:szCs w:val="21"/>
                      <w:u w:val="single"/>
                    </w:rPr>
                    <w:t>运营期</w:t>
                  </w:r>
                </w:p>
              </w:tc>
              <w:tc>
                <w:tcPr>
                  <w:tcW w:w="1940" w:type="dxa"/>
                  <w:tcBorders>
                    <w:tl2br w:val="nil"/>
                    <w:tr2bl w:val="nil"/>
                  </w:tcBorders>
                  <w:vAlign w:val="center"/>
                </w:tcPr>
                <w:p>
                  <w:pPr>
                    <w:jc w:val="center"/>
                    <w:rPr>
                      <w:bCs/>
                      <w:szCs w:val="21"/>
                      <w:u w:val="single"/>
                    </w:rPr>
                  </w:pPr>
                  <w:r>
                    <w:rPr>
                      <w:bCs/>
                      <w:szCs w:val="21"/>
                      <w:u w:val="single"/>
                    </w:rPr>
                    <w:t>噪声</w:t>
                  </w:r>
                </w:p>
              </w:tc>
              <w:tc>
                <w:tcPr>
                  <w:tcW w:w="4784" w:type="dxa"/>
                  <w:tcBorders>
                    <w:tl2br w:val="nil"/>
                    <w:tr2bl w:val="nil"/>
                  </w:tcBorders>
                  <w:vAlign w:val="center"/>
                </w:tcPr>
                <w:p>
                  <w:pPr>
                    <w:jc w:val="center"/>
                    <w:rPr>
                      <w:bCs/>
                      <w:szCs w:val="21"/>
                      <w:u w:val="single"/>
                    </w:rPr>
                  </w:pPr>
                  <w:r>
                    <w:rPr>
                      <w:bCs/>
                      <w:szCs w:val="21"/>
                      <w:u w:val="single"/>
                    </w:rPr>
                    <w:t>低噪设备、隔声垫、消声器</w:t>
                  </w:r>
                </w:p>
              </w:tc>
              <w:tc>
                <w:tcPr>
                  <w:tcW w:w="1485" w:type="dxa"/>
                  <w:tcBorders>
                    <w:tl2br w:val="nil"/>
                    <w:tr2bl w:val="nil"/>
                  </w:tcBorders>
                  <w:vAlign w:val="center"/>
                </w:tcPr>
                <w:p>
                  <w:pPr>
                    <w:widowControl/>
                    <w:jc w:val="center"/>
                    <w:textAlignment w:val="center"/>
                    <w:rPr>
                      <w:bCs/>
                      <w:szCs w:val="21"/>
                      <w:u w:val="single"/>
                    </w:rPr>
                  </w:pPr>
                  <w:r>
                    <w:rPr>
                      <w:rFonts w:hint="eastAsia"/>
                      <w:kern w:val="0"/>
                      <w:szCs w:val="21"/>
                      <w:u w:val="single"/>
                    </w:rPr>
                    <w:t>5</w:t>
                  </w:r>
                </w:p>
              </w:tc>
            </w:tr>
            <w:tr>
              <w:trPr>
                <w:trHeight w:val="102" w:hRule="atLeast"/>
              </w:trPr>
              <w:tc>
                <w:tcPr>
                  <w:tcW w:w="544" w:type="dxa"/>
                  <w:vMerge w:val="continue"/>
                  <w:tcBorders>
                    <w:tl2br w:val="nil"/>
                    <w:tr2bl w:val="nil"/>
                  </w:tcBorders>
                  <w:vAlign w:val="center"/>
                </w:tcPr>
                <w:p>
                  <w:pPr>
                    <w:jc w:val="center"/>
                    <w:rPr>
                      <w:bCs/>
                      <w:szCs w:val="21"/>
                      <w:u w:val="single"/>
                    </w:rPr>
                  </w:pPr>
                </w:p>
              </w:tc>
              <w:tc>
                <w:tcPr>
                  <w:tcW w:w="1940" w:type="dxa"/>
                  <w:tcBorders>
                    <w:tl2br w:val="nil"/>
                    <w:tr2bl w:val="nil"/>
                  </w:tcBorders>
                  <w:vAlign w:val="center"/>
                </w:tcPr>
                <w:p>
                  <w:pPr>
                    <w:jc w:val="center"/>
                    <w:rPr>
                      <w:bCs/>
                      <w:szCs w:val="21"/>
                      <w:u w:val="single"/>
                    </w:rPr>
                  </w:pPr>
                  <w:r>
                    <w:rPr>
                      <w:bCs/>
                      <w:szCs w:val="21"/>
                      <w:u w:val="single"/>
                    </w:rPr>
                    <w:t>固体废物</w:t>
                  </w:r>
                </w:p>
              </w:tc>
              <w:tc>
                <w:tcPr>
                  <w:tcW w:w="4784" w:type="dxa"/>
                  <w:tcBorders>
                    <w:tl2br w:val="nil"/>
                    <w:tr2bl w:val="nil"/>
                  </w:tcBorders>
                  <w:vAlign w:val="center"/>
                </w:tcPr>
                <w:p>
                  <w:pPr>
                    <w:jc w:val="center"/>
                    <w:rPr>
                      <w:bCs/>
                      <w:szCs w:val="21"/>
                      <w:u w:val="single"/>
                    </w:rPr>
                  </w:pPr>
                  <w:r>
                    <w:rPr>
                      <w:bCs/>
                      <w:szCs w:val="21"/>
                      <w:u w:val="single"/>
                    </w:rPr>
                    <w:t>设置禁止明火标识、灭火器等消防设施</w:t>
                  </w:r>
                  <w:r>
                    <w:rPr>
                      <w:rFonts w:hint="eastAsia"/>
                      <w:bCs/>
                      <w:szCs w:val="21"/>
                      <w:u w:val="single"/>
                    </w:rPr>
                    <w:t>；</w:t>
                  </w:r>
                </w:p>
                <w:p>
                  <w:pPr>
                    <w:jc w:val="center"/>
                    <w:rPr>
                      <w:bCs/>
                      <w:szCs w:val="21"/>
                      <w:u w:val="single"/>
                    </w:rPr>
                  </w:pPr>
                  <w:r>
                    <w:rPr>
                      <w:rFonts w:hint="eastAsia"/>
                      <w:bCs/>
                      <w:szCs w:val="21"/>
                      <w:u w:val="single"/>
                    </w:rPr>
                    <w:t>固体废物委托资质单位处理</w:t>
                  </w:r>
                </w:p>
              </w:tc>
              <w:tc>
                <w:tcPr>
                  <w:tcW w:w="1485" w:type="dxa"/>
                  <w:tcBorders>
                    <w:tl2br w:val="nil"/>
                    <w:tr2bl w:val="nil"/>
                  </w:tcBorders>
                  <w:vAlign w:val="center"/>
                </w:tcPr>
                <w:p>
                  <w:pPr>
                    <w:widowControl/>
                    <w:jc w:val="center"/>
                    <w:textAlignment w:val="center"/>
                    <w:rPr>
                      <w:kern w:val="0"/>
                      <w:szCs w:val="21"/>
                      <w:u w:val="single"/>
                    </w:rPr>
                  </w:pPr>
                  <w:r>
                    <w:rPr>
                      <w:rFonts w:hint="eastAsia"/>
                      <w:kern w:val="0"/>
                      <w:szCs w:val="21"/>
                      <w:u w:val="single"/>
                    </w:rPr>
                    <w:t>5</w:t>
                  </w:r>
                </w:p>
              </w:tc>
            </w:tr>
            <w:tr>
              <w:trPr>
                <w:trHeight w:val="216" w:hRule="atLeast"/>
              </w:trPr>
              <w:tc>
                <w:tcPr>
                  <w:tcW w:w="544" w:type="dxa"/>
                  <w:vMerge w:val="continue"/>
                  <w:tcBorders>
                    <w:tl2br w:val="nil"/>
                    <w:tr2bl w:val="nil"/>
                  </w:tcBorders>
                  <w:vAlign w:val="center"/>
                </w:tcPr>
                <w:p>
                  <w:pPr>
                    <w:jc w:val="center"/>
                    <w:rPr>
                      <w:bCs/>
                      <w:szCs w:val="21"/>
                      <w:u w:val="single"/>
                    </w:rPr>
                  </w:pPr>
                </w:p>
              </w:tc>
              <w:tc>
                <w:tcPr>
                  <w:tcW w:w="1940" w:type="dxa"/>
                  <w:tcBorders>
                    <w:tl2br w:val="nil"/>
                    <w:tr2bl w:val="nil"/>
                  </w:tcBorders>
                  <w:vAlign w:val="center"/>
                </w:tcPr>
                <w:p>
                  <w:pPr>
                    <w:jc w:val="center"/>
                    <w:rPr>
                      <w:bCs/>
                      <w:szCs w:val="21"/>
                      <w:u w:val="single"/>
                    </w:rPr>
                  </w:pPr>
                  <w:r>
                    <w:rPr>
                      <w:bCs/>
                      <w:szCs w:val="21"/>
                      <w:u w:val="single"/>
                    </w:rPr>
                    <w:t>环境管理与监测</w:t>
                  </w:r>
                </w:p>
              </w:tc>
              <w:tc>
                <w:tcPr>
                  <w:tcW w:w="4784" w:type="dxa"/>
                  <w:tcBorders>
                    <w:tl2br w:val="nil"/>
                    <w:tr2bl w:val="nil"/>
                  </w:tcBorders>
                  <w:vAlign w:val="center"/>
                </w:tcPr>
                <w:p>
                  <w:pPr>
                    <w:jc w:val="center"/>
                    <w:rPr>
                      <w:bCs/>
                      <w:szCs w:val="21"/>
                      <w:u w:val="single"/>
                    </w:rPr>
                  </w:pPr>
                  <w:r>
                    <w:rPr>
                      <w:bCs/>
                      <w:szCs w:val="21"/>
                      <w:u w:val="single"/>
                    </w:rPr>
                    <w:t>环境管理与监测计划</w:t>
                  </w:r>
                </w:p>
              </w:tc>
              <w:tc>
                <w:tcPr>
                  <w:tcW w:w="1485" w:type="dxa"/>
                  <w:tcBorders>
                    <w:tl2br w:val="nil"/>
                    <w:tr2bl w:val="nil"/>
                  </w:tcBorders>
                  <w:vAlign w:val="center"/>
                </w:tcPr>
                <w:p>
                  <w:pPr>
                    <w:widowControl/>
                    <w:jc w:val="center"/>
                    <w:textAlignment w:val="center"/>
                    <w:rPr>
                      <w:bCs/>
                      <w:szCs w:val="21"/>
                      <w:u w:val="single"/>
                    </w:rPr>
                  </w:pPr>
                  <w:r>
                    <w:rPr>
                      <w:rFonts w:hint="eastAsia"/>
                      <w:bCs/>
                      <w:szCs w:val="21"/>
                      <w:u w:val="single"/>
                    </w:rPr>
                    <w:t>5</w:t>
                  </w:r>
                </w:p>
              </w:tc>
            </w:tr>
            <w:bookmarkEnd w:id="10"/>
            <w:bookmarkEnd w:id="11"/>
            <w:bookmarkEnd w:id="12"/>
            <w:bookmarkEnd w:id="13"/>
            <w:tr>
              <w:trPr>
                <w:trHeight w:val="149" w:hRule="atLeast"/>
              </w:trPr>
              <w:tc>
                <w:tcPr>
                  <w:tcW w:w="7268" w:type="dxa"/>
                  <w:gridSpan w:val="3"/>
                  <w:tcBorders>
                    <w:tl2br w:val="nil"/>
                    <w:tr2bl w:val="nil"/>
                  </w:tcBorders>
                  <w:vAlign w:val="center"/>
                </w:tcPr>
                <w:p>
                  <w:pPr>
                    <w:jc w:val="center"/>
                    <w:rPr>
                      <w:bCs/>
                      <w:szCs w:val="21"/>
                      <w:u w:val="single"/>
                    </w:rPr>
                  </w:pPr>
                  <w:r>
                    <w:rPr>
                      <w:bCs/>
                      <w:szCs w:val="21"/>
                      <w:u w:val="single"/>
                    </w:rPr>
                    <w:t>合计</w:t>
                  </w:r>
                </w:p>
              </w:tc>
              <w:tc>
                <w:tcPr>
                  <w:tcW w:w="1485" w:type="dxa"/>
                  <w:tcBorders>
                    <w:tl2br w:val="nil"/>
                    <w:tr2bl w:val="nil"/>
                  </w:tcBorders>
                  <w:vAlign w:val="center"/>
                </w:tcPr>
                <w:p>
                  <w:pPr>
                    <w:widowControl/>
                    <w:jc w:val="center"/>
                    <w:textAlignment w:val="center"/>
                    <w:rPr>
                      <w:bCs/>
                      <w:szCs w:val="21"/>
                      <w:u w:val="single"/>
                    </w:rPr>
                  </w:pPr>
                  <w:r>
                    <w:rPr>
                      <w:rFonts w:hint="eastAsia"/>
                      <w:bCs/>
                      <w:szCs w:val="21"/>
                      <w:u w:val="single"/>
                    </w:rPr>
                    <w:t>15</w:t>
                  </w:r>
                </w:p>
              </w:tc>
            </w:tr>
          </w:tbl>
          <w:p>
            <w:pPr>
              <w:adjustRightInd w:val="0"/>
              <w:snapToGrid w:val="0"/>
              <w:spacing w:line="288" w:lineRule="auto"/>
              <w:ind w:firstLine="420" w:firstLineChars="200"/>
              <w:jc w:val="left"/>
              <w:rPr>
                <w:kern w:val="0"/>
                <w:szCs w:val="21"/>
              </w:rPr>
            </w:pPr>
          </w:p>
          <w:p>
            <w:pPr>
              <w:adjustRightInd w:val="0"/>
              <w:snapToGrid w:val="0"/>
              <w:spacing w:line="288" w:lineRule="auto"/>
              <w:ind w:firstLine="420" w:firstLineChars="200"/>
              <w:jc w:val="left"/>
              <w:rPr>
                <w:kern w:val="0"/>
                <w:szCs w:val="21"/>
              </w:rPr>
            </w:pPr>
          </w:p>
          <w:p>
            <w:pPr>
              <w:adjustRightInd w:val="0"/>
              <w:snapToGrid w:val="0"/>
              <w:spacing w:line="288" w:lineRule="auto"/>
              <w:ind w:firstLine="420" w:firstLineChars="200"/>
              <w:jc w:val="left"/>
              <w:rPr>
                <w:kern w:val="0"/>
                <w:szCs w:val="21"/>
              </w:rPr>
            </w:pPr>
          </w:p>
          <w:p>
            <w:pPr>
              <w:adjustRightInd w:val="0"/>
              <w:snapToGrid w:val="0"/>
              <w:spacing w:line="288" w:lineRule="auto"/>
              <w:ind w:firstLine="420" w:firstLineChars="200"/>
              <w:jc w:val="left"/>
              <w:rPr>
                <w:kern w:val="0"/>
                <w:szCs w:val="21"/>
              </w:rPr>
            </w:pPr>
          </w:p>
        </w:tc>
      </w:tr>
    </w:tbl>
    <w:p>
      <w:pPr>
        <w:widowControl/>
        <w:spacing w:line="360" w:lineRule="auto"/>
        <w:jc w:val="left"/>
        <w:rPr>
          <w:b/>
          <w:kern w:val="0"/>
          <w:sz w:val="28"/>
          <w:szCs w:val="28"/>
        </w:rPr>
        <w:sectPr>
          <w:pgSz w:w="11907" w:h="16840"/>
          <w:pgMar w:top="1418" w:right="1134" w:bottom="1418" w:left="1134" w:header="851" w:footer="851" w:gutter="0"/>
          <w:cols w:space="720" w:num="1"/>
        </w:sectPr>
      </w:pPr>
    </w:p>
    <w:p>
      <w:pPr>
        <w:pStyle w:val="16"/>
        <w:jc w:val="center"/>
        <w:outlineLvl w:val="0"/>
        <w:rPr>
          <w:rFonts w:ascii="Times New Roman" w:hAnsi="Times New Roman" w:cs="Times New Roman"/>
          <w:snapToGrid w:val="0"/>
          <w:kern w:val="0"/>
          <w:sz w:val="30"/>
          <w:szCs w:val="30"/>
        </w:rPr>
      </w:pPr>
      <w:r>
        <w:rPr>
          <w:rFonts w:ascii="Times New Roman" w:hAnsi="Times New Roman" w:cs="Times New Roman"/>
          <w:snapToGrid w:val="0"/>
          <w:sz w:val="30"/>
          <w:szCs w:val="30"/>
        </w:rPr>
        <w:t>五、</w:t>
      </w:r>
      <w:bookmarkStart w:id="14" w:name="_Hlk54167917"/>
      <w:r>
        <w:rPr>
          <w:rFonts w:ascii="Times New Roman" w:hAnsi="Times New Roman" w:cs="Times New Roman"/>
          <w:snapToGrid w:val="0"/>
          <w:sz w:val="30"/>
          <w:szCs w:val="30"/>
        </w:rPr>
        <w:t>环境保护措施监督检查清单</w:t>
      </w:r>
      <w:bookmarkEnd w:id="14"/>
    </w:p>
    <w:tbl>
      <w:tblPr>
        <w:tblW w:w="985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right w:w="108" w:type="dxa"/>
        </w:tblCellMar>
      </w:tblPr>
      <w:tblGrid>
        <w:gridCol w:w="1240"/>
        <w:gridCol w:w="2124"/>
        <w:gridCol w:w="2266"/>
        <w:gridCol w:w="1984"/>
        <w:gridCol w:w="2236"/>
      </w:tblGrid>
      <w:tr>
        <w:trPr>
          <w:trHeight w:val="425" w:hRule="atLeast"/>
          <w:jc w:val="center"/>
        </w:trPr>
        <w:tc>
          <w:tcPr>
            <w:tcW w:w="1240" w:type="dxa"/>
            <w:tcBorders>
              <w:top w:val="single" w:color="auto" w:sz="8" w:space="0"/>
              <w:left w:val="single" w:color="auto" w:sz="8" w:space="0"/>
              <w:bottom w:val="single" w:color="auto" w:sz="4" w:space="0"/>
              <w:right w:val="single" w:color="auto" w:sz="4" w:space="0"/>
              <w:tl2br w:val="single" w:color="auto" w:sz="4" w:space="0"/>
            </w:tcBorders>
            <w:vAlign w:val="center"/>
          </w:tcPr>
          <w:p>
            <w:pPr>
              <w:adjustRightInd w:val="0"/>
              <w:snapToGrid w:val="0"/>
              <w:ind w:firstLine="420" w:firstLineChars="200"/>
              <w:jc w:val="center"/>
              <w:rPr>
                <w:szCs w:val="21"/>
                <w:u w:val="single"/>
              </w:rPr>
            </w:pPr>
            <w:r>
              <w:rPr>
                <w:szCs w:val="21"/>
                <w:u w:val="single"/>
              </w:rPr>
              <w:t>内容</w:t>
            </w:r>
          </w:p>
          <w:p>
            <w:pPr>
              <w:adjustRightInd w:val="0"/>
              <w:snapToGrid w:val="0"/>
              <w:jc w:val="center"/>
              <w:rPr>
                <w:szCs w:val="21"/>
                <w:u w:val="single"/>
              </w:rPr>
            </w:pPr>
            <w:r>
              <w:rPr>
                <w:szCs w:val="21"/>
                <w:u w:val="single"/>
              </w:rPr>
              <w:t>要素</w:t>
            </w:r>
          </w:p>
        </w:tc>
        <w:tc>
          <w:tcPr>
            <w:tcW w:w="2124" w:type="dxa"/>
            <w:tcBorders>
              <w:top w:val="single" w:color="auto" w:sz="8"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szCs w:val="21"/>
                <w:u w:val="single"/>
              </w:rPr>
              <w:t>排放口(编号、</w:t>
            </w:r>
          </w:p>
          <w:p>
            <w:pPr>
              <w:adjustRightInd w:val="0"/>
              <w:snapToGrid w:val="0"/>
              <w:jc w:val="center"/>
              <w:rPr>
                <w:szCs w:val="21"/>
                <w:u w:val="single"/>
              </w:rPr>
            </w:pPr>
            <w:r>
              <w:rPr>
                <w:szCs w:val="21"/>
                <w:u w:val="single"/>
              </w:rPr>
              <w:t>名称)/污染源</w:t>
            </w:r>
          </w:p>
        </w:tc>
        <w:tc>
          <w:tcPr>
            <w:tcW w:w="2266" w:type="dxa"/>
            <w:tcBorders>
              <w:top w:val="single" w:color="auto" w:sz="8"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szCs w:val="21"/>
                <w:u w:val="single"/>
              </w:rPr>
              <w:t>污染物项目</w:t>
            </w:r>
          </w:p>
        </w:tc>
        <w:tc>
          <w:tcPr>
            <w:tcW w:w="1984" w:type="dxa"/>
            <w:tcBorders>
              <w:top w:val="single" w:color="auto" w:sz="8"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szCs w:val="21"/>
                <w:u w:val="single"/>
              </w:rPr>
              <w:t>环境保护措施</w:t>
            </w:r>
          </w:p>
        </w:tc>
        <w:tc>
          <w:tcPr>
            <w:tcW w:w="2236" w:type="dxa"/>
            <w:tcBorders>
              <w:top w:val="single" w:color="auto" w:sz="8" w:space="0"/>
              <w:left w:val="single" w:color="auto" w:sz="4" w:space="0"/>
              <w:bottom w:val="single" w:color="auto" w:sz="4" w:space="0"/>
              <w:right w:val="single" w:color="auto" w:sz="8" w:space="0"/>
            </w:tcBorders>
            <w:vAlign w:val="center"/>
          </w:tcPr>
          <w:p>
            <w:pPr>
              <w:adjustRightInd w:val="0"/>
              <w:snapToGrid w:val="0"/>
              <w:jc w:val="center"/>
              <w:rPr>
                <w:szCs w:val="21"/>
                <w:u w:val="single"/>
              </w:rPr>
            </w:pPr>
            <w:r>
              <w:rPr>
                <w:szCs w:val="21"/>
                <w:u w:val="single"/>
              </w:rPr>
              <w:t>执行标准</w:t>
            </w:r>
          </w:p>
        </w:tc>
      </w:tr>
      <w:tr>
        <w:trPr>
          <w:trHeight w:val="1906" w:hRule="atLeast"/>
          <w:jc w:val="center"/>
        </w:trPr>
        <w:tc>
          <w:tcPr>
            <w:tcW w:w="1240" w:type="dxa"/>
            <w:vMerge w:val="restart"/>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szCs w:val="21"/>
                <w:u w:val="single"/>
              </w:rPr>
            </w:pPr>
            <w:r>
              <w:rPr>
                <w:szCs w:val="21"/>
                <w:u w:val="single"/>
              </w:rPr>
              <w:t>大气环境</w:t>
            </w:r>
          </w:p>
        </w:tc>
        <w:tc>
          <w:tcPr>
            <w:tcW w:w="212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szCs w:val="21"/>
                <w:u w:val="single"/>
              </w:rPr>
              <w:t>锅炉排气筒</w:t>
            </w:r>
          </w:p>
        </w:tc>
        <w:tc>
          <w:tcPr>
            <w:tcW w:w="226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szCs w:val="21"/>
                <w:u w:val="single"/>
              </w:rPr>
              <w:t>颗粒物、SO</w:t>
            </w:r>
            <w:r>
              <w:rPr>
                <w:szCs w:val="21"/>
                <w:u w:val="single"/>
                <w:vertAlign w:val="subscript"/>
              </w:rPr>
              <w:t>2</w:t>
            </w:r>
            <w:r>
              <w:rPr>
                <w:szCs w:val="21"/>
                <w:u w:val="single"/>
              </w:rPr>
              <w:t>、NO</w:t>
            </w:r>
            <w:r>
              <w:rPr>
                <w:szCs w:val="21"/>
                <w:u w:val="single"/>
                <w:vertAlign w:val="subscript"/>
              </w:rPr>
              <w:t>X</w:t>
            </w:r>
            <w:r>
              <w:rPr>
                <w:szCs w:val="21"/>
                <w:u w:val="single"/>
              </w:rPr>
              <w:t>、</w:t>
            </w:r>
            <w:r>
              <w:rPr>
                <w:rFonts w:hint="eastAsia"/>
                <w:szCs w:val="21"/>
                <w:u w:val="single"/>
              </w:rPr>
              <w:t>烟气</w:t>
            </w:r>
            <w:r>
              <w:rPr>
                <w:szCs w:val="21"/>
                <w:u w:val="single"/>
              </w:rPr>
              <w:t>黑度</w:t>
            </w:r>
          </w:p>
        </w:tc>
        <w:tc>
          <w:tcPr>
            <w:tcW w:w="19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rFonts w:hint="eastAsia"/>
                <w:szCs w:val="21"/>
                <w:u w:val="single"/>
              </w:rPr>
              <w:t>布袋除尘器</w:t>
            </w:r>
            <w:r>
              <w:rPr>
                <w:szCs w:val="21"/>
                <w:u w:val="single"/>
              </w:rPr>
              <w:t>+</w:t>
            </w:r>
            <w:r>
              <w:rPr>
                <w:rFonts w:hint="eastAsia"/>
                <w:szCs w:val="21"/>
                <w:u w:val="single"/>
              </w:rPr>
              <w:t>36m</w:t>
            </w:r>
            <w:r>
              <w:rPr>
                <w:szCs w:val="21"/>
                <w:u w:val="single"/>
              </w:rPr>
              <w:t>高排气筒排放</w:t>
            </w:r>
          </w:p>
        </w:tc>
        <w:tc>
          <w:tcPr>
            <w:tcW w:w="2236" w:type="dxa"/>
            <w:tcBorders>
              <w:top w:val="single" w:color="auto" w:sz="4" w:space="0"/>
              <w:left w:val="single" w:color="auto" w:sz="4" w:space="0"/>
              <w:right w:val="single" w:color="auto" w:sz="8" w:space="0"/>
            </w:tcBorders>
            <w:vAlign w:val="center"/>
          </w:tcPr>
          <w:p>
            <w:pPr>
              <w:adjustRightInd w:val="0"/>
              <w:snapToGrid w:val="0"/>
              <w:jc w:val="center"/>
              <w:rPr>
                <w:szCs w:val="21"/>
                <w:u w:val="single"/>
              </w:rPr>
            </w:pPr>
            <w:r>
              <w:rPr>
                <w:szCs w:val="21"/>
                <w:u w:val="single"/>
              </w:rPr>
              <w:t>《锅炉大气污染物排放标准》（GB13271-2014）表2新建锅炉大气污染物排放浓度限值</w:t>
            </w:r>
          </w:p>
        </w:tc>
      </w:tr>
      <w:tr>
        <w:trPr>
          <w:trHeight w:val="425" w:hRule="atLeast"/>
          <w:jc w:val="center"/>
        </w:trPr>
        <w:tc>
          <w:tcPr>
            <w:tcW w:w="1240" w:type="dxa"/>
            <w:vMerge w:val="continue"/>
            <w:tcBorders>
              <w:left w:val="single" w:color="auto" w:sz="8" w:space="0"/>
              <w:bottom w:val="single" w:color="auto" w:sz="4" w:space="0"/>
              <w:right w:val="single" w:color="auto" w:sz="4" w:space="0"/>
            </w:tcBorders>
            <w:vAlign w:val="center"/>
          </w:tcPr>
          <w:p>
            <w:pPr>
              <w:adjustRightInd w:val="0"/>
              <w:snapToGrid w:val="0"/>
              <w:jc w:val="center"/>
              <w:rPr>
                <w:szCs w:val="21"/>
                <w:u w:val="single"/>
              </w:rPr>
            </w:pPr>
          </w:p>
        </w:tc>
        <w:tc>
          <w:tcPr>
            <w:tcW w:w="212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szCs w:val="21"/>
                <w:u w:val="single"/>
              </w:rPr>
              <w:t>装卸、运输</w:t>
            </w:r>
          </w:p>
        </w:tc>
        <w:tc>
          <w:tcPr>
            <w:tcW w:w="226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u w:val="single"/>
              </w:rPr>
              <w:t>颗粒物</w:t>
            </w:r>
          </w:p>
        </w:tc>
        <w:tc>
          <w:tcPr>
            <w:tcW w:w="19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u w:val="single"/>
              </w:rPr>
              <w:t>袋装储存、地面硬化</w:t>
            </w:r>
          </w:p>
        </w:tc>
        <w:tc>
          <w:tcPr>
            <w:tcW w:w="2236" w:type="dxa"/>
            <w:tcBorders>
              <w:top w:val="single" w:color="auto" w:sz="4" w:space="0"/>
              <w:left w:val="single" w:color="auto" w:sz="4" w:space="0"/>
              <w:bottom w:val="single" w:color="auto" w:sz="4" w:space="0"/>
              <w:right w:val="single" w:color="auto" w:sz="8" w:space="0"/>
            </w:tcBorders>
            <w:vAlign w:val="center"/>
          </w:tcPr>
          <w:p>
            <w:pPr>
              <w:adjustRightInd w:val="0"/>
              <w:snapToGrid w:val="0"/>
              <w:jc w:val="center"/>
              <w:rPr>
                <w:szCs w:val="21"/>
                <w:u w:val="single"/>
              </w:rPr>
            </w:pPr>
            <w:r>
              <w:rPr>
                <w:u w:val="single"/>
              </w:rPr>
              <w:t>《大气污染物综合排放标准》（GB16297-1996）无组织监控浓度限值</w:t>
            </w:r>
          </w:p>
        </w:tc>
      </w:tr>
      <w:tr>
        <w:trPr>
          <w:trHeight w:val="425" w:hRule="atLeast"/>
          <w:jc w:val="center"/>
        </w:trPr>
        <w:tc>
          <w:tcPr>
            <w:tcW w:w="1240" w:type="dxa"/>
            <w:tcBorders>
              <w:top w:val="single" w:color="auto" w:sz="4" w:space="0"/>
              <w:left w:val="single" w:color="auto" w:sz="8" w:space="0"/>
              <w:right w:val="single" w:color="auto" w:sz="4" w:space="0"/>
            </w:tcBorders>
            <w:vAlign w:val="center"/>
          </w:tcPr>
          <w:p>
            <w:pPr>
              <w:adjustRightInd w:val="0"/>
              <w:snapToGrid w:val="0"/>
              <w:jc w:val="center"/>
              <w:rPr>
                <w:szCs w:val="21"/>
                <w:u w:val="single"/>
              </w:rPr>
            </w:pPr>
            <w:r>
              <w:rPr>
                <w:szCs w:val="21"/>
                <w:u w:val="single"/>
              </w:rPr>
              <w:t>地表水环境</w:t>
            </w:r>
          </w:p>
        </w:tc>
        <w:tc>
          <w:tcPr>
            <w:tcW w:w="212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szCs w:val="21"/>
                <w:u w:val="single"/>
              </w:rPr>
              <w:t>锅炉排污水</w:t>
            </w:r>
          </w:p>
        </w:tc>
        <w:tc>
          <w:tcPr>
            <w:tcW w:w="226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rFonts w:hint="eastAsia"/>
                <w:szCs w:val="21"/>
                <w:u w:val="single"/>
              </w:rPr>
              <w:t>pH、</w:t>
            </w:r>
            <w:r>
              <w:rPr>
                <w:szCs w:val="21"/>
                <w:u w:val="single"/>
              </w:rPr>
              <w:t>COD、SS</w:t>
            </w:r>
          </w:p>
        </w:tc>
        <w:tc>
          <w:tcPr>
            <w:tcW w:w="19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rFonts w:hint="eastAsia"/>
                <w:szCs w:val="21"/>
                <w:u w:val="single"/>
              </w:rPr>
              <w:t>不外排</w:t>
            </w:r>
          </w:p>
        </w:tc>
        <w:tc>
          <w:tcPr>
            <w:tcW w:w="2236" w:type="dxa"/>
            <w:tcBorders>
              <w:top w:val="single" w:color="auto" w:sz="4" w:space="0"/>
              <w:left w:val="single" w:color="auto" w:sz="4" w:space="0"/>
              <w:bottom w:val="single" w:color="auto" w:sz="4" w:space="0"/>
              <w:right w:val="single" w:color="auto" w:sz="8" w:space="0"/>
            </w:tcBorders>
            <w:vAlign w:val="center"/>
          </w:tcPr>
          <w:p>
            <w:pPr>
              <w:adjustRightInd w:val="0"/>
              <w:snapToGrid w:val="0"/>
              <w:jc w:val="center"/>
              <w:rPr>
                <w:szCs w:val="21"/>
                <w:u w:val="single"/>
              </w:rPr>
            </w:pPr>
            <w:r>
              <w:rPr>
                <w:rFonts w:hint="eastAsia"/>
                <w:szCs w:val="21"/>
                <w:u w:val="single"/>
              </w:rPr>
              <w:t>/</w:t>
            </w:r>
          </w:p>
        </w:tc>
      </w:tr>
      <w:tr>
        <w:trPr>
          <w:trHeight w:val="425" w:hRule="atLeast"/>
          <w:jc w:val="center"/>
        </w:trPr>
        <w:tc>
          <w:tcPr>
            <w:tcW w:w="1240"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szCs w:val="21"/>
                <w:u w:val="single"/>
              </w:rPr>
            </w:pPr>
            <w:r>
              <w:rPr>
                <w:szCs w:val="21"/>
                <w:u w:val="single"/>
              </w:rPr>
              <w:t>声环境</w:t>
            </w:r>
          </w:p>
        </w:tc>
        <w:tc>
          <w:tcPr>
            <w:tcW w:w="212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szCs w:val="21"/>
                <w:u w:val="single"/>
              </w:rPr>
              <w:t>厂界四周/噪声</w:t>
            </w:r>
          </w:p>
        </w:tc>
        <w:tc>
          <w:tcPr>
            <w:tcW w:w="226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szCs w:val="21"/>
                <w:u w:val="single"/>
              </w:rPr>
              <w:t>等效连续声级</w:t>
            </w:r>
          </w:p>
        </w:tc>
        <w:tc>
          <w:tcPr>
            <w:tcW w:w="1984" w:type="dxa"/>
            <w:tcBorders>
              <w:top w:val="single" w:color="auto" w:sz="4" w:space="0"/>
              <w:left w:val="single" w:color="auto" w:sz="4" w:space="0"/>
              <w:bottom w:val="single" w:color="auto" w:sz="4" w:space="0"/>
              <w:right w:val="single" w:color="auto" w:sz="4" w:space="0"/>
            </w:tcBorders>
            <w:vAlign w:val="center"/>
          </w:tcPr>
          <w:p>
            <w:pPr>
              <w:widowControl/>
              <w:jc w:val="center"/>
              <w:rPr>
                <w:kern w:val="0"/>
                <w:szCs w:val="21"/>
                <w:u w:val="single"/>
              </w:rPr>
            </w:pPr>
            <w:r>
              <w:rPr>
                <w:szCs w:val="21"/>
                <w:u w:val="single"/>
              </w:rPr>
              <w:t>购买低噪设备，隔声垫、消声器</w:t>
            </w:r>
          </w:p>
        </w:tc>
        <w:tc>
          <w:tcPr>
            <w:tcW w:w="2236" w:type="dxa"/>
            <w:tcBorders>
              <w:top w:val="single" w:color="auto" w:sz="4" w:space="0"/>
              <w:left w:val="single" w:color="auto" w:sz="4" w:space="0"/>
              <w:bottom w:val="single" w:color="auto" w:sz="4" w:space="0"/>
              <w:right w:val="single" w:color="auto" w:sz="8" w:space="0"/>
            </w:tcBorders>
            <w:vAlign w:val="center"/>
          </w:tcPr>
          <w:p>
            <w:pPr>
              <w:adjustRightInd w:val="0"/>
              <w:snapToGrid w:val="0"/>
              <w:jc w:val="center"/>
              <w:rPr>
                <w:szCs w:val="21"/>
                <w:u w:val="single"/>
              </w:rPr>
            </w:pPr>
            <w:r>
              <w:rPr>
                <w:szCs w:val="21"/>
                <w:u w:val="single"/>
              </w:rPr>
              <w:t>《工业企业厂界环境噪声排放标准》（GB12348-2008）中的</w:t>
            </w:r>
            <w:r>
              <w:rPr>
                <w:rFonts w:hint="eastAsia"/>
                <w:szCs w:val="21"/>
                <w:u w:val="single"/>
              </w:rPr>
              <w:t>3</w:t>
            </w:r>
            <w:r>
              <w:rPr>
                <w:szCs w:val="21"/>
                <w:u w:val="single"/>
              </w:rPr>
              <w:t>类区标准</w:t>
            </w:r>
          </w:p>
        </w:tc>
      </w:tr>
      <w:tr>
        <w:trPr>
          <w:trHeight w:val="425" w:hRule="atLeast"/>
          <w:jc w:val="center"/>
        </w:trPr>
        <w:tc>
          <w:tcPr>
            <w:tcW w:w="1240"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szCs w:val="21"/>
                <w:u w:val="single"/>
              </w:rPr>
            </w:pPr>
            <w:r>
              <w:rPr>
                <w:szCs w:val="21"/>
                <w:u w:val="single"/>
              </w:rPr>
              <w:t>电磁辐射</w:t>
            </w:r>
          </w:p>
        </w:tc>
        <w:tc>
          <w:tcPr>
            <w:tcW w:w="212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szCs w:val="21"/>
                <w:u w:val="single"/>
              </w:rPr>
              <w:t>/</w:t>
            </w:r>
          </w:p>
        </w:tc>
        <w:tc>
          <w:tcPr>
            <w:tcW w:w="226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szCs w:val="21"/>
                <w:u w:val="single"/>
              </w:rPr>
              <w:t>/</w:t>
            </w:r>
          </w:p>
        </w:tc>
        <w:tc>
          <w:tcPr>
            <w:tcW w:w="19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u w:val="single"/>
              </w:rPr>
            </w:pPr>
            <w:r>
              <w:rPr>
                <w:szCs w:val="21"/>
                <w:u w:val="single"/>
              </w:rPr>
              <w:t>/</w:t>
            </w:r>
          </w:p>
        </w:tc>
        <w:tc>
          <w:tcPr>
            <w:tcW w:w="2236" w:type="dxa"/>
            <w:tcBorders>
              <w:top w:val="single" w:color="auto" w:sz="4" w:space="0"/>
              <w:left w:val="single" w:color="auto" w:sz="4" w:space="0"/>
              <w:bottom w:val="single" w:color="auto" w:sz="4" w:space="0"/>
              <w:right w:val="single" w:color="auto" w:sz="8" w:space="0"/>
            </w:tcBorders>
            <w:vAlign w:val="center"/>
          </w:tcPr>
          <w:p>
            <w:pPr>
              <w:adjustRightInd w:val="0"/>
              <w:snapToGrid w:val="0"/>
              <w:jc w:val="center"/>
              <w:rPr>
                <w:szCs w:val="21"/>
                <w:u w:val="single"/>
              </w:rPr>
            </w:pPr>
            <w:r>
              <w:rPr>
                <w:szCs w:val="21"/>
                <w:u w:val="single"/>
              </w:rPr>
              <w:t>/</w:t>
            </w:r>
          </w:p>
        </w:tc>
      </w:tr>
      <w:tr>
        <w:trPr>
          <w:trHeight w:val="1276" w:hRule="atLeast"/>
          <w:jc w:val="center"/>
        </w:trPr>
        <w:tc>
          <w:tcPr>
            <w:tcW w:w="1240"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szCs w:val="21"/>
                <w:u w:val="single"/>
              </w:rPr>
            </w:pPr>
            <w:r>
              <w:rPr>
                <w:szCs w:val="21"/>
                <w:u w:val="single"/>
              </w:rPr>
              <w:t>固体废物</w:t>
            </w:r>
          </w:p>
        </w:tc>
        <w:tc>
          <w:tcPr>
            <w:tcW w:w="8610" w:type="dxa"/>
            <w:gridSpan w:val="4"/>
            <w:tcBorders>
              <w:top w:val="single" w:color="auto" w:sz="4" w:space="0"/>
              <w:left w:val="single" w:color="auto" w:sz="4" w:space="0"/>
              <w:bottom w:val="single" w:color="auto" w:sz="4" w:space="0"/>
              <w:right w:val="single" w:color="auto" w:sz="8" w:space="0"/>
            </w:tcBorders>
            <w:vAlign w:val="center"/>
          </w:tcPr>
          <w:p>
            <w:pPr>
              <w:ind w:firstLine="420" w:firstLineChars="200"/>
              <w:rPr>
                <w:rFonts w:eastAsia="宋体"/>
                <w:szCs w:val="21"/>
                <w:u w:val="single"/>
              </w:rPr>
            </w:pPr>
            <w:r>
              <w:rPr>
                <w:rFonts w:hint="eastAsia"/>
                <w:szCs w:val="21"/>
                <w:u w:val="single"/>
                <w:lang/>
              </w:rPr>
              <w:t>本项目</w:t>
            </w:r>
            <w:r>
              <w:rPr>
                <w:rFonts w:hint="eastAsia"/>
                <w:szCs w:val="21"/>
                <w:u w:val="single"/>
              </w:rPr>
              <w:t>锅炉房密闭，</w:t>
            </w:r>
            <w:r>
              <w:rPr>
                <w:rFonts w:hint="eastAsia"/>
                <w:szCs w:val="21"/>
                <w:u w:val="single"/>
                <w:lang/>
              </w:rPr>
              <w:t>废布袋由厂家更换收集后统一处理，灰渣及除尘灰均袋装储存于锅炉</w:t>
            </w:r>
            <w:r>
              <w:rPr>
                <w:rFonts w:hint="eastAsia"/>
                <w:szCs w:val="21"/>
                <w:u w:val="single"/>
              </w:rPr>
              <w:t>旁</w:t>
            </w:r>
            <w:r>
              <w:rPr>
                <w:rFonts w:hint="eastAsia"/>
                <w:szCs w:val="21"/>
                <w:u w:val="single"/>
                <w:lang/>
              </w:rPr>
              <w:t>，</w:t>
            </w:r>
            <w:r>
              <w:rPr>
                <w:rFonts w:hint="eastAsia"/>
                <w:szCs w:val="21"/>
                <w:u w:val="single"/>
              </w:rPr>
              <w:t>定期外售</w:t>
            </w:r>
            <w:r>
              <w:rPr>
                <w:rFonts w:hint="eastAsia"/>
                <w:szCs w:val="21"/>
                <w:u w:val="single"/>
                <w:lang/>
              </w:rPr>
              <w:t>用作农田肥料</w:t>
            </w:r>
            <w:r>
              <w:rPr>
                <w:szCs w:val="21"/>
                <w:u w:val="single"/>
                <w:lang/>
              </w:rPr>
              <w:t>。</w:t>
            </w:r>
            <w:r>
              <w:rPr>
                <w:rFonts w:hint="eastAsia" w:eastAsia="宋体"/>
                <w:snapToGrid w:val="0"/>
                <w:color w:val="000000"/>
                <w:kern w:val="0"/>
                <w:szCs w:val="21"/>
                <w:u w:val="single"/>
              </w:rPr>
              <w:t>废机油</w:t>
            </w:r>
            <w:r>
              <w:rPr>
                <w:rFonts w:eastAsia="宋体"/>
                <w:snapToGrid w:val="0"/>
                <w:color w:val="000000"/>
                <w:kern w:val="0"/>
                <w:szCs w:val="21"/>
                <w:u w:val="single"/>
              </w:rPr>
              <w:t>、含油抹布手套等分类收集，暂存于危废贮存点，委托有资质单位统一处理</w:t>
            </w:r>
            <w:r>
              <w:rPr>
                <w:rFonts w:hint="eastAsia" w:eastAsia="宋体"/>
                <w:snapToGrid w:val="0"/>
                <w:color w:val="000000"/>
                <w:kern w:val="0"/>
                <w:szCs w:val="21"/>
                <w:u w:val="single"/>
              </w:rPr>
              <w:t>。</w:t>
            </w:r>
          </w:p>
        </w:tc>
      </w:tr>
      <w:tr>
        <w:trPr>
          <w:trHeight w:val="1276" w:hRule="atLeast"/>
          <w:jc w:val="center"/>
        </w:trPr>
        <w:tc>
          <w:tcPr>
            <w:tcW w:w="1240"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szCs w:val="21"/>
                <w:u w:val="single"/>
              </w:rPr>
            </w:pPr>
            <w:r>
              <w:rPr>
                <w:szCs w:val="21"/>
                <w:u w:val="single"/>
              </w:rPr>
              <w:t>土壤及地下水污染防治措施</w:t>
            </w:r>
          </w:p>
        </w:tc>
        <w:tc>
          <w:tcPr>
            <w:tcW w:w="8610" w:type="dxa"/>
            <w:gridSpan w:val="4"/>
            <w:tcBorders>
              <w:top w:val="single" w:color="auto" w:sz="4" w:space="0"/>
              <w:left w:val="single" w:color="auto" w:sz="4" w:space="0"/>
              <w:bottom w:val="single" w:color="auto" w:sz="4" w:space="0"/>
              <w:right w:val="single" w:color="auto" w:sz="8" w:space="0"/>
            </w:tcBorders>
            <w:vAlign w:val="center"/>
          </w:tcPr>
          <w:p>
            <w:pPr>
              <w:adjustRightInd w:val="0"/>
              <w:snapToGrid w:val="0"/>
              <w:ind w:firstLine="420" w:firstLineChars="200"/>
              <w:rPr>
                <w:szCs w:val="21"/>
                <w:u w:val="single"/>
              </w:rPr>
            </w:pPr>
            <w:r>
              <w:rPr>
                <w:rFonts w:hint="eastAsia" w:eastAsia="宋体"/>
                <w:snapToGrid w:val="0"/>
                <w:color w:val="000000"/>
                <w:kern w:val="0"/>
                <w:szCs w:val="21"/>
                <w:u w:val="single"/>
              </w:rPr>
              <w:t>现有危废暂存间</w:t>
            </w:r>
            <w:r>
              <w:rPr>
                <w:rFonts w:eastAsia="宋体"/>
                <w:snapToGrid w:val="0"/>
                <w:color w:val="000000"/>
                <w:kern w:val="0"/>
                <w:szCs w:val="21"/>
                <w:u w:val="single"/>
              </w:rPr>
              <w:t>地面</w:t>
            </w:r>
            <w:r>
              <w:rPr>
                <w:rFonts w:hint="eastAsia" w:eastAsia="宋体"/>
                <w:snapToGrid w:val="0"/>
                <w:color w:val="000000"/>
                <w:kern w:val="0"/>
                <w:szCs w:val="21"/>
                <w:u w:val="single"/>
              </w:rPr>
              <w:t>采取</w:t>
            </w:r>
            <w:r>
              <w:rPr>
                <w:rFonts w:eastAsia="宋体"/>
                <w:snapToGrid w:val="0"/>
                <w:color w:val="000000"/>
                <w:kern w:val="0"/>
                <w:szCs w:val="21"/>
                <w:u w:val="single"/>
              </w:rPr>
              <w:t>防渗</w:t>
            </w:r>
            <w:r>
              <w:rPr>
                <w:rFonts w:hint="eastAsia" w:eastAsia="宋体"/>
                <w:snapToGrid w:val="0"/>
                <w:color w:val="000000"/>
                <w:kern w:val="0"/>
                <w:szCs w:val="21"/>
                <w:u w:val="single"/>
              </w:rPr>
              <w:t>措施</w:t>
            </w:r>
            <w:r>
              <w:rPr>
                <w:rFonts w:eastAsia="宋体"/>
                <w:snapToGrid w:val="0"/>
                <w:color w:val="000000"/>
                <w:kern w:val="0"/>
                <w:szCs w:val="21"/>
                <w:u w:val="single"/>
              </w:rPr>
              <w:t>，防渗层的防渗性能应等效于1.5m厚、渗透系数为1.0×10</w:t>
            </w:r>
            <w:r>
              <w:rPr>
                <w:rFonts w:eastAsia="宋体"/>
                <w:snapToGrid w:val="0"/>
                <w:color w:val="000000"/>
                <w:kern w:val="0"/>
                <w:szCs w:val="21"/>
                <w:u w:val="single"/>
                <w:vertAlign w:val="superscript"/>
              </w:rPr>
              <w:t>-7</w:t>
            </w:r>
            <w:r>
              <w:rPr>
                <w:rFonts w:eastAsia="宋体"/>
                <w:snapToGrid w:val="0"/>
                <w:color w:val="000000"/>
                <w:kern w:val="0"/>
                <w:szCs w:val="21"/>
                <w:u w:val="single"/>
              </w:rPr>
              <w:t>cm/s的黏土层的防渗性能。</w:t>
            </w:r>
            <w:r>
              <w:rPr>
                <w:rFonts w:hint="eastAsia" w:eastAsia="宋体"/>
                <w:snapToGrid w:val="0"/>
                <w:color w:val="000000"/>
                <w:kern w:val="0"/>
                <w:szCs w:val="21"/>
                <w:u w:val="single"/>
              </w:rPr>
              <w:t>锅炉房、生产车间、堆场等采取简易防渗。</w:t>
            </w:r>
          </w:p>
        </w:tc>
      </w:tr>
      <w:tr>
        <w:trPr>
          <w:trHeight w:val="1276" w:hRule="atLeast"/>
          <w:jc w:val="center"/>
        </w:trPr>
        <w:tc>
          <w:tcPr>
            <w:tcW w:w="1240"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szCs w:val="21"/>
                <w:u w:val="single"/>
              </w:rPr>
            </w:pPr>
            <w:r>
              <w:rPr>
                <w:szCs w:val="21"/>
                <w:u w:val="single"/>
              </w:rPr>
              <w:t>生态保护措施</w:t>
            </w:r>
          </w:p>
        </w:tc>
        <w:tc>
          <w:tcPr>
            <w:tcW w:w="8610" w:type="dxa"/>
            <w:gridSpan w:val="4"/>
            <w:tcBorders>
              <w:top w:val="single" w:color="auto" w:sz="4" w:space="0"/>
              <w:left w:val="single" w:color="auto" w:sz="4" w:space="0"/>
              <w:bottom w:val="single" w:color="auto" w:sz="4" w:space="0"/>
              <w:right w:val="single" w:color="auto" w:sz="8" w:space="0"/>
            </w:tcBorders>
            <w:vAlign w:val="center"/>
          </w:tcPr>
          <w:p>
            <w:pPr>
              <w:adjustRightInd w:val="0"/>
              <w:snapToGrid w:val="0"/>
              <w:ind w:firstLine="420" w:firstLineChars="200"/>
              <w:rPr>
                <w:szCs w:val="21"/>
                <w:u w:val="single"/>
              </w:rPr>
            </w:pPr>
            <w:r>
              <w:rPr>
                <w:rFonts w:eastAsia="宋体"/>
                <w:color w:val="000000"/>
                <w:kern w:val="0"/>
                <w:szCs w:val="21"/>
                <w:u w:val="single"/>
              </w:rPr>
              <w:t>本项目</w:t>
            </w:r>
            <w:r>
              <w:rPr>
                <w:rFonts w:hint="eastAsia" w:eastAsia="宋体"/>
                <w:color w:val="000000"/>
                <w:kern w:val="0"/>
                <w:szCs w:val="21"/>
                <w:u w:val="single"/>
              </w:rPr>
              <w:t>在现有锅炉房内</w:t>
            </w:r>
            <w:r>
              <w:rPr>
                <w:rFonts w:eastAsia="宋体"/>
                <w:color w:val="000000"/>
                <w:kern w:val="0"/>
                <w:szCs w:val="21"/>
                <w:u w:val="single"/>
              </w:rPr>
              <w:t>进行</w:t>
            </w:r>
            <w:r>
              <w:rPr>
                <w:rFonts w:hint="eastAsia" w:eastAsia="宋体"/>
                <w:color w:val="000000"/>
                <w:kern w:val="0"/>
                <w:szCs w:val="21"/>
                <w:u w:val="single"/>
              </w:rPr>
              <w:t>拆除重建</w:t>
            </w:r>
            <w:r>
              <w:rPr>
                <w:rFonts w:eastAsia="宋体"/>
                <w:color w:val="000000"/>
                <w:kern w:val="0"/>
                <w:szCs w:val="21"/>
                <w:u w:val="single"/>
              </w:rPr>
              <w:t>，不涉及新增占地。项目运营期主要污染物为</w:t>
            </w:r>
            <w:r>
              <w:rPr>
                <w:rFonts w:hint="eastAsia" w:eastAsia="宋体"/>
                <w:color w:val="000000"/>
                <w:kern w:val="0"/>
                <w:szCs w:val="21"/>
                <w:u w:val="single"/>
              </w:rPr>
              <w:t>锅炉烟气</w:t>
            </w:r>
            <w:r>
              <w:rPr>
                <w:rFonts w:eastAsia="宋体"/>
                <w:color w:val="000000"/>
                <w:kern w:val="0"/>
                <w:szCs w:val="21"/>
                <w:u w:val="single"/>
              </w:rPr>
              <w:t>、固体废物等，各项污染源均得到妥善且合理的处置，项目运行过程中对生态环境影响较小。</w:t>
            </w:r>
          </w:p>
        </w:tc>
      </w:tr>
      <w:tr>
        <w:trPr>
          <w:trHeight w:val="1276" w:hRule="atLeast"/>
          <w:jc w:val="center"/>
        </w:trPr>
        <w:tc>
          <w:tcPr>
            <w:tcW w:w="1240"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spacing w:val="-8"/>
                <w:szCs w:val="21"/>
                <w:u w:val="single"/>
              </w:rPr>
            </w:pPr>
            <w:r>
              <w:rPr>
                <w:spacing w:val="-8"/>
                <w:szCs w:val="21"/>
                <w:u w:val="single"/>
              </w:rPr>
              <w:t>环境风险</w:t>
            </w:r>
          </w:p>
          <w:p>
            <w:pPr>
              <w:adjustRightInd w:val="0"/>
              <w:snapToGrid w:val="0"/>
              <w:jc w:val="center"/>
              <w:rPr>
                <w:spacing w:val="-8"/>
                <w:szCs w:val="21"/>
                <w:u w:val="single"/>
              </w:rPr>
            </w:pPr>
            <w:r>
              <w:rPr>
                <w:spacing w:val="-8"/>
                <w:szCs w:val="21"/>
                <w:u w:val="single"/>
              </w:rPr>
              <w:t>防范措施</w:t>
            </w:r>
          </w:p>
        </w:tc>
        <w:tc>
          <w:tcPr>
            <w:tcW w:w="8610" w:type="dxa"/>
            <w:gridSpan w:val="4"/>
            <w:tcBorders>
              <w:top w:val="single" w:color="auto" w:sz="4" w:space="0"/>
              <w:left w:val="single" w:color="auto" w:sz="4" w:space="0"/>
              <w:bottom w:val="single" w:color="auto" w:sz="4" w:space="0"/>
              <w:right w:val="single" w:color="auto" w:sz="8" w:space="0"/>
            </w:tcBorders>
            <w:vAlign w:val="center"/>
          </w:tcPr>
          <w:p>
            <w:pPr>
              <w:adjustRightInd w:val="0"/>
              <w:snapToGrid w:val="0"/>
              <w:ind w:firstLine="420" w:firstLineChars="200"/>
              <w:rPr>
                <w:rFonts w:eastAsia="宋体"/>
                <w:color w:val="000000"/>
                <w:kern w:val="0"/>
                <w:szCs w:val="21"/>
                <w:u w:val="single"/>
              </w:rPr>
            </w:pPr>
            <w:r>
              <w:rPr>
                <w:rFonts w:eastAsia="宋体"/>
                <w:color w:val="000000"/>
                <w:kern w:val="0"/>
                <w:szCs w:val="21"/>
                <w:u w:val="single"/>
              </w:rPr>
              <w:t>①设立相关突发环境事故应急处理组织机构，人员的组成和职责从公司的现状出发，建立健全的公司突发环境事故应急组织机构。</w:t>
            </w:r>
          </w:p>
          <w:p>
            <w:pPr>
              <w:adjustRightInd w:val="0"/>
              <w:snapToGrid w:val="0"/>
              <w:ind w:firstLine="420" w:firstLineChars="200"/>
              <w:rPr>
                <w:rFonts w:eastAsia="宋体"/>
                <w:color w:val="000000"/>
                <w:kern w:val="0"/>
                <w:szCs w:val="21"/>
                <w:u w:val="single"/>
              </w:rPr>
            </w:pPr>
            <w:r>
              <w:rPr>
                <w:rFonts w:eastAsia="宋体"/>
                <w:color w:val="000000"/>
                <w:kern w:val="0"/>
                <w:szCs w:val="21"/>
                <w:u w:val="single"/>
              </w:rPr>
              <w:t>②火灾事故发生时，应在其位置四周用装满沙土的袋子围成围堰拦截消防废液，并在厂内采取导流方式将消防废水等统一收集，集中处理，消除安全隐患后，交由有资质单位处理。</w:t>
            </w:r>
          </w:p>
          <w:p>
            <w:pPr>
              <w:adjustRightInd w:val="0"/>
              <w:snapToGrid w:val="0"/>
              <w:ind w:firstLine="420" w:firstLineChars="200"/>
              <w:rPr>
                <w:rFonts w:eastAsia="宋体"/>
                <w:color w:val="000000"/>
                <w:kern w:val="0"/>
                <w:szCs w:val="21"/>
                <w:u w:val="single"/>
              </w:rPr>
            </w:pPr>
            <w:r>
              <w:rPr>
                <w:rFonts w:eastAsia="宋体"/>
                <w:color w:val="000000"/>
                <w:kern w:val="0"/>
                <w:szCs w:val="21"/>
                <w:u w:val="single"/>
              </w:rPr>
              <w:t>③车间地面必须作水泥硬底化防渗处理，防止消防废水通过地面渗入地下而污染地下水。</w:t>
            </w:r>
          </w:p>
          <w:p>
            <w:pPr>
              <w:adjustRightInd w:val="0"/>
              <w:snapToGrid w:val="0"/>
              <w:ind w:firstLine="420" w:firstLineChars="200"/>
              <w:rPr>
                <w:szCs w:val="21"/>
                <w:u w:val="single"/>
                <w:lang/>
              </w:rPr>
            </w:pPr>
            <w:r>
              <w:rPr>
                <w:rFonts w:eastAsia="宋体"/>
                <w:color w:val="000000"/>
                <w:kern w:val="0"/>
                <w:szCs w:val="21"/>
                <w:u w:val="single"/>
              </w:rPr>
              <w:t>④事故发生后，相关部门要制定污染监测计划，对可能污染进行监测，根据现场监测结果，直止无异常方可停止监测工作。</w:t>
            </w:r>
          </w:p>
        </w:tc>
      </w:tr>
      <w:tr>
        <w:trPr>
          <w:trHeight w:val="1002" w:hRule="atLeast"/>
          <w:jc w:val="center"/>
        </w:trPr>
        <w:tc>
          <w:tcPr>
            <w:tcW w:w="1240" w:type="dxa"/>
            <w:tcBorders>
              <w:top w:val="single" w:color="auto" w:sz="4" w:space="0"/>
              <w:left w:val="single" w:color="auto" w:sz="8" w:space="0"/>
              <w:bottom w:val="single" w:color="auto" w:sz="8" w:space="0"/>
              <w:right w:val="single" w:color="auto" w:sz="4" w:space="0"/>
            </w:tcBorders>
            <w:vAlign w:val="center"/>
          </w:tcPr>
          <w:p>
            <w:pPr>
              <w:adjustRightInd w:val="0"/>
              <w:snapToGrid w:val="0"/>
              <w:jc w:val="center"/>
              <w:rPr>
                <w:spacing w:val="-8"/>
                <w:szCs w:val="21"/>
                <w:u w:val="single"/>
              </w:rPr>
            </w:pPr>
            <w:r>
              <w:rPr>
                <w:spacing w:val="-8"/>
                <w:szCs w:val="21"/>
                <w:u w:val="single"/>
              </w:rPr>
              <w:t>其他环境</w:t>
            </w:r>
          </w:p>
          <w:p>
            <w:pPr>
              <w:adjustRightInd w:val="0"/>
              <w:snapToGrid w:val="0"/>
              <w:jc w:val="center"/>
              <w:rPr>
                <w:spacing w:val="-8"/>
                <w:szCs w:val="21"/>
                <w:u w:val="single"/>
              </w:rPr>
            </w:pPr>
            <w:r>
              <w:rPr>
                <w:spacing w:val="-8"/>
                <w:szCs w:val="21"/>
                <w:u w:val="single"/>
              </w:rPr>
              <w:t>管理要求</w:t>
            </w:r>
          </w:p>
        </w:tc>
        <w:tc>
          <w:tcPr>
            <w:tcW w:w="8610" w:type="dxa"/>
            <w:gridSpan w:val="4"/>
            <w:tcBorders>
              <w:top w:val="single" w:color="auto" w:sz="4" w:space="0"/>
              <w:left w:val="single" w:color="auto" w:sz="4" w:space="0"/>
              <w:bottom w:val="single" w:color="auto" w:sz="8" w:space="0"/>
              <w:right w:val="single" w:color="auto" w:sz="8" w:space="0"/>
            </w:tcBorders>
            <w:vAlign w:val="center"/>
          </w:tcPr>
          <w:p>
            <w:pPr>
              <w:adjustRightInd w:val="0"/>
              <w:snapToGrid w:val="0"/>
              <w:ind w:firstLine="420" w:firstLineChars="200"/>
              <w:rPr>
                <w:rFonts w:eastAsia="宋体"/>
                <w:snapToGrid w:val="0"/>
                <w:color w:val="000000"/>
                <w:kern w:val="0"/>
                <w:szCs w:val="21"/>
                <w:u w:val="single"/>
                <w:lang/>
              </w:rPr>
            </w:pPr>
            <w:r>
              <w:rPr>
                <w:rFonts w:eastAsia="宋体"/>
                <w:snapToGrid w:val="0"/>
                <w:color w:val="000000"/>
                <w:kern w:val="0"/>
                <w:szCs w:val="21"/>
                <w:u w:val="single"/>
                <w:lang/>
              </w:rPr>
              <w:t>1、规范化排污口</w:t>
            </w:r>
          </w:p>
          <w:p>
            <w:pPr>
              <w:adjustRightInd w:val="0"/>
              <w:snapToGrid w:val="0"/>
              <w:ind w:firstLine="420" w:firstLineChars="200"/>
              <w:rPr>
                <w:rFonts w:eastAsia="宋体"/>
                <w:snapToGrid w:val="0"/>
                <w:color w:val="000000"/>
                <w:kern w:val="0"/>
                <w:szCs w:val="21"/>
                <w:u w:val="single"/>
                <w:lang/>
              </w:rPr>
            </w:pPr>
            <w:r>
              <w:rPr>
                <w:rFonts w:eastAsia="宋体"/>
                <w:snapToGrid w:val="0"/>
                <w:color w:val="000000"/>
                <w:kern w:val="0"/>
                <w:szCs w:val="21"/>
                <w:u w:val="single"/>
                <w:lang/>
              </w:rPr>
              <w:t>根据国家标准《环境保护图形标志-排放口（源）》、原环境保护部《排污口规范化整治要求》（试行）的技术要求，企业所有排放口（包括水、气、声、渣）必须按照</w:t>
            </w:r>
            <w:r>
              <w:rPr>
                <w:rFonts w:hint="eastAsia" w:eastAsia="宋体"/>
                <w:snapToGrid w:val="0"/>
                <w:color w:val="000000"/>
                <w:kern w:val="0"/>
                <w:szCs w:val="21"/>
                <w:u w:val="single"/>
                <w:lang/>
              </w:rPr>
              <w:t>“</w:t>
            </w:r>
            <w:r>
              <w:rPr>
                <w:rFonts w:eastAsia="宋体"/>
                <w:snapToGrid w:val="0"/>
                <w:color w:val="000000"/>
                <w:kern w:val="0"/>
                <w:szCs w:val="21"/>
                <w:u w:val="single"/>
                <w:lang/>
              </w:rPr>
              <w:t>便于采集样品、便于计量监测、便于日常现场监督检查</w:t>
            </w:r>
            <w:r>
              <w:rPr>
                <w:rFonts w:hint="eastAsia" w:eastAsia="宋体"/>
                <w:snapToGrid w:val="0"/>
                <w:color w:val="000000"/>
                <w:kern w:val="0"/>
                <w:szCs w:val="21"/>
                <w:u w:val="single"/>
                <w:lang/>
              </w:rPr>
              <w:t>”</w:t>
            </w:r>
            <w:r>
              <w:rPr>
                <w:rFonts w:eastAsia="宋体"/>
                <w:snapToGrid w:val="0"/>
                <w:color w:val="000000"/>
                <w:kern w:val="0"/>
                <w:szCs w:val="21"/>
                <w:u w:val="single"/>
                <w:lang/>
              </w:rPr>
              <w:t>的原则和规范化要求，设置与之相适应的环境保护图形标志牌，绘制企业排污口分布图，排污口的规范化要符合有关要求。</w:t>
            </w:r>
          </w:p>
          <w:p>
            <w:pPr>
              <w:adjustRightInd w:val="0"/>
              <w:snapToGrid w:val="0"/>
              <w:ind w:firstLine="420" w:firstLineChars="200"/>
              <w:rPr>
                <w:rFonts w:eastAsia="宋体"/>
                <w:snapToGrid w:val="0"/>
                <w:color w:val="000000"/>
                <w:kern w:val="0"/>
                <w:szCs w:val="21"/>
                <w:u w:val="single"/>
                <w:lang/>
              </w:rPr>
            </w:pPr>
            <w:r>
              <w:rPr>
                <w:rFonts w:eastAsia="宋体"/>
                <w:snapToGrid w:val="0"/>
                <w:color w:val="000000"/>
                <w:kern w:val="0"/>
                <w:szCs w:val="21"/>
                <w:u w:val="single"/>
                <w:lang/>
              </w:rPr>
              <w:t>2、环保验收要求与内容</w:t>
            </w:r>
          </w:p>
          <w:p>
            <w:pPr>
              <w:adjustRightInd w:val="0"/>
              <w:snapToGrid w:val="0"/>
              <w:ind w:firstLine="420" w:firstLineChars="200"/>
              <w:rPr>
                <w:rFonts w:eastAsia="宋体"/>
                <w:snapToGrid w:val="0"/>
                <w:color w:val="000000"/>
                <w:kern w:val="0"/>
                <w:szCs w:val="21"/>
                <w:u w:val="single"/>
                <w:lang/>
              </w:rPr>
            </w:pPr>
            <w:r>
              <w:rPr>
                <w:rFonts w:eastAsia="宋体"/>
                <w:snapToGrid w:val="0"/>
                <w:color w:val="000000"/>
                <w:kern w:val="0"/>
                <w:szCs w:val="21"/>
                <w:u w:val="single"/>
                <w:lang/>
              </w:rPr>
              <w:t>建设单位根据《建设项目竣工环境保护验收暂行办法》（国环规环评[2017]4号）要求执行验收规定。</w:t>
            </w:r>
          </w:p>
          <w:p>
            <w:pPr>
              <w:adjustRightInd w:val="0"/>
              <w:snapToGrid w:val="0"/>
              <w:ind w:firstLine="420" w:firstLineChars="200"/>
              <w:rPr>
                <w:rFonts w:eastAsia="宋体"/>
                <w:snapToGrid w:val="0"/>
                <w:color w:val="000000"/>
                <w:kern w:val="0"/>
                <w:szCs w:val="21"/>
                <w:u w:val="single"/>
                <w:lang/>
              </w:rPr>
            </w:pPr>
            <w:r>
              <w:rPr>
                <w:rFonts w:eastAsia="宋体"/>
                <w:snapToGrid w:val="0"/>
                <w:color w:val="000000"/>
                <w:kern w:val="0"/>
                <w:szCs w:val="21"/>
                <w:u w:val="single"/>
                <w:lang/>
              </w:rPr>
              <w:t>建设单位是项目竣工环境保护验收的责任主体，应组织对配套建设的环境保护设施进行验收，编制验收报告，公开相关信息，接受社会监督，确保建设项目需要配套建设的环境保护设施与主体工程同时投产或者使用，并对验收内容、结论和所公开信息的真实性、准确性和完整性负责，不得在验收过程中弄虚作假。</w:t>
            </w:r>
          </w:p>
          <w:p>
            <w:pPr>
              <w:adjustRightInd w:val="0"/>
              <w:snapToGrid w:val="0"/>
              <w:ind w:firstLine="420" w:firstLineChars="200"/>
              <w:rPr>
                <w:rFonts w:eastAsia="宋体"/>
                <w:snapToGrid w:val="0"/>
                <w:color w:val="000000"/>
                <w:kern w:val="0"/>
                <w:szCs w:val="21"/>
                <w:u w:val="single"/>
                <w:lang/>
              </w:rPr>
            </w:pPr>
            <w:r>
              <w:rPr>
                <w:rFonts w:eastAsia="宋体"/>
                <w:snapToGrid w:val="0"/>
                <w:color w:val="000000"/>
                <w:kern w:val="0"/>
                <w:szCs w:val="21"/>
                <w:u w:val="single"/>
                <w:lang/>
              </w:rPr>
              <w:t>3、排污许可证申请制度</w:t>
            </w:r>
          </w:p>
          <w:p>
            <w:pPr>
              <w:adjustRightInd w:val="0"/>
              <w:snapToGrid w:val="0"/>
              <w:ind w:firstLine="420" w:firstLineChars="200"/>
              <w:rPr>
                <w:rFonts w:eastAsia="宋体"/>
                <w:snapToGrid w:val="0"/>
                <w:color w:val="000000"/>
                <w:kern w:val="0"/>
                <w:szCs w:val="21"/>
                <w:u w:val="single"/>
              </w:rPr>
            </w:pPr>
            <w:r>
              <w:rPr>
                <w:rFonts w:eastAsia="宋体"/>
                <w:snapToGrid w:val="0"/>
                <w:color w:val="000000"/>
                <w:kern w:val="0"/>
                <w:szCs w:val="21"/>
                <w:u w:val="single"/>
              </w:rPr>
              <w:t>根据《排污许可管理办法》（部令 第32号）中：依照法律规定实行排污许可管理的企业事业单位和其他生产经营者（以下简称排污单位），应当依法申请取得排污许可证，并按照排污许可证的规定排放污染物；未取得排污许可证的，不得排放污染物</w:t>
            </w:r>
            <w:r>
              <w:rPr>
                <w:rFonts w:hint="eastAsia" w:eastAsia="宋体"/>
                <w:snapToGrid w:val="0"/>
                <w:color w:val="000000"/>
                <w:kern w:val="0"/>
                <w:szCs w:val="21"/>
                <w:u w:val="single"/>
              </w:rPr>
              <w:t>。</w:t>
            </w:r>
            <w:r>
              <w:rPr>
                <w:rFonts w:eastAsia="宋体"/>
                <w:snapToGrid w:val="0"/>
                <w:color w:val="000000"/>
                <w:kern w:val="0"/>
                <w:szCs w:val="21"/>
                <w:u w:val="single"/>
              </w:rPr>
              <w:t>企业应做好与排污许可的衔接工作。</w:t>
            </w:r>
          </w:p>
          <w:p>
            <w:pPr>
              <w:adjustRightInd w:val="0"/>
              <w:snapToGrid w:val="0"/>
              <w:ind w:firstLine="420" w:firstLineChars="200"/>
              <w:rPr>
                <w:color w:val="000000"/>
                <w:kern w:val="0"/>
                <w:szCs w:val="21"/>
                <w:u w:val="single"/>
              </w:rPr>
            </w:pPr>
            <w:r>
              <w:rPr>
                <w:color w:val="000000"/>
                <w:kern w:val="0"/>
                <w:szCs w:val="21"/>
                <w:u w:val="single"/>
              </w:rPr>
              <w:t>4、环境管理</w:t>
            </w:r>
          </w:p>
          <w:p>
            <w:pPr>
              <w:adjustRightInd w:val="0"/>
              <w:snapToGrid w:val="0"/>
              <w:ind w:firstLine="420" w:firstLineChars="200"/>
              <w:rPr>
                <w:color w:val="000000"/>
                <w:kern w:val="0"/>
                <w:szCs w:val="21"/>
                <w:u w:val="single"/>
              </w:rPr>
            </w:pPr>
            <w:r>
              <w:rPr>
                <w:rFonts w:hint="eastAsia"/>
                <w:color w:val="000000"/>
                <w:kern w:val="0"/>
                <w:szCs w:val="21"/>
                <w:u w:val="single"/>
              </w:rPr>
              <w:t>（1）</w:t>
            </w:r>
            <w:r>
              <w:rPr>
                <w:color w:val="000000"/>
                <w:kern w:val="0"/>
                <w:szCs w:val="21"/>
                <w:u w:val="single"/>
              </w:rPr>
              <w:t>环境管理的目的和意义</w:t>
            </w:r>
          </w:p>
          <w:p>
            <w:pPr>
              <w:adjustRightInd w:val="0"/>
              <w:snapToGrid w:val="0"/>
              <w:ind w:firstLine="420" w:firstLineChars="200"/>
              <w:rPr>
                <w:color w:val="000000"/>
                <w:kern w:val="0"/>
                <w:szCs w:val="21"/>
                <w:u w:val="single"/>
              </w:rPr>
            </w:pPr>
            <w:r>
              <w:rPr>
                <w:color w:val="000000"/>
                <w:kern w:val="0"/>
                <w:szCs w:val="21"/>
                <w:u w:val="single"/>
              </w:rPr>
              <w:t>环境管理的目的是对损害环境质量的人为活动施加影响，以协调经济与环境的关系，达到既发展经济满足人类的需要，又不超出环境容量的限值。实践证明，要解决好企业的环境问题，首先必须强化企业的环境管理。</w:t>
            </w:r>
          </w:p>
          <w:p>
            <w:pPr>
              <w:adjustRightInd w:val="0"/>
              <w:snapToGrid w:val="0"/>
              <w:ind w:firstLine="420" w:firstLineChars="200"/>
              <w:rPr>
                <w:color w:val="000000"/>
                <w:kern w:val="0"/>
                <w:szCs w:val="21"/>
                <w:u w:val="single"/>
              </w:rPr>
            </w:pPr>
            <w:r>
              <w:rPr>
                <w:color w:val="000000"/>
                <w:kern w:val="0"/>
                <w:szCs w:val="21"/>
                <w:u w:val="single"/>
              </w:rPr>
              <w:t>工程无论建设期或营运期均会对周边环境产生一定的影响，必须通过环境措施来减缓和消除不利的环境影响。为了保证环保措施的切实落实，使项目的社会、经济和环境效益得以协调发展，必须加强环境管理，使项目建设符合国家要求经济建设、社会发展和环境建设的</w:t>
            </w:r>
            <w:r>
              <w:rPr>
                <w:rFonts w:hint="eastAsia"/>
                <w:color w:val="000000"/>
                <w:kern w:val="0"/>
                <w:szCs w:val="21"/>
                <w:u w:val="single"/>
              </w:rPr>
              <w:t>实施方针</w:t>
            </w:r>
            <w:r>
              <w:rPr>
                <w:color w:val="000000"/>
                <w:kern w:val="0"/>
                <w:szCs w:val="21"/>
                <w:u w:val="single"/>
              </w:rPr>
              <w:t>。</w:t>
            </w:r>
          </w:p>
          <w:p>
            <w:pPr>
              <w:adjustRightInd w:val="0"/>
              <w:snapToGrid w:val="0"/>
              <w:ind w:firstLine="420" w:firstLineChars="200"/>
              <w:rPr>
                <w:color w:val="000000"/>
                <w:kern w:val="0"/>
                <w:szCs w:val="21"/>
                <w:u w:val="single"/>
              </w:rPr>
            </w:pPr>
            <w:r>
              <w:rPr>
                <w:rFonts w:hint="eastAsia"/>
                <w:color w:val="000000"/>
                <w:kern w:val="0"/>
                <w:szCs w:val="21"/>
                <w:u w:val="single"/>
              </w:rPr>
              <w:t>（2）</w:t>
            </w:r>
            <w:r>
              <w:rPr>
                <w:color w:val="000000"/>
                <w:kern w:val="0"/>
                <w:szCs w:val="21"/>
                <w:u w:val="single"/>
              </w:rPr>
              <w:t>环境管理机构设置和职责</w:t>
            </w:r>
          </w:p>
          <w:p>
            <w:pPr>
              <w:adjustRightInd w:val="0"/>
              <w:snapToGrid w:val="0"/>
              <w:ind w:firstLine="420" w:firstLineChars="200"/>
              <w:rPr>
                <w:color w:val="000000"/>
                <w:kern w:val="0"/>
                <w:szCs w:val="21"/>
                <w:u w:val="single"/>
              </w:rPr>
            </w:pPr>
            <w:r>
              <w:rPr>
                <w:color w:val="000000"/>
                <w:kern w:val="0"/>
                <w:szCs w:val="21"/>
                <w:u w:val="single"/>
              </w:rPr>
              <w:t>根据我国环保法的有关规定，企业应设置环境保护管理机构，负责组织、落实、监督企业内部的环境保护工作。本项目有关环保管理和环境监测等工作主要依靠公司的有关组织和设施，本项目由企业负责人主管环境管理和监测工作。环境管理机构的主要职责是：</w:t>
            </w:r>
          </w:p>
          <w:p>
            <w:pPr>
              <w:adjustRightInd w:val="0"/>
              <w:snapToGrid w:val="0"/>
              <w:ind w:firstLine="420" w:firstLineChars="200"/>
              <w:rPr>
                <w:color w:val="000000"/>
                <w:kern w:val="0"/>
                <w:szCs w:val="21"/>
                <w:u w:val="single"/>
              </w:rPr>
            </w:pPr>
            <w:r>
              <w:rPr>
                <w:color w:val="000000"/>
                <w:kern w:val="0"/>
                <w:szCs w:val="21"/>
                <w:u w:val="single"/>
              </w:rPr>
              <w:t>贯彻执行国家和吉林省有关环境保护方针、政策、法律、法规和有关环境标准的实施。</w:t>
            </w:r>
          </w:p>
          <w:p>
            <w:pPr>
              <w:adjustRightInd w:val="0"/>
              <w:snapToGrid w:val="0"/>
              <w:ind w:firstLine="420" w:firstLineChars="200"/>
              <w:rPr>
                <w:color w:val="000000"/>
                <w:kern w:val="0"/>
                <w:szCs w:val="21"/>
                <w:u w:val="single"/>
              </w:rPr>
            </w:pPr>
            <w:r>
              <w:rPr>
                <w:color w:val="000000"/>
                <w:kern w:val="0"/>
                <w:szCs w:val="21"/>
                <w:u w:val="single"/>
              </w:rPr>
              <w:t>制订和完善全公司环保管理的规章制度，并监督和检查执行情况。</w:t>
            </w:r>
          </w:p>
          <w:p>
            <w:pPr>
              <w:adjustRightInd w:val="0"/>
              <w:snapToGrid w:val="0"/>
              <w:ind w:firstLine="420" w:firstLineChars="200"/>
              <w:rPr>
                <w:color w:val="000000"/>
                <w:kern w:val="0"/>
                <w:szCs w:val="21"/>
                <w:u w:val="single"/>
              </w:rPr>
            </w:pPr>
            <w:r>
              <w:rPr>
                <w:color w:val="000000"/>
                <w:kern w:val="0"/>
                <w:szCs w:val="21"/>
                <w:u w:val="single"/>
              </w:rPr>
              <w:t>制订并组织实施公司的环境保护规划和年度计划以及科研与监测计划。</w:t>
            </w:r>
          </w:p>
          <w:p>
            <w:pPr>
              <w:adjustRightInd w:val="0"/>
              <w:snapToGrid w:val="0"/>
              <w:ind w:firstLine="420" w:firstLineChars="200"/>
              <w:rPr>
                <w:color w:val="000000"/>
                <w:kern w:val="0"/>
                <w:szCs w:val="21"/>
                <w:u w:val="single"/>
              </w:rPr>
            </w:pPr>
            <w:r>
              <w:rPr>
                <w:color w:val="000000"/>
                <w:kern w:val="0"/>
                <w:szCs w:val="21"/>
                <w:u w:val="single"/>
              </w:rPr>
              <w:t>监督并定期检查各车间环保设施的管理和运行情况，发现问题及时会同有关部门解决，保证全项目环保设施处于完好状态。</w:t>
            </w:r>
          </w:p>
          <w:p>
            <w:pPr>
              <w:adjustRightInd w:val="0"/>
              <w:snapToGrid w:val="0"/>
              <w:ind w:firstLine="420" w:firstLineChars="200"/>
              <w:rPr>
                <w:color w:val="000000"/>
                <w:kern w:val="0"/>
                <w:szCs w:val="21"/>
                <w:u w:val="single"/>
              </w:rPr>
            </w:pPr>
            <w:r>
              <w:rPr>
                <w:color w:val="000000"/>
                <w:kern w:val="0"/>
                <w:szCs w:val="21"/>
                <w:u w:val="single"/>
              </w:rPr>
              <w:t>负责组织环保事故的处理工作。</w:t>
            </w:r>
          </w:p>
          <w:p>
            <w:pPr>
              <w:adjustRightInd w:val="0"/>
              <w:snapToGrid w:val="0"/>
              <w:ind w:firstLine="420" w:firstLineChars="200"/>
              <w:rPr>
                <w:color w:val="000000"/>
                <w:kern w:val="0"/>
                <w:szCs w:val="21"/>
                <w:u w:val="single"/>
              </w:rPr>
            </w:pPr>
            <w:r>
              <w:rPr>
                <w:color w:val="000000"/>
                <w:kern w:val="0"/>
                <w:szCs w:val="21"/>
                <w:u w:val="single"/>
              </w:rPr>
              <w:t>推广应用环保先进技术与经验。</w:t>
            </w:r>
          </w:p>
          <w:p>
            <w:pPr>
              <w:adjustRightInd w:val="0"/>
              <w:snapToGrid w:val="0"/>
              <w:ind w:firstLine="420" w:firstLineChars="200"/>
              <w:rPr>
                <w:color w:val="000000"/>
                <w:kern w:val="0"/>
                <w:szCs w:val="21"/>
                <w:u w:val="single"/>
              </w:rPr>
            </w:pPr>
            <w:r>
              <w:rPr>
                <w:color w:val="000000"/>
                <w:kern w:val="0"/>
                <w:szCs w:val="21"/>
                <w:u w:val="single"/>
              </w:rPr>
              <w:t>组织和推广实施清洁生产工作。</w:t>
            </w:r>
          </w:p>
          <w:p>
            <w:pPr>
              <w:adjustRightInd w:val="0"/>
              <w:snapToGrid w:val="0"/>
              <w:ind w:firstLine="420" w:firstLineChars="200"/>
              <w:rPr>
                <w:color w:val="000000"/>
                <w:kern w:val="0"/>
                <w:szCs w:val="21"/>
                <w:u w:val="single"/>
              </w:rPr>
            </w:pPr>
            <w:r>
              <w:rPr>
                <w:color w:val="000000"/>
                <w:kern w:val="0"/>
                <w:szCs w:val="21"/>
                <w:u w:val="single"/>
              </w:rPr>
              <w:t>组织全公司环保工作人员和环保岗位工人的日常业务技术学习、专业进修和业务技术培训。</w:t>
            </w:r>
          </w:p>
          <w:p>
            <w:pPr>
              <w:adjustRightInd w:val="0"/>
              <w:snapToGrid w:val="0"/>
              <w:ind w:firstLine="420" w:firstLineChars="200"/>
              <w:rPr>
                <w:color w:val="000000"/>
                <w:kern w:val="0"/>
                <w:szCs w:val="21"/>
                <w:u w:val="single"/>
              </w:rPr>
            </w:pPr>
            <w:r>
              <w:rPr>
                <w:color w:val="000000"/>
                <w:kern w:val="0"/>
                <w:szCs w:val="21"/>
                <w:u w:val="single"/>
              </w:rPr>
              <w:t>组织对全体职工进行环保宣传教育工作，提高全体职工的环保意识。</w:t>
            </w:r>
          </w:p>
          <w:p>
            <w:pPr>
              <w:adjustRightInd w:val="0"/>
              <w:snapToGrid w:val="0"/>
              <w:ind w:firstLine="420" w:firstLineChars="200"/>
              <w:rPr>
                <w:color w:val="000000"/>
                <w:kern w:val="0"/>
                <w:szCs w:val="21"/>
                <w:u w:val="single"/>
              </w:rPr>
            </w:pPr>
            <w:r>
              <w:rPr>
                <w:color w:val="000000"/>
                <w:kern w:val="0"/>
                <w:szCs w:val="21"/>
                <w:u w:val="single"/>
              </w:rPr>
              <w:t>组织全单位的环保评比考核，严格执行环保奖惩制度。</w:t>
            </w:r>
          </w:p>
          <w:p>
            <w:pPr>
              <w:adjustRightInd w:val="0"/>
              <w:snapToGrid w:val="0"/>
              <w:ind w:firstLine="420" w:firstLineChars="200"/>
              <w:rPr>
                <w:color w:val="000000"/>
                <w:kern w:val="0"/>
                <w:szCs w:val="21"/>
                <w:u w:val="single"/>
              </w:rPr>
            </w:pPr>
            <w:r>
              <w:rPr>
                <w:color w:val="000000"/>
                <w:kern w:val="0"/>
                <w:szCs w:val="21"/>
                <w:u w:val="single"/>
              </w:rPr>
              <w:t>负责环保技术资料的日常管理和归档工作。</w:t>
            </w:r>
          </w:p>
          <w:p>
            <w:pPr>
              <w:adjustRightInd w:val="0"/>
              <w:snapToGrid w:val="0"/>
              <w:ind w:firstLine="420" w:firstLineChars="200"/>
              <w:rPr>
                <w:color w:val="000000"/>
                <w:kern w:val="0"/>
                <w:szCs w:val="21"/>
                <w:u w:val="single"/>
              </w:rPr>
            </w:pPr>
            <w:r>
              <w:rPr>
                <w:color w:val="000000"/>
                <w:kern w:val="0"/>
                <w:szCs w:val="21"/>
                <w:u w:val="single"/>
              </w:rPr>
              <w:t>监督环保资金的具体用途，保证用于项目建成后环境监测和污染防治措施的实施。</w:t>
            </w:r>
          </w:p>
          <w:p>
            <w:pPr>
              <w:adjustRightInd w:val="0"/>
              <w:snapToGrid w:val="0"/>
              <w:ind w:firstLine="420" w:firstLineChars="200"/>
              <w:rPr>
                <w:color w:val="000000"/>
                <w:kern w:val="0"/>
                <w:szCs w:val="21"/>
                <w:u w:val="single"/>
              </w:rPr>
            </w:pPr>
            <w:r>
              <w:rPr>
                <w:rFonts w:hint="eastAsia"/>
                <w:color w:val="000000"/>
                <w:kern w:val="0"/>
                <w:szCs w:val="21"/>
                <w:u w:val="single"/>
              </w:rPr>
              <w:t>5</w:t>
            </w:r>
            <w:r>
              <w:rPr>
                <w:color w:val="000000"/>
                <w:kern w:val="0"/>
                <w:szCs w:val="21"/>
                <w:u w:val="single"/>
              </w:rPr>
              <w:t>、人员培训</w:t>
            </w:r>
          </w:p>
          <w:p>
            <w:pPr>
              <w:adjustRightInd w:val="0"/>
              <w:snapToGrid w:val="0"/>
              <w:ind w:firstLine="420" w:firstLineChars="200"/>
              <w:rPr>
                <w:color w:val="000000"/>
                <w:kern w:val="0"/>
                <w:szCs w:val="21"/>
                <w:u w:val="single"/>
              </w:rPr>
            </w:pPr>
            <w:r>
              <w:rPr>
                <w:color w:val="000000"/>
                <w:kern w:val="0"/>
                <w:szCs w:val="21"/>
                <w:u w:val="single"/>
              </w:rPr>
              <w:t>该项目建成后，应对有关从事环境保护的人员进行必要的培训。</w:t>
            </w:r>
          </w:p>
          <w:p>
            <w:pPr>
              <w:adjustRightInd w:val="0"/>
              <w:snapToGrid w:val="0"/>
              <w:ind w:firstLine="420" w:firstLineChars="200"/>
              <w:rPr>
                <w:color w:val="000000"/>
                <w:kern w:val="0"/>
                <w:szCs w:val="21"/>
                <w:u w:val="single"/>
              </w:rPr>
            </w:pPr>
            <w:r>
              <w:rPr>
                <w:color w:val="000000"/>
                <w:kern w:val="0"/>
                <w:szCs w:val="21"/>
                <w:u w:val="single"/>
              </w:rPr>
              <w:t>公司领导培训内容包括环境保护法律、法规；环境保护与经济可持续发展战略的意义及内容；清洁生产的意义和作用等。</w:t>
            </w:r>
          </w:p>
          <w:p>
            <w:pPr>
              <w:adjustRightInd w:val="0"/>
              <w:snapToGrid w:val="0"/>
              <w:ind w:firstLine="420" w:firstLineChars="200"/>
              <w:rPr>
                <w:color w:val="000000"/>
                <w:kern w:val="0"/>
                <w:szCs w:val="21"/>
                <w:u w:val="single"/>
              </w:rPr>
            </w:pPr>
            <w:r>
              <w:rPr>
                <w:color w:val="000000"/>
                <w:kern w:val="0"/>
                <w:szCs w:val="21"/>
                <w:u w:val="single"/>
              </w:rPr>
              <w:t>培训内容包括环境保护法律法规；清洁生产审计的方法；环境监测方法；数据整理、汇集、编报。</w:t>
            </w:r>
          </w:p>
          <w:p>
            <w:pPr>
              <w:adjustRightInd w:val="0"/>
              <w:snapToGrid w:val="0"/>
              <w:ind w:firstLine="420" w:firstLineChars="200"/>
              <w:rPr>
                <w:color w:val="000000"/>
                <w:kern w:val="0"/>
                <w:szCs w:val="21"/>
                <w:u w:val="single"/>
              </w:rPr>
            </w:pPr>
            <w:r>
              <w:rPr>
                <w:color w:val="000000"/>
                <w:kern w:val="0"/>
                <w:szCs w:val="21"/>
                <w:u w:val="single"/>
              </w:rPr>
              <w:t>为了更好贯彻执行国家环境保护法律、法规、政策与标准，及时掌握和了解工程污染治理措施的效果，以及工程所在区域环境质量状况，更好地监控环保设施的运行情况，协调公司与地方环保职能部门的工作，同时保证企业生产管理和环境管理的正常运作，建立环境管理体系与监测制度是非常必要和重要的。</w:t>
            </w:r>
          </w:p>
          <w:p>
            <w:pPr>
              <w:adjustRightInd w:val="0"/>
              <w:snapToGrid w:val="0"/>
              <w:jc w:val="center"/>
              <w:rPr>
                <w:rFonts w:eastAsia="宋体"/>
                <w:color w:val="000000"/>
                <w:kern w:val="0"/>
                <w:szCs w:val="21"/>
                <w:u w:val="single"/>
              </w:rPr>
            </w:pPr>
            <w:r>
              <w:rPr>
                <w:rFonts w:eastAsia="宋体"/>
                <w:color w:val="000000"/>
                <w:kern w:val="0"/>
                <w:szCs w:val="21"/>
                <w:u w:val="single"/>
              </w:rPr>
              <w:t>表</w:t>
            </w:r>
            <w:r>
              <w:rPr>
                <w:rFonts w:hint="eastAsia" w:eastAsia="宋体"/>
                <w:color w:val="000000"/>
                <w:kern w:val="0"/>
                <w:szCs w:val="21"/>
                <w:u w:val="single"/>
              </w:rPr>
              <w:t>45</w:t>
            </w:r>
            <w:r>
              <w:rPr>
                <w:rFonts w:eastAsia="宋体"/>
                <w:color w:val="000000"/>
                <w:kern w:val="0"/>
                <w:szCs w:val="21"/>
                <w:u w:val="single"/>
              </w:rPr>
              <w:t xml:space="preserve">  环境管理工作计划一览表</w:t>
            </w:r>
          </w:p>
          <w:tbl>
            <w:tblPr>
              <w:tblW w:w="8392"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97"/>
              <w:gridCol w:w="7395"/>
            </w:tblGrid>
            <w:tr>
              <w:trPr>
                <w:trHeight w:val="316" w:hRule="atLeast"/>
                <w:jc w:val="center"/>
              </w:trPr>
              <w:tc>
                <w:tcPr>
                  <w:tcW w:w="997" w:type="dxa"/>
                  <w:vAlign w:val="center"/>
                </w:tcPr>
                <w:p>
                  <w:pPr>
                    <w:pStyle w:val="42"/>
                    <w:snapToGrid w:val="0"/>
                    <w:rPr>
                      <w:rFonts w:eastAsia="宋体"/>
                      <w:b w:val="0"/>
                      <w:bCs/>
                      <w:snapToGrid w:val="0"/>
                      <w:color w:val="000000"/>
                      <w:kern w:val="0"/>
                      <w:sz w:val="18"/>
                      <w:u w:val="single"/>
                    </w:rPr>
                  </w:pPr>
                  <w:r>
                    <w:rPr>
                      <w:rFonts w:eastAsia="宋体"/>
                      <w:b w:val="0"/>
                      <w:bCs/>
                      <w:snapToGrid w:val="0"/>
                      <w:color w:val="000000"/>
                      <w:kern w:val="0"/>
                      <w:sz w:val="18"/>
                      <w:u w:val="single"/>
                    </w:rPr>
                    <w:t>情况</w:t>
                  </w:r>
                </w:p>
              </w:tc>
              <w:tc>
                <w:tcPr>
                  <w:tcW w:w="7395" w:type="dxa"/>
                  <w:vAlign w:val="center"/>
                </w:tcPr>
                <w:p>
                  <w:pPr>
                    <w:pStyle w:val="42"/>
                    <w:snapToGrid w:val="0"/>
                    <w:rPr>
                      <w:rFonts w:eastAsia="宋体"/>
                      <w:b w:val="0"/>
                      <w:bCs/>
                      <w:snapToGrid w:val="0"/>
                      <w:color w:val="000000"/>
                      <w:kern w:val="0"/>
                      <w:sz w:val="18"/>
                      <w:u w:val="single"/>
                    </w:rPr>
                  </w:pPr>
                  <w:r>
                    <w:rPr>
                      <w:rFonts w:eastAsia="宋体"/>
                      <w:b w:val="0"/>
                      <w:bCs/>
                      <w:snapToGrid w:val="0"/>
                      <w:color w:val="000000"/>
                      <w:kern w:val="0"/>
                      <w:sz w:val="18"/>
                      <w:u w:val="single"/>
                    </w:rPr>
                    <w:t>环境管理工作内容</w:t>
                  </w:r>
                </w:p>
              </w:tc>
            </w:tr>
            <w:tr>
              <w:trPr>
                <w:trHeight w:val="2075" w:hRule="atLeast"/>
                <w:jc w:val="center"/>
              </w:trPr>
              <w:tc>
                <w:tcPr>
                  <w:tcW w:w="997" w:type="dxa"/>
                  <w:vAlign w:val="center"/>
                </w:tcPr>
                <w:p>
                  <w:pPr>
                    <w:pStyle w:val="42"/>
                    <w:snapToGrid w:val="0"/>
                    <w:rPr>
                      <w:rFonts w:eastAsia="宋体"/>
                      <w:snapToGrid w:val="0"/>
                      <w:color w:val="000000"/>
                      <w:kern w:val="0"/>
                      <w:sz w:val="18"/>
                      <w:u w:val="single"/>
                    </w:rPr>
                  </w:pPr>
                  <w:r>
                    <w:rPr>
                      <w:rFonts w:eastAsia="宋体"/>
                      <w:snapToGrid w:val="0"/>
                      <w:color w:val="000000"/>
                      <w:kern w:val="0"/>
                      <w:sz w:val="18"/>
                      <w:u w:val="single"/>
                    </w:rPr>
                    <w:t>企业环境管理总要求</w:t>
                  </w:r>
                </w:p>
              </w:tc>
              <w:tc>
                <w:tcPr>
                  <w:tcW w:w="7395" w:type="dxa"/>
                  <w:vAlign w:val="center"/>
                </w:tcPr>
                <w:p>
                  <w:pPr>
                    <w:pStyle w:val="42"/>
                    <w:snapToGrid w:val="0"/>
                    <w:jc w:val="left"/>
                    <w:rPr>
                      <w:rFonts w:eastAsia="宋体"/>
                      <w:snapToGrid w:val="0"/>
                      <w:color w:val="000000"/>
                      <w:kern w:val="0"/>
                      <w:sz w:val="18"/>
                      <w:u w:val="single"/>
                    </w:rPr>
                  </w:pPr>
                  <w:r>
                    <w:rPr>
                      <w:rFonts w:eastAsia="宋体"/>
                      <w:snapToGrid w:val="0"/>
                      <w:color w:val="000000"/>
                      <w:kern w:val="0"/>
                      <w:sz w:val="18"/>
                      <w:u w:val="single"/>
                    </w:rPr>
                    <w:t>根据国家建设项目环境保护管理规定，认真落实各项环保手续：</w:t>
                  </w:r>
                </w:p>
                <w:p>
                  <w:pPr>
                    <w:pStyle w:val="42"/>
                    <w:snapToGrid w:val="0"/>
                    <w:jc w:val="left"/>
                    <w:rPr>
                      <w:rFonts w:eastAsia="宋体"/>
                      <w:snapToGrid w:val="0"/>
                      <w:color w:val="000000"/>
                      <w:kern w:val="0"/>
                      <w:sz w:val="18"/>
                      <w:u w:val="single"/>
                    </w:rPr>
                  </w:pPr>
                  <w:r>
                    <w:rPr>
                      <w:rFonts w:eastAsia="宋体"/>
                      <w:snapToGrid w:val="0"/>
                      <w:color w:val="000000"/>
                      <w:kern w:val="0"/>
                      <w:sz w:val="18"/>
                      <w:u w:val="single"/>
                    </w:rPr>
                    <w:t>（1）正式投产后，进行环保设施竣工验收；</w:t>
                  </w:r>
                </w:p>
                <w:p>
                  <w:pPr>
                    <w:pStyle w:val="42"/>
                    <w:snapToGrid w:val="0"/>
                    <w:jc w:val="left"/>
                    <w:rPr>
                      <w:rFonts w:eastAsia="宋体"/>
                      <w:snapToGrid w:val="0"/>
                      <w:color w:val="000000"/>
                      <w:kern w:val="0"/>
                      <w:sz w:val="18"/>
                      <w:u w:val="single"/>
                    </w:rPr>
                  </w:pPr>
                  <w:r>
                    <w:rPr>
                      <w:rFonts w:eastAsia="宋体"/>
                      <w:snapToGrid w:val="0"/>
                      <w:color w:val="000000"/>
                      <w:kern w:val="0"/>
                      <w:sz w:val="18"/>
                      <w:u w:val="single"/>
                    </w:rPr>
                    <w:t>（2）生产中，定期请当地环保部门监督、检查，协助主管部门做好环境管理工作，对不达标装置及时整改；</w:t>
                  </w:r>
                </w:p>
                <w:p>
                  <w:pPr>
                    <w:pStyle w:val="42"/>
                    <w:snapToGrid w:val="0"/>
                    <w:jc w:val="left"/>
                    <w:rPr>
                      <w:rFonts w:eastAsia="宋体"/>
                      <w:snapToGrid w:val="0"/>
                      <w:color w:val="000000"/>
                      <w:kern w:val="0"/>
                      <w:sz w:val="18"/>
                      <w:u w:val="single"/>
                    </w:rPr>
                  </w:pPr>
                  <w:r>
                    <w:rPr>
                      <w:rFonts w:eastAsia="宋体"/>
                      <w:snapToGrid w:val="0"/>
                      <w:color w:val="000000"/>
                      <w:kern w:val="0"/>
                      <w:sz w:val="18"/>
                      <w:u w:val="single"/>
                    </w:rPr>
                    <w:t>（3）</w:t>
                  </w:r>
                  <w:r>
                    <w:rPr>
                      <w:rFonts w:eastAsia="宋体"/>
                      <w:bCs/>
                      <w:snapToGrid w:val="0"/>
                      <w:color w:val="000000"/>
                      <w:kern w:val="0"/>
                      <w:sz w:val="18"/>
                      <w:u w:val="single"/>
                      <w:lang/>
                    </w:rPr>
                    <w:t>实行自行监测和定期报告制度；</w:t>
                  </w:r>
                </w:p>
                <w:p>
                  <w:pPr>
                    <w:pStyle w:val="42"/>
                    <w:snapToGrid w:val="0"/>
                    <w:jc w:val="left"/>
                    <w:rPr>
                      <w:rFonts w:eastAsia="宋体"/>
                      <w:snapToGrid w:val="0"/>
                      <w:color w:val="000000"/>
                      <w:kern w:val="0"/>
                      <w:sz w:val="18"/>
                      <w:u w:val="single"/>
                    </w:rPr>
                  </w:pPr>
                  <w:r>
                    <w:rPr>
                      <w:rFonts w:eastAsia="宋体"/>
                      <w:snapToGrid w:val="0"/>
                      <w:color w:val="000000"/>
                      <w:kern w:val="0"/>
                      <w:sz w:val="18"/>
                      <w:u w:val="single"/>
                    </w:rPr>
                    <w:t>（4）</w:t>
                  </w:r>
                  <w:r>
                    <w:rPr>
                      <w:rFonts w:eastAsia="宋体"/>
                      <w:snapToGrid w:val="0"/>
                      <w:color w:val="000000"/>
                      <w:kern w:val="0"/>
                      <w:sz w:val="18"/>
                      <w:u w:val="single"/>
                      <w:lang/>
                    </w:rPr>
                    <w:t>及时申领排污许可证，若发生变更或遗失、损毁的，应及时在国家排污许可证管理信息平台进行变更，或者在三十个工作日内向原核发机关申请补领排污许可证，遗失排污许可证的还应同时提交遗失声明，损毁排污许可证的还应同时交回被损毁的许可证。</w:t>
                  </w:r>
                </w:p>
              </w:tc>
            </w:tr>
            <w:tr>
              <w:trPr>
                <w:trHeight w:val="1303" w:hRule="atLeast"/>
                <w:jc w:val="center"/>
              </w:trPr>
              <w:tc>
                <w:tcPr>
                  <w:tcW w:w="997" w:type="dxa"/>
                  <w:vAlign w:val="center"/>
                </w:tcPr>
                <w:p>
                  <w:pPr>
                    <w:pStyle w:val="42"/>
                    <w:snapToGrid w:val="0"/>
                    <w:rPr>
                      <w:rFonts w:eastAsia="宋体"/>
                      <w:snapToGrid w:val="0"/>
                      <w:color w:val="000000"/>
                      <w:kern w:val="0"/>
                      <w:sz w:val="18"/>
                      <w:u w:val="single"/>
                    </w:rPr>
                  </w:pPr>
                  <w:r>
                    <w:rPr>
                      <w:rFonts w:eastAsia="宋体"/>
                      <w:snapToGrid w:val="0"/>
                      <w:color w:val="000000"/>
                      <w:kern w:val="0"/>
                      <w:sz w:val="18"/>
                      <w:u w:val="single"/>
                    </w:rPr>
                    <w:t>设计</w:t>
                  </w:r>
                </w:p>
              </w:tc>
              <w:tc>
                <w:tcPr>
                  <w:tcW w:w="7395" w:type="dxa"/>
                  <w:vAlign w:val="center"/>
                </w:tcPr>
                <w:p>
                  <w:pPr>
                    <w:pStyle w:val="42"/>
                    <w:snapToGrid w:val="0"/>
                    <w:jc w:val="left"/>
                    <w:rPr>
                      <w:rFonts w:eastAsia="宋体"/>
                      <w:snapToGrid w:val="0"/>
                      <w:color w:val="000000"/>
                      <w:kern w:val="0"/>
                      <w:sz w:val="18"/>
                      <w:u w:val="single"/>
                    </w:rPr>
                  </w:pPr>
                  <w:r>
                    <w:rPr>
                      <w:rFonts w:eastAsia="宋体"/>
                      <w:snapToGrid w:val="0"/>
                      <w:color w:val="000000"/>
                      <w:kern w:val="0"/>
                      <w:sz w:val="18"/>
                      <w:u w:val="single"/>
                    </w:rPr>
                    <w:t>设计中应充分考虑批复后环评报告表中提出的污染防范设施和措施：</w:t>
                  </w:r>
                </w:p>
                <w:p>
                  <w:pPr>
                    <w:pStyle w:val="42"/>
                    <w:snapToGrid w:val="0"/>
                    <w:jc w:val="left"/>
                    <w:rPr>
                      <w:rFonts w:eastAsia="宋体"/>
                      <w:snapToGrid w:val="0"/>
                      <w:color w:val="000000"/>
                      <w:kern w:val="0"/>
                      <w:sz w:val="18"/>
                      <w:u w:val="single"/>
                    </w:rPr>
                  </w:pPr>
                  <w:r>
                    <w:rPr>
                      <w:rFonts w:eastAsia="宋体"/>
                      <w:snapToGrid w:val="0"/>
                      <w:color w:val="000000"/>
                      <w:kern w:val="0"/>
                      <w:sz w:val="18"/>
                      <w:u w:val="single"/>
                    </w:rPr>
                    <w:t>（1）根据环评报告表的要求补充与完善环境和风险防范设施；</w:t>
                  </w:r>
                </w:p>
                <w:p>
                  <w:pPr>
                    <w:pStyle w:val="42"/>
                    <w:snapToGrid w:val="0"/>
                    <w:jc w:val="left"/>
                    <w:rPr>
                      <w:rFonts w:eastAsia="宋体"/>
                      <w:snapToGrid w:val="0"/>
                      <w:color w:val="000000"/>
                      <w:kern w:val="0"/>
                      <w:sz w:val="18"/>
                      <w:u w:val="single"/>
                    </w:rPr>
                  </w:pPr>
                  <w:r>
                    <w:rPr>
                      <w:rFonts w:eastAsia="宋体"/>
                      <w:snapToGrid w:val="0"/>
                      <w:color w:val="000000"/>
                      <w:kern w:val="0"/>
                      <w:sz w:val="18"/>
                      <w:u w:val="single"/>
                    </w:rPr>
                    <w:t>（2）设计部门应充分调研，比较提出先进、合理的环境与风险防范设备和设施。</w:t>
                  </w:r>
                </w:p>
              </w:tc>
            </w:tr>
            <w:tr>
              <w:trPr>
                <w:trHeight w:val="1560" w:hRule="atLeast"/>
                <w:jc w:val="center"/>
              </w:trPr>
              <w:tc>
                <w:tcPr>
                  <w:tcW w:w="997" w:type="dxa"/>
                  <w:vAlign w:val="center"/>
                </w:tcPr>
                <w:p>
                  <w:pPr>
                    <w:pStyle w:val="42"/>
                    <w:snapToGrid w:val="0"/>
                    <w:rPr>
                      <w:rFonts w:eastAsia="宋体"/>
                      <w:snapToGrid w:val="0"/>
                      <w:color w:val="000000"/>
                      <w:kern w:val="0"/>
                      <w:sz w:val="18"/>
                      <w:u w:val="single"/>
                    </w:rPr>
                  </w:pPr>
                  <w:r>
                    <w:rPr>
                      <w:rFonts w:eastAsia="宋体"/>
                      <w:snapToGrid w:val="0"/>
                      <w:color w:val="000000"/>
                      <w:kern w:val="0"/>
                      <w:sz w:val="18"/>
                      <w:u w:val="single"/>
                    </w:rPr>
                    <w:t>生产运营阶段</w:t>
                  </w:r>
                </w:p>
              </w:tc>
              <w:tc>
                <w:tcPr>
                  <w:tcW w:w="7395" w:type="dxa"/>
                  <w:vAlign w:val="center"/>
                </w:tcPr>
                <w:p>
                  <w:pPr>
                    <w:pStyle w:val="42"/>
                    <w:snapToGrid w:val="0"/>
                    <w:jc w:val="left"/>
                    <w:rPr>
                      <w:rFonts w:eastAsia="宋体"/>
                      <w:snapToGrid w:val="0"/>
                      <w:color w:val="000000"/>
                      <w:kern w:val="0"/>
                      <w:sz w:val="18"/>
                      <w:u w:val="single"/>
                    </w:rPr>
                  </w:pPr>
                  <w:r>
                    <w:rPr>
                      <w:rFonts w:eastAsia="宋体"/>
                      <w:snapToGrid w:val="0"/>
                      <w:color w:val="000000"/>
                      <w:kern w:val="0"/>
                      <w:sz w:val="18"/>
                      <w:u w:val="single"/>
                    </w:rPr>
                    <w:t>保证环境与风险防范设施的正常运行，主动接受地方和上级环保部门监督与检查，备有事故应急措施：</w:t>
                  </w:r>
                </w:p>
                <w:p>
                  <w:pPr>
                    <w:pStyle w:val="42"/>
                    <w:numPr>
                      <w:ilvl w:val="0"/>
                      <w:numId w:val="3"/>
                    </w:numPr>
                    <w:snapToGrid w:val="0"/>
                    <w:jc w:val="left"/>
                    <w:rPr>
                      <w:rFonts w:eastAsia="宋体"/>
                      <w:snapToGrid w:val="0"/>
                      <w:color w:val="000000"/>
                      <w:kern w:val="0"/>
                      <w:sz w:val="18"/>
                      <w:u w:val="single"/>
                    </w:rPr>
                  </w:pPr>
                  <w:r>
                    <w:rPr>
                      <w:rFonts w:eastAsia="宋体"/>
                      <w:snapToGrid w:val="0"/>
                      <w:color w:val="000000"/>
                      <w:kern w:val="0"/>
                      <w:sz w:val="18"/>
                      <w:u w:val="single"/>
                    </w:rPr>
                    <w:t>主管经理要主动负责环保工作；</w:t>
                  </w:r>
                </w:p>
                <w:p>
                  <w:pPr>
                    <w:pStyle w:val="42"/>
                    <w:snapToGrid w:val="0"/>
                    <w:jc w:val="left"/>
                    <w:rPr>
                      <w:rFonts w:eastAsia="宋体"/>
                      <w:snapToGrid w:val="0"/>
                      <w:color w:val="000000"/>
                      <w:kern w:val="0"/>
                      <w:sz w:val="18"/>
                      <w:u w:val="single"/>
                    </w:rPr>
                  </w:pPr>
                  <w:r>
                    <w:rPr>
                      <w:rFonts w:eastAsia="宋体"/>
                      <w:snapToGrid w:val="0"/>
                      <w:color w:val="000000"/>
                      <w:kern w:val="0"/>
                      <w:sz w:val="18"/>
                      <w:u w:val="single"/>
                    </w:rPr>
                    <w:t>（2）厂内环保科负责厂内环保设施的管理和维护；</w:t>
                  </w:r>
                </w:p>
                <w:p>
                  <w:pPr>
                    <w:pStyle w:val="42"/>
                    <w:snapToGrid w:val="0"/>
                    <w:jc w:val="left"/>
                    <w:rPr>
                      <w:rFonts w:eastAsia="宋体"/>
                      <w:snapToGrid w:val="0"/>
                      <w:color w:val="000000"/>
                      <w:kern w:val="0"/>
                      <w:sz w:val="18"/>
                      <w:u w:val="single"/>
                    </w:rPr>
                  </w:pPr>
                  <w:r>
                    <w:rPr>
                      <w:rFonts w:eastAsia="宋体"/>
                      <w:snapToGrid w:val="0"/>
                      <w:color w:val="000000"/>
                      <w:kern w:val="0"/>
                      <w:sz w:val="18"/>
                      <w:u w:val="single"/>
                    </w:rPr>
                    <w:t>（3）定期组织污染源和厂区环境监测；</w:t>
                  </w:r>
                </w:p>
                <w:p>
                  <w:pPr>
                    <w:pStyle w:val="42"/>
                    <w:snapToGrid w:val="0"/>
                    <w:jc w:val="left"/>
                    <w:rPr>
                      <w:rFonts w:eastAsia="宋体"/>
                      <w:snapToGrid w:val="0"/>
                      <w:color w:val="000000"/>
                      <w:kern w:val="0"/>
                      <w:sz w:val="18"/>
                      <w:u w:val="single"/>
                    </w:rPr>
                  </w:pPr>
                  <w:r>
                    <w:rPr>
                      <w:rFonts w:eastAsia="宋体"/>
                      <w:snapToGrid w:val="0"/>
                      <w:color w:val="000000"/>
                      <w:kern w:val="0"/>
                      <w:sz w:val="18"/>
                      <w:u w:val="single"/>
                    </w:rPr>
                    <w:t>（4）风险事故应急方案合理，应急设备设施齐备、完好；</w:t>
                  </w:r>
                </w:p>
                <w:p>
                  <w:pPr>
                    <w:pStyle w:val="42"/>
                    <w:snapToGrid w:val="0"/>
                    <w:jc w:val="left"/>
                    <w:rPr>
                      <w:rFonts w:eastAsia="宋体"/>
                      <w:snapToGrid w:val="0"/>
                      <w:color w:val="000000"/>
                      <w:kern w:val="0"/>
                      <w:sz w:val="18"/>
                      <w:u w:val="single"/>
                    </w:rPr>
                  </w:pPr>
                  <w:r>
                    <w:rPr>
                      <w:rFonts w:eastAsia="宋体"/>
                      <w:snapToGrid w:val="0"/>
                      <w:color w:val="000000"/>
                      <w:kern w:val="0"/>
                      <w:sz w:val="18"/>
                      <w:u w:val="single"/>
                    </w:rPr>
                    <w:t>（5）</w:t>
                  </w:r>
                  <w:r>
                    <w:rPr>
                      <w:rFonts w:eastAsia="宋体"/>
                      <w:snapToGrid w:val="0"/>
                      <w:color w:val="000000"/>
                      <w:kern w:val="0"/>
                      <w:sz w:val="18"/>
                      <w:u w:val="single"/>
                      <w:lang/>
                    </w:rPr>
                    <w:t>按规范进行台账记录，主要内容包括生产信息、燃料、原辅材料使用情况、污染防治设施运行记录、监测数据等。</w:t>
                  </w:r>
                </w:p>
              </w:tc>
            </w:tr>
            <w:tr>
              <w:trPr>
                <w:trHeight w:val="1312" w:hRule="atLeast"/>
                <w:jc w:val="center"/>
              </w:trPr>
              <w:tc>
                <w:tcPr>
                  <w:tcW w:w="997" w:type="dxa"/>
                  <w:vAlign w:val="center"/>
                </w:tcPr>
                <w:p>
                  <w:pPr>
                    <w:pStyle w:val="42"/>
                    <w:snapToGrid w:val="0"/>
                    <w:rPr>
                      <w:rFonts w:eastAsia="宋体"/>
                      <w:snapToGrid w:val="0"/>
                      <w:color w:val="000000"/>
                      <w:kern w:val="0"/>
                      <w:sz w:val="18"/>
                      <w:u w:val="single"/>
                    </w:rPr>
                  </w:pPr>
                  <w:r>
                    <w:rPr>
                      <w:rFonts w:eastAsia="宋体"/>
                      <w:snapToGrid w:val="0"/>
                      <w:color w:val="000000"/>
                      <w:kern w:val="0"/>
                      <w:sz w:val="18"/>
                      <w:u w:val="single"/>
                    </w:rPr>
                    <w:t>信息反馈和群众监督</w:t>
                  </w:r>
                </w:p>
              </w:tc>
              <w:tc>
                <w:tcPr>
                  <w:tcW w:w="7395" w:type="dxa"/>
                  <w:vAlign w:val="center"/>
                </w:tcPr>
                <w:p>
                  <w:pPr>
                    <w:pStyle w:val="42"/>
                    <w:snapToGrid w:val="0"/>
                    <w:jc w:val="left"/>
                    <w:rPr>
                      <w:rFonts w:eastAsia="宋体"/>
                      <w:snapToGrid w:val="0"/>
                      <w:color w:val="000000"/>
                      <w:kern w:val="0"/>
                      <w:sz w:val="18"/>
                      <w:u w:val="single"/>
                    </w:rPr>
                  </w:pPr>
                  <w:r>
                    <w:rPr>
                      <w:rFonts w:eastAsia="宋体"/>
                      <w:snapToGrid w:val="0"/>
                      <w:color w:val="000000"/>
                      <w:kern w:val="0"/>
                      <w:sz w:val="18"/>
                      <w:u w:val="single"/>
                    </w:rPr>
                    <w:t>（1）及时反馈监测数据，加强群众监督，改进污染治理工作；</w:t>
                  </w:r>
                </w:p>
                <w:p>
                  <w:pPr>
                    <w:pStyle w:val="42"/>
                    <w:snapToGrid w:val="0"/>
                    <w:jc w:val="left"/>
                    <w:rPr>
                      <w:rFonts w:eastAsia="宋体"/>
                      <w:snapToGrid w:val="0"/>
                      <w:color w:val="000000"/>
                      <w:kern w:val="0"/>
                      <w:sz w:val="18"/>
                      <w:u w:val="single"/>
                    </w:rPr>
                  </w:pPr>
                  <w:r>
                    <w:rPr>
                      <w:rFonts w:eastAsia="宋体"/>
                      <w:snapToGrid w:val="0"/>
                      <w:color w:val="000000"/>
                      <w:kern w:val="0"/>
                      <w:sz w:val="18"/>
                      <w:u w:val="single"/>
                    </w:rPr>
                    <w:t>（2）建立奖惩制度，保证环境与风险防范设施正常运转；</w:t>
                  </w:r>
                </w:p>
                <w:p>
                  <w:pPr>
                    <w:pStyle w:val="42"/>
                    <w:snapToGrid w:val="0"/>
                    <w:jc w:val="left"/>
                    <w:rPr>
                      <w:rFonts w:eastAsia="宋体"/>
                      <w:snapToGrid w:val="0"/>
                      <w:color w:val="000000"/>
                      <w:kern w:val="0"/>
                      <w:sz w:val="18"/>
                      <w:u w:val="single"/>
                    </w:rPr>
                  </w:pPr>
                  <w:r>
                    <w:rPr>
                      <w:rFonts w:eastAsia="宋体"/>
                      <w:snapToGrid w:val="0"/>
                      <w:color w:val="000000"/>
                      <w:kern w:val="0"/>
                      <w:sz w:val="18"/>
                      <w:u w:val="single"/>
                    </w:rPr>
                    <w:t>（3）归纳整理监测数据，技术部门配合进行工艺改进；</w:t>
                  </w:r>
                </w:p>
                <w:p>
                  <w:pPr>
                    <w:pStyle w:val="42"/>
                    <w:snapToGrid w:val="0"/>
                    <w:jc w:val="left"/>
                    <w:rPr>
                      <w:rFonts w:eastAsia="宋体"/>
                      <w:snapToGrid w:val="0"/>
                      <w:color w:val="000000"/>
                      <w:kern w:val="0"/>
                      <w:sz w:val="18"/>
                      <w:u w:val="single"/>
                    </w:rPr>
                  </w:pPr>
                  <w:r>
                    <w:rPr>
                      <w:rFonts w:eastAsia="宋体"/>
                      <w:snapToGrid w:val="0"/>
                      <w:color w:val="000000"/>
                      <w:kern w:val="0"/>
                      <w:sz w:val="18"/>
                      <w:u w:val="single"/>
                    </w:rPr>
                    <w:t>（4）聘请附近群众为监督员，收集附近群众意见；</w:t>
                  </w:r>
                </w:p>
                <w:p>
                  <w:pPr>
                    <w:pStyle w:val="42"/>
                    <w:snapToGrid w:val="0"/>
                    <w:jc w:val="left"/>
                    <w:rPr>
                      <w:rFonts w:eastAsia="宋体"/>
                      <w:snapToGrid w:val="0"/>
                      <w:color w:val="000000"/>
                      <w:kern w:val="0"/>
                      <w:sz w:val="18"/>
                      <w:u w:val="single"/>
                    </w:rPr>
                  </w:pPr>
                  <w:r>
                    <w:rPr>
                      <w:rFonts w:eastAsia="宋体"/>
                      <w:snapToGrid w:val="0"/>
                      <w:color w:val="000000"/>
                      <w:kern w:val="0"/>
                      <w:sz w:val="18"/>
                      <w:u w:val="single"/>
                    </w:rPr>
                    <w:t>（5）组织项目验收并提出整改措施。</w:t>
                  </w:r>
                </w:p>
              </w:tc>
            </w:tr>
          </w:tbl>
          <w:p>
            <w:pPr>
              <w:pStyle w:val="2"/>
              <w:rPr>
                <w:szCs w:val="21"/>
                <w:u w:val="single"/>
              </w:rPr>
            </w:pPr>
          </w:p>
          <w:p>
            <w:pPr>
              <w:rPr>
                <w:szCs w:val="21"/>
                <w:u w:val="single"/>
              </w:rPr>
            </w:pPr>
          </w:p>
          <w:p>
            <w:pPr>
              <w:pStyle w:val="2"/>
              <w:rPr>
                <w:szCs w:val="21"/>
                <w:u w:val="single"/>
              </w:rPr>
            </w:pPr>
          </w:p>
          <w:p>
            <w:pPr>
              <w:rPr>
                <w:szCs w:val="21"/>
                <w:u w:val="single"/>
              </w:rPr>
            </w:pPr>
          </w:p>
          <w:p>
            <w:pPr>
              <w:pStyle w:val="2"/>
              <w:rPr>
                <w:u w:val="single"/>
              </w:rPr>
            </w:pPr>
          </w:p>
          <w:p>
            <w:pPr>
              <w:adjustRightInd w:val="0"/>
              <w:snapToGrid w:val="0"/>
              <w:jc w:val="center"/>
              <w:rPr>
                <w:szCs w:val="21"/>
                <w:u w:val="single"/>
              </w:rPr>
            </w:pPr>
          </w:p>
        </w:tc>
      </w:tr>
    </w:tbl>
    <w:p>
      <w:pPr>
        <w:pStyle w:val="16"/>
        <w:jc w:val="center"/>
        <w:outlineLvl w:val="0"/>
        <w:rPr>
          <w:rFonts w:ascii="Times New Roman" w:hAnsi="Times New Roman" w:cs="Times New Roman"/>
          <w:snapToGrid w:val="0"/>
          <w:kern w:val="0"/>
          <w:sz w:val="30"/>
          <w:szCs w:val="30"/>
        </w:rPr>
      </w:pPr>
      <w:r>
        <w:rPr>
          <w:rFonts w:ascii="Times New Roman" w:hAnsi="Times New Roman" w:cs="Times New Roman"/>
          <w:snapToGrid w:val="0"/>
          <w:kern w:val="0"/>
          <w:szCs w:val="20"/>
        </w:rPr>
        <w:br w:type="page"/>
      </w:r>
      <w:r>
        <w:rPr>
          <w:rFonts w:ascii="Times New Roman" w:hAnsi="Times New Roman" w:cs="Times New Roman"/>
          <w:snapToGrid w:val="0"/>
          <w:sz w:val="30"/>
          <w:szCs w:val="30"/>
        </w:rPr>
        <w:t>六、结论</w:t>
      </w:r>
    </w:p>
    <w:tbl>
      <w:tblPr>
        <w:tblW w:w="985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right w:w="108" w:type="dxa"/>
        </w:tblCellMar>
      </w:tblPr>
      <w:tblGrid>
        <w:gridCol w:w="9854"/>
      </w:tblGrid>
      <w:tr>
        <w:trPr>
          <w:trHeight w:val="11991" w:hRule="atLeast"/>
          <w:jc w:val="center"/>
        </w:trPr>
        <w:tc>
          <w:tcPr>
            <w:tcW w:w="9854" w:type="dxa"/>
            <w:tcBorders>
              <w:top w:val="single" w:color="auto" w:sz="4" w:space="0"/>
              <w:left w:val="single" w:color="auto" w:sz="8" w:space="0"/>
              <w:bottom w:val="single" w:color="auto" w:sz="8" w:space="0"/>
              <w:right w:val="single" w:color="auto" w:sz="8" w:space="0"/>
            </w:tcBorders>
            <w:vAlign w:val="top"/>
          </w:tcPr>
          <w:p>
            <w:pPr>
              <w:spacing w:line="360" w:lineRule="auto"/>
              <w:ind w:firstLine="480" w:firstLineChars="200"/>
              <w:rPr>
                <w:sz w:val="24"/>
                <w:lang/>
              </w:rPr>
            </w:pPr>
            <w:r>
              <w:rPr>
                <w:sz w:val="24"/>
                <w:lang/>
              </w:rPr>
              <w:t>本项目为</w:t>
            </w:r>
            <w:r>
              <w:rPr>
                <w:rFonts w:hint="eastAsia"/>
                <w:sz w:val="24"/>
                <w:lang/>
              </w:rPr>
              <w:t>柳河县康华牧业有限责任公司锅炉改造项目</w:t>
            </w:r>
            <w:r>
              <w:rPr>
                <w:sz w:val="24"/>
                <w:lang/>
              </w:rPr>
              <w:t>，项目建设符合国家</w:t>
            </w:r>
            <w:r>
              <w:rPr>
                <w:rFonts w:hint="eastAsia"/>
                <w:sz w:val="24"/>
              </w:rPr>
              <w:t>及开发区</w:t>
            </w:r>
            <w:r>
              <w:rPr>
                <w:sz w:val="24"/>
                <w:lang/>
              </w:rPr>
              <w:t>产业政策</w:t>
            </w:r>
            <w:r>
              <w:rPr>
                <w:rFonts w:hint="eastAsia"/>
                <w:sz w:val="24"/>
              </w:rPr>
              <w:t>及规划</w:t>
            </w:r>
            <w:r>
              <w:rPr>
                <w:sz w:val="24"/>
                <w:lang/>
              </w:rPr>
              <w:t>，符合吉林省及</w:t>
            </w:r>
            <w:r>
              <w:rPr>
                <w:rFonts w:hint="eastAsia"/>
                <w:sz w:val="24"/>
              </w:rPr>
              <w:t>通化市</w:t>
            </w:r>
            <w:r>
              <w:rPr>
                <w:rFonts w:hint="eastAsia"/>
                <w:sz w:val="24"/>
                <w:lang/>
              </w:rPr>
              <w:t>“</w:t>
            </w:r>
            <w:r>
              <w:rPr>
                <w:rFonts w:hint="eastAsia"/>
                <w:sz w:val="24"/>
              </w:rPr>
              <w:t>生态环境分区管控</w:t>
            </w:r>
            <w:r>
              <w:rPr>
                <w:rFonts w:hint="eastAsia"/>
                <w:sz w:val="24"/>
                <w:lang/>
              </w:rPr>
              <w:t>”</w:t>
            </w:r>
            <w:r>
              <w:rPr>
                <w:sz w:val="24"/>
                <w:lang/>
              </w:rPr>
              <w:t>相关要求，</w:t>
            </w:r>
            <w:r>
              <w:rPr>
                <w:spacing w:val="6"/>
                <w:sz w:val="24"/>
              </w:rPr>
              <w:t>符合</w:t>
            </w:r>
            <w:r>
              <w:rPr>
                <w:rFonts w:hint="eastAsia"/>
                <w:spacing w:val="6"/>
                <w:sz w:val="24"/>
              </w:rPr>
              <w:t>“</w:t>
            </w:r>
            <w:r>
              <w:rPr>
                <w:spacing w:val="6"/>
                <w:sz w:val="24"/>
              </w:rPr>
              <w:t>污染物达标排放</w:t>
            </w:r>
            <w:r>
              <w:rPr>
                <w:rFonts w:hint="eastAsia"/>
                <w:spacing w:val="6"/>
                <w:sz w:val="24"/>
              </w:rPr>
              <w:t>”</w:t>
            </w:r>
            <w:r>
              <w:rPr>
                <w:spacing w:val="6"/>
                <w:sz w:val="24"/>
              </w:rPr>
              <w:t>的原则要求，</w:t>
            </w:r>
            <w:r>
              <w:rPr>
                <w:sz w:val="24"/>
                <w:lang/>
              </w:rPr>
              <w:t>在建设单位认真落实报告表中所提出的各项污染防治措施，严格控制</w:t>
            </w:r>
            <w:r>
              <w:rPr>
                <w:sz w:val="24"/>
              </w:rPr>
              <w:t>锅炉烟气中</w:t>
            </w:r>
            <w:r>
              <w:rPr>
                <w:sz w:val="24"/>
                <w:lang/>
              </w:rPr>
              <w:t>各污染物的排放浓度，使其达标排放，确保厂界噪声达标，实现污染物达标排放的前提下，从</w:t>
            </w:r>
            <w:r>
              <w:rPr>
                <w:sz w:val="24"/>
              </w:rPr>
              <w:t>生态环境保护</w:t>
            </w:r>
            <w:r>
              <w:rPr>
                <w:sz w:val="24"/>
                <w:lang/>
              </w:rPr>
              <w:t>角度，本项目是可行的。</w:t>
            </w:r>
          </w:p>
          <w:p>
            <w:pPr>
              <w:adjustRightInd w:val="0"/>
              <w:snapToGrid w:val="0"/>
              <w:spacing w:line="288" w:lineRule="auto"/>
              <w:ind w:firstLine="420" w:firstLineChars="200"/>
              <w:rPr>
                <w:kern w:val="0"/>
                <w:szCs w:val="21"/>
                <w:lang/>
              </w:rPr>
            </w:pPr>
          </w:p>
        </w:tc>
      </w:tr>
    </w:tbl>
    <w:p>
      <w:pPr>
        <w:widowControl/>
        <w:jc w:val="left"/>
        <w:sectPr>
          <w:pgSz w:w="11906" w:h="16838"/>
          <w:pgMar w:top="1418" w:right="1134" w:bottom="1418" w:left="1134" w:header="851" w:footer="851" w:gutter="0"/>
          <w:cols w:space="720" w:num="1"/>
        </w:sectPr>
      </w:pPr>
    </w:p>
    <w:p>
      <w:pPr>
        <w:pStyle w:val="16"/>
        <w:adjustRightInd w:val="0"/>
        <w:snapToGrid w:val="0"/>
        <w:spacing w:before="0" w:beforeAutospacing="0" w:after="0" w:afterAutospacing="0" w:line="648" w:lineRule="auto"/>
        <w:outlineLvl w:val="0"/>
        <w:rPr>
          <w:rFonts w:ascii="Times New Roman" w:hAnsi="Times New Roman" w:cs="Times New Roman"/>
          <w:snapToGrid w:val="0"/>
          <w:kern w:val="0"/>
          <w:sz w:val="32"/>
          <w:szCs w:val="32"/>
        </w:rPr>
      </w:pPr>
      <w:r>
        <w:rPr>
          <w:rFonts w:ascii="Times New Roman" w:hAnsi="Times New Roman" w:cs="Times New Roman"/>
          <w:snapToGrid w:val="0"/>
          <w:sz w:val="32"/>
          <w:szCs w:val="32"/>
        </w:rPr>
        <w:t>附表</w:t>
      </w:r>
    </w:p>
    <w:p>
      <w:pPr>
        <w:pStyle w:val="16"/>
        <w:adjustRightInd w:val="0"/>
        <w:snapToGrid w:val="0"/>
        <w:spacing w:before="0" w:beforeAutospacing="0" w:after="0" w:afterAutospacing="0"/>
        <w:jc w:val="center"/>
        <w:outlineLvl w:val="0"/>
        <w:rPr>
          <w:rFonts w:ascii="Times New Roman" w:hAnsi="Times New Roman" w:cs="Times New Roman"/>
          <w:snapToGrid w:val="0"/>
          <w:sz w:val="38"/>
          <w:szCs w:val="38"/>
        </w:rPr>
      </w:pPr>
      <w:r>
        <w:rPr>
          <w:rFonts w:ascii="Times New Roman" w:hAnsi="Times New Roman" w:cs="Times New Roman"/>
          <w:snapToGrid w:val="0"/>
          <w:sz w:val="38"/>
          <w:szCs w:val="38"/>
        </w:rPr>
        <w:t>建设项目污染物排放量汇总表</w:t>
      </w:r>
      <w:r>
        <w:rPr>
          <w:rFonts w:hint="eastAsia" w:ascii="Times New Roman" w:hAnsi="Times New Roman" w:cs="Times New Roman"/>
          <w:snapToGrid w:val="0"/>
          <w:sz w:val="38"/>
          <w:szCs w:val="38"/>
        </w:rPr>
        <w:t>（t/a）</w:t>
      </w:r>
    </w:p>
    <w:tbl>
      <w:tblPr>
        <w:tblW w:w="14357"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right w:w="108" w:type="dxa"/>
        </w:tblCellMar>
      </w:tblPr>
      <w:tblGrid>
        <w:gridCol w:w="1122"/>
        <w:gridCol w:w="1418"/>
        <w:gridCol w:w="1901"/>
        <w:gridCol w:w="971"/>
        <w:gridCol w:w="1482"/>
        <w:gridCol w:w="1996"/>
        <w:gridCol w:w="1803"/>
        <w:gridCol w:w="1668"/>
        <w:gridCol w:w="1996"/>
      </w:tblGrid>
      <w:tr>
        <w:trPr>
          <w:trHeight w:val="794" w:hRule="atLeast"/>
          <w:tblHeader/>
          <w:jc w:val="center"/>
        </w:trPr>
        <w:tc>
          <w:tcPr>
            <w:tcW w:w="1122" w:type="dxa"/>
            <w:tcBorders>
              <w:tl2br w:val="nil"/>
              <w:tr2bl w:val="nil"/>
            </w:tcBorders>
            <w:tcMar>
              <w:top w:w="0" w:type="dxa"/>
              <w:left w:w="28" w:type="dxa"/>
              <w:bottom w:w="0" w:type="dxa"/>
              <w:right w:w="28" w:type="dxa"/>
            </w:tcMar>
            <w:vAlign w:val="center"/>
          </w:tcPr>
          <w:p>
            <w:pPr>
              <w:pStyle w:val="21"/>
              <w:spacing w:beforeLines="0" w:line="240" w:lineRule="auto"/>
              <w:ind w:firstLine="396"/>
              <w:jc w:val="right"/>
              <w:rPr>
                <w:rFonts w:ascii="Times New Roman" w:hAnsi="Times New Roman" w:cs="Times New Roman"/>
                <w:snapToGrid w:val="0"/>
                <w:spacing w:val="-6"/>
                <w:kern w:val="21"/>
                <w:szCs w:val="21"/>
                <w:u w:val="single"/>
              </w:rPr>
            </w:pPr>
            <w:r>
              <w:rPr>
                <w:rFonts w:ascii="Times New Roman" w:hAnsi="Times New Roman" w:cs="Times New Roman"/>
                <w:snapToGrid w:val="0"/>
                <w:spacing w:val="-6"/>
                <w:kern w:val="21"/>
                <w:szCs w:val="21"/>
                <w:u w:val="single"/>
              </w:rPr>
              <w:t>项目</w:t>
            </w:r>
          </w:p>
          <w:p>
            <w:pPr>
              <w:pStyle w:val="21"/>
              <w:spacing w:beforeLines="0" w:line="240" w:lineRule="auto"/>
              <w:jc w:val="left"/>
              <w:rPr>
                <w:rFonts w:ascii="Times New Roman" w:hAnsi="Times New Roman" w:cs="Times New Roman"/>
                <w:snapToGrid w:val="0"/>
                <w:spacing w:val="-6"/>
                <w:kern w:val="21"/>
                <w:szCs w:val="21"/>
                <w:u w:val="single"/>
              </w:rPr>
            </w:pPr>
            <w:r>
              <w:rPr>
                <w:rFonts w:ascii="Times New Roman" w:hAnsi="Times New Roman" w:cs="Times New Roman"/>
                <w:snapToGrid w:val="0"/>
                <w:spacing w:val="-6"/>
                <w:kern w:val="21"/>
                <w:szCs w:val="21"/>
                <w:u w:val="single"/>
              </w:rPr>
              <w:t>分类</w:t>
            </w:r>
          </w:p>
        </w:tc>
        <w:tc>
          <w:tcPr>
            <w:tcW w:w="1418" w:type="dxa"/>
            <w:tcBorders>
              <w:tl2br w:val="nil"/>
              <w:tr2bl w:val="nil"/>
            </w:tcBorders>
            <w:tcMar>
              <w:top w:w="0" w:type="dxa"/>
              <w:left w:w="28" w:type="dxa"/>
              <w:bottom w:w="0" w:type="dxa"/>
              <w:right w:w="28" w:type="dxa"/>
            </w:tcMar>
            <w:vAlign w:val="center"/>
          </w:tcPr>
          <w:p>
            <w:pPr>
              <w:pStyle w:val="21"/>
              <w:spacing w:beforeLines="0" w:line="240" w:lineRule="auto"/>
              <w:rPr>
                <w:rFonts w:ascii="Times New Roman" w:hAnsi="Times New Roman" w:cs="Times New Roman"/>
                <w:snapToGrid w:val="0"/>
                <w:spacing w:val="-6"/>
                <w:kern w:val="21"/>
                <w:szCs w:val="21"/>
                <w:u w:val="single"/>
              </w:rPr>
            </w:pPr>
            <w:r>
              <w:rPr>
                <w:rFonts w:ascii="Times New Roman" w:hAnsi="Times New Roman" w:cs="Times New Roman"/>
                <w:snapToGrid w:val="0"/>
                <w:spacing w:val="-6"/>
                <w:kern w:val="21"/>
                <w:szCs w:val="21"/>
                <w:u w:val="single"/>
              </w:rPr>
              <w:t>污染物名称</w:t>
            </w:r>
          </w:p>
        </w:tc>
        <w:tc>
          <w:tcPr>
            <w:tcW w:w="1901" w:type="dxa"/>
            <w:tcBorders>
              <w:tl2br w:val="nil"/>
              <w:tr2bl w:val="nil"/>
            </w:tcBorders>
            <w:tcMar>
              <w:top w:w="0" w:type="dxa"/>
              <w:left w:w="28" w:type="dxa"/>
              <w:bottom w:w="0" w:type="dxa"/>
              <w:right w:w="28" w:type="dxa"/>
            </w:tcMar>
            <w:vAlign w:val="center"/>
          </w:tcPr>
          <w:p>
            <w:pPr>
              <w:pStyle w:val="21"/>
              <w:spacing w:beforeLines="0" w:line="240" w:lineRule="auto"/>
              <w:rPr>
                <w:rFonts w:ascii="Times New Roman" w:hAnsi="Times New Roman" w:cs="Times New Roman"/>
                <w:snapToGrid w:val="0"/>
                <w:spacing w:val="-6"/>
                <w:kern w:val="21"/>
                <w:szCs w:val="21"/>
                <w:u w:val="single"/>
              </w:rPr>
            </w:pPr>
            <w:r>
              <w:rPr>
                <w:rFonts w:ascii="Times New Roman" w:hAnsi="Times New Roman" w:cs="Times New Roman"/>
                <w:snapToGrid w:val="0"/>
                <w:spacing w:val="-6"/>
                <w:kern w:val="21"/>
                <w:szCs w:val="21"/>
                <w:u w:val="single"/>
              </w:rPr>
              <w:t>现有工程</w:t>
            </w:r>
          </w:p>
          <w:p>
            <w:pPr>
              <w:pStyle w:val="21"/>
              <w:spacing w:beforeLines="0" w:line="240" w:lineRule="auto"/>
              <w:rPr>
                <w:rFonts w:ascii="Times New Roman" w:hAnsi="Times New Roman" w:cs="Times New Roman"/>
                <w:snapToGrid w:val="0"/>
                <w:spacing w:val="-6"/>
                <w:kern w:val="21"/>
                <w:szCs w:val="21"/>
                <w:u w:val="single"/>
              </w:rPr>
            </w:pPr>
            <w:r>
              <w:rPr>
                <w:rFonts w:ascii="Times New Roman" w:hAnsi="Times New Roman" w:cs="Times New Roman"/>
                <w:snapToGrid w:val="0"/>
                <w:spacing w:val="-6"/>
                <w:kern w:val="21"/>
                <w:szCs w:val="21"/>
                <w:u w:val="single"/>
              </w:rPr>
              <w:t>排放量（固体废物产生量）</w:t>
            </w:r>
            <w:r>
              <w:rPr>
                <w:rFonts w:ascii="Times New Roman" w:hAnsi="Times New Roman" w:cs="Times New Roman"/>
                <w:snapToGrid w:val="0"/>
                <w:spacing w:val="-6"/>
                <w:kern w:val="21"/>
                <w:szCs w:val="21"/>
                <w:u w:val="single"/>
              </w:rPr>
              <w:fldChar w:fldCharType="begin"/>
            </w:r>
            <w:r>
              <w:rPr>
                <w:rFonts w:ascii="Times New Roman" w:hAnsi="Times New Roman" w:cs="Times New Roman"/>
                <w:snapToGrid w:val="0"/>
                <w:spacing w:val="-6"/>
                <w:kern w:val="21"/>
                <w:szCs w:val="21"/>
                <w:u w:val="single"/>
              </w:rPr>
              <w:instrText xml:space="preserve"> = 1 \* GB3 \* MERGEFORMAT </w:instrText>
            </w:r>
            <w:r>
              <w:rPr>
                <w:rFonts w:ascii="Times New Roman" w:hAnsi="Times New Roman" w:cs="Times New Roman"/>
                <w:snapToGrid w:val="0"/>
                <w:spacing w:val="-6"/>
                <w:kern w:val="21"/>
                <w:szCs w:val="21"/>
                <w:u w:val="single"/>
              </w:rPr>
              <w:fldChar w:fldCharType="separate"/>
            </w:r>
            <w:r>
              <w:rPr>
                <w:rFonts w:ascii="Times New Roman" w:hAnsi="Times New Roman" w:cs="Times New Roman"/>
                <w:szCs w:val="21"/>
                <w:u w:val="single"/>
              </w:rPr>
              <w:t>①</w:t>
            </w:r>
            <w:r>
              <w:rPr>
                <w:rFonts w:ascii="Times New Roman" w:hAnsi="Times New Roman" w:cs="Times New Roman"/>
                <w:snapToGrid w:val="0"/>
                <w:spacing w:val="-6"/>
                <w:kern w:val="21"/>
                <w:szCs w:val="21"/>
                <w:u w:val="single"/>
              </w:rPr>
              <w:fldChar w:fldCharType="end"/>
            </w:r>
          </w:p>
        </w:tc>
        <w:tc>
          <w:tcPr>
            <w:tcW w:w="971" w:type="dxa"/>
            <w:tcBorders>
              <w:tl2br w:val="nil"/>
              <w:tr2bl w:val="nil"/>
            </w:tcBorders>
            <w:tcMar>
              <w:top w:w="0" w:type="dxa"/>
              <w:left w:w="28" w:type="dxa"/>
              <w:bottom w:w="0" w:type="dxa"/>
              <w:right w:w="28" w:type="dxa"/>
            </w:tcMar>
            <w:vAlign w:val="center"/>
          </w:tcPr>
          <w:p>
            <w:pPr>
              <w:pStyle w:val="21"/>
              <w:spacing w:beforeLines="0" w:line="240" w:lineRule="auto"/>
              <w:rPr>
                <w:rFonts w:ascii="Times New Roman" w:hAnsi="Times New Roman" w:cs="Times New Roman"/>
                <w:snapToGrid w:val="0"/>
                <w:spacing w:val="-6"/>
                <w:kern w:val="21"/>
                <w:szCs w:val="21"/>
                <w:u w:val="single"/>
              </w:rPr>
            </w:pPr>
            <w:r>
              <w:rPr>
                <w:rFonts w:ascii="Times New Roman" w:hAnsi="Times New Roman" w:cs="Times New Roman"/>
                <w:snapToGrid w:val="0"/>
                <w:spacing w:val="-6"/>
                <w:kern w:val="21"/>
                <w:szCs w:val="21"/>
                <w:u w:val="single"/>
              </w:rPr>
              <w:t>现有工程</w:t>
            </w:r>
          </w:p>
          <w:p>
            <w:pPr>
              <w:pStyle w:val="21"/>
              <w:spacing w:beforeLines="0" w:line="240" w:lineRule="auto"/>
              <w:rPr>
                <w:rFonts w:ascii="Times New Roman" w:hAnsi="Times New Roman" w:cs="Times New Roman"/>
                <w:snapToGrid w:val="0"/>
                <w:spacing w:val="-6"/>
                <w:kern w:val="21"/>
                <w:szCs w:val="21"/>
                <w:u w:val="single"/>
              </w:rPr>
            </w:pPr>
            <w:r>
              <w:rPr>
                <w:rFonts w:ascii="Times New Roman" w:hAnsi="Times New Roman" w:cs="Times New Roman"/>
                <w:snapToGrid w:val="0"/>
                <w:spacing w:val="-6"/>
                <w:kern w:val="21"/>
                <w:szCs w:val="21"/>
                <w:u w:val="single"/>
              </w:rPr>
              <w:t>许可排放量</w:t>
            </w:r>
          </w:p>
          <w:p>
            <w:pPr>
              <w:pStyle w:val="21"/>
              <w:spacing w:beforeLines="0"/>
              <w:rPr>
                <w:rFonts w:ascii="Times New Roman" w:hAnsi="Times New Roman" w:cs="Times New Roman"/>
                <w:snapToGrid w:val="0"/>
                <w:spacing w:val="-6"/>
                <w:kern w:val="21"/>
                <w:szCs w:val="21"/>
                <w:u w:val="single"/>
              </w:rPr>
            </w:pPr>
            <w:r>
              <w:rPr>
                <w:rFonts w:ascii="Times New Roman" w:hAnsi="Times New Roman" w:cs="Times New Roman"/>
                <w:snapToGrid w:val="0"/>
                <w:spacing w:val="-6"/>
                <w:kern w:val="21"/>
                <w:szCs w:val="21"/>
                <w:u w:val="single"/>
              </w:rPr>
              <w:fldChar w:fldCharType="begin"/>
            </w:r>
            <w:r>
              <w:rPr>
                <w:rFonts w:ascii="Times New Roman" w:hAnsi="Times New Roman" w:cs="Times New Roman"/>
                <w:snapToGrid w:val="0"/>
                <w:spacing w:val="-6"/>
                <w:kern w:val="21"/>
                <w:szCs w:val="21"/>
                <w:u w:val="single"/>
              </w:rPr>
              <w:instrText xml:space="preserve"> = 2 \* GB3 \* MERGEFORMAT </w:instrText>
            </w:r>
            <w:r>
              <w:rPr>
                <w:rFonts w:ascii="Times New Roman" w:hAnsi="Times New Roman" w:cs="Times New Roman"/>
                <w:snapToGrid w:val="0"/>
                <w:spacing w:val="-6"/>
                <w:kern w:val="21"/>
                <w:szCs w:val="21"/>
                <w:u w:val="single"/>
              </w:rPr>
              <w:fldChar w:fldCharType="separate"/>
            </w:r>
            <w:r>
              <w:rPr>
                <w:rFonts w:ascii="Times New Roman" w:hAnsi="Times New Roman" w:cs="Times New Roman"/>
                <w:snapToGrid w:val="0"/>
                <w:spacing w:val="-6"/>
                <w:kern w:val="21"/>
                <w:szCs w:val="21"/>
                <w:u w:val="single"/>
              </w:rPr>
              <w:t>②</w:t>
            </w:r>
            <w:r>
              <w:rPr>
                <w:rFonts w:ascii="Times New Roman" w:hAnsi="Times New Roman" w:cs="Times New Roman"/>
                <w:snapToGrid w:val="0"/>
                <w:spacing w:val="-6"/>
                <w:kern w:val="21"/>
                <w:szCs w:val="21"/>
                <w:u w:val="single"/>
              </w:rPr>
              <w:fldChar w:fldCharType="end"/>
            </w:r>
          </w:p>
        </w:tc>
        <w:tc>
          <w:tcPr>
            <w:tcW w:w="1482" w:type="dxa"/>
            <w:tcBorders>
              <w:tl2br w:val="nil"/>
              <w:tr2bl w:val="nil"/>
            </w:tcBorders>
            <w:tcMar>
              <w:top w:w="0" w:type="dxa"/>
              <w:left w:w="28" w:type="dxa"/>
              <w:bottom w:w="0" w:type="dxa"/>
              <w:right w:w="28" w:type="dxa"/>
            </w:tcMar>
            <w:vAlign w:val="center"/>
          </w:tcPr>
          <w:p>
            <w:pPr>
              <w:pStyle w:val="21"/>
              <w:spacing w:beforeLines="0" w:line="240" w:lineRule="auto"/>
              <w:rPr>
                <w:rFonts w:ascii="Times New Roman" w:hAnsi="Times New Roman" w:cs="Times New Roman"/>
                <w:snapToGrid w:val="0"/>
                <w:spacing w:val="-6"/>
                <w:kern w:val="21"/>
                <w:szCs w:val="21"/>
                <w:u w:val="single"/>
              </w:rPr>
            </w:pPr>
            <w:r>
              <w:rPr>
                <w:rFonts w:ascii="Times New Roman" w:hAnsi="Times New Roman" w:cs="Times New Roman"/>
                <w:snapToGrid w:val="0"/>
                <w:spacing w:val="-6"/>
                <w:kern w:val="21"/>
                <w:szCs w:val="21"/>
                <w:u w:val="single"/>
              </w:rPr>
              <w:t>在建工程</w:t>
            </w:r>
          </w:p>
          <w:p>
            <w:pPr>
              <w:pStyle w:val="21"/>
              <w:spacing w:beforeLines="0" w:line="240" w:lineRule="auto"/>
              <w:rPr>
                <w:rFonts w:ascii="Times New Roman" w:hAnsi="Times New Roman" w:cs="Times New Roman"/>
                <w:snapToGrid w:val="0"/>
                <w:spacing w:val="-6"/>
                <w:kern w:val="21"/>
                <w:szCs w:val="21"/>
                <w:u w:val="single"/>
              </w:rPr>
            </w:pPr>
            <w:r>
              <w:rPr>
                <w:rFonts w:ascii="Times New Roman" w:hAnsi="Times New Roman" w:cs="Times New Roman"/>
                <w:snapToGrid w:val="0"/>
                <w:spacing w:val="-6"/>
                <w:kern w:val="21"/>
                <w:szCs w:val="21"/>
                <w:u w:val="single"/>
              </w:rPr>
              <w:t>排放量（固体废物产生量）</w:t>
            </w:r>
            <w:r>
              <w:rPr>
                <w:rFonts w:ascii="Times New Roman" w:hAnsi="Times New Roman" w:cs="Times New Roman"/>
                <w:snapToGrid w:val="0"/>
                <w:spacing w:val="-6"/>
                <w:kern w:val="21"/>
                <w:szCs w:val="21"/>
                <w:u w:val="single"/>
              </w:rPr>
              <w:fldChar w:fldCharType="begin"/>
            </w:r>
            <w:r>
              <w:rPr>
                <w:rFonts w:ascii="Times New Roman" w:hAnsi="Times New Roman" w:cs="Times New Roman"/>
                <w:snapToGrid w:val="0"/>
                <w:spacing w:val="-6"/>
                <w:kern w:val="21"/>
                <w:szCs w:val="21"/>
                <w:u w:val="single"/>
              </w:rPr>
              <w:instrText xml:space="preserve"> = 3 \* GB3 \* MERGEFORMAT </w:instrText>
            </w:r>
            <w:r>
              <w:rPr>
                <w:rFonts w:ascii="Times New Roman" w:hAnsi="Times New Roman" w:cs="Times New Roman"/>
                <w:snapToGrid w:val="0"/>
                <w:spacing w:val="-6"/>
                <w:kern w:val="21"/>
                <w:szCs w:val="21"/>
                <w:u w:val="single"/>
              </w:rPr>
              <w:fldChar w:fldCharType="separate"/>
            </w:r>
            <w:r>
              <w:rPr>
                <w:rFonts w:ascii="Times New Roman" w:hAnsi="Times New Roman" w:cs="Times New Roman"/>
                <w:szCs w:val="21"/>
                <w:u w:val="single"/>
              </w:rPr>
              <w:t>③</w:t>
            </w:r>
            <w:r>
              <w:rPr>
                <w:rFonts w:ascii="Times New Roman" w:hAnsi="Times New Roman" w:cs="Times New Roman"/>
                <w:snapToGrid w:val="0"/>
                <w:spacing w:val="-6"/>
                <w:kern w:val="21"/>
                <w:szCs w:val="21"/>
                <w:u w:val="single"/>
              </w:rPr>
              <w:fldChar w:fldCharType="end"/>
            </w:r>
          </w:p>
        </w:tc>
        <w:tc>
          <w:tcPr>
            <w:tcW w:w="1996" w:type="dxa"/>
            <w:tcBorders>
              <w:tl2br w:val="nil"/>
              <w:tr2bl w:val="nil"/>
            </w:tcBorders>
            <w:tcMar>
              <w:top w:w="0" w:type="dxa"/>
              <w:left w:w="28" w:type="dxa"/>
              <w:bottom w:w="0" w:type="dxa"/>
              <w:right w:w="28" w:type="dxa"/>
            </w:tcMar>
            <w:vAlign w:val="center"/>
          </w:tcPr>
          <w:p>
            <w:pPr>
              <w:pStyle w:val="21"/>
              <w:spacing w:beforeLines="0" w:line="240" w:lineRule="auto"/>
              <w:rPr>
                <w:rFonts w:ascii="Times New Roman" w:hAnsi="Times New Roman" w:cs="Times New Roman"/>
                <w:snapToGrid w:val="0"/>
                <w:spacing w:val="-6"/>
                <w:kern w:val="21"/>
                <w:szCs w:val="21"/>
                <w:u w:val="single"/>
              </w:rPr>
            </w:pPr>
            <w:r>
              <w:rPr>
                <w:rFonts w:ascii="Times New Roman" w:hAnsi="Times New Roman" w:cs="Times New Roman"/>
                <w:snapToGrid w:val="0"/>
                <w:spacing w:val="-6"/>
                <w:kern w:val="21"/>
                <w:szCs w:val="21"/>
                <w:u w:val="single"/>
              </w:rPr>
              <w:t>本项目</w:t>
            </w:r>
          </w:p>
          <w:p>
            <w:pPr>
              <w:pStyle w:val="21"/>
              <w:spacing w:beforeLines="0" w:line="240" w:lineRule="auto"/>
              <w:rPr>
                <w:rFonts w:ascii="Times New Roman" w:hAnsi="Times New Roman" w:cs="Times New Roman"/>
                <w:snapToGrid w:val="0"/>
                <w:spacing w:val="-6"/>
                <w:kern w:val="21"/>
                <w:szCs w:val="21"/>
                <w:u w:val="single"/>
              </w:rPr>
            </w:pPr>
            <w:r>
              <w:rPr>
                <w:rFonts w:ascii="Times New Roman" w:hAnsi="Times New Roman" w:cs="Times New Roman"/>
                <w:snapToGrid w:val="0"/>
                <w:spacing w:val="-6"/>
                <w:kern w:val="21"/>
                <w:szCs w:val="21"/>
                <w:u w:val="single"/>
              </w:rPr>
              <w:t>排放量（固体废物产生量）</w:t>
            </w:r>
            <w:r>
              <w:rPr>
                <w:rFonts w:ascii="Times New Roman" w:hAnsi="Times New Roman" w:cs="Times New Roman"/>
                <w:snapToGrid w:val="0"/>
                <w:spacing w:val="-6"/>
                <w:kern w:val="21"/>
                <w:szCs w:val="21"/>
                <w:u w:val="single"/>
              </w:rPr>
              <w:fldChar w:fldCharType="begin"/>
            </w:r>
            <w:r>
              <w:rPr>
                <w:rFonts w:ascii="Times New Roman" w:hAnsi="Times New Roman" w:cs="Times New Roman"/>
                <w:snapToGrid w:val="0"/>
                <w:spacing w:val="-6"/>
                <w:kern w:val="21"/>
                <w:szCs w:val="21"/>
                <w:u w:val="single"/>
              </w:rPr>
              <w:instrText xml:space="preserve"> = 4 \* GB3 \* MERGEFORMAT </w:instrText>
            </w:r>
            <w:r>
              <w:rPr>
                <w:rFonts w:ascii="Times New Roman" w:hAnsi="Times New Roman" w:cs="Times New Roman"/>
                <w:snapToGrid w:val="0"/>
                <w:spacing w:val="-6"/>
                <w:kern w:val="21"/>
                <w:szCs w:val="21"/>
                <w:u w:val="single"/>
              </w:rPr>
              <w:fldChar w:fldCharType="separate"/>
            </w:r>
            <w:r>
              <w:rPr>
                <w:rFonts w:ascii="Times New Roman" w:hAnsi="Times New Roman" w:cs="Times New Roman"/>
                <w:szCs w:val="21"/>
                <w:u w:val="single"/>
              </w:rPr>
              <w:t>④</w:t>
            </w:r>
            <w:r>
              <w:rPr>
                <w:rFonts w:ascii="Times New Roman" w:hAnsi="Times New Roman" w:cs="Times New Roman"/>
                <w:snapToGrid w:val="0"/>
                <w:spacing w:val="-6"/>
                <w:kern w:val="21"/>
                <w:szCs w:val="21"/>
                <w:u w:val="single"/>
              </w:rPr>
              <w:fldChar w:fldCharType="end"/>
            </w:r>
          </w:p>
        </w:tc>
        <w:tc>
          <w:tcPr>
            <w:tcW w:w="1803" w:type="dxa"/>
            <w:tcBorders>
              <w:tl2br w:val="nil"/>
              <w:tr2bl w:val="nil"/>
            </w:tcBorders>
            <w:tcMar>
              <w:top w:w="0" w:type="dxa"/>
              <w:left w:w="28" w:type="dxa"/>
              <w:bottom w:w="0" w:type="dxa"/>
              <w:right w:w="28" w:type="dxa"/>
            </w:tcMar>
            <w:vAlign w:val="center"/>
          </w:tcPr>
          <w:p>
            <w:pPr>
              <w:pStyle w:val="21"/>
              <w:spacing w:beforeLines="0" w:line="240" w:lineRule="auto"/>
              <w:rPr>
                <w:rFonts w:ascii="Times New Roman" w:hAnsi="Times New Roman" w:cs="Times New Roman"/>
                <w:snapToGrid w:val="0"/>
                <w:spacing w:val="-16"/>
                <w:kern w:val="21"/>
                <w:szCs w:val="21"/>
                <w:u w:val="single"/>
              </w:rPr>
            </w:pPr>
            <w:r>
              <w:rPr>
                <w:rFonts w:ascii="Times New Roman" w:hAnsi="Times New Roman" w:cs="Times New Roman"/>
                <w:snapToGrid w:val="0"/>
                <w:spacing w:val="-16"/>
                <w:kern w:val="21"/>
                <w:szCs w:val="21"/>
                <w:u w:val="single"/>
              </w:rPr>
              <w:t>以新带老削减量</w:t>
            </w:r>
          </w:p>
          <w:p>
            <w:pPr>
              <w:pStyle w:val="21"/>
              <w:spacing w:beforeLines="0" w:line="240" w:lineRule="auto"/>
              <w:rPr>
                <w:rFonts w:ascii="Times New Roman" w:hAnsi="Times New Roman" w:cs="Times New Roman"/>
                <w:snapToGrid w:val="0"/>
                <w:spacing w:val="-16"/>
                <w:kern w:val="21"/>
                <w:szCs w:val="21"/>
                <w:u w:val="single"/>
              </w:rPr>
            </w:pPr>
            <w:r>
              <w:rPr>
                <w:rFonts w:ascii="Times New Roman" w:hAnsi="Times New Roman" w:cs="Times New Roman"/>
                <w:snapToGrid w:val="0"/>
                <w:spacing w:val="-16"/>
                <w:kern w:val="21"/>
                <w:szCs w:val="21"/>
                <w:u w:val="single"/>
              </w:rPr>
              <w:t>（新建项目不填）</w:t>
            </w:r>
            <w:r>
              <w:rPr>
                <w:rFonts w:ascii="Times New Roman" w:hAnsi="Times New Roman" w:cs="Times New Roman"/>
                <w:snapToGrid w:val="0"/>
                <w:spacing w:val="-16"/>
                <w:kern w:val="21"/>
                <w:szCs w:val="21"/>
                <w:u w:val="single"/>
              </w:rPr>
              <w:fldChar w:fldCharType="begin"/>
            </w:r>
            <w:r>
              <w:rPr>
                <w:rFonts w:ascii="Times New Roman" w:hAnsi="Times New Roman" w:cs="Times New Roman"/>
                <w:snapToGrid w:val="0"/>
                <w:spacing w:val="-16"/>
                <w:kern w:val="21"/>
                <w:szCs w:val="21"/>
                <w:u w:val="single"/>
              </w:rPr>
              <w:instrText xml:space="preserve"> = 5 \* GB3 \* MERGEFORMAT </w:instrText>
            </w:r>
            <w:r>
              <w:rPr>
                <w:rFonts w:ascii="Times New Roman" w:hAnsi="Times New Roman" w:cs="Times New Roman"/>
                <w:snapToGrid w:val="0"/>
                <w:spacing w:val="-16"/>
                <w:kern w:val="21"/>
                <w:szCs w:val="21"/>
                <w:u w:val="single"/>
              </w:rPr>
              <w:fldChar w:fldCharType="separate"/>
            </w:r>
            <w:r>
              <w:rPr>
                <w:rFonts w:ascii="Times New Roman" w:hAnsi="Times New Roman" w:cs="Times New Roman"/>
                <w:szCs w:val="21"/>
                <w:u w:val="single"/>
              </w:rPr>
              <w:t>⑤</w:t>
            </w:r>
            <w:r>
              <w:rPr>
                <w:rFonts w:ascii="Times New Roman" w:hAnsi="Times New Roman" w:cs="Times New Roman"/>
                <w:snapToGrid w:val="0"/>
                <w:spacing w:val="-16"/>
                <w:kern w:val="21"/>
                <w:szCs w:val="21"/>
                <w:u w:val="single"/>
              </w:rPr>
              <w:fldChar w:fldCharType="end"/>
            </w:r>
          </w:p>
        </w:tc>
        <w:tc>
          <w:tcPr>
            <w:tcW w:w="1668" w:type="dxa"/>
            <w:tcBorders>
              <w:tl2br w:val="nil"/>
              <w:tr2bl w:val="nil"/>
            </w:tcBorders>
            <w:tcMar>
              <w:top w:w="0" w:type="dxa"/>
              <w:left w:w="28" w:type="dxa"/>
              <w:bottom w:w="0" w:type="dxa"/>
              <w:right w:w="28" w:type="dxa"/>
            </w:tcMar>
            <w:vAlign w:val="center"/>
          </w:tcPr>
          <w:p>
            <w:pPr>
              <w:pStyle w:val="21"/>
              <w:spacing w:beforeLines="0" w:line="240" w:lineRule="auto"/>
              <w:rPr>
                <w:rFonts w:ascii="Times New Roman" w:hAnsi="Times New Roman" w:cs="Times New Roman"/>
                <w:snapToGrid w:val="0"/>
                <w:spacing w:val="-16"/>
                <w:kern w:val="21"/>
                <w:szCs w:val="21"/>
                <w:u w:val="single"/>
              </w:rPr>
            </w:pPr>
            <w:r>
              <w:rPr>
                <w:rFonts w:ascii="Times New Roman" w:hAnsi="Times New Roman" w:cs="Times New Roman"/>
                <w:snapToGrid w:val="0"/>
                <w:spacing w:val="-16"/>
                <w:kern w:val="21"/>
                <w:szCs w:val="21"/>
                <w:u w:val="single"/>
              </w:rPr>
              <w:t>本项目建成后</w:t>
            </w:r>
          </w:p>
          <w:p>
            <w:pPr>
              <w:pStyle w:val="21"/>
              <w:spacing w:beforeLines="0" w:line="240" w:lineRule="auto"/>
              <w:rPr>
                <w:rFonts w:ascii="Times New Roman" w:hAnsi="Times New Roman" w:cs="Times New Roman"/>
                <w:snapToGrid w:val="0"/>
                <w:spacing w:val="-16"/>
                <w:kern w:val="21"/>
                <w:szCs w:val="21"/>
                <w:u w:val="single"/>
              </w:rPr>
            </w:pPr>
            <w:r>
              <w:rPr>
                <w:rFonts w:ascii="Times New Roman" w:hAnsi="Times New Roman" w:cs="Times New Roman"/>
                <w:snapToGrid w:val="0"/>
                <w:spacing w:val="-16"/>
                <w:kern w:val="21"/>
                <w:szCs w:val="21"/>
                <w:u w:val="single"/>
              </w:rPr>
              <w:t>全厂排放量（固体废物产生量）</w:t>
            </w:r>
            <w:r>
              <w:rPr>
                <w:rFonts w:ascii="Times New Roman" w:hAnsi="Times New Roman" w:cs="Times New Roman"/>
                <w:snapToGrid w:val="0"/>
                <w:spacing w:val="-16"/>
                <w:kern w:val="21"/>
                <w:szCs w:val="21"/>
                <w:u w:val="single"/>
              </w:rPr>
              <w:fldChar w:fldCharType="begin"/>
            </w:r>
            <w:r>
              <w:rPr>
                <w:rFonts w:ascii="Times New Roman" w:hAnsi="Times New Roman" w:cs="Times New Roman"/>
                <w:snapToGrid w:val="0"/>
                <w:spacing w:val="-16"/>
                <w:kern w:val="21"/>
                <w:szCs w:val="21"/>
                <w:u w:val="single"/>
              </w:rPr>
              <w:instrText xml:space="preserve"> = 6 \* GB3 \* MERGEFORMAT </w:instrText>
            </w:r>
            <w:r>
              <w:rPr>
                <w:rFonts w:ascii="Times New Roman" w:hAnsi="Times New Roman" w:cs="Times New Roman"/>
                <w:snapToGrid w:val="0"/>
                <w:spacing w:val="-16"/>
                <w:kern w:val="21"/>
                <w:szCs w:val="21"/>
                <w:u w:val="single"/>
              </w:rPr>
              <w:fldChar w:fldCharType="separate"/>
            </w:r>
            <w:r>
              <w:rPr>
                <w:rFonts w:ascii="Times New Roman" w:hAnsi="Times New Roman" w:cs="Times New Roman"/>
                <w:szCs w:val="21"/>
                <w:u w:val="single"/>
              </w:rPr>
              <w:t>⑥</w:t>
            </w:r>
            <w:r>
              <w:rPr>
                <w:rFonts w:ascii="Times New Roman" w:hAnsi="Times New Roman" w:cs="Times New Roman"/>
                <w:snapToGrid w:val="0"/>
                <w:spacing w:val="-16"/>
                <w:kern w:val="21"/>
                <w:szCs w:val="21"/>
                <w:u w:val="single"/>
              </w:rPr>
              <w:fldChar w:fldCharType="end"/>
            </w:r>
          </w:p>
        </w:tc>
        <w:tc>
          <w:tcPr>
            <w:tcW w:w="1996" w:type="dxa"/>
            <w:tcBorders>
              <w:tl2br w:val="nil"/>
              <w:tr2bl w:val="nil"/>
            </w:tcBorders>
            <w:tcMar>
              <w:top w:w="0" w:type="dxa"/>
              <w:left w:w="28" w:type="dxa"/>
              <w:bottom w:w="0" w:type="dxa"/>
              <w:right w:w="28" w:type="dxa"/>
            </w:tcMar>
            <w:vAlign w:val="center"/>
          </w:tcPr>
          <w:p>
            <w:pPr>
              <w:pStyle w:val="21"/>
              <w:spacing w:beforeLines="0" w:line="240" w:lineRule="auto"/>
              <w:rPr>
                <w:rFonts w:ascii="Times New Roman" w:hAnsi="Times New Roman" w:cs="Times New Roman"/>
                <w:snapToGrid w:val="0"/>
                <w:spacing w:val="-6"/>
                <w:kern w:val="21"/>
                <w:szCs w:val="21"/>
                <w:u w:val="single"/>
              </w:rPr>
            </w:pPr>
            <w:r>
              <w:rPr>
                <w:rFonts w:ascii="Times New Roman" w:hAnsi="Times New Roman" w:cs="Times New Roman"/>
                <w:snapToGrid w:val="0"/>
                <w:spacing w:val="-6"/>
                <w:kern w:val="21"/>
                <w:szCs w:val="21"/>
                <w:u w:val="single"/>
              </w:rPr>
              <w:t>变化量</w:t>
            </w:r>
          </w:p>
          <w:p>
            <w:pPr>
              <w:pStyle w:val="21"/>
              <w:spacing w:beforeLines="0" w:line="240" w:lineRule="auto"/>
              <w:rPr>
                <w:rFonts w:ascii="Times New Roman" w:hAnsi="Times New Roman" w:cs="Times New Roman"/>
                <w:snapToGrid w:val="0"/>
                <w:spacing w:val="-6"/>
                <w:kern w:val="21"/>
                <w:szCs w:val="21"/>
                <w:u w:val="single"/>
              </w:rPr>
            </w:pPr>
            <w:r>
              <w:rPr>
                <w:rFonts w:ascii="Times New Roman" w:hAnsi="Times New Roman" w:cs="Times New Roman"/>
                <w:snapToGrid w:val="0"/>
                <w:spacing w:val="-6"/>
                <w:kern w:val="21"/>
                <w:szCs w:val="21"/>
                <w:u w:val="single"/>
              </w:rPr>
              <w:fldChar w:fldCharType="begin"/>
            </w:r>
            <w:r>
              <w:rPr>
                <w:rFonts w:ascii="Times New Roman" w:hAnsi="Times New Roman" w:cs="Times New Roman"/>
                <w:snapToGrid w:val="0"/>
                <w:spacing w:val="-6"/>
                <w:kern w:val="21"/>
                <w:szCs w:val="21"/>
                <w:u w:val="single"/>
              </w:rPr>
              <w:instrText xml:space="preserve"> = 7 \* GB3 \* MERGEFORMAT </w:instrText>
            </w:r>
            <w:r>
              <w:rPr>
                <w:rFonts w:ascii="Times New Roman" w:hAnsi="Times New Roman" w:cs="Times New Roman"/>
                <w:snapToGrid w:val="0"/>
                <w:spacing w:val="-6"/>
                <w:kern w:val="21"/>
                <w:szCs w:val="21"/>
                <w:u w:val="single"/>
              </w:rPr>
              <w:fldChar w:fldCharType="separate"/>
            </w:r>
            <w:r>
              <w:rPr>
                <w:rFonts w:ascii="Times New Roman" w:hAnsi="Times New Roman" w:cs="Times New Roman"/>
                <w:szCs w:val="21"/>
                <w:u w:val="single"/>
              </w:rPr>
              <w:t>⑦</w:t>
            </w:r>
            <w:r>
              <w:rPr>
                <w:rFonts w:ascii="Times New Roman" w:hAnsi="Times New Roman" w:cs="Times New Roman"/>
                <w:snapToGrid w:val="0"/>
                <w:spacing w:val="-6"/>
                <w:kern w:val="21"/>
                <w:szCs w:val="21"/>
                <w:u w:val="single"/>
              </w:rPr>
              <w:fldChar w:fldCharType="end"/>
            </w:r>
          </w:p>
        </w:tc>
      </w:tr>
      <w:tr>
        <w:trPr>
          <w:trHeight w:val="482" w:hRule="atLeast"/>
          <w:jc w:val="center"/>
        </w:trPr>
        <w:tc>
          <w:tcPr>
            <w:tcW w:w="1122" w:type="dxa"/>
            <w:vMerge w:val="restart"/>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Fonts w:ascii="Times New Roman" w:hAnsi="Times New Roman" w:cs="Times New Roman"/>
                <w:snapToGrid w:val="0"/>
                <w:kern w:val="21"/>
                <w:szCs w:val="21"/>
                <w:u w:val="single"/>
              </w:rPr>
              <w:t>废气</w:t>
            </w:r>
          </w:p>
        </w:tc>
        <w:tc>
          <w:tcPr>
            <w:tcW w:w="1418"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7"/>
                <w:rFonts w:hint="default" w:ascii="Times New Roman" w:hAnsi="Times New Roman" w:cs="Times New Roman"/>
                <w:color w:val="auto"/>
                <w:sz w:val="21"/>
                <w:szCs w:val="21"/>
                <w:u w:val="single"/>
              </w:rPr>
              <w:t>颗粒物</w:t>
            </w:r>
          </w:p>
        </w:tc>
        <w:tc>
          <w:tcPr>
            <w:tcW w:w="1901"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Fonts w:hint="eastAsia" w:ascii="Times New Roman" w:hAnsi="Times New Roman" w:cs="Times New Roman"/>
                <w:snapToGrid w:val="0"/>
                <w:kern w:val="21"/>
                <w:szCs w:val="21"/>
                <w:u w:val="single"/>
              </w:rPr>
              <w:t>0.348t/a</w:t>
            </w:r>
          </w:p>
        </w:tc>
        <w:tc>
          <w:tcPr>
            <w:tcW w:w="971"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8"/>
                <w:color w:val="auto"/>
                <w:sz w:val="21"/>
                <w:szCs w:val="21"/>
                <w:u w:val="single"/>
              </w:rPr>
              <w:t>/</w:t>
            </w:r>
          </w:p>
        </w:tc>
        <w:tc>
          <w:tcPr>
            <w:tcW w:w="1482"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8"/>
                <w:color w:val="auto"/>
                <w:sz w:val="21"/>
                <w:szCs w:val="21"/>
                <w:u w:val="single"/>
              </w:rPr>
              <w:t>/</w:t>
            </w:r>
          </w:p>
        </w:tc>
        <w:tc>
          <w:tcPr>
            <w:tcW w:w="1996"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Fonts w:hint="eastAsia" w:ascii="Times New Roman" w:hAnsi="Times New Roman" w:cs="Times New Roman"/>
                <w:snapToGrid w:val="0"/>
                <w:kern w:val="21"/>
                <w:szCs w:val="21"/>
                <w:u w:val="single"/>
              </w:rPr>
              <w:t>0.073</w:t>
            </w:r>
            <w:r>
              <w:rPr>
                <w:rFonts w:ascii="Times New Roman" w:hAnsi="Times New Roman" w:cs="Times New Roman"/>
                <w:szCs w:val="21"/>
                <w:u w:val="single"/>
              </w:rPr>
              <w:t>t/a</w:t>
            </w:r>
          </w:p>
        </w:tc>
        <w:tc>
          <w:tcPr>
            <w:tcW w:w="1803"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Fonts w:hint="eastAsia" w:ascii="Times New Roman" w:hAnsi="Times New Roman" w:cs="Times New Roman"/>
                <w:snapToGrid w:val="0"/>
                <w:kern w:val="21"/>
                <w:szCs w:val="21"/>
                <w:u w:val="single"/>
              </w:rPr>
              <w:t>0.348t/a</w:t>
            </w:r>
          </w:p>
        </w:tc>
        <w:tc>
          <w:tcPr>
            <w:tcW w:w="1668"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Fonts w:hint="eastAsia" w:ascii="Times New Roman" w:hAnsi="Times New Roman" w:cs="Times New Roman"/>
                <w:snapToGrid w:val="0"/>
                <w:kern w:val="21"/>
                <w:szCs w:val="21"/>
                <w:u w:val="single"/>
              </w:rPr>
              <w:t>0.073</w:t>
            </w:r>
            <w:r>
              <w:rPr>
                <w:rFonts w:ascii="Times New Roman" w:hAnsi="Times New Roman" w:cs="Times New Roman"/>
                <w:szCs w:val="21"/>
                <w:u w:val="single"/>
              </w:rPr>
              <w:t>t/a</w:t>
            </w:r>
          </w:p>
        </w:tc>
        <w:tc>
          <w:tcPr>
            <w:tcW w:w="1996"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Fonts w:hint="eastAsia" w:ascii="Times New Roman" w:hAnsi="Times New Roman" w:cs="Times New Roman"/>
                <w:snapToGrid w:val="0"/>
                <w:kern w:val="21"/>
                <w:szCs w:val="21"/>
                <w:u w:val="single"/>
              </w:rPr>
              <w:t>-0.275</w:t>
            </w:r>
            <w:r>
              <w:rPr>
                <w:rFonts w:ascii="Times New Roman" w:hAnsi="Times New Roman" w:cs="Times New Roman"/>
                <w:szCs w:val="21"/>
                <w:u w:val="single"/>
              </w:rPr>
              <w:t>/a</w:t>
            </w:r>
          </w:p>
        </w:tc>
      </w:tr>
      <w:tr>
        <w:trPr>
          <w:trHeight w:val="482" w:hRule="atLeast"/>
          <w:jc w:val="center"/>
        </w:trPr>
        <w:tc>
          <w:tcPr>
            <w:tcW w:w="1122" w:type="dxa"/>
            <w:vMerge w:val="continue"/>
            <w:tcBorders>
              <w:tl2br w:val="nil"/>
              <w:tr2bl w:val="nil"/>
            </w:tcBorders>
            <w:vAlign w:val="center"/>
          </w:tcPr>
          <w:p>
            <w:pPr>
              <w:widowControl/>
              <w:jc w:val="left"/>
              <w:rPr>
                <w:snapToGrid w:val="0"/>
                <w:kern w:val="21"/>
                <w:szCs w:val="21"/>
                <w:u w:val="single"/>
              </w:rPr>
            </w:pPr>
          </w:p>
        </w:tc>
        <w:tc>
          <w:tcPr>
            <w:tcW w:w="1418"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7"/>
                <w:rFonts w:hint="default" w:ascii="Times New Roman" w:hAnsi="Times New Roman" w:cs="Times New Roman"/>
                <w:color w:val="auto"/>
                <w:sz w:val="21"/>
                <w:szCs w:val="21"/>
                <w:u w:val="single"/>
              </w:rPr>
              <w:t>二氧化硫</w:t>
            </w:r>
          </w:p>
        </w:tc>
        <w:tc>
          <w:tcPr>
            <w:tcW w:w="1901"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Fonts w:hint="eastAsia" w:ascii="Times New Roman" w:hAnsi="Times New Roman" w:cs="Times New Roman"/>
                <w:snapToGrid w:val="0"/>
                <w:kern w:val="21"/>
                <w:szCs w:val="21"/>
                <w:u w:val="single"/>
              </w:rPr>
              <w:t>0.139t/a</w:t>
            </w:r>
          </w:p>
        </w:tc>
        <w:tc>
          <w:tcPr>
            <w:tcW w:w="971"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8"/>
                <w:color w:val="auto"/>
                <w:sz w:val="21"/>
                <w:szCs w:val="21"/>
                <w:u w:val="single"/>
              </w:rPr>
              <w:t>/</w:t>
            </w:r>
          </w:p>
        </w:tc>
        <w:tc>
          <w:tcPr>
            <w:tcW w:w="1482"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8"/>
                <w:color w:val="auto"/>
                <w:sz w:val="21"/>
                <w:szCs w:val="21"/>
                <w:u w:val="single"/>
              </w:rPr>
              <w:t>/</w:t>
            </w:r>
          </w:p>
        </w:tc>
        <w:tc>
          <w:tcPr>
            <w:tcW w:w="1996" w:type="dxa"/>
            <w:tcBorders>
              <w:tl2br w:val="nil"/>
              <w:tr2bl w:val="nil"/>
            </w:tcBorders>
            <w:vAlign w:val="center"/>
          </w:tcPr>
          <w:p>
            <w:pPr>
              <w:jc w:val="center"/>
              <w:rPr>
                <w:snapToGrid w:val="0"/>
                <w:kern w:val="21"/>
                <w:szCs w:val="21"/>
                <w:u w:val="single"/>
              </w:rPr>
            </w:pPr>
            <w:r>
              <w:rPr>
                <w:rFonts w:hint="eastAsia"/>
                <w:szCs w:val="21"/>
                <w:u w:val="single"/>
              </w:rPr>
              <w:t>0.009</w:t>
            </w:r>
            <w:r>
              <w:rPr>
                <w:szCs w:val="21"/>
                <w:u w:val="single"/>
              </w:rPr>
              <w:t>t/a</w:t>
            </w:r>
          </w:p>
        </w:tc>
        <w:tc>
          <w:tcPr>
            <w:tcW w:w="1803"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Fonts w:hint="eastAsia" w:ascii="Times New Roman" w:hAnsi="Times New Roman" w:cs="Times New Roman"/>
                <w:snapToGrid w:val="0"/>
                <w:kern w:val="21"/>
                <w:szCs w:val="21"/>
                <w:u w:val="single"/>
              </w:rPr>
              <w:t>0.139t/a</w:t>
            </w:r>
          </w:p>
        </w:tc>
        <w:tc>
          <w:tcPr>
            <w:tcW w:w="1668" w:type="dxa"/>
            <w:tcBorders>
              <w:tl2br w:val="nil"/>
              <w:tr2bl w:val="nil"/>
            </w:tcBorders>
            <w:vAlign w:val="center"/>
          </w:tcPr>
          <w:p>
            <w:pPr>
              <w:jc w:val="center"/>
              <w:rPr>
                <w:snapToGrid w:val="0"/>
                <w:kern w:val="21"/>
                <w:szCs w:val="21"/>
                <w:u w:val="single"/>
              </w:rPr>
            </w:pPr>
            <w:r>
              <w:rPr>
                <w:rFonts w:hint="eastAsia"/>
                <w:szCs w:val="21"/>
                <w:u w:val="single"/>
              </w:rPr>
              <w:t>0.009</w:t>
            </w:r>
            <w:r>
              <w:rPr>
                <w:szCs w:val="21"/>
                <w:u w:val="single"/>
              </w:rPr>
              <w:t>t/a</w:t>
            </w:r>
          </w:p>
        </w:tc>
        <w:tc>
          <w:tcPr>
            <w:tcW w:w="1996" w:type="dxa"/>
            <w:tcBorders>
              <w:tl2br w:val="nil"/>
              <w:tr2bl w:val="nil"/>
            </w:tcBorders>
            <w:vAlign w:val="center"/>
          </w:tcPr>
          <w:p>
            <w:pPr>
              <w:jc w:val="center"/>
              <w:rPr>
                <w:snapToGrid w:val="0"/>
                <w:kern w:val="21"/>
                <w:szCs w:val="21"/>
                <w:u w:val="single"/>
              </w:rPr>
            </w:pPr>
            <w:r>
              <w:rPr>
                <w:rFonts w:hint="eastAsia"/>
                <w:szCs w:val="21"/>
                <w:u w:val="single"/>
              </w:rPr>
              <w:t>-0.130</w:t>
            </w:r>
            <w:r>
              <w:rPr>
                <w:szCs w:val="21"/>
                <w:u w:val="single"/>
              </w:rPr>
              <w:t>t/a</w:t>
            </w:r>
          </w:p>
        </w:tc>
      </w:tr>
      <w:tr>
        <w:trPr>
          <w:trHeight w:val="482" w:hRule="atLeast"/>
          <w:jc w:val="center"/>
        </w:trPr>
        <w:tc>
          <w:tcPr>
            <w:tcW w:w="1122" w:type="dxa"/>
            <w:vMerge w:val="continue"/>
            <w:tcBorders>
              <w:tl2br w:val="nil"/>
              <w:tr2bl w:val="nil"/>
            </w:tcBorders>
            <w:vAlign w:val="center"/>
          </w:tcPr>
          <w:p>
            <w:pPr>
              <w:widowControl/>
              <w:jc w:val="left"/>
              <w:rPr>
                <w:snapToGrid w:val="0"/>
                <w:kern w:val="21"/>
                <w:szCs w:val="21"/>
                <w:u w:val="single"/>
              </w:rPr>
            </w:pPr>
          </w:p>
        </w:tc>
        <w:tc>
          <w:tcPr>
            <w:tcW w:w="1418"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7"/>
                <w:rFonts w:hint="default" w:ascii="Times New Roman" w:hAnsi="Times New Roman" w:cs="Times New Roman"/>
                <w:color w:val="auto"/>
                <w:sz w:val="21"/>
                <w:szCs w:val="21"/>
                <w:u w:val="single"/>
              </w:rPr>
              <w:t>氮氧化物</w:t>
            </w:r>
          </w:p>
        </w:tc>
        <w:tc>
          <w:tcPr>
            <w:tcW w:w="1901"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Fonts w:hint="eastAsia" w:ascii="Times New Roman" w:hAnsi="Times New Roman" w:cs="Times New Roman"/>
                <w:snapToGrid w:val="0"/>
                <w:kern w:val="21"/>
                <w:szCs w:val="21"/>
                <w:u w:val="single"/>
              </w:rPr>
              <w:t>3.247t/a</w:t>
            </w:r>
          </w:p>
        </w:tc>
        <w:tc>
          <w:tcPr>
            <w:tcW w:w="971"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8"/>
                <w:color w:val="auto"/>
                <w:sz w:val="21"/>
                <w:szCs w:val="21"/>
                <w:u w:val="single"/>
              </w:rPr>
              <w:t>/</w:t>
            </w:r>
          </w:p>
        </w:tc>
        <w:tc>
          <w:tcPr>
            <w:tcW w:w="1482"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8"/>
                <w:color w:val="auto"/>
                <w:sz w:val="21"/>
                <w:szCs w:val="21"/>
                <w:u w:val="single"/>
              </w:rPr>
              <w:t>/</w:t>
            </w:r>
          </w:p>
        </w:tc>
        <w:tc>
          <w:tcPr>
            <w:tcW w:w="1996" w:type="dxa"/>
            <w:tcBorders>
              <w:tl2br w:val="nil"/>
              <w:tr2bl w:val="nil"/>
            </w:tcBorders>
            <w:vAlign w:val="center"/>
          </w:tcPr>
          <w:p>
            <w:pPr>
              <w:jc w:val="center"/>
              <w:rPr>
                <w:snapToGrid w:val="0"/>
                <w:kern w:val="21"/>
                <w:szCs w:val="21"/>
                <w:u w:val="single"/>
              </w:rPr>
            </w:pPr>
            <w:r>
              <w:rPr>
                <w:rFonts w:hint="eastAsia"/>
                <w:szCs w:val="21"/>
                <w:u w:val="single"/>
              </w:rPr>
              <w:t>1.292</w:t>
            </w:r>
            <w:r>
              <w:rPr>
                <w:szCs w:val="21"/>
                <w:u w:val="single"/>
              </w:rPr>
              <w:t>t/a</w:t>
            </w:r>
          </w:p>
        </w:tc>
        <w:tc>
          <w:tcPr>
            <w:tcW w:w="1803"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Fonts w:hint="eastAsia" w:ascii="Times New Roman" w:hAnsi="Times New Roman" w:cs="Times New Roman"/>
                <w:snapToGrid w:val="0"/>
                <w:kern w:val="21"/>
                <w:szCs w:val="21"/>
                <w:u w:val="single"/>
              </w:rPr>
              <w:t>3.247t/a</w:t>
            </w:r>
          </w:p>
        </w:tc>
        <w:tc>
          <w:tcPr>
            <w:tcW w:w="1668" w:type="dxa"/>
            <w:tcBorders>
              <w:tl2br w:val="nil"/>
              <w:tr2bl w:val="nil"/>
            </w:tcBorders>
            <w:vAlign w:val="center"/>
          </w:tcPr>
          <w:p>
            <w:pPr>
              <w:jc w:val="center"/>
              <w:rPr>
                <w:snapToGrid w:val="0"/>
                <w:kern w:val="21"/>
                <w:szCs w:val="21"/>
                <w:u w:val="single"/>
              </w:rPr>
            </w:pPr>
            <w:r>
              <w:rPr>
                <w:rFonts w:hint="eastAsia"/>
                <w:szCs w:val="21"/>
                <w:u w:val="single"/>
              </w:rPr>
              <w:t>1.292</w:t>
            </w:r>
            <w:r>
              <w:rPr>
                <w:szCs w:val="21"/>
                <w:u w:val="single"/>
              </w:rPr>
              <w:t>t/a</w:t>
            </w:r>
          </w:p>
        </w:tc>
        <w:tc>
          <w:tcPr>
            <w:tcW w:w="1996" w:type="dxa"/>
            <w:tcBorders>
              <w:tl2br w:val="nil"/>
              <w:tr2bl w:val="nil"/>
            </w:tcBorders>
            <w:vAlign w:val="center"/>
          </w:tcPr>
          <w:p>
            <w:pPr>
              <w:jc w:val="center"/>
              <w:rPr>
                <w:snapToGrid w:val="0"/>
                <w:kern w:val="21"/>
                <w:szCs w:val="21"/>
                <w:u w:val="single"/>
              </w:rPr>
            </w:pPr>
            <w:r>
              <w:rPr>
                <w:rFonts w:hint="eastAsia"/>
                <w:szCs w:val="21"/>
                <w:u w:val="single"/>
              </w:rPr>
              <w:t>-1.955</w:t>
            </w:r>
            <w:r>
              <w:rPr>
                <w:szCs w:val="21"/>
                <w:u w:val="single"/>
              </w:rPr>
              <w:t>t/a</w:t>
            </w:r>
          </w:p>
        </w:tc>
      </w:tr>
      <w:tr>
        <w:trPr>
          <w:trHeight w:val="482" w:hRule="atLeast"/>
          <w:jc w:val="center"/>
        </w:trPr>
        <w:tc>
          <w:tcPr>
            <w:tcW w:w="1122" w:type="dxa"/>
            <w:vMerge w:val="continue"/>
            <w:tcBorders>
              <w:tl2br w:val="nil"/>
              <w:tr2bl w:val="nil"/>
            </w:tcBorders>
            <w:vAlign w:val="center"/>
          </w:tcPr>
          <w:p>
            <w:pPr>
              <w:widowControl/>
              <w:jc w:val="left"/>
              <w:rPr>
                <w:snapToGrid w:val="0"/>
                <w:kern w:val="21"/>
                <w:szCs w:val="21"/>
                <w:u w:val="single"/>
              </w:rPr>
            </w:pPr>
          </w:p>
        </w:tc>
        <w:tc>
          <w:tcPr>
            <w:tcW w:w="1418" w:type="dxa"/>
            <w:tcBorders>
              <w:tl2br w:val="nil"/>
              <w:tr2bl w:val="nil"/>
            </w:tcBorders>
            <w:vAlign w:val="center"/>
          </w:tcPr>
          <w:p>
            <w:pPr>
              <w:pStyle w:val="21"/>
              <w:spacing w:beforeLines="0" w:line="240" w:lineRule="auto"/>
              <w:rPr>
                <w:rStyle w:val="67"/>
                <w:rFonts w:hint="default" w:ascii="Times New Roman" w:hAnsi="Times New Roman" w:cs="Times New Roman"/>
                <w:color w:val="auto"/>
                <w:sz w:val="21"/>
                <w:szCs w:val="21"/>
                <w:u w:val="single"/>
              </w:rPr>
            </w:pPr>
            <w:r>
              <w:rPr>
                <w:rStyle w:val="67"/>
                <w:rFonts w:ascii="Times New Roman" w:hAnsi="Times New Roman" w:cs="Times New Roman"/>
                <w:color w:val="auto"/>
                <w:sz w:val="21"/>
                <w:szCs w:val="21"/>
                <w:u w:val="single"/>
              </w:rPr>
              <w:t>氨</w:t>
            </w:r>
          </w:p>
        </w:tc>
        <w:tc>
          <w:tcPr>
            <w:tcW w:w="1901" w:type="dxa"/>
            <w:tcBorders>
              <w:tl2br w:val="nil"/>
              <w:tr2bl w:val="nil"/>
            </w:tcBorders>
            <w:vAlign w:val="center"/>
          </w:tcPr>
          <w:p>
            <w:pPr>
              <w:pStyle w:val="21"/>
              <w:spacing w:beforeLines="0" w:line="240" w:lineRule="auto"/>
              <w:rPr>
                <w:rStyle w:val="68"/>
                <w:color w:val="auto"/>
                <w:sz w:val="21"/>
                <w:szCs w:val="21"/>
                <w:u w:val="single"/>
              </w:rPr>
            </w:pPr>
            <w:r>
              <w:rPr>
                <w:rStyle w:val="68"/>
                <w:rFonts w:hint="eastAsia"/>
                <w:color w:val="auto"/>
                <w:sz w:val="21"/>
                <w:szCs w:val="21"/>
                <w:u w:val="single"/>
              </w:rPr>
              <w:t>0.234</w:t>
            </w:r>
            <w:r>
              <w:rPr>
                <w:rFonts w:hint="eastAsia" w:ascii="Times New Roman" w:hAnsi="Times New Roman" w:cs="Times New Roman"/>
                <w:snapToGrid w:val="0"/>
                <w:kern w:val="21"/>
                <w:szCs w:val="21"/>
                <w:u w:val="single"/>
              </w:rPr>
              <w:t>t/a</w:t>
            </w:r>
          </w:p>
        </w:tc>
        <w:tc>
          <w:tcPr>
            <w:tcW w:w="971" w:type="dxa"/>
            <w:tcBorders>
              <w:tl2br w:val="nil"/>
              <w:tr2bl w:val="nil"/>
            </w:tcBorders>
            <w:vAlign w:val="center"/>
          </w:tcPr>
          <w:p>
            <w:pPr>
              <w:pStyle w:val="21"/>
              <w:spacing w:beforeLines="0" w:line="240" w:lineRule="auto"/>
              <w:rPr>
                <w:rStyle w:val="68"/>
                <w:color w:val="auto"/>
                <w:sz w:val="21"/>
                <w:szCs w:val="21"/>
                <w:u w:val="single"/>
              </w:rPr>
            </w:pPr>
            <w:r>
              <w:rPr>
                <w:rStyle w:val="68"/>
                <w:rFonts w:hint="eastAsia"/>
                <w:color w:val="auto"/>
                <w:sz w:val="21"/>
                <w:szCs w:val="21"/>
                <w:u w:val="single"/>
              </w:rPr>
              <w:t>/</w:t>
            </w:r>
          </w:p>
        </w:tc>
        <w:tc>
          <w:tcPr>
            <w:tcW w:w="1482" w:type="dxa"/>
            <w:tcBorders>
              <w:tl2br w:val="nil"/>
              <w:tr2bl w:val="nil"/>
            </w:tcBorders>
            <w:vAlign w:val="center"/>
          </w:tcPr>
          <w:p>
            <w:pPr>
              <w:pStyle w:val="21"/>
              <w:spacing w:beforeLines="0" w:line="240" w:lineRule="auto"/>
              <w:rPr>
                <w:rStyle w:val="68"/>
                <w:color w:val="auto"/>
                <w:sz w:val="21"/>
                <w:szCs w:val="21"/>
                <w:u w:val="single"/>
              </w:rPr>
            </w:pPr>
            <w:r>
              <w:rPr>
                <w:rStyle w:val="68"/>
                <w:rFonts w:hint="eastAsia"/>
                <w:color w:val="auto"/>
                <w:sz w:val="21"/>
                <w:szCs w:val="21"/>
                <w:u w:val="single"/>
              </w:rPr>
              <w:t>/</w:t>
            </w:r>
          </w:p>
        </w:tc>
        <w:tc>
          <w:tcPr>
            <w:tcW w:w="1996" w:type="dxa"/>
            <w:tcBorders>
              <w:tl2br w:val="nil"/>
              <w:tr2bl w:val="nil"/>
            </w:tcBorders>
            <w:vAlign w:val="center"/>
          </w:tcPr>
          <w:p>
            <w:pPr>
              <w:jc w:val="center"/>
              <w:rPr>
                <w:szCs w:val="21"/>
                <w:u w:val="single"/>
              </w:rPr>
            </w:pPr>
            <w:r>
              <w:rPr>
                <w:rFonts w:hint="eastAsia"/>
                <w:szCs w:val="21"/>
                <w:u w:val="single"/>
              </w:rPr>
              <w:t>0</w:t>
            </w:r>
            <w:r>
              <w:rPr>
                <w:rFonts w:hint="eastAsia"/>
                <w:snapToGrid w:val="0"/>
                <w:kern w:val="21"/>
                <w:szCs w:val="21"/>
                <w:u w:val="single"/>
              </w:rPr>
              <w:t>t/a</w:t>
            </w:r>
          </w:p>
        </w:tc>
        <w:tc>
          <w:tcPr>
            <w:tcW w:w="1803" w:type="dxa"/>
            <w:tcBorders>
              <w:tl2br w:val="nil"/>
              <w:tr2bl w:val="nil"/>
            </w:tcBorders>
            <w:vAlign w:val="center"/>
          </w:tcPr>
          <w:p>
            <w:pPr>
              <w:pStyle w:val="21"/>
              <w:spacing w:beforeLines="0" w:line="240" w:lineRule="auto"/>
              <w:rPr>
                <w:rStyle w:val="68"/>
                <w:color w:val="auto"/>
                <w:sz w:val="21"/>
                <w:szCs w:val="21"/>
                <w:u w:val="single"/>
              </w:rPr>
            </w:pPr>
            <w:r>
              <w:rPr>
                <w:rStyle w:val="68"/>
                <w:rFonts w:hint="eastAsia"/>
                <w:color w:val="auto"/>
                <w:sz w:val="21"/>
                <w:szCs w:val="21"/>
                <w:u w:val="single"/>
              </w:rPr>
              <w:t>0</w:t>
            </w:r>
            <w:r>
              <w:rPr>
                <w:rFonts w:hint="eastAsia" w:ascii="Times New Roman" w:hAnsi="Times New Roman" w:cs="Times New Roman"/>
                <w:snapToGrid w:val="0"/>
                <w:kern w:val="21"/>
                <w:szCs w:val="21"/>
                <w:u w:val="single"/>
              </w:rPr>
              <w:t>t/a</w:t>
            </w:r>
          </w:p>
        </w:tc>
        <w:tc>
          <w:tcPr>
            <w:tcW w:w="1668" w:type="dxa"/>
            <w:tcBorders>
              <w:tl2br w:val="nil"/>
              <w:tr2bl w:val="nil"/>
            </w:tcBorders>
            <w:vAlign w:val="center"/>
          </w:tcPr>
          <w:p>
            <w:pPr>
              <w:jc w:val="center"/>
              <w:rPr>
                <w:szCs w:val="21"/>
                <w:u w:val="single"/>
              </w:rPr>
            </w:pPr>
            <w:r>
              <w:rPr>
                <w:rFonts w:hint="eastAsia"/>
                <w:szCs w:val="21"/>
                <w:u w:val="single"/>
              </w:rPr>
              <w:t>0.234</w:t>
            </w:r>
            <w:r>
              <w:rPr>
                <w:rFonts w:hint="eastAsia"/>
                <w:snapToGrid w:val="0"/>
                <w:kern w:val="21"/>
                <w:szCs w:val="21"/>
                <w:u w:val="single"/>
              </w:rPr>
              <w:t>t/a</w:t>
            </w:r>
          </w:p>
        </w:tc>
        <w:tc>
          <w:tcPr>
            <w:tcW w:w="1996" w:type="dxa"/>
            <w:tcBorders>
              <w:tl2br w:val="nil"/>
              <w:tr2bl w:val="nil"/>
            </w:tcBorders>
            <w:vAlign w:val="center"/>
          </w:tcPr>
          <w:p>
            <w:pPr>
              <w:jc w:val="center"/>
              <w:rPr>
                <w:szCs w:val="21"/>
                <w:u w:val="single"/>
              </w:rPr>
            </w:pPr>
            <w:r>
              <w:rPr>
                <w:rFonts w:hint="eastAsia"/>
                <w:szCs w:val="21"/>
                <w:u w:val="single"/>
              </w:rPr>
              <w:t>0</w:t>
            </w:r>
            <w:r>
              <w:rPr>
                <w:rFonts w:hint="eastAsia"/>
                <w:bCs/>
                <w:szCs w:val="21"/>
                <w:u w:val="single"/>
              </w:rPr>
              <w:t>t/a</w:t>
            </w:r>
          </w:p>
        </w:tc>
      </w:tr>
      <w:tr>
        <w:trPr>
          <w:trHeight w:val="482" w:hRule="atLeast"/>
          <w:jc w:val="center"/>
        </w:trPr>
        <w:tc>
          <w:tcPr>
            <w:tcW w:w="1122" w:type="dxa"/>
            <w:vMerge w:val="continue"/>
            <w:tcBorders>
              <w:tl2br w:val="nil"/>
              <w:tr2bl w:val="nil"/>
            </w:tcBorders>
            <w:vAlign w:val="center"/>
          </w:tcPr>
          <w:p>
            <w:pPr>
              <w:widowControl/>
              <w:jc w:val="left"/>
              <w:rPr>
                <w:snapToGrid w:val="0"/>
                <w:kern w:val="21"/>
                <w:szCs w:val="21"/>
                <w:u w:val="single"/>
              </w:rPr>
            </w:pPr>
          </w:p>
        </w:tc>
        <w:tc>
          <w:tcPr>
            <w:tcW w:w="1418" w:type="dxa"/>
            <w:tcBorders>
              <w:tl2br w:val="nil"/>
              <w:tr2bl w:val="nil"/>
            </w:tcBorders>
            <w:vAlign w:val="center"/>
          </w:tcPr>
          <w:p>
            <w:pPr>
              <w:pStyle w:val="21"/>
              <w:spacing w:beforeLines="0" w:line="240" w:lineRule="auto"/>
              <w:rPr>
                <w:rStyle w:val="67"/>
                <w:rFonts w:hint="default" w:ascii="Times New Roman" w:hAnsi="Times New Roman" w:cs="Times New Roman"/>
                <w:color w:val="auto"/>
                <w:sz w:val="21"/>
                <w:szCs w:val="21"/>
                <w:u w:val="single"/>
              </w:rPr>
            </w:pPr>
            <w:r>
              <w:rPr>
                <w:rStyle w:val="67"/>
                <w:rFonts w:ascii="Times New Roman" w:hAnsi="Times New Roman" w:cs="Times New Roman"/>
                <w:color w:val="auto"/>
                <w:sz w:val="21"/>
                <w:szCs w:val="21"/>
                <w:u w:val="single"/>
              </w:rPr>
              <w:t>硫化氢</w:t>
            </w:r>
          </w:p>
        </w:tc>
        <w:tc>
          <w:tcPr>
            <w:tcW w:w="1901" w:type="dxa"/>
            <w:tcBorders>
              <w:tl2br w:val="nil"/>
              <w:tr2bl w:val="nil"/>
            </w:tcBorders>
            <w:vAlign w:val="center"/>
          </w:tcPr>
          <w:p>
            <w:pPr>
              <w:pStyle w:val="21"/>
              <w:spacing w:beforeLines="0" w:line="240" w:lineRule="auto"/>
              <w:rPr>
                <w:rStyle w:val="68"/>
                <w:color w:val="auto"/>
                <w:sz w:val="21"/>
                <w:szCs w:val="21"/>
                <w:u w:val="single"/>
              </w:rPr>
            </w:pPr>
            <w:r>
              <w:rPr>
                <w:rStyle w:val="68"/>
                <w:rFonts w:hint="eastAsia"/>
                <w:color w:val="auto"/>
                <w:sz w:val="21"/>
                <w:szCs w:val="21"/>
                <w:u w:val="single"/>
              </w:rPr>
              <w:t>0.017</w:t>
            </w:r>
            <w:r>
              <w:rPr>
                <w:rFonts w:hint="eastAsia" w:ascii="Times New Roman" w:hAnsi="Times New Roman" w:cs="Times New Roman"/>
                <w:snapToGrid w:val="0"/>
                <w:kern w:val="21"/>
                <w:szCs w:val="21"/>
                <w:u w:val="single"/>
              </w:rPr>
              <w:t>t/a</w:t>
            </w:r>
          </w:p>
        </w:tc>
        <w:tc>
          <w:tcPr>
            <w:tcW w:w="971" w:type="dxa"/>
            <w:tcBorders>
              <w:tl2br w:val="nil"/>
              <w:tr2bl w:val="nil"/>
            </w:tcBorders>
            <w:vAlign w:val="center"/>
          </w:tcPr>
          <w:p>
            <w:pPr>
              <w:pStyle w:val="21"/>
              <w:spacing w:beforeLines="0" w:line="240" w:lineRule="auto"/>
              <w:rPr>
                <w:rStyle w:val="68"/>
                <w:color w:val="auto"/>
                <w:sz w:val="21"/>
                <w:szCs w:val="21"/>
                <w:u w:val="single"/>
              </w:rPr>
            </w:pPr>
            <w:r>
              <w:rPr>
                <w:rStyle w:val="68"/>
                <w:rFonts w:hint="eastAsia"/>
                <w:color w:val="auto"/>
                <w:sz w:val="21"/>
                <w:szCs w:val="21"/>
                <w:u w:val="single"/>
              </w:rPr>
              <w:t>/</w:t>
            </w:r>
          </w:p>
        </w:tc>
        <w:tc>
          <w:tcPr>
            <w:tcW w:w="1482" w:type="dxa"/>
            <w:tcBorders>
              <w:tl2br w:val="nil"/>
              <w:tr2bl w:val="nil"/>
            </w:tcBorders>
            <w:vAlign w:val="center"/>
          </w:tcPr>
          <w:p>
            <w:pPr>
              <w:pStyle w:val="21"/>
              <w:spacing w:beforeLines="0" w:line="240" w:lineRule="auto"/>
              <w:rPr>
                <w:rStyle w:val="68"/>
                <w:color w:val="auto"/>
                <w:sz w:val="21"/>
                <w:szCs w:val="21"/>
                <w:u w:val="single"/>
              </w:rPr>
            </w:pPr>
            <w:r>
              <w:rPr>
                <w:rStyle w:val="68"/>
                <w:rFonts w:hint="eastAsia"/>
                <w:color w:val="auto"/>
                <w:sz w:val="21"/>
                <w:szCs w:val="21"/>
                <w:u w:val="single"/>
              </w:rPr>
              <w:t>/</w:t>
            </w:r>
          </w:p>
        </w:tc>
        <w:tc>
          <w:tcPr>
            <w:tcW w:w="1996" w:type="dxa"/>
            <w:tcBorders>
              <w:tl2br w:val="nil"/>
              <w:tr2bl w:val="nil"/>
            </w:tcBorders>
            <w:vAlign w:val="center"/>
          </w:tcPr>
          <w:p>
            <w:pPr>
              <w:jc w:val="center"/>
              <w:rPr>
                <w:szCs w:val="21"/>
                <w:u w:val="single"/>
              </w:rPr>
            </w:pPr>
            <w:r>
              <w:rPr>
                <w:rFonts w:hint="eastAsia"/>
                <w:szCs w:val="21"/>
                <w:u w:val="single"/>
              </w:rPr>
              <w:t>0</w:t>
            </w:r>
            <w:r>
              <w:rPr>
                <w:rFonts w:hint="eastAsia"/>
                <w:snapToGrid w:val="0"/>
                <w:kern w:val="21"/>
                <w:szCs w:val="21"/>
                <w:u w:val="single"/>
              </w:rPr>
              <w:t>t/a</w:t>
            </w:r>
          </w:p>
        </w:tc>
        <w:tc>
          <w:tcPr>
            <w:tcW w:w="1803" w:type="dxa"/>
            <w:tcBorders>
              <w:tl2br w:val="nil"/>
              <w:tr2bl w:val="nil"/>
            </w:tcBorders>
            <w:vAlign w:val="center"/>
          </w:tcPr>
          <w:p>
            <w:pPr>
              <w:pStyle w:val="21"/>
              <w:spacing w:beforeLines="0" w:line="240" w:lineRule="auto"/>
              <w:rPr>
                <w:rStyle w:val="68"/>
                <w:color w:val="auto"/>
                <w:sz w:val="21"/>
                <w:szCs w:val="21"/>
                <w:u w:val="single"/>
              </w:rPr>
            </w:pPr>
            <w:r>
              <w:rPr>
                <w:rStyle w:val="68"/>
                <w:rFonts w:hint="eastAsia"/>
                <w:color w:val="auto"/>
                <w:sz w:val="21"/>
                <w:szCs w:val="21"/>
                <w:u w:val="single"/>
              </w:rPr>
              <w:t>0</w:t>
            </w:r>
            <w:r>
              <w:rPr>
                <w:rFonts w:hint="eastAsia" w:ascii="Times New Roman" w:hAnsi="Times New Roman" w:cs="Times New Roman"/>
                <w:snapToGrid w:val="0"/>
                <w:kern w:val="21"/>
                <w:szCs w:val="21"/>
                <w:u w:val="single"/>
              </w:rPr>
              <w:t>t/a</w:t>
            </w:r>
          </w:p>
        </w:tc>
        <w:tc>
          <w:tcPr>
            <w:tcW w:w="1668" w:type="dxa"/>
            <w:tcBorders>
              <w:tl2br w:val="nil"/>
              <w:tr2bl w:val="nil"/>
            </w:tcBorders>
            <w:vAlign w:val="center"/>
          </w:tcPr>
          <w:p>
            <w:pPr>
              <w:jc w:val="center"/>
              <w:rPr>
                <w:szCs w:val="21"/>
                <w:u w:val="single"/>
              </w:rPr>
            </w:pPr>
            <w:r>
              <w:rPr>
                <w:rFonts w:hint="eastAsia"/>
                <w:szCs w:val="21"/>
                <w:u w:val="single"/>
              </w:rPr>
              <w:t>0.017</w:t>
            </w:r>
            <w:r>
              <w:rPr>
                <w:rFonts w:hint="eastAsia"/>
                <w:snapToGrid w:val="0"/>
                <w:kern w:val="21"/>
                <w:szCs w:val="21"/>
                <w:u w:val="single"/>
              </w:rPr>
              <w:t>t/a</w:t>
            </w:r>
          </w:p>
        </w:tc>
        <w:tc>
          <w:tcPr>
            <w:tcW w:w="1996" w:type="dxa"/>
            <w:tcBorders>
              <w:tl2br w:val="nil"/>
              <w:tr2bl w:val="nil"/>
            </w:tcBorders>
            <w:vAlign w:val="center"/>
          </w:tcPr>
          <w:p>
            <w:pPr>
              <w:jc w:val="center"/>
              <w:rPr>
                <w:szCs w:val="21"/>
                <w:u w:val="single"/>
              </w:rPr>
            </w:pPr>
            <w:r>
              <w:rPr>
                <w:rFonts w:hint="eastAsia"/>
                <w:szCs w:val="21"/>
                <w:u w:val="single"/>
              </w:rPr>
              <w:t>0</w:t>
            </w:r>
            <w:r>
              <w:rPr>
                <w:rFonts w:hint="eastAsia"/>
                <w:bCs/>
                <w:szCs w:val="21"/>
                <w:u w:val="single"/>
              </w:rPr>
              <w:t>t/a</w:t>
            </w:r>
          </w:p>
        </w:tc>
      </w:tr>
      <w:tr>
        <w:trPr>
          <w:trHeight w:val="482" w:hRule="atLeast"/>
          <w:jc w:val="center"/>
        </w:trPr>
        <w:tc>
          <w:tcPr>
            <w:tcW w:w="1122" w:type="dxa"/>
            <w:vMerge w:val="restart"/>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Fonts w:ascii="Times New Roman" w:hAnsi="Times New Roman" w:cs="Times New Roman"/>
                <w:snapToGrid w:val="0"/>
                <w:kern w:val="21"/>
                <w:szCs w:val="21"/>
                <w:u w:val="single"/>
              </w:rPr>
              <w:t>废水</w:t>
            </w:r>
          </w:p>
        </w:tc>
        <w:tc>
          <w:tcPr>
            <w:tcW w:w="1418"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9"/>
                <w:rFonts w:hint="default" w:ascii="Times New Roman" w:hAnsi="Times New Roman" w:cs="Times New Roman"/>
                <w:color w:val="auto"/>
                <w:sz w:val="21"/>
                <w:szCs w:val="21"/>
                <w:u w:val="single"/>
              </w:rPr>
              <w:t>COD</w:t>
            </w:r>
          </w:p>
        </w:tc>
        <w:tc>
          <w:tcPr>
            <w:tcW w:w="1901"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Fonts w:hint="eastAsia" w:ascii="Times New Roman" w:hAnsi="Times New Roman" w:cs="Times New Roman"/>
                <w:snapToGrid w:val="0"/>
                <w:kern w:val="21"/>
                <w:szCs w:val="21"/>
                <w:u w:val="single"/>
              </w:rPr>
              <w:t>10.4t/a</w:t>
            </w:r>
          </w:p>
        </w:tc>
        <w:tc>
          <w:tcPr>
            <w:tcW w:w="971"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8"/>
                <w:color w:val="auto"/>
                <w:sz w:val="21"/>
                <w:szCs w:val="21"/>
                <w:u w:val="single"/>
              </w:rPr>
              <w:t>/</w:t>
            </w:r>
          </w:p>
        </w:tc>
        <w:tc>
          <w:tcPr>
            <w:tcW w:w="1482"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8"/>
                <w:color w:val="auto"/>
                <w:sz w:val="21"/>
                <w:szCs w:val="21"/>
                <w:u w:val="single"/>
              </w:rPr>
              <w:t>/</w:t>
            </w:r>
          </w:p>
        </w:tc>
        <w:tc>
          <w:tcPr>
            <w:tcW w:w="1996"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8"/>
                <w:color w:val="auto"/>
                <w:sz w:val="21"/>
                <w:szCs w:val="21"/>
                <w:u w:val="single"/>
              </w:rPr>
              <w:t>/</w:t>
            </w:r>
          </w:p>
        </w:tc>
        <w:tc>
          <w:tcPr>
            <w:tcW w:w="1803"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8"/>
                <w:color w:val="auto"/>
                <w:sz w:val="21"/>
                <w:szCs w:val="21"/>
                <w:u w:val="single"/>
              </w:rPr>
              <w:t>/</w:t>
            </w:r>
          </w:p>
        </w:tc>
        <w:tc>
          <w:tcPr>
            <w:tcW w:w="1668"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Fonts w:hint="eastAsia" w:ascii="Times New Roman" w:hAnsi="Times New Roman" w:cs="Times New Roman"/>
                <w:snapToGrid w:val="0"/>
                <w:kern w:val="21"/>
                <w:szCs w:val="21"/>
                <w:u w:val="single"/>
              </w:rPr>
              <w:t>10.4t/a</w:t>
            </w:r>
          </w:p>
        </w:tc>
        <w:tc>
          <w:tcPr>
            <w:tcW w:w="1996" w:type="dxa"/>
            <w:tcBorders>
              <w:tl2br w:val="nil"/>
              <w:tr2bl w:val="nil"/>
            </w:tcBorders>
            <w:vAlign w:val="center"/>
          </w:tcPr>
          <w:p>
            <w:pPr>
              <w:jc w:val="center"/>
              <w:rPr>
                <w:snapToGrid w:val="0"/>
                <w:kern w:val="21"/>
                <w:szCs w:val="21"/>
                <w:u w:val="single"/>
              </w:rPr>
            </w:pPr>
            <w:r>
              <w:rPr>
                <w:rFonts w:hint="eastAsia"/>
                <w:szCs w:val="21"/>
                <w:u w:val="single"/>
              </w:rPr>
              <w:t>0</w:t>
            </w:r>
            <w:r>
              <w:rPr>
                <w:rFonts w:hint="eastAsia"/>
                <w:bCs/>
                <w:szCs w:val="21"/>
                <w:u w:val="single"/>
              </w:rPr>
              <w:t>t/a</w:t>
            </w:r>
          </w:p>
        </w:tc>
      </w:tr>
      <w:tr>
        <w:trPr>
          <w:trHeight w:val="482" w:hRule="atLeast"/>
          <w:jc w:val="center"/>
        </w:trPr>
        <w:tc>
          <w:tcPr>
            <w:tcW w:w="1122" w:type="dxa"/>
            <w:vMerge w:val="continue"/>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p>
        </w:tc>
        <w:tc>
          <w:tcPr>
            <w:tcW w:w="1418"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9"/>
                <w:rFonts w:hint="default" w:ascii="Times New Roman" w:hAnsi="Times New Roman" w:cs="Times New Roman"/>
                <w:color w:val="auto"/>
                <w:sz w:val="21"/>
                <w:szCs w:val="21"/>
                <w:u w:val="single"/>
              </w:rPr>
              <w:t>BOD</w:t>
            </w:r>
            <w:r>
              <w:rPr>
                <w:rStyle w:val="66"/>
                <w:color w:val="auto"/>
                <w:sz w:val="21"/>
                <w:szCs w:val="21"/>
                <w:u w:val="single"/>
              </w:rPr>
              <w:t>5</w:t>
            </w:r>
          </w:p>
        </w:tc>
        <w:tc>
          <w:tcPr>
            <w:tcW w:w="1901"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Fonts w:hint="eastAsia" w:ascii="Times New Roman" w:hAnsi="Times New Roman" w:cs="Times New Roman"/>
                <w:snapToGrid w:val="0"/>
                <w:kern w:val="21"/>
                <w:szCs w:val="21"/>
                <w:u w:val="single"/>
              </w:rPr>
              <w:t>3.47t/a</w:t>
            </w:r>
          </w:p>
        </w:tc>
        <w:tc>
          <w:tcPr>
            <w:tcW w:w="971"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8"/>
                <w:color w:val="auto"/>
                <w:sz w:val="21"/>
                <w:szCs w:val="21"/>
                <w:u w:val="single"/>
              </w:rPr>
              <w:t>/</w:t>
            </w:r>
          </w:p>
        </w:tc>
        <w:tc>
          <w:tcPr>
            <w:tcW w:w="1482"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8"/>
                <w:color w:val="auto"/>
                <w:sz w:val="21"/>
                <w:szCs w:val="21"/>
                <w:u w:val="single"/>
              </w:rPr>
              <w:t>/</w:t>
            </w:r>
          </w:p>
        </w:tc>
        <w:tc>
          <w:tcPr>
            <w:tcW w:w="1996"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8"/>
                <w:color w:val="auto"/>
                <w:sz w:val="21"/>
                <w:szCs w:val="21"/>
                <w:u w:val="single"/>
              </w:rPr>
              <w:t>/</w:t>
            </w:r>
          </w:p>
        </w:tc>
        <w:tc>
          <w:tcPr>
            <w:tcW w:w="1803"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8"/>
                <w:color w:val="auto"/>
                <w:sz w:val="21"/>
                <w:szCs w:val="21"/>
                <w:u w:val="single"/>
              </w:rPr>
              <w:t>/</w:t>
            </w:r>
          </w:p>
        </w:tc>
        <w:tc>
          <w:tcPr>
            <w:tcW w:w="1668"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Fonts w:hint="eastAsia" w:ascii="Times New Roman" w:hAnsi="Times New Roman" w:cs="Times New Roman"/>
                <w:snapToGrid w:val="0"/>
                <w:kern w:val="21"/>
                <w:szCs w:val="21"/>
                <w:u w:val="single"/>
              </w:rPr>
              <w:t>3.47t/a</w:t>
            </w:r>
          </w:p>
        </w:tc>
        <w:tc>
          <w:tcPr>
            <w:tcW w:w="1996" w:type="dxa"/>
            <w:tcBorders>
              <w:tl2br w:val="nil"/>
              <w:tr2bl w:val="nil"/>
            </w:tcBorders>
            <w:vAlign w:val="center"/>
          </w:tcPr>
          <w:p>
            <w:pPr>
              <w:jc w:val="center"/>
              <w:rPr>
                <w:snapToGrid w:val="0"/>
                <w:kern w:val="21"/>
                <w:szCs w:val="21"/>
                <w:u w:val="single"/>
              </w:rPr>
            </w:pPr>
            <w:r>
              <w:rPr>
                <w:rFonts w:hint="eastAsia"/>
                <w:szCs w:val="21"/>
                <w:u w:val="single"/>
              </w:rPr>
              <w:t>0</w:t>
            </w:r>
            <w:r>
              <w:rPr>
                <w:rFonts w:hint="eastAsia"/>
                <w:bCs/>
                <w:szCs w:val="21"/>
                <w:u w:val="single"/>
              </w:rPr>
              <w:t>t/a</w:t>
            </w:r>
          </w:p>
        </w:tc>
      </w:tr>
      <w:tr>
        <w:trPr>
          <w:trHeight w:val="482" w:hRule="atLeast"/>
          <w:jc w:val="center"/>
        </w:trPr>
        <w:tc>
          <w:tcPr>
            <w:tcW w:w="1122" w:type="dxa"/>
            <w:vMerge w:val="continue"/>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p>
        </w:tc>
        <w:tc>
          <w:tcPr>
            <w:tcW w:w="1418"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9"/>
                <w:rFonts w:hint="default" w:ascii="Times New Roman" w:hAnsi="Times New Roman" w:cs="Times New Roman"/>
                <w:color w:val="auto"/>
                <w:sz w:val="21"/>
                <w:szCs w:val="21"/>
                <w:u w:val="single"/>
              </w:rPr>
              <w:t>SS</w:t>
            </w:r>
          </w:p>
        </w:tc>
        <w:tc>
          <w:tcPr>
            <w:tcW w:w="1901"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Fonts w:hint="eastAsia" w:ascii="Times New Roman" w:hAnsi="Times New Roman" w:cs="Times New Roman"/>
                <w:snapToGrid w:val="0"/>
                <w:kern w:val="21"/>
                <w:szCs w:val="21"/>
                <w:u w:val="single"/>
              </w:rPr>
              <w:t>3.47t/a</w:t>
            </w:r>
          </w:p>
        </w:tc>
        <w:tc>
          <w:tcPr>
            <w:tcW w:w="971"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8"/>
                <w:color w:val="auto"/>
                <w:sz w:val="21"/>
                <w:szCs w:val="21"/>
                <w:u w:val="single"/>
              </w:rPr>
              <w:t>/</w:t>
            </w:r>
          </w:p>
        </w:tc>
        <w:tc>
          <w:tcPr>
            <w:tcW w:w="1482"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8"/>
                <w:color w:val="auto"/>
                <w:sz w:val="21"/>
                <w:szCs w:val="21"/>
                <w:u w:val="single"/>
              </w:rPr>
              <w:t>/</w:t>
            </w:r>
          </w:p>
        </w:tc>
        <w:tc>
          <w:tcPr>
            <w:tcW w:w="1996"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8"/>
                <w:color w:val="auto"/>
                <w:sz w:val="21"/>
                <w:szCs w:val="21"/>
                <w:u w:val="single"/>
              </w:rPr>
              <w:t>/</w:t>
            </w:r>
          </w:p>
        </w:tc>
        <w:tc>
          <w:tcPr>
            <w:tcW w:w="1803"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8"/>
                <w:color w:val="auto"/>
                <w:sz w:val="21"/>
                <w:szCs w:val="21"/>
                <w:u w:val="single"/>
              </w:rPr>
              <w:t>/</w:t>
            </w:r>
          </w:p>
        </w:tc>
        <w:tc>
          <w:tcPr>
            <w:tcW w:w="1668"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Fonts w:hint="eastAsia" w:ascii="Times New Roman" w:hAnsi="Times New Roman" w:cs="Times New Roman"/>
                <w:snapToGrid w:val="0"/>
                <w:kern w:val="21"/>
                <w:szCs w:val="21"/>
                <w:u w:val="single"/>
              </w:rPr>
              <w:t>3.47t/a</w:t>
            </w:r>
          </w:p>
        </w:tc>
        <w:tc>
          <w:tcPr>
            <w:tcW w:w="1996" w:type="dxa"/>
            <w:tcBorders>
              <w:tl2br w:val="nil"/>
              <w:tr2bl w:val="nil"/>
            </w:tcBorders>
            <w:vAlign w:val="center"/>
          </w:tcPr>
          <w:p>
            <w:pPr>
              <w:jc w:val="center"/>
              <w:rPr>
                <w:snapToGrid w:val="0"/>
                <w:kern w:val="21"/>
                <w:szCs w:val="21"/>
                <w:u w:val="single"/>
              </w:rPr>
            </w:pPr>
            <w:r>
              <w:rPr>
                <w:rFonts w:hint="eastAsia"/>
                <w:szCs w:val="21"/>
                <w:u w:val="single"/>
              </w:rPr>
              <w:t>0</w:t>
            </w:r>
            <w:r>
              <w:rPr>
                <w:rFonts w:hint="eastAsia"/>
                <w:bCs/>
                <w:szCs w:val="21"/>
                <w:u w:val="single"/>
              </w:rPr>
              <w:t>t/a</w:t>
            </w:r>
          </w:p>
        </w:tc>
      </w:tr>
      <w:tr>
        <w:trPr>
          <w:trHeight w:val="482" w:hRule="atLeast"/>
          <w:jc w:val="center"/>
        </w:trPr>
        <w:tc>
          <w:tcPr>
            <w:tcW w:w="1122" w:type="dxa"/>
            <w:vMerge w:val="continue"/>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p>
        </w:tc>
        <w:tc>
          <w:tcPr>
            <w:tcW w:w="1418"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9"/>
                <w:rFonts w:hint="default" w:ascii="Times New Roman" w:hAnsi="Times New Roman" w:cs="Times New Roman"/>
                <w:color w:val="auto"/>
                <w:sz w:val="21"/>
                <w:szCs w:val="21"/>
                <w:u w:val="single"/>
              </w:rPr>
              <w:t>NH</w:t>
            </w:r>
            <w:r>
              <w:rPr>
                <w:rStyle w:val="66"/>
                <w:color w:val="auto"/>
                <w:sz w:val="21"/>
                <w:szCs w:val="21"/>
                <w:u w:val="single"/>
              </w:rPr>
              <w:t>3</w:t>
            </w:r>
            <w:r>
              <w:rPr>
                <w:rStyle w:val="69"/>
                <w:rFonts w:hint="default" w:ascii="Times New Roman" w:hAnsi="Times New Roman" w:cs="Times New Roman"/>
                <w:color w:val="auto"/>
                <w:sz w:val="21"/>
                <w:szCs w:val="21"/>
                <w:u w:val="single"/>
              </w:rPr>
              <w:t>-N</w:t>
            </w:r>
          </w:p>
        </w:tc>
        <w:tc>
          <w:tcPr>
            <w:tcW w:w="1901"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Fonts w:hint="eastAsia" w:ascii="Times New Roman" w:hAnsi="Times New Roman" w:cs="Times New Roman"/>
                <w:snapToGrid w:val="0"/>
                <w:kern w:val="21"/>
                <w:szCs w:val="21"/>
                <w:u w:val="single"/>
              </w:rPr>
              <w:t>2.6t/a</w:t>
            </w:r>
          </w:p>
        </w:tc>
        <w:tc>
          <w:tcPr>
            <w:tcW w:w="971"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8"/>
                <w:color w:val="auto"/>
                <w:sz w:val="21"/>
                <w:szCs w:val="21"/>
                <w:u w:val="single"/>
              </w:rPr>
              <w:t>/</w:t>
            </w:r>
          </w:p>
        </w:tc>
        <w:tc>
          <w:tcPr>
            <w:tcW w:w="1482"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8"/>
                <w:color w:val="auto"/>
                <w:sz w:val="21"/>
                <w:szCs w:val="21"/>
                <w:u w:val="single"/>
              </w:rPr>
              <w:t>/</w:t>
            </w:r>
          </w:p>
        </w:tc>
        <w:tc>
          <w:tcPr>
            <w:tcW w:w="1996"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8"/>
                <w:color w:val="auto"/>
                <w:sz w:val="21"/>
                <w:szCs w:val="21"/>
                <w:u w:val="single"/>
              </w:rPr>
              <w:t>/</w:t>
            </w:r>
          </w:p>
        </w:tc>
        <w:tc>
          <w:tcPr>
            <w:tcW w:w="1803"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8"/>
                <w:color w:val="auto"/>
                <w:sz w:val="21"/>
                <w:szCs w:val="21"/>
                <w:u w:val="single"/>
              </w:rPr>
              <w:t>/</w:t>
            </w:r>
          </w:p>
        </w:tc>
        <w:tc>
          <w:tcPr>
            <w:tcW w:w="1668"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Fonts w:hint="eastAsia" w:ascii="Times New Roman" w:hAnsi="Times New Roman" w:cs="Times New Roman"/>
                <w:snapToGrid w:val="0"/>
                <w:kern w:val="21"/>
                <w:szCs w:val="21"/>
                <w:u w:val="single"/>
              </w:rPr>
              <w:t>2.6t/a</w:t>
            </w:r>
          </w:p>
        </w:tc>
        <w:tc>
          <w:tcPr>
            <w:tcW w:w="1996" w:type="dxa"/>
            <w:tcBorders>
              <w:tl2br w:val="nil"/>
              <w:tr2bl w:val="nil"/>
            </w:tcBorders>
            <w:vAlign w:val="center"/>
          </w:tcPr>
          <w:p>
            <w:pPr>
              <w:jc w:val="center"/>
              <w:rPr>
                <w:snapToGrid w:val="0"/>
                <w:kern w:val="21"/>
                <w:szCs w:val="21"/>
                <w:u w:val="single"/>
              </w:rPr>
            </w:pPr>
            <w:r>
              <w:rPr>
                <w:rFonts w:hint="eastAsia"/>
                <w:szCs w:val="21"/>
                <w:u w:val="single"/>
              </w:rPr>
              <w:t>0</w:t>
            </w:r>
            <w:r>
              <w:rPr>
                <w:rFonts w:hint="eastAsia"/>
                <w:bCs/>
                <w:szCs w:val="21"/>
                <w:u w:val="single"/>
              </w:rPr>
              <w:t>t/a</w:t>
            </w:r>
          </w:p>
        </w:tc>
      </w:tr>
      <w:tr>
        <w:trPr>
          <w:trHeight w:val="482" w:hRule="atLeast"/>
          <w:jc w:val="center"/>
        </w:trPr>
        <w:tc>
          <w:tcPr>
            <w:tcW w:w="1122" w:type="dxa"/>
            <w:vMerge w:val="continue"/>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p>
        </w:tc>
        <w:tc>
          <w:tcPr>
            <w:tcW w:w="1418" w:type="dxa"/>
            <w:tcBorders>
              <w:tl2br w:val="nil"/>
              <w:tr2bl w:val="nil"/>
            </w:tcBorders>
            <w:vAlign w:val="center"/>
          </w:tcPr>
          <w:p>
            <w:pPr>
              <w:pStyle w:val="21"/>
              <w:spacing w:beforeLines="0" w:line="240" w:lineRule="auto"/>
              <w:rPr>
                <w:rStyle w:val="69"/>
                <w:rFonts w:hint="default" w:ascii="Times New Roman" w:hAnsi="Times New Roman" w:cs="Times New Roman"/>
                <w:color w:val="auto"/>
                <w:sz w:val="21"/>
                <w:szCs w:val="21"/>
                <w:u w:val="single"/>
              </w:rPr>
            </w:pPr>
            <w:r>
              <w:rPr>
                <w:rStyle w:val="69"/>
                <w:rFonts w:ascii="Times New Roman" w:hAnsi="Times New Roman" w:cs="Times New Roman"/>
                <w:color w:val="auto"/>
                <w:sz w:val="21"/>
                <w:szCs w:val="21"/>
                <w:u w:val="single"/>
              </w:rPr>
              <w:t>动植物油</w:t>
            </w:r>
          </w:p>
        </w:tc>
        <w:tc>
          <w:tcPr>
            <w:tcW w:w="1901" w:type="dxa"/>
            <w:tcBorders>
              <w:tl2br w:val="nil"/>
              <w:tr2bl w:val="nil"/>
            </w:tcBorders>
            <w:vAlign w:val="center"/>
          </w:tcPr>
          <w:p>
            <w:pPr>
              <w:pStyle w:val="21"/>
              <w:spacing w:beforeLines="0" w:line="240" w:lineRule="auto"/>
              <w:rPr>
                <w:rStyle w:val="68"/>
                <w:color w:val="auto"/>
                <w:sz w:val="21"/>
                <w:szCs w:val="21"/>
                <w:u w:val="single"/>
              </w:rPr>
            </w:pPr>
            <w:r>
              <w:rPr>
                <w:rStyle w:val="68"/>
                <w:rFonts w:hint="eastAsia"/>
                <w:color w:val="auto"/>
                <w:sz w:val="21"/>
                <w:szCs w:val="21"/>
                <w:u w:val="single"/>
              </w:rPr>
              <w:t>2.6</w:t>
            </w:r>
            <w:r>
              <w:rPr>
                <w:rFonts w:hint="eastAsia" w:ascii="Times New Roman" w:hAnsi="Times New Roman" w:cs="Times New Roman"/>
                <w:snapToGrid w:val="0"/>
                <w:kern w:val="21"/>
                <w:szCs w:val="21"/>
                <w:u w:val="single"/>
              </w:rPr>
              <w:t>t/a</w:t>
            </w:r>
          </w:p>
        </w:tc>
        <w:tc>
          <w:tcPr>
            <w:tcW w:w="971" w:type="dxa"/>
            <w:tcBorders>
              <w:tl2br w:val="nil"/>
              <w:tr2bl w:val="nil"/>
            </w:tcBorders>
            <w:vAlign w:val="center"/>
          </w:tcPr>
          <w:p>
            <w:pPr>
              <w:pStyle w:val="21"/>
              <w:spacing w:beforeLines="0" w:line="240" w:lineRule="auto"/>
              <w:rPr>
                <w:rStyle w:val="68"/>
                <w:color w:val="auto"/>
                <w:sz w:val="21"/>
                <w:szCs w:val="21"/>
                <w:u w:val="single"/>
              </w:rPr>
            </w:pPr>
            <w:r>
              <w:rPr>
                <w:rStyle w:val="68"/>
                <w:color w:val="auto"/>
                <w:sz w:val="21"/>
                <w:szCs w:val="21"/>
                <w:u w:val="single"/>
              </w:rPr>
              <w:t>/</w:t>
            </w:r>
          </w:p>
        </w:tc>
        <w:tc>
          <w:tcPr>
            <w:tcW w:w="1482" w:type="dxa"/>
            <w:tcBorders>
              <w:tl2br w:val="nil"/>
              <w:tr2bl w:val="nil"/>
            </w:tcBorders>
            <w:vAlign w:val="center"/>
          </w:tcPr>
          <w:p>
            <w:pPr>
              <w:pStyle w:val="21"/>
              <w:spacing w:beforeLines="0" w:line="240" w:lineRule="auto"/>
              <w:rPr>
                <w:rStyle w:val="68"/>
                <w:color w:val="auto"/>
                <w:sz w:val="21"/>
                <w:szCs w:val="21"/>
                <w:u w:val="single"/>
              </w:rPr>
            </w:pPr>
            <w:r>
              <w:rPr>
                <w:rStyle w:val="68"/>
                <w:color w:val="auto"/>
                <w:sz w:val="21"/>
                <w:szCs w:val="21"/>
                <w:u w:val="single"/>
              </w:rPr>
              <w:t>/</w:t>
            </w:r>
          </w:p>
        </w:tc>
        <w:tc>
          <w:tcPr>
            <w:tcW w:w="1996" w:type="dxa"/>
            <w:tcBorders>
              <w:tl2br w:val="nil"/>
              <w:tr2bl w:val="nil"/>
            </w:tcBorders>
            <w:vAlign w:val="center"/>
          </w:tcPr>
          <w:p>
            <w:pPr>
              <w:pStyle w:val="21"/>
              <w:spacing w:beforeLines="0" w:line="240" w:lineRule="auto"/>
              <w:rPr>
                <w:rStyle w:val="68"/>
                <w:color w:val="auto"/>
                <w:sz w:val="21"/>
                <w:szCs w:val="21"/>
                <w:u w:val="single"/>
              </w:rPr>
            </w:pPr>
            <w:r>
              <w:rPr>
                <w:rStyle w:val="68"/>
                <w:color w:val="auto"/>
                <w:sz w:val="21"/>
                <w:szCs w:val="21"/>
                <w:u w:val="single"/>
              </w:rPr>
              <w:t>/</w:t>
            </w:r>
          </w:p>
        </w:tc>
        <w:tc>
          <w:tcPr>
            <w:tcW w:w="1803" w:type="dxa"/>
            <w:tcBorders>
              <w:tl2br w:val="nil"/>
              <w:tr2bl w:val="nil"/>
            </w:tcBorders>
            <w:vAlign w:val="center"/>
          </w:tcPr>
          <w:p>
            <w:pPr>
              <w:pStyle w:val="21"/>
              <w:spacing w:beforeLines="0" w:line="240" w:lineRule="auto"/>
              <w:rPr>
                <w:rStyle w:val="68"/>
                <w:color w:val="auto"/>
                <w:sz w:val="21"/>
                <w:szCs w:val="21"/>
                <w:u w:val="single"/>
              </w:rPr>
            </w:pPr>
            <w:r>
              <w:rPr>
                <w:rStyle w:val="68"/>
                <w:color w:val="auto"/>
                <w:sz w:val="21"/>
                <w:szCs w:val="21"/>
                <w:u w:val="single"/>
              </w:rPr>
              <w:t>/</w:t>
            </w:r>
          </w:p>
        </w:tc>
        <w:tc>
          <w:tcPr>
            <w:tcW w:w="1668" w:type="dxa"/>
            <w:tcBorders>
              <w:tl2br w:val="nil"/>
              <w:tr2bl w:val="nil"/>
            </w:tcBorders>
            <w:vAlign w:val="center"/>
          </w:tcPr>
          <w:p>
            <w:pPr>
              <w:pStyle w:val="21"/>
              <w:spacing w:beforeLines="0" w:line="240" w:lineRule="auto"/>
              <w:rPr>
                <w:rStyle w:val="68"/>
                <w:color w:val="auto"/>
                <w:sz w:val="21"/>
                <w:szCs w:val="21"/>
                <w:u w:val="single"/>
              </w:rPr>
            </w:pPr>
            <w:r>
              <w:rPr>
                <w:rStyle w:val="68"/>
                <w:rFonts w:hint="eastAsia"/>
                <w:color w:val="auto"/>
                <w:sz w:val="21"/>
                <w:szCs w:val="21"/>
                <w:u w:val="single"/>
              </w:rPr>
              <w:t>2.6</w:t>
            </w:r>
            <w:r>
              <w:rPr>
                <w:rFonts w:hint="eastAsia" w:ascii="Times New Roman" w:hAnsi="Times New Roman" w:cs="Times New Roman"/>
                <w:snapToGrid w:val="0"/>
                <w:kern w:val="21"/>
                <w:szCs w:val="21"/>
                <w:u w:val="single"/>
              </w:rPr>
              <w:t>t/a</w:t>
            </w:r>
          </w:p>
        </w:tc>
        <w:tc>
          <w:tcPr>
            <w:tcW w:w="1996" w:type="dxa"/>
            <w:tcBorders>
              <w:tl2br w:val="nil"/>
              <w:tr2bl w:val="nil"/>
            </w:tcBorders>
            <w:vAlign w:val="center"/>
          </w:tcPr>
          <w:p>
            <w:pPr>
              <w:jc w:val="center"/>
              <w:rPr>
                <w:rStyle w:val="68"/>
                <w:color w:val="auto"/>
                <w:sz w:val="21"/>
                <w:szCs w:val="21"/>
                <w:u w:val="single"/>
              </w:rPr>
            </w:pPr>
            <w:r>
              <w:rPr>
                <w:rFonts w:hint="eastAsia"/>
                <w:szCs w:val="21"/>
                <w:u w:val="single"/>
              </w:rPr>
              <w:t>0</w:t>
            </w:r>
            <w:r>
              <w:rPr>
                <w:rFonts w:hint="eastAsia"/>
                <w:bCs/>
                <w:szCs w:val="21"/>
                <w:u w:val="single"/>
              </w:rPr>
              <w:t>t/a</w:t>
            </w:r>
          </w:p>
        </w:tc>
      </w:tr>
      <w:tr>
        <w:trPr>
          <w:trHeight w:val="482" w:hRule="atLeast"/>
          <w:jc w:val="center"/>
        </w:trPr>
        <w:tc>
          <w:tcPr>
            <w:tcW w:w="1122" w:type="dxa"/>
            <w:vMerge w:val="restart"/>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Fonts w:ascii="Times New Roman" w:hAnsi="Times New Roman" w:cs="Times New Roman"/>
                <w:snapToGrid w:val="0"/>
                <w:kern w:val="21"/>
                <w:szCs w:val="21"/>
                <w:u w:val="single"/>
              </w:rPr>
              <w:t>一般工业固体废物</w:t>
            </w:r>
          </w:p>
        </w:tc>
        <w:tc>
          <w:tcPr>
            <w:tcW w:w="1418" w:type="dxa"/>
            <w:tcBorders>
              <w:tl2br w:val="nil"/>
              <w:tr2bl w:val="nil"/>
            </w:tcBorders>
            <w:vAlign w:val="center"/>
          </w:tcPr>
          <w:p>
            <w:pPr>
              <w:pStyle w:val="22"/>
              <w:rPr>
                <w:rStyle w:val="69"/>
                <w:rFonts w:hint="default" w:ascii="Times New Roman" w:hAnsi="Times New Roman"/>
                <w:color w:val="auto"/>
                <w:sz w:val="21"/>
                <w:szCs w:val="21"/>
                <w:u w:val="single"/>
              </w:rPr>
            </w:pPr>
            <w:r>
              <w:rPr>
                <w:rFonts w:hint="eastAsia"/>
                <w:u w:val="single"/>
              </w:rPr>
              <w:t>炉渣</w:t>
            </w:r>
          </w:p>
        </w:tc>
        <w:tc>
          <w:tcPr>
            <w:tcW w:w="1901" w:type="dxa"/>
            <w:tcBorders>
              <w:tl2br w:val="nil"/>
              <w:tr2bl w:val="nil"/>
            </w:tcBorders>
            <w:vAlign w:val="center"/>
          </w:tcPr>
          <w:p>
            <w:pPr>
              <w:pStyle w:val="22"/>
              <w:rPr>
                <w:rStyle w:val="68"/>
                <w:color w:val="auto"/>
                <w:sz w:val="21"/>
                <w:szCs w:val="21"/>
                <w:u w:val="single"/>
              </w:rPr>
            </w:pPr>
            <w:r>
              <w:rPr>
                <w:rFonts w:hint="eastAsia"/>
                <w:u w:val="single"/>
              </w:rPr>
              <w:t>15</w:t>
            </w:r>
            <w:r>
              <w:rPr>
                <w:rFonts w:hint="eastAsia"/>
                <w:snapToGrid w:val="0"/>
                <w:kern w:val="21"/>
                <w:u w:val="single"/>
              </w:rPr>
              <w:t>t/a</w:t>
            </w:r>
          </w:p>
        </w:tc>
        <w:tc>
          <w:tcPr>
            <w:tcW w:w="971" w:type="dxa"/>
            <w:tcBorders>
              <w:tl2br w:val="nil"/>
              <w:tr2bl w:val="nil"/>
            </w:tcBorders>
            <w:vAlign w:val="center"/>
          </w:tcPr>
          <w:p>
            <w:pPr>
              <w:pStyle w:val="21"/>
              <w:spacing w:beforeLines="0" w:line="240" w:lineRule="auto"/>
              <w:rPr>
                <w:rStyle w:val="68"/>
                <w:color w:val="auto"/>
                <w:sz w:val="21"/>
                <w:szCs w:val="21"/>
                <w:u w:val="single"/>
              </w:rPr>
            </w:pPr>
            <w:r>
              <w:rPr>
                <w:rStyle w:val="68"/>
                <w:color w:val="auto"/>
                <w:sz w:val="21"/>
                <w:szCs w:val="21"/>
                <w:u w:val="single"/>
              </w:rPr>
              <w:t>/</w:t>
            </w:r>
          </w:p>
        </w:tc>
        <w:tc>
          <w:tcPr>
            <w:tcW w:w="1482" w:type="dxa"/>
            <w:tcBorders>
              <w:tl2br w:val="nil"/>
              <w:tr2bl w:val="nil"/>
            </w:tcBorders>
            <w:vAlign w:val="center"/>
          </w:tcPr>
          <w:p>
            <w:pPr>
              <w:pStyle w:val="21"/>
              <w:spacing w:beforeLines="0" w:line="240" w:lineRule="auto"/>
              <w:rPr>
                <w:rStyle w:val="68"/>
                <w:color w:val="auto"/>
                <w:sz w:val="21"/>
                <w:szCs w:val="21"/>
                <w:u w:val="single"/>
              </w:rPr>
            </w:pPr>
            <w:r>
              <w:rPr>
                <w:rStyle w:val="68"/>
                <w:color w:val="auto"/>
                <w:sz w:val="21"/>
                <w:szCs w:val="21"/>
                <w:u w:val="single"/>
              </w:rPr>
              <w:t>/</w:t>
            </w:r>
          </w:p>
        </w:tc>
        <w:tc>
          <w:tcPr>
            <w:tcW w:w="1996" w:type="dxa"/>
            <w:tcBorders>
              <w:tl2br w:val="nil"/>
              <w:tr2bl w:val="nil"/>
            </w:tcBorders>
            <w:vAlign w:val="center"/>
          </w:tcPr>
          <w:p>
            <w:pPr>
              <w:pStyle w:val="21"/>
              <w:spacing w:beforeLines="0" w:line="240" w:lineRule="auto"/>
              <w:rPr>
                <w:rStyle w:val="68"/>
                <w:color w:val="auto"/>
                <w:sz w:val="21"/>
                <w:szCs w:val="21"/>
                <w:u w:val="single"/>
              </w:rPr>
            </w:pPr>
            <w:r>
              <w:rPr>
                <w:rStyle w:val="68"/>
                <w:rFonts w:hint="eastAsia"/>
                <w:color w:val="auto"/>
                <w:sz w:val="21"/>
                <w:szCs w:val="21"/>
                <w:u w:val="single"/>
              </w:rPr>
              <w:t>12.45</w:t>
            </w:r>
            <w:r>
              <w:rPr>
                <w:rFonts w:hint="eastAsia" w:ascii="Times New Roman" w:hAnsi="Times New Roman" w:cs="Times New Roman"/>
                <w:snapToGrid w:val="0"/>
                <w:kern w:val="21"/>
                <w:szCs w:val="21"/>
                <w:u w:val="single"/>
              </w:rPr>
              <w:t>t/a</w:t>
            </w:r>
          </w:p>
        </w:tc>
        <w:tc>
          <w:tcPr>
            <w:tcW w:w="1803" w:type="dxa"/>
            <w:tcBorders>
              <w:tl2br w:val="nil"/>
              <w:tr2bl w:val="nil"/>
            </w:tcBorders>
            <w:vAlign w:val="center"/>
          </w:tcPr>
          <w:p>
            <w:pPr>
              <w:pStyle w:val="22"/>
              <w:rPr>
                <w:rStyle w:val="68"/>
                <w:color w:val="auto"/>
                <w:sz w:val="21"/>
                <w:szCs w:val="21"/>
                <w:u w:val="single"/>
              </w:rPr>
            </w:pPr>
            <w:r>
              <w:rPr>
                <w:rFonts w:hint="eastAsia"/>
                <w:u w:val="single"/>
              </w:rPr>
              <w:t>15</w:t>
            </w:r>
            <w:r>
              <w:rPr>
                <w:rFonts w:hint="eastAsia"/>
                <w:snapToGrid w:val="0"/>
                <w:kern w:val="21"/>
                <w:u w:val="single"/>
              </w:rPr>
              <w:t>t/a</w:t>
            </w:r>
          </w:p>
        </w:tc>
        <w:tc>
          <w:tcPr>
            <w:tcW w:w="1668" w:type="dxa"/>
            <w:tcBorders>
              <w:tl2br w:val="nil"/>
              <w:tr2bl w:val="nil"/>
            </w:tcBorders>
            <w:vAlign w:val="center"/>
          </w:tcPr>
          <w:p>
            <w:pPr>
              <w:pStyle w:val="21"/>
              <w:spacing w:beforeLines="0" w:line="240" w:lineRule="auto"/>
              <w:rPr>
                <w:rStyle w:val="68"/>
                <w:color w:val="auto"/>
                <w:sz w:val="21"/>
                <w:szCs w:val="21"/>
                <w:u w:val="single"/>
              </w:rPr>
            </w:pPr>
            <w:r>
              <w:rPr>
                <w:rStyle w:val="68"/>
                <w:rFonts w:hint="eastAsia"/>
                <w:color w:val="auto"/>
                <w:sz w:val="21"/>
                <w:szCs w:val="21"/>
                <w:u w:val="single"/>
              </w:rPr>
              <w:t>12.45</w:t>
            </w:r>
            <w:r>
              <w:rPr>
                <w:rFonts w:hint="eastAsia" w:ascii="Times New Roman" w:hAnsi="Times New Roman" w:cs="Times New Roman"/>
                <w:snapToGrid w:val="0"/>
                <w:kern w:val="21"/>
                <w:szCs w:val="21"/>
                <w:u w:val="single"/>
              </w:rPr>
              <w:t>t/a</w:t>
            </w:r>
          </w:p>
        </w:tc>
        <w:tc>
          <w:tcPr>
            <w:tcW w:w="1996" w:type="dxa"/>
            <w:tcBorders>
              <w:tl2br w:val="nil"/>
              <w:tr2bl w:val="nil"/>
            </w:tcBorders>
            <w:vAlign w:val="center"/>
          </w:tcPr>
          <w:p>
            <w:pPr>
              <w:jc w:val="center"/>
              <w:rPr>
                <w:szCs w:val="21"/>
                <w:u w:val="single"/>
              </w:rPr>
            </w:pPr>
            <w:r>
              <w:rPr>
                <w:rFonts w:hint="eastAsia"/>
                <w:szCs w:val="21"/>
                <w:u w:val="single"/>
              </w:rPr>
              <w:t>-2.55</w:t>
            </w:r>
            <w:r>
              <w:rPr>
                <w:rFonts w:hint="eastAsia"/>
                <w:bCs/>
                <w:szCs w:val="21"/>
                <w:u w:val="single"/>
              </w:rPr>
              <w:t>t/a</w:t>
            </w:r>
          </w:p>
        </w:tc>
      </w:tr>
      <w:tr>
        <w:trPr>
          <w:trHeight w:val="482" w:hRule="atLeast"/>
          <w:jc w:val="center"/>
        </w:trPr>
        <w:tc>
          <w:tcPr>
            <w:tcW w:w="1122" w:type="dxa"/>
            <w:vMerge w:val="continue"/>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p>
        </w:tc>
        <w:tc>
          <w:tcPr>
            <w:tcW w:w="1418" w:type="dxa"/>
            <w:tcBorders>
              <w:tl2br w:val="nil"/>
              <w:tr2bl w:val="nil"/>
            </w:tcBorders>
            <w:vAlign w:val="center"/>
          </w:tcPr>
          <w:p>
            <w:pPr>
              <w:pStyle w:val="22"/>
              <w:rPr>
                <w:rStyle w:val="69"/>
                <w:rFonts w:hint="default" w:ascii="Times New Roman" w:hAnsi="Times New Roman"/>
                <w:color w:val="auto"/>
                <w:sz w:val="21"/>
                <w:szCs w:val="21"/>
                <w:u w:val="single"/>
              </w:rPr>
            </w:pPr>
            <w:r>
              <w:rPr>
                <w:rFonts w:hint="eastAsia"/>
                <w:u w:val="single"/>
              </w:rPr>
              <w:t>除尘灰</w:t>
            </w:r>
          </w:p>
        </w:tc>
        <w:tc>
          <w:tcPr>
            <w:tcW w:w="1901" w:type="dxa"/>
            <w:tcBorders>
              <w:tl2br w:val="nil"/>
              <w:tr2bl w:val="nil"/>
            </w:tcBorders>
            <w:vAlign w:val="center"/>
          </w:tcPr>
          <w:p>
            <w:pPr>
              <w:pStyle w:val="22"/>
              <w:rPr>
                <w:rStyle w:val="68"/>
                <w:color w:val="auto"/>
                <w:sz w:val="21"/>
                <w:szCs w:val="21"/>
                <w:u w:val="single"/>
              </w:rPr>
            </w:pPr>
            <w:r>
              <w:rPr>
                <w:rFonts w:hint="eastAsia"/>
                <w:u w:val="single"/>
              </w:rPr>
              <w:t>13.22</w:t>
            </w:r>
            <w:r>
              <w:rPr>
                <w:rFonts w:hint="eastAsia"/>
                <w:snapToGrid w:val="0"/>
                <w:kern w:val="21"/>
                <w:u w:val="single"/>
              </w:rPr>
              <w:t>t/a</w:t>
            </w:r>
          </w:p>
        </w:tc>
        <w:tc>
          <w:tcPr>
            <w:tcW w:w="971" w:type="dxa"/>
            <w:tcBorders>
              <w:tl2br w:val="nil"/>
              <w:tr2bl w:val="nil"/>
            </w:tcBorders>
            <w:vAlign w:val="center"/>
          </w:tcPr>
          <w:p>
            <w:pPr>
              <w:pStyle w:val="21"/>
              <w:spacing w:beforeLines="0" w:line="240" w:lineRule="auto"/>
              <w:rPr>
                <w:rStyle w:val="68"/>
                <w:color w:val="auto"/>
                <w:sz w:val="21"/>
                <w:szCs w:val="21"/>
                <w:u w:val="single"/>
              </w:rPr>
            </w:pPr>
            <w:r>
              <w:rPr>
                <w:rStyle w:val="68"/>
                <w:color w:val="auto"/>
                <w:sz w:val="21"/>
                <w:szCs w:val="21"/>
                <w:u w:val="single"/>
              </w:rPr>
              <w:t>/</w:t>
            </w:r>
          </w:p>
        </w:tc>
        <w:tc>
          <w:tcPr>
            <w:tcW w:w="1482" w:type="dxa"/>
            <w:tcBorders>
              <w:tl2br w:val="nil"/>
              <w:tr2bl w:val="nil"/>
            </w:tcBorders>
            <w:vAlign w:val="center"/>
          </w:tcPr>
          <w:p>
            <w:pPr>
              <w:pStyle w:val="21"/>
              <w:spacing w:beforeLines="0" w:line="240" w:lineRule="auto"/>
              <w:rPr>
                <w:rStyle w:val="68"/>
                <w:color w:val="auto"/>
                <w:sz w:val="21"/>
                <w:szCs w:val="21"/>
                <w:u w:val="single"/>
              </w:rPr>
            </w:pPr>
            <w:r>
              <w:rPr>
                <w:rStyle w:val="68"/>
                <w:color w:val="auto"/>
                <w:sz w:val="21"/>
                <w:szCs w:val="21"/>
                <w:u w:val="single"/>
              </w:rPr>
              <w:t>/</w:t>
            </w:r>
          </w:p>
        </w:tc>
        <w:tc>
          <w:tcPr>
            <w:tcW w:w="1996" w:type="dxa"/>
            <w:tcBorders>
              <w:tl2br w:val="nil"/>
              <w:tr2bl w:val="nil"/>
            </w:tcBorders>
            <w:vAlign w:val="center"/>
          </w:tcPr>
          <w:p>
            <w:pPr>
              <w:pStyle w:val="21"/>
              <w:spacing w:beforeLines="0" w:line="240" w:lineRule="auto"/>
              <w:rPr>
                <w:rStyle w:val="68"/>
                <w:color w:val="auto"/>
                <w:sz w:val="21"/>
                <w:szCs w:val="21"/>
                <w:u w:val="single"/>
              </w:rPr>
            </w:pPr>
            <w:r>
              <w:rPr>
                <w:rStyle w:val="68"/>
                <w:rFonts w:hint="eastAsia"/>
                <w:color w:val="auto"/>
                <w:sz w:val="21"/>
                <w:szCs w:val="21"/>
                <w:u w:val="single"/>
              </w:rPr>
              <w:t>7.23</w:t>
            </w:r>
            <w:r>
              <w:rPr>
                <w:rFonts w:hint="eastAsia" w:ascii="Times New Roman" w:hAnsi="Times New Roman" w:cs="Times New Roman"/>
                <w:snapToGrid w:val="0"/>
                <w:kern w:val="21"/>
                <w:szCs w:val="21"/>
                <w:u w:val="single"/>
              </w:rPr>
              <w:t>t/a</w:t>
            </w:r>
          </w:p>
        </w:tc>
        <w:tc>
          <w:tcPr>
            <w:tcW w:w="1803" w:type="dxa"/>
            <w:tcBorders>
              <w:tl2br w:val="nil"/>
              <w:tr2bl w:val="nil"/>
            </w:tcBorders>
            <w:vAlign w:val="center"/>
          </w:tcPr>
          <w:p>
            <w:pPr>
              <w:pStyle w:val="22"/>
              <w:rPr>
                <w:rStyle w:val="68"/>
                <w:color w:val="auto"/>
                <w:sz w:val="21"/>
                <w:szCs w:val="21"/>
                <w:u w:val="single"/>
              </w:rPr>
            </w:pPr>
            <w:r>
              <w:rPr>
                <w:rFonts w:hint="eastAsia"/>
                <w:u w:val="single"/>
              </w:rPr>
              <w:t>13.22</w:t>
            </w:r>
            <w:r>
              <w:rPr>
                <w:rFonts w:hint="eastAsia"/>
                <w:snapToGrid w:val="0"/>
                <w:kern w:val="21"/>
                <w:u w:val="single"/>
              </w:rPr>
              <w:t>t/a</w:t>
            </w:r>
          </w:p>
        </w:tc>
        <w:tc>
          <w:tcPr>
            <w:tcW w:w="1668" w:type="dxa"/>
            <w:tcBorders>
              <w:tl2br w:val="nil"/>
              <w:tr2bl w:val="nil"/>
            </w:tcBorders>
            <w:vAlign w:val="center"/>
          </w:tcPr>
          <w:p>
            <w:pPr>
              <w:pStyle w:val="21"/>
              <w:spacing w:beforeLines="0" w:line="240" w:lineRule="auto"/>
              <w:rPr>
                <w:rStyle w:val="68"/>
                <w:color w:val="auto"/>
                <w:sz w:val="21"/>
                <w:szCs w:val="21"/>
                <w:u w:val="single"/>
              </w:rPr>
            </w:pPr>
            <w:r>
              <w:rPr>
                <w:rStyle w:val="68"/>
                <w:rFonts w:hint="eastAsia"/>
                <w:color w:val="auto"/>
                <w:sz w:val="21"/>
                <w:szCs w:val="21"/>
                <w:u w:val="single"/>
              </w:rPr>
              <w:t>7.23</w:t>
            </w:r>
            <w:r>
              <w:rPr>
                <w:rFonts w:hint="eastAsia" w:ascii="Times New Roman" w:hAnsi="Times New Roman" w:cs="Times New Roman"/>
                <w:snapToGrid w:val="0"/>
                <w:kern w:val="21"/>
                <w:szCs w:val="21"/>
                <w:u w:val="single"/>
              </w:rPr>
              <w:t>t/a</w:t>
            </w:r>
          </w:p>
        </w:tc>
        <w:tc>
          <w:tcPr>
            <w:tcW w:w="1996" w:type="dxa"/>
            <w:tcBorders>
              <w:tl2br w:val="nil"/>
              <w:tr2bl w:val="nil"/>
            </w:tcBorders>
            <w:vAlign w:val="center"/>
          </w:tcPr>
          <w:p>
            <w:pPr>
              <w:jc w:val="center"/>
              <w:rPr>
                <w:szCs w:val="21"/>
                <w:u w:val="single"/>
              </w:rPr>
            </w:pPr>
            <w:r>
              <w:rPr>
                <w:rFonts w:hint="eastAsia"/>
                <w:szCs w:val="21"/>
                <w:u w:val="single"/>
              </w:rPr>
              <w:t>-5.99</w:t>
            </w:r>
            <w:r>
              <w:rPr>
                <w:rFonts w:hint="eastAsia"/>
                <w:bCs/>
                <w:szCs w:val="21"/>
                <w:u w:val="single"/>
              </w:rPr>
              <w:t>t/a</w:t>
            </w:r>
          </w:p>
        </w:tc>
      </w:tr>
      <w:tr>
        <w:trPr>
          <w:trHeight w:val="482" w:hRule="atLeast"/>
          <w:jc w:val="center"/>
        </w:trPr>
        <w:tc>
          <w:tcPr>
            <w:tcW w:w="1122" w:type="dxa"/>
            <w:vMerge w:val="continue"/>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p>
        </w:tc>
        <w:tc>
          <w:tcPr>
            <w:tcW w:w="1418" w:type="dxa"/>
            <w:tcBorders>
              <w:tl2br w:val="nil"/>
              <w:tr2bl w:val="nil"/>
            </w:tcBorders>
            <w:vAlign w:val="center"/>
          </w:tcPr>
          <w:p>
            <w:pPr>
              <w:pStyle w:val="22"/>
              <w:rPr>
                <w:kern w:val="0"/>
                <w:u w:val="single"/>
              </w:rPr>
            </w:pPr>
            <w:r>
              <w:rPr>
                <w:rFonts w:hint="eastAsia"/>
                <w:u w:val="single"/>
              </w:rPr>
              <w:t>生活垃圾</w:t>
            </w:r>
          </w:p>
        </w:tc>
        <w:tc>
          <w:tcPr>
            <w:tcW w:w="1901" w:type="dxa"/>
            <w:tcBorders>
              <w:tl2br w:val="nil"/>
              <w:tr2bl w:val="nil"/>
            </w:tcBorders>
            <w:vAlign w:val="center"/>
          </w:tcPr>
          <w:p>
            <w:pPr>
              <w:pStyle w:val="22"/>
              <w:rPr>
                <w:kern w:val="0"/>
                <w:u w:val="single"/>
              </w:rPr>
            </w:pPr>
            <w:r>
              <w:rPr>
                <w:rFonts w:hint="eastAsia"/>
                <w:u w:val="single"/>
              </w:rPr>
              <w:t>2.0</w:t>
            </w:r>
            <w:r>
              <w:rPr>
                <w:rFonts w:hint="eastAsia"/>
                <w:snapToGrid w:val="0"/>
                <w:kern w:val="21"/>
                <w:u w:val="single"/>
              </w:rPr>
              <w:t>t/a</w:t>
            </w:r>
          </w:p>
        </w:tc>
        <w:tc>
          <w:tcPr>
            <w:tcW w:w="971"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8"/>
                <w:color w:val="auto"/>
                <w:sz w:val="21"/>
                <w:szCs w:val="21"/>
                <w:u w:val="single"/>
              </w:rPr>
              <w:t>/</w:t>
            </w:r>
          </w:p>
        </w:tc>
        <w:tc>
          <w:tcPr>
            <w:tcW w:w="1482"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8"/>
                <w:color w:val="auto"/>
                <w:sz w:val="21"/>
                <w:szCs w:val="21"/>
                <w:u w:val="single"/>
              </w:rPr>
              <w:t>/</w:t>
            </w:r>
          </w:p>
        </w:tc>
        <w:tc>
          <w:tcPr>
            <w:tcW w:w="1996" w:type="dxa"/>
            <w:tcBorders>
              <w:tl2br w:val="nil"/>
              <w:tr2bl w:val="nil"/>
            </w:tcBorders>
            <w:vAlign w:val="center"/>
          </w:tcPr>
          <w:p>
            <w:pPr>
              <w:adjustRightInd w:val="0"/>
              <w:snapToGrid w:val="0"/>
              <w:jc w:val="center"/>
              <w:rPr>
                <w:bCs/>
                <w:szCs w:val="21"/>
                <w:u w:val="single"/>
              </w:rPr>
            </w:pPr>
            <w:r>
              <w:rPr>
                <w:rFonts w:hint="eastAsia"/>
                <w:bCs/>
                <w:szCs w:val="21"/>
                <w:u w:val="single"/>
              </w:rPr>
              <w:t>0</w:t>
            </w:r>
            <w:r>
              <w:rPr>
                <w:rFonts w:hint="eastAsia"/>
                <w:snapToGrid w:val="0"/>
                <w:kern w:val="21"/>
                <w:szCs w:val="21"/>
                <w:u w:val="single"/>
              </w:rPr>
              <w:t>t/a</w:t>
            </w:r>
          </w:p>
        </w:tc>
        <w:tc>
          <w:tcPr>
            <w:tcW w:w="1803" w:type="dxa"/>
            <w:tcBorders>
              <w:tl2br w:val="nil"/>
              <w:tr2bl w:val="nil"/>
            </w:tcBorders>
            <w:vAlign w:val="center"/>
          </w:tcPr>
          <w:p>
            <w:pPr>
              <w:jc w:val="center"/>
              <w:rPr>
                <w:snapToGrid w:val="0"/>
                <w:kern w:val="21"/>
                <w:szCs w:val="21"/>
                <w:u w:val="single"/>
              </w:rPr>
            </w:pPr>
            <w:r>
              <w:rPr>
                <w:rStyle w:val="68"/>
                <w:color w:val="auto"/>
                <w:sz w:val="21"/>
                <w:szCs w:val="21"/>
                <w:u w:val="single"/>
              </w:rPr>
              <w:t>/</w:t>
            </w:r>
          </w:p>
        </w:tc>
        <w:tc>
          <w:tcPr>
            <w:tcW w:w="1668" w:type="dxa"/>
            <w:tcBorders>
              <w:tl2br w:val="nil"/>
              <w:tr2bl w:val="nil"/>
            </w:tcBorders>
            <w:vAlign w:val="center"/>
          </w:tcPr>
          <w:p>
            <w:pPr>
              <w:pStyle w:val="22"/>
              <w:rPr>
                <w:snapToGrid w:val="0"/>
                <w:kern w:val="21"/>
                <w:u w:val="single"/>
              </w:rPr>
            </w:pPr>
            <w:r>
              <w:rPr>
                <w:rFonts w:hint="eastAsia"/>
                <w:u w:val="single"/>
              </w:rPr>
              <w:t>2.0</w:t>
            </w:r>
            <w:r>
              <w:rPr>
                <w:rFonts w:hint="eastAsia"/>
                <w:snapToGrid w:val="0"/>
                <w:kern w:val="21"/>
                <w:u w:val="single"/>
              </w:rPr>
              <w:t>t/a</w:t>
            </w:r>
          </w:p>
        </w:tc>
        <w:tc>
          <w:tcPr>
            <w:tcW w:w="1996" w:type="dxa"/>
            <w:tcBorders>
              <w:tl2br w:val="nil"/>
              <w:tr2bl w:val="nil"/>
            </w:tcBorders>
            <w:vAlign w:val="center"/>
          </w:tcPr>
          <w:p>
            <w:pPr>
              <w:adjustRightInd w:val="0"/>
              <w:snapToGrid w:val="0"/>
              <w:jc w:val="center"/>
              <w:rPr>
                <w:snapToGrid w:val="0"/>
                <w:kern w:val="21"/>
                <w:szCs w:val="21"/>
                <w:u w:val="single"/>
              </w:rPr>
            </w:pPr>
            <w:r>
              <w:rPr>
                <w:rFonts w:hint="eastAsia"/>
                <w:bCs/>
                <w:szCs w:val="21"/>
                <w:u w:val="single"/>
              </w:rPr>
              <w:t>0t/a</w:t>
            </w:r>
          </w:p>
        </w:tc>
      </w:tr>
      <w:tr>
        <w:trPr>
          <w:trHeight w:val="482" w:hRule="atLeast"/>
          <w:jc w:val="center"/>
        </w:trPr>
        <w:tc>
          <w:tcPr>
            <w:tcW w:w="1122" w:type="dxa"/>
            <w:vMerge w:val="continue"/>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p>
        </w:tc>
        <w:tc>
          <w:tcPr>
            <w:tcW w:w="1418" w:type="dxa"/>
            <w:tcBorders>
              <w:tl2br w:val="nil"/>
              <w:tr2bl w:val="nil"/>
            </w:tcBorders>
            <w:vAlign w:val="center"/>
          </w:tcPr>
          <w:p>
            <w:pPr>
              <w:pStyle w:val="22"/>
              <w:rPr>
                <w:rStyle w:val="70"/>
                <w:rFonts w:hint="default" w:ascii="Times New Roman" w:hAnsi="Times New Roman"/>
                <w:color w:val="auto"/>
                <w:u w:val="single"/>
              </w:rPr>
            </w:pPr>
            <w:r>
              <w:rPr>
                <w:rFonts w:hint="eastAsia"/>
                <w:u w:val="single"/>
              </w:rPr>
              <w:t>污水处理站污泥</w:t>
            </w:r>
          </w:p>
        </w:tc>
        <w:tc>
          <w:tcPr>
            <w:tcW w:w="1901" w:type="dxa"/>
            <w:tcBorders>
              <w:tl2br w:val="nil"/>
              <w:tr2bl w:val="nil"/>
            </w:tcBorders>
            <w:vAlign w:val="center"/>
          </w:tcPr>
          <w:p>
            <w:pPr>
              <w:pStyle w:val="22"/>
              <w:rPr>
                <w:rStyle w:val="68"/>
                <w:color w:val="auto"/>
                <w:sz w:val="21"/>
                <w:szCs w:val="21"/>
                <w:u w:val="single"/>
              </w:rPr>
            </w:pPr>
            <w:r>
              <w:rPr>
                <w:rFonts w:hint="eastAsia"/>
                <w:u w:val="single"/>
              </w:rPr>
              <w:t>0.5</w:t>
            </w:r>
            <w:r>
              <w:rPr>
                <w:rFonts w:hint="eastAsia"/>
                <w:snapToGrid w:val="0"/>
                <w:kern w:val="21"/>
                <w:u w:val="single"/>
              </w:rPr>
              <w:t>t/a</w:t>
            </w:r>
          </w:p>
        </w:tc>
        <w:tc>
          <w:tcPr>
            <w:tcW w:w="971" w:type="dxa"/>
            <w:tcBorders>
              <w:tl2br w:val="nil"/>
              <w:tr2bl w:val="nil"/>
            </w:tcBorders>
            <w:vAlign w:val="center"/>
          </w:tcPr>
          <w:p>
            <w:pPr>
              <w:pStyle w:val="21"/>
              <w:spacing w:beforeLines="0" w:line="240" w:lineRule="auto"/>
              <w:rPr>
                <w:rStyle w:val="68"/>
                <w:color w:val="auto"/>
                <w:sz w:val="21"/>
                <w:szCs w:val="21"/>
                <w:u w:val="single"/>
              </w:rPr>
            </w:pPr>
            <w:r>
              <w:rPr>
                <w:rStyle w:val="68"/>
                <w:color w:val="auto"/>
                <w:sz w:val="21"/>
                <w:szCs w:val="21"/>
                <w:u w:val="single"/>
              </w:rPr>
              <w:t>/</w:t>
            </w:r>
          </w:p>
        </w:tc>
        <w:tc>
          <w:tcPr>
            <w:tcW w:w="1482" w:type="dxa"/>
            <w:tcBorders>
              <w:tl2br w:val="nil"/>
              <w:tr2bl w:val="nil"/>
            </w:tcBorders>
            <w:vAlign w:val="center"/>
          </w:tcPr>
          <w:p>
            <w:pPr>
              <w:pStyle w:val="21"/>
              <w:spacing w:beforeLines="0" w:line="240" w:lineRule="auto"/>
              <w:rPr>
                <w:rStyle w:val="68"/>
                <w:color w:val="auto"/>
                <w:sz w:val="21"/>
                <w:szCs w:val="21"/>
                <w:u w:val="single"/>
              </w:rPr>
            </w:pPr>
            <w:r>
              <w:rPr>
                <w:rStyle w:val="68"/>
                <w:color w:val="auto"/>
                <w:sz w:val="21"/>
                <w:szCs w:val="21"/>
                <w:u w:val="single"/>
              </w:rPr>
              <w:t>/</w:t>
            </w:r>
          </w:p>
        </w:tc>
        <w:tc>
          <w:tcPr>
            <w:tcW w:w="1996" w:type="dxa"/>
            <w:tcBorders>
              <w:tl2br w:val="nil"/>
              <w:tr2bl w:val="nil"/>
            </w:tcBorders>
            <w:vAlign w:val="center"/>
          </w:tcPr>
          <w:p>
            <w:pPr>
              <w:adjustRightInd w:val="0"/>
              <w:snapToGrid w:val="0"/>
              <w:jc w:val="center"/>
              <w:rPr>
                <w:bCs/>
                <w:szCs w:val="21"/>
                <w:u w:val="single"/>
              </w:rPr>
            </w:pPr>
            <w:r>
              <w:rPr>
                <w:rFonts w:hint="eastAsia"/>
                <w:bCs/>
                <w:szCs w:val="21"/>
                <w:u w:val="single"/>
              </w:rPr>
              <w:t>0</w:t>
            </w:r>
            <w:r>
              <w:rPr>
                <w:rFonts w:hint="eastAsia"/>
                <w:snapToGrid w:val="0"/>
                <w:kern w:val="21"/>
                <w:szCs w:val="21"/>
                <w:u w:val="single"/>
              </w:rPr>
              <w:t>t/a</w:t>
            </w:r>
          </w:p>
        </w:tc>
        <w:tc>
          <w:tcPr>
            <w:tcW w:w="1803" w:type="dxa"/>
            <w:tcBorders>
              <w:tl2br w:val="nil"/>
              <w:tr2bl w:val="nil"/>
            </w:tcBorders>
            <w:vAlign w:val="center"/>
          </w:tcPr>
          <w:p>
            <w:pPr>
              <w:jc w:val="center"/>
              <w:rPr>
                <w:rStyle w:val="68"/>
                <w:color w:val="auto"/>
                <w:sz w:val="21"/>
                <w:szCs w:val="21"/>
                <w:u w:val="single"/>
              </w:rPr>
            </w:pPr>
            <w:r>
              <w:rPr>
                <w:rStyle w:val="68"/>
                <w:color w:val="auto"/>
                <w:sz w:val="21"/>
                <w:szCs w:val="21"/>
                <w:u w:val="single"/>
              </w:rPr>
              <w:t>/</w:t>
            </w:r>
          </w:p>
        </w:tc>
        <w:tc>
          <w:tcPr>
            <w:tcW w:w="1668" w:type="dxa"/>
            <w:tcBorders>
              <w:tl2br w:val="nil"/>
              <w:tr2bl w:val="nil"/>
            </w:tcBorders>
            <w:vAlign w:val="center"/>
          </w:tcPr>
          <w:p>
            <w:pPr>
              <w:pStyle w:val="22"/>
              <w:rPr>
                <w:bCs/>
                <w:u w:val="single"/>
              </w:rPr>
            </w:pPr>
            <w:r>
              <w:rPr>
                <w:rFonts w:hint="eastAsia"/>
                <w:u w:val="single"/>
              </w:rPr>
              <w:t>0.5</w:t>
            </w:r>
            <w:r>
              <w:rPr>
                <w:rFonts w:hint="eastAsia"/>
                <w:snapToGrid w:val="0"/>
                <w:kern w:val="21"/>
                <w:u w:val="single"/>
              </w:rPr>
              <w:t>t/a</w:t>
            </w:r>
          </w:p>
        </w:tc>
        <w:tc>
          <w:tcPr>
            <w:tcW w:w="1996" w:type="dxa"/>
            <w:tcBorders>
              <w:tl2br w:val="nil"/>
              <w:tr2bl w:val="nil"/>
            </w:tcBorders>
            <w:vAlign w:val="center"/>
          </w:tcPr>
          <w:p>
            <w:pPr>
              <w:adjustRightInd w:val="0"/>
              <w:snapToGrid w:val="0"/>
              <w:jc w:val="center"/>
              <w:rPr>
                <w:bCs/>
                <w:szCs w:val="21"/>
                <w:u w:val="single"/>
              </w:rPr>
            </w:pPr>
            <w:r>
              <w:rPr>
                <w:rFonts w:hint="eastAsia"/>
                <w:bCs/>
                <w:szCs w:val="21"/>
                <w:u w:val="single"/>
              </w:rPr>
              <w:t>0t/a</w:t>
            </w:r>
          </w:p>
        </w:tc>
      </w:tr>
      <w:tr>
        <w:trPr>
          <w:trHeight w:val="482" w:hRule="atLeast"/>
          <w:jc w:val="center"/>
        </w:trPr>
        <w:tc>
          <w:tcPr>
            <w:tcW w:w="1122" w:type="dxa"/>
            <w:vMerge w:val="continue"/>
            <w:tcBorders>
              <w:tl2br w:val="nil"/>
              <w:tr2bl w:val="nil"/>
            </w:tcBorders>
            <w:vAlign w:val="center"/>
          </w:tcPr>
          <w:p>
            <w:pPr>
              <w:widowControl/>
              <w:jc w:val="left"/>
              <w:rPr>
                <w:snapToGrid w:val="0"/>
                <w:kern w:val="21"/>
                <w:szCs w:val="21"/>
                <w:u w:val="single"/>
              </w:rPr>
            </w:pPr>
          </w:p>
        </w:tc>
        <w:tc>
          <w:tcPr>
            <w:tcW w:w="1418" w:type="dxa"/>
            <w:tcBorders>
              <w:tl2br w:val="nil"/>
              <w:tr2bl w:val="nil"/>
            </w:tcBorders>
            <w:vAlign w:val="center"/>
          </w:tcPr>
          <w:p>
            <w:pPr>
              <w:pStyle w:val="22"/>
              <w:rPr>
                <w:kern w:val="0"/>
                <w:u w:val="single"/>
              </w:rPr>
            </w:pPr>
            <w:r>
              <w:rPr>
                <w:rFonts w:hint="eastAsia"/>
                <w:u w:val="single"/>
              </w:rPr>
              <w:t>屠宰废弃物</w:t>
            </w:r>
          </w:p>
        </w:tc>
        <w:tc>
          <w:tcPr>
            <w:tcW w:w="1901" w:type="dxa"/>
            <w:tcBorders>
              <w:tl2br w:val="nil"/>
              <w:tr2bl w:val="nil"/>
            </w:tcBorders>
            <w:vAlign w:val="center"/>
          </w:tcPr>
          <w:p>
            <w:pPr>
              <w:pStyle w:val="22"/>
              <w:rPr>
                <w:kern w:val="0"/>
                <w:u w:val="single"/>
              </w:rPr>
            </w:pPr>
            <w:r>
              <w:rPr>
                <w:rFonts w:hint="eastAsia"/>
                <w:u w:val="single"/>
              </w:rPr>
              <w:t>338</w:t>
            </w:r>
            <w:r>
              <w:rPr>
                <w:rFonts w:hint="eastAsia"/>
                <w:snapToGrid w:val="0"/>
                <w:kern w:val="21"/>
                <w:u w:val="single"/>
              </w:rPr>
              <w:t>t/a</w:t>
            </w:r>
          </w:p>
        </w:tc>
        <w:tc>
          <w:tcPr>
            <w:tcW w:w="971"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8"/>
                <w:color w:val="auto"/>
                <w:sz w:val="21"/>
                <w:szCs w:val="21"/>
                <w:u w:val="single"/>
              </w:rPr>
              <w:t>/</w:t>
            </w:r>
          </w:p>
        </w:tc>
        <w:tc>
          <w:tcPr>
            <w:tcW w:w="1482"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8"/>
                <w:color w:val="auto"/>
                <w:sz w:val="21"/>
                <w:szCs w:val="21"/>
                <w:u w:val="single"/>
              </w:rPr>
              <w:t>/</w:t>
            </w:r>
          </w:p>
        </w:tc>
        <w:tc>
          <w:tcPr>
            <w:tcW w:w="1996" w:type="dxa"/>
            <w:tcBorders>
              <w:tl2br w:val="nil"/>
              <w:tr2bl w:val="nil"/>
            </w:tcBorders>
            <w:vAlign w:val="center"/>
          </w:tcPr>
          <w:p>
            <w:pPr>
              <w:adjustRightInd w:val="0"/>
              <w:snapToGrid w:val="0"/>
              <w:jc w:val="center"/>
              <w:rPr>
                <w:bCs/>
                <w:szCs w:val="21"/>
                <w:u w:val="single"/>
              </w:rPr>
            </w:pPr>
            <w:r>
              <w:rPr>
                <w:rFonts w:hint="eastAsia"/>
                <w:bCs/>
                <w:szCs w:val="21"/>
                <w:u w:val="single"/>
              </w:rPr>
              <w:t>0t/a</w:t>
            </w:r>
          </w:p>
        </w:tc>
        <w:tc>
          <w:tcPr>
            <w:tcW w:w="1803" w:type="dxa"/>
            <w:tcBorders>
              <w:tl2br w:val="nil"/>
              <w:tr2bl w:val="nil"/>
            </w:tcBorders>
            <w:vAlign w:val="center"/>
          </w:tcPr>
          <w:p>
            <w:pPr>
              <w:adjustRightInd w:val="0"/>
              <w:snapToGrid w:val="0"/>
              <w:jc w:val="center"/>
              <w:rPr>
                <w:snapToGrid w:val="0"/>
                <w:kern w:val="21"/>
                <w:szCs w:val="21"/>
                <w:u w:val="single"/>
              </w:rPr>
            </w:pPr>
            <w:r>
              <w:rPr>
                <w:rStyle w:val="68"/>
                <w:color w:val="auto"/>
                <w:sz w:val="21"/>
                <w:szCs w:val="21"/>
                <w:u w:val="single"/>
              </w:rPr>
              <w:t>/</w:t>
            </w:r>
          </w:p>
        </w:tc>
        <w:tc>
          <w:tcPr>
            <w:tcW w:w="1668" w:type="dxa"/>
            <w:tcBorders>
              <w:tl2br w:val="nil"/>
              <w:tr2bl w:val="nil"/>
            </w:tcBorders>
            <w:vAlign w:val="center"/>
          </w:tcPr>
          <w:p>
            <w:pPr>
              <w:pStyle w:val="22"/>
              <w:rPr>
                <w:snapToGrid w:val="0"/>
                <w:kern w:val="21"/>
                <w:u w:val="single"/>
              </w:rPr>
            </w:pPr>
            <w:r>
              <w:rPr>
                <w:rFonts w:hint="eastAsia"/>
                <w:u w:val="single"/>
              </w:rPr>
              <w:t>338</w:t>
            </w:r>
            <w:r>
              <w:rPr>
                <w:rFonts w:hint="eastAsia"/>
                <w:snapToGrid w:val="0"/>
                <w:kern w:val="21"/>
                <w:u w:val="single"/>
              </w:rPr>
              <w:t>t/a</w:t>
            </w:r>
          </w:p>
        </w:tc>
        <w:tc>
          <w:tcPr>
            <w:tcW w:w="1996" w:type="dxa"/>
            <w:tcBorders>
              <w:tl2br w:val="nil"/>
              <w:tr2bl w:val="nil"/>
            </w:tcBorders>
            <w:vAlign w:val="center"/>
          </w:tcPr>
          <w:p>
            <w:pPr>
              <w:adjustRightInd w:val="0"/>
              <w:snapToGrid w:val="0"/>
              <w:jc w:val="center"/>
              <w:rPr>
                <w:snapToGrid w:val="0"/>
                <w:kern w:val="21"/>
                <w:szCs w:val="21"/>
                <w:u w:val="single"/>
              </w:rPr>
            </w:pPr>
            <w:r>
              <w:rPr>
                <w:rFonts w:hint="eastAsia"/>
                <w:bCs/>
                <w:szCs w:val="21"/>
                <w:u w:val="single"/>
              </w:rPr>
              <w:t>0t/a</w:t>
            </w:r>
          </w:p>
        </w:tc>
      </w:tr>
      <w:tr>
        <w:trPr>
          <w:trHeight w:val="482" w:hRule="atLeast"/>
          <w:jc w:val="center"/>
        </w:trPr>
        <w:tc>
          <w:tcPr>
            <w:tcW w:w="1122" w:type="dxa"/>
            <w:vMerge w:val="continue"/>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p>
        </w:tc>
        <w:tc>
          <w:tcPr>
            <w:tcW w:w="1418" w:type="dxa"/>
            <w:tcBorders>
              <w:tl2br w:val="nil"/>
              <w:tr2bl w:val="nil"/>
            </w:tcBorders>
            <w:vAlign w:val="center"/>
          </w:tcPr>
          <w:p>
            <w:pPr>
              <w:pStyle w:val="22"/>
              <w:rPr>
                <w:kern w:val="0"/>
                <w:u w:val="single"/>
              </w:rPr>
            </w:pPr>
            <w:r>
              <w:rPr>
                <w:rFonts w:hint="eastAsia"/>
                <w:u w:val="single"/>
              </w:rPr>
              <w:t>死鸡</w:t>
            </w:r>
          </w:p>
        </w:tc>
        <w:tc>
          <w:tcPr>
            <w:tcW w:w="1901" w:type="dxa"/>
            <w:tcBorders>
              <w:tl2br w:val="nil"/>
              <w:tr2bl w:val="nil"/>
            </w:tcBorders>
            <w:vAlign w:val="center"/>
          </w:tcPr>
          <w:p>
            <w:pPr>
              <w:pStyle w:val="22"/>
              <w:rPr>
                <w:kern w:val="0"/>
                <w:u w:val="single"/>
              </w:rPr>
            </w:pPr>
            <w:r>
              <w:rPr>
                <w:rFonts w:hint="eastAsia"/>
                <w:u w:val="single"/>
              </w:rPr>
              <w:t>2.0</w:t>
            </w:r>
            <w:r>
              <w:rPr>
                <w:rFonts w:hint="eastAsia"/>
                <w:snapToGrid w:val="0"/>
                <w:kern w:val="21"/>
                <w:u w:val="single"/>
              </w:rPr>
              <w:t>t/a</w:t>
            </w:r>
          </w:p>
        </w:tc>
        <w:tc>
          <w:tcPr>
            <w:tcW w:w="971"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8"/>
                <w:color w:val="auto"/>
                <w:sz w:val="21"/>
                <w:szCs w:val="21"/>
                <w:u w:val="single"/>
              </w:rPr>
              <w:t>/</w:t>
            </w:r>
          </w:p>
        </w:tc>
        <w:tc>
          <w:tcPr>
            <w:tcW w:w="1482"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8"/>
                <w:color w:val="auto"/>
                <w:sz w:val="21"/>
                <w:szCs w:val="21"/>
                <w:u w:val="single"/>
              </w:rPr>
              <w:t>/</w:t>
            </w:r>
          </w:p>
        </w:tc>
        <w:tc>
          <w:tcPr>
            <w:tcW w:w="1996" w:type="dxa"/>
            <w:tcBorders>
              <w:tl2br w:val="nil"/>
              <w:tr2bl w:val="nil"/>
            </w:tcBorders>
            <w:vAlign w:val="center"/>
          </w:tcPr>
          <w:p>
            <w:pPr>
              <w:adjustRightInd w:val="0"/>
              <w:snapToGrid w:val="0"/>
              <w:jc w:val="center"/>
              <w:rPr>
                <w:snapToGrid w:val="0"/>
                <w:kern w:val="21"/>
                <w:szCs w:val="21"/>
                <w:u w:val="single"/>
              </w:rPr>
            </w:pPr>
            <w:r>
              <w:rPr>
                <w:rFonts w:hint="eastAsia"/>
                <w:bCs/>
                <w:szCs w:val="21"/>
                <w:u w:val="single"/>
              </w:rPr>
              <w:t>0t/a</w:t>
            </w:r>
          </w:p>
        </w:tc>
        <w:tc>
          <w:tcPr>
            <w:tcW w:w="1803" w:type="dxa"/>
            <w:tcBorders>
              <w:tl2br w:val="nil"/>
              <w:tr2bl w:val="nil"/>
            </w:tcBorders>
            <w:vAlign w:val="center"/>
          </w:tcPr>
          <w:p>
            <w:pPr>
              <w:jc w:val="center"/>
              <w:rPr>
                <w:snapToGrid w:val="0"/>
                <w:kern w:val="21"/>
                <w:szCs w:val="21"/>
                <w:u w:val="single"/>
              </w:rPr>
            </w:pPr>
            <w:r>
              <w:rPr>
                <w:rStyle w:val="68"/>
                <w:color w:val="auto"/>
                <w:sz w:val="21"/>
                <w:szCs w:val="21"/>
                <w:u w:val="single"/>
              </w:rPr>
              <w:t>/</w:t>
            </w:r>
          </w:p>
        </w:tc>
        <w:tc>
          <w:tcPr>
            <w:tcW w:w="1668" w:type="dxa"/>
            <w:tcBorders>
              <w:tl2br w:val="nil"/>
              <w:tr2bl w:val="nil"/>
            </w:tcBorders>
            <w:vAlign w:val="center"/>
          </w:tcPr>
          <w:p>
            <w:pPr>
              <w:pStyle w:val="22"/>
              <w:rPr>
                <w:snapToGrid w:val="0"/>
                <w:kern w:val="21"/>
                <w:u w:val="single"/>
              </w:rPr>
            </w:pPr>
            <w:r>
              <w:rPr>
                <w:rFonts w:hint="eastAsia"/>
                <w:u w:val="single"/>
              </w:rPr>
              <w:t>2.0</w:t>
            </w:r>
            <w:r>
              <w:rPr>
                <w:rFonts w:hint="eastAsia"/>
                <w:snapToGrid w:val="0"/>
                <w:kern w:val="21"/>
                <w:u w:val="single"/>
              </w:rPr>
              <w:t>t/a</w:t>
            </w:r>
          </w:p>
        </w:tc>
        <w:tc>
          <w:tcPr>
            <w:tcW w:w="1996" w:type="dxa"/>
            <w:tcBorders>
              <w:tl2br w:val="nil"/>
              <w:tr2bl w:val="nil"/>
            </w:tcBorders>
            <w:vAlign w:val="center"/>
          </w:tcPr>
          <w:p>
            <w:pPr>
              <w:adjustRightInd w:val="0"/>
              <w:snapToGrid w:val="0"/>
              <w:jc w:val="center"/>
              <w:rPr>
                <w:snapToGrid w:val="0"/>
                <w:kern w:val="21"/>
                <w:szCs w:val="21"/>
                <w:u w:val="single"/>
              </w:rPr>
            </w:pPr>
            <w:r>
              <w:rPr>
                <w:rFonts w:hint="eastAsia"/>
                <w:bCs/>
                <w:szCs w:val="21"/>
                <w:u w:val="single"/>
              </w:rPr>
              <w:t>0t/a</w:t>
            </w:r>
          </w:p>
        </w:tc>
      </w:tr>
      <w:tr>
        <w:trPr>
          <w:trHeight w:val="482" w:hRule="atLeast"/>
          <w:jc w:val="center"/>
        </w:trPr>
        <w:tc>
          <w:tcPr>
            <w:tcW w:w="1122" w:type="dxa"/>
            <w:vMerge w:val="continue"/>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p>
        </w:tc>
        <w:tc>
          <w:tcPr>
            <w:tcW w:w="1418" w:type="dxa"/>
            <w:tcBorders>
              <w:tl2br w:val="nil"/>
              <w:tr2bl w:val="nil"/>
            </w:tcBorders>
            <w:vAlign w:val="center"/>
          </w:tcPr>
          <w:p>
            <w:pPr>
              <w:pStyle w:val="22"/>
              <w:rPr>
                <w:rStyle w:val="70"/>
                <w:rFonts w:hint="default" w:ascii="Times New Roman" w:hAnsi="Times New Roman"/>
                <w:color w:val="auto"/>
                <w:u w:val="single"/>
              </w:rPr>
            </w:pPr>
            <w:r>
              <w:rPr>
                <w:rFonts w:hint="eastAsia"/>
                <w:u w:val="single"/>
              </w:rPr>
              <w:t>废布袋</w:t>
            </w:r>
          </w:p>
        </w:tc>
        <w:tc>
          <w:tcPr>
            <w:tcW w:w="1901" w:type="dxa"/>
            <w:tcBorders>
              <w:tl2br w:val="nil"/>
              <w:tr2bl w:val="nil"/>
            </w:tcBorders>
            <w:vAlign w:val="center"/>
          </w:tcPr>
          <w:p>
            <w:pPr>
              <w:pStyle w:val="22"/>
              <w:rPr>
                <w:rStyle w:val="68"/>
                <w:color w:val="auto"/>
                <w:sz w:val="21"/>
                <w:szCs w:val="21"/>
                <w:u w:val="single"/>
              </w:rPr>
            </w:pPr>
            <w:r>
              <w:rPr>
                <w:rFonts w:hint="eastAsia"/>
                <w:u w:val="single"/>
              </w:rPr>
              <w:t>0.5</w:t>
            </w:r>
            <w:r>
              <w:rPr>
                <w:rFonts w:hint="eastAsia"/>
                <w:snapToGrid w:val="0"/>
                <w:kern w:val="21"/>
                <w:u w:val="single"/>
              </w:rPr>
              <w:t>t/a</w:t>
            </w:r>
          </w:p>
        </w:tc>
        <w:tc>
          <w:tcPr>
            <w:tcW w:w="971" w:type="dxa"/>
            <w:tcBorders>
              <w:tl2br w:val="nil"/>
              <w:tr2bl w:val="nil"/>
            </w:tcBorders>
            <w:vAlign w:val="center"/>
          </w:tcPr>
          <w:p>
            <w:pPr>
              <w:pStyle w:val="21"/>
              <w:spacing w:beforeLines="0" w:line="240" w:lineRule="auto"/>
              <w:rPr>
                <w:rStyle w:val="68"/>
                <w:color w:val="auto"/>
                <w:sz w:val="21"/>
                <w:szCs w:val="21"/>
                <w:u w:val="single"/>
              </w:rPr>
            </w:pPr>
            <w:r>
              <w:rPr>
                <w:rStyle w:val="68"/>
                <w:color w:val="auto"/>
                <w:sz w:val="21"/>
                <w:szCs w:val="21"/>
                <w:u w:val="single"/>
              </w:rPr>
              <w:t>/</w:t>
            </w:r>
          </w:p>
        </w:tc>
        <w:tc>
          <w:tcPr>
            <w:tcW w:w="1482" w:type="dxa"/>
            <w:tcBorders>
              <w:tl2br w:val="nil"/>
              <w:tr2bl w:val="nil"/>
            </w:tcBorders>
            <w:vAlign w:val="center"/>
          </w:tcPr>
          <w:p>
            <w:pPr>
              <w:pStyle w:val="21"/>
              <w:spacing w:beforeLines="0" w:line="240" w:lineRule="auto"/>
              <w:rPr>
                <w:rStyle w:val="68"/>
                <w:color w:val="auto"/>
                <w:sz w:val="21"/>
                <w:szCs w:val="21"/>
                <w:u w:val="single"/>
              </w:rPr>
            </w:pPr>
            <w:r>
              <w:rPr>
                <w:rStyle w:val="68"/>
                <w:color w:val="auto"/>
                <w:sz w:val="21"/>
                <w:szCs w:val="21"/>
                <w:u w:val="single"/>
              </w:rPr>
              <w:t>/</w:t>
            </w:r>
          </w:p>
        </w:tc>
        <w:tc>
          <w:tcPr>
            <w:tcW w:w="1996" w:type="dxa"/>
            <w:tcBorders>
              <w:tl2br w:val="nil"/>
              <w:tr2bl w:val="nil"/>
            </w:tcBorders>
            <w:vAlign w:val="center"/>
          </w:tcPr>
          <w:p>
            <w:pPr>
              <w:adjustRightInd w:val="0"/>
              <w:snapToGrid w:val="0"/>
              <w:jc w:val="center"/>
              <w:rPr>
                <w:bCs/>
                <w:szCs w:val="21"/>
                <w:u w:val="single"/>
              </w:rPr>
            </w:pPr>
            <w:r>
              <w:rPr>
                <w:rFonts w:hint="eastAsia"/>
                <w:bCs/>
                <w:szCs w:val="21"/>
                <w:u w:val="single"/>
              </w:rPr>
              <w:t>0.2</w:t>
            </w:r>
            <w:r>
              <w:rPr>
                <w:rFonts w:hint="eastAsia"/>
                <w:snapToGrid w:val="0"/>
                <w:kern w:val="21"/>
                <w:szCs w:val="21"/>
                <w:u w:val="single"/>
              </w:rPr>
              <w:t>t/a</w:t>
            </w:r>
          </w:p>
        </w:tc>
        <w:tc>
          <w:tcPr>
            <w:tcW w:w="1803" w:type="dxa"/>
            <w:tcBorders>
              <w:tl2br w:val="nil"/>
              <w:tr2bl w:val="nil"/>
            </w:tcBorders>
            <w:vAlign w:val="center"/>
          </w:tcPr>
          <w:p>
            <w:pPr>
              <w:jc w:val="center"/>
              <w:rPr>
                <w:rStyle w:val="68"/>
                <w:color w:val="auto"/>
                <w:sz w:val="21"/>
                <w:szCs w:val="21"/>
                <w:u w:val="single"/>
              </w:rPr>
            </w:pPr>
            <w:r>
              <w:rPr>
                <w:rStyle w:val="68"/>
                <w:rFonts w:hint="eastAsia"/>
                <w:color w:val="auto"/>
                <w:sz w:val="21"/>
                <w:szCs w:val="21"/>
                <w:u w:val="single"/>
              </w:rPr>
              <w:t>0.5t/a</w:t>
            </w:r>
          </w:p>
        </w:tc>
        <w:tc>
          <w:tcPr>
            <w:tcW w:w="1668" w:type="dxa"/>
            <w:tcBorders>
              <w:tl2br w:val="nil"/>
              <w:tr2bl w:val="nil"/>
            </w:tcBorders>
            <w:vAlign w:val="center"/>
          </w:tcPr>
          <w:p>
            <w:pPr>
              <w:adjustRightInd w:val="0"/>
              <w:snapToGrid w:val="0"/>
              <w:jc w:val="center"/>
              <w:rPr>
                <w:bCs/>
                <w:szCs w:val="21"/>
                <w:u w:val="single"/>
              </w:rPr>
            </w:pPr>
            <w:r>
              <w:rPr>
                <w:rFonts w:hint="eastAsia"/>
                <w:bCs/>
                <w:szCs w:val="21"/>
                <w:u w:val="single"/>
              </w:rPr>
              <w:t>0.2</w:t>
            </w:r>
            <w:r>
              <w:rPr>
                <w:rFonts w:hint="eastAsia"/>
                <w:snapToGrid w:val="0"/>
                <w:kern w:val="21"/>
                <w:szCs w:val="21"/>
                <w:u w:val="single"/>
              </w:rPr>
              <w:t>t/a</w:t>
            </w:r>
          </w:p>
        </w:tc>
        <w:tc>
          <w:tcPr>
            <w:tcW w:w="1996" w:type="dxa"/>
            <w:tcBorders>
              <w:tl2br w:val="nil"/>
              <w:tr2bl w:val="nil"/>
            </w:tcBorders>
            <w:vAlign w:val="center"/>
          </w:tcPr>
          <w:p>
            <w:pPr>
              <w:adjustRightInd w:val="0"/>
              <w:snapToGrid w:val="0"/>
              <w:jc w:val="center"/>
              <w:rPr>
                <w:bCs/>
                <w:szCs w:val="21"/>
                <w:u w:val="single"/>
              </w:rPr>
            </w:pPr>
            <w:r>
              <w:rPr>
                <w:rFonts w:hint="eastAsia"/>
                <w:bCs/>
                <w:szCs w:val="21"/>
                <w:u w:val="single"/>
              </w:rPr>
              <w:t>-0.3t/a</w:t>
            </w:r>
          </w:p>
        </w:tc>
      </w:tr>
      <w:tr>
        <w:trPr>
          <w:trHeight w:val="482" w:hRule="atLeast"/>
          <w:jc w:val="center"/>
        </w:trPr>
        <w:tc>
          <w:tcPr>
            <w:tcW w:w="1122" w:type="dxa"/>
            <w:vMerge w:val="restart"/>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Fonts w:ascii="Times New Roman" w:hAnsi="Times New Roman" w:cs="Times New Roman"/>
                <w:snapToGrid w:val="0"/>
                <w:kern w:val="21"/>
                <w:szCs w:val="21"/>
                <w:u w:val="single"/>
              </w:rPr>
              <w:t>危险废物</w:t>
            </w:r>
          </w:p>
        </w:tc>
        <w:tc>
          <w:tcPr>
            <w:tcW w:w="1418" w:type="dxa"/>
            <w:tcBorders>
              <w:tl2br w:val="nil"/>
              <w:tr2bl w:val="nil"/>
            </w:tcBorders>
            <w:vAlign w:val="center"/>
          </w:tcPr>
          <w:p>
            <w:pPr>
              <w:pStyle w:val="22"/>
              <w:rPr>
                <w:rStyle w:val="70"/>
                <w:rFonts w:hint="default" w:ascii="Times New Roman" w:hAnsi="Times New Roman"/>
                <w:color w:val="auto"/>
                <w:u w:val="single"/>
              </w:rPr>
            </w:pPr>
            <w:r>
              <w:rPr>
                <w:rFonts w:hint="eastAsia"/>
                <w:u w:val="single"/>
              </w:rPr>
              <w:t>废活性炭</w:t>
            </w:r>
          </w:p>
        </w:tc>
        <w:tc>
          <w:tcPr>
            <w:tcW w:w="1901" w:type="dxa"/>
            <w:tcBorders>
              <w:tl2br w:val="nil"/>
              <w:tr2bl w:val="nil"/>
            </w:tcBorders>
            <w:vAlign w:val="center"/>
          </w:tcPr>
          <w:p>
            <w:pPr>
              <w:pStyle w:val="22"/>
              <w:rPr>
                <w:rStyle w:val="68"/>
                <w:color w:val="auto"/>
                <w:sz w:val="21"/>
                <w:szCs w:val="21"/>
                <w:u w:val="single"/>
              </w:rPr>
            </w:pPr>
            <w:r>
              <w:rPr>
                <w:rFonts w:hint="eastAsia"/>
                <w:u w:val="single"/>
              </w:rPr>
              <w:t>0.5</w:t>
            </w:r>
            <w:r>
              <w:rPr>
                <w:rFonts w:hint="eastAsia"/>
                <w:snapToGrid w:val="0"/>
                <w:kern w:val="21"/>
                <w:u w:val="single"/>
              </w:rPr>
              <w:t>t/a</w:t>
            </w:r>
          </w:p>
        </w:tc>
        <w:tc>
          <w:tcPr>
            <w:tcW w:w="971" w:type="dxa"/>
            <w:tcBorders>
              <w:tl2br w:val="nil"/>
              <w:tr2bl w:val="nil"/>
            </w:tcBorders>
            <w:vAlign w:val="center"/>
          </w:tcPr>
          <w:p>
            <w:pPr>
              <w:pStyle w:val="21"/>
              <w:spacing w:beforeLines="0" w:line="240" w:lineRule="auto"/>
              <w:rPr>
                <w:rStyle w:val="68"/>
                <w:color w:val="auto"/>
                <w:sz w:val="21"/>
                <w:szCs w:val="21"/>
                <w:u w:val="single"/>
              </w:rPr>
            </w:pPr>
            <w:r>
              <w:rPr>
                <w:rStyle w:val="68"/>
                <w:color w:val="auto"/>
                <w:sz w:val="21"/>
                <w:szCs w:val="21"/>
                <w:u w:val="single"/>
              </w:rPr>
              <w:t>/</w:t>
            </w:r>
          </w:p>
        </w:tc>
        <w:tc>
          <w:tcPr>
            <w:tcW w:w="1482" w:type="dxa"/>
            <w:tcBorders>
              <w:tl2br w:val="nil"/>
              <w:tr2bl w:val="nil"/>
            </w:tcBorders>
            <w:vAlign w:val="center"/>
          </w:tcPr>
          <w:p>
            <w:pPr>
              <w:pStyle w:val="21"/>
              <w:spacing w:beforeLines="0" w:line="240" w:lineRule="auto"/>
              <w:rPr>
                <w:rStyle w:val="68"/>
                <w:color w:val="auto"/>
                <w:sz w:val="21"/>
                <w:szCs w:val="21"/>
                <w:u w:val="single"/>
              </w:rPr>
            </w:pPr>
            <w:r>
              <w:rPr>
                <w:rStyle w:val="68"/>
                <w:color w:val="auto"/>
                <w:sz w:val="21"/>
                <w:szCs w:val="21"/>
                <w:u w:val="single"/>
              </w:rPr>
              <w:t>/</w:t>
            </w:r>
          </w:p>
        </w:tc>
        <w:tc>
          <w:tcPr>
            <w:tcW w:w="1996" w:type="dxa"/>
            <w:tcBorders>
              <w:tl2br w:val="nil"/>
              <w:tr2bl w:val="nil"/>
            </w:tcBorders>
            <w:vAlign w:val="center"/>
          </w:tcPr>
          <w:p>
            <w:pPr>
              <w:adjustRightInd w:val="0"/>
              <w:snapToGrid w:val="0"/>
              <w:jc w:val="center"/>
              <w:rPr>
                <w:bCs/>
                <w:szCs w:val="21"/>
                <w:u w:val="single"/>
              </w:rPr>
            </w:pPr>
            <w:r>
              <w:rPr>
                <w:rFonts w:hint="eastAsia"/>
                <w:bCs/>
                <w:szCs w:val="21"/>
                <w:u w:val="single"/>
              </w:rPr>
              <w:t>0</w:t>
            </w:r>
            <w:r>
              <w:rPr>
                <w:rFonts w:hint="eastAsia"/>
                <w:snapToGrid w:val="0"/>
                <w:kern w:val="21"/>
                <w:szCs w:val="21"/>
                <w:u w:val="single"/>
              </w:rPr>
              <w:t>t/a</w:t>
            </w:r>
          </w:p>
        </w:tc>
        <w:tc>
          <w:tcPr>
            <w:tcW w:w="1803" w:type="dxa"/>
            <w:tcBorders>
              <w:tl2br w:val="nil"/>
              <w:tr2bl w:val="nil"/>
            </w:tcBorders>
            <w:vAlign w:val="center"/>
          </w:tcPr>
          <w:p>
            <w:pPr>
              <w:jc w:val="center"/>
              <w:rPr>
                <w:rStyle w:val="68"/>
                <w:color w:val="auto"/>
                <w:sz w:val="21"/>
                <w:szCs w:val="21"/>
                <w:u w:val="single"/>
              </w:rPr>
            </w:pPr>
            <w:r>
              <w:rPr>
                <w:rStyle w:val="68"/>
                <w:color w:val="auto"/>
                <w:sz w:val="21"/>
                <w:szCs w:val="21"/>
                <w:u w:val="single"/>
              </w:rPr>
              <w:t>/</w:t>
            </w:r>
          </w:p>
        </w:tc>
        <w:tc>
          <w:tcPr>
            <w:tcW w:w="1668" w:type="dxa"/>
            <w:tcBorders>
              <w:tl2br w:val="nil"/>
              <w:tr2bl w:val="nil"/>
            </w:tcBorders>
            <w:vAlign w:val="center"/>
          </w:tcPr>
          <w:p>
            <w:pPr>
              <w:pStyle w:val="22"/>
              <w:rPr>
                <w:bCs/>
                <w:u w:val="single"/>
              </w:rPr>
            </w:pPr>
            <w:r>
              <w:rPr>
                <w:rFonts w:hint="eastAsia"/>
                <w:u w:val="single"/>
              </w:rPr>
              <w:t>0.5</w:t>
            </w:r>
            <w:r>
              <w:rPr>
                <w:rFonts w:hint="eastAsia"/>
                <w:snapToGrid w:val="0"/>
                <w:kern w:val="21"/>
                <w:u w:val="single"/>
              </w:rPr>
              <w:t>t/a</w:t>
            </w:r>
          </w:p>
        </w:tc>
        <w:tc>
          <w:tcPr>
            <w:tcW w:w="1996" w:type="dxa"/>
            <w:tcBorders>
              <w:tl2br w:val="nil"/>
              <w:tr2bl w:val="nil"/>
            </w:tcBorders>
            <w:vAlign w:val="center"/>
          </w:tcPr>
          <w:p>
            <w:pPr>
              <w:adjustRightInd w:val="0"/>
              <w:snapToGrid w:val="0"/>
              <w:jc w:val="center"/>
              <w:rPr>
                <w:bCs/>
                <w:szCs w:val="21"/>
                <w:u w:val="single"/>
              </w:rPr>
            </w:pPr>
            <w:r>
              <w:rPr>
                <w:rFonts w:hint="eastAsia"/>
                <w:bCs/>
                <w:szCs w:val="21"/>
                <w:u w:val="single"/>
              </w:rPr>
              <w:t>0t/a</w:t>
            </w:r>
          </w:p>
        </w:tc>
      </w:tr>
      <w:tr>
        <w:trPr>
          <w:trHeight w:val="482" w:hRule="atLeast"/>
          <w:jc w:val="center"/>
        </w:trPr>
        <w:tc>
          <w:tcPr>
            <w:tcW w:w="1122" w:type="dxa"/>
            <w:vMerge w:val="continue"/>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p>
        </w:tc>
        <w:tc>
          <w:tcPr>
            <w:tcW w:w="1418" w:type="dxa"/>
            <w:tcBorders>
              <w:tl2br w:val="nil"/>
              <w:tr2bl w:val="nil"/>
            </w:tcBorders>
            <w:vAlign w:val="center"/>
          </w:tcPr>
          <w:p>
            <w:pPr>
              <w:pStyle w:val="22"/>
              <w:rPr>
                <w:snapToGrid w:val="0"/>
                <w:kern w:val="21"/>
                <w:u w:val="single"/>
              </w:rPr>
            </w:pPr>
            <w:r>
              <w:rPr>
                <w:rFonts w:hint="eastAsia"/>
                <w:u w:val="single"/>
              </w:rPr>
              <w:t>实验、监测废液</w:t>
            </w:r>
          </w:p>
        </w:tc>
        <w:tc>
          <w:tcPr>
            <w:tcW w:w="1901" w:type="dxa"/>
            <w:tcBorders>
              <w:tl2br w:val="nil"/>
              <w:tr2bl w:val="nil"/>
            </w:tcBorders>
            <w:vAlign w:val="center"/>
          </w:tcPr>
          <w:p>
            <w:pPr>
              <w:pStyle w:val="22"/>
              <w:rPr>
                <w:snapToGrid w:val="0"/>
                <w:kern w:val="21"/>
                <w:u w:val="single"/>
              </w:rPr>
            </w:pPr>
            <w:r>
              <w:rPr>
                <w:rFonts w:hint="eastAsia"/>
                <w:u w:val="single"/>
              </w:rPr>
              <w:t>1.5</w:t>
            </w:r>
            <w:r>
              <w:rPr>
                <w:rFonts w:hint="eastAsia"/>
                <w:snapToGrid w:val="0"/>
                <w:kern w:val="21"/>
                <w:u w:val="single"/>
              </w:rPr>
              <w:t>t/a</w:t>
            </w:r>
          </w:p>
        </w:tc>
        <w:tc>
          <w:tcPr>
            <w:tcW w:w="971"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8"/>
                <w:color w:val="auto"/>
                <w:sz w:val="21"/>
                <w:szCs w:val="21"/>
                <w:u w:val="single"/>
              </w:rPr>
              <w:t>/</w:t>
            </w:r>
          </w:p>
        </w:tc>
        <w:tc>
          <w:tcPr>
            <w:tcW w:w="1482"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8"/>
                <w:color w:val="auto"/>
                <w:sz w:val="21"/>
                <w:szCs w:val="21"/>
                <w:u w:val="single"/>
              </w:rPr>
              <w:t>/</w:t>
            </w:r>
          </w:p>
        </w:tc>
        <w:tc>
          <w:tcPr>
            <w:tcW w:w="1996" w:type="dxa"/>
            <w:tcBorders>
              <w:tl2br w:val="nil"/>
              <w:tr2bl w:val="nil"/>
            </w:tcBorders>
            <w:vAlign w:val="center"/>
          </w:tcPr>
          <w:p>
            <w:pPr>
              <w:adjustRightInd w:val="0"/>
              <w:snapToGrid w:val="0"/>
              <w:jc w:val="center"/>
              <w:rPr>
                <w:snapToGrid w:val="0"/>
                <w:kern w:val="21"/>
                <w:szCs w:val="21"/>
                <w:u w:val="single"/>
              </w:rPr>
            </w:pPr>
            <w:r>
              <w:rPr>
                <w:rFonts w:hint="eastAsia"/>
                <w:bCs/>
                <w:szCs w:val="21"/>
                <w:u w:val="single"/>
              </w:rPr>
              <w:t>0</w:t>
            </w:r>
            <w:r>
              <w:rPr>
                <w:rFonts w:hint="eastAsia"/>
                <w:snapToGrid w:val="0"/>
                <w:kern w:val="21"/>
                <w:szCs w:val="21"/>
                <w:u w:val="single"/>
              </w:rPr>
              <w:t>t/a</w:t>
            </w:r>
          </w:p>
        </w:tc>
        <w:tc>
          <w:tcPr>
            <w:tcW w:w="1803" w:type="dxa"/>
            <w:tcBorders>
              <w:tl2br w:val="nil"/>
              <w:tr2bl w:val="nil"/>
            </w:tcBorders>
            <w:vAlign w:val="center"/>
          </w:tcPr>
          <w:p>
            <w:pPr>
              <w:jc w:val="center"/>
              <w:rPr>
                <w:snapToGrid w:val="0"/>
                <w:kern w:val="21"/>
                <w:szCs w:val="21"/>
                <w:u w:val="single"/>
              </w:rPr>
            </w:pPr>
            <w:r>
              <w:rPr>
                <w:rStyle w:val="68"/>
                <w:color w:val="auto"/>
                <w:sz w:val="21"/>
                <w:szCs w:val="21"/>
                <w:u w:val="single"/>
              </w:rPr>
              <w:t>/</w:t>
            </w:r>
          </w:p>
        </w:tc>
        <w:tc>
          <w:tcPr>
            <w:tcW w:w="1668" w:type="dxa"/>
            <w:tcBorders>
              <w:tl2br w:val="nil"/>
              <w:tr2bl w:val="nil"/>
            </w:tcBorders>
            <w:vAlign w:val="center"/>
          </w:tcPr>
          <w:p>
            <w:pPr>
              <w:pStyle w:val="22"/>
              <w:rPr>
                <w:snapToGrid w:val="0"/>
                <w:kern w:val="21"/>
                <w:u w:val="single"/>
              </w:rPr>
            </w:pPr>
            <w:r>
              <w:rPr>
                <w:rFonts w:hint="eastAsia"/>
                <w:u w:val="single"/>
              </w:rPr>
              <w:t>1.5</w:t>
            </w:r>
            <w:r>
              <w:rPr>
                <w:rFonts w:hint="eastAsia"/>
                <w:snapToGrid w:val="0"/>
                <w:kern w:val="21"/>
                <w:u w:val="single"/>
              </w:rPr>
              <w:t>t/a</w:t>
            </w:r>
          </w:p>
        </w:tc>
        <w:tc>
          <w:tcPr>
            <w:tcW w:w="1996" w:type="dxa"/>
            <w:tcBorders>
              <w:tl2br w:val="nil"/>
              <w:tr2bl w:val="nil"/>
            </w:tcBorders>
            <w:vAlign w:val="center"/>
          </w:tcPr>
          <w:p>
            <w:pPr>
              <w:adjustRightInd w:val="0"/>
              <w:snapToGrid w:val="0"/>
              <w:jc w:val="center"/>
              <w:rPr>
                <w:snapToGrid w:val="0"/>
                <w:kern w:val="21"/>
                <w:szCs w:val="21"/>
                <w:u w:val="single"/>
              </w:rPr>
            </w:pPr>
            <w:r>
              <w:rPr>
                <w:rFonts w:hint="eastAsia"/>
                <w:bCs/>
                <w:szCs w:val="21"/>
                <w:u w:val="single"/>
              </w:rPr>
              <w:t>0t/a</w:t>
            </w:r>
          </w:p>
        </w:tc>
      </w:tr>
      <w:tr>
        <w:trPr>
          <w:trHeight w:val="482" w:hRule="atLeast"/>
          <w:jc w:val="center"/>
        </w:trPr>
        <w:tc>
          <w:tcPr>
            <w:tcW w:w="1122" w:type="dxa"/>
            <w:vMerge w:val="continue"/>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p>
        </w:tc>
        <w:tc>
          <w:tcPr>
            <w:tcW w:w="1418" w:type="dxa"/>
            <w:tcBorders>
              <w:tl2br w:val="nil"/>
              <w:tr2bl w:val="nil"/>
            </w:tcBorders>
            <w:vAlign w:val="center"/>
          </w:tcPr>
          <w:p>
            <w:pPr>
              <w:pStyle w:val="22"/>
              <w:rPr>
                <w:bCs/>
                <w:u w:val="single"/>
              </w:rPr>
            </w:pPr>
            <w:r>
              <w:rPr>
                <w:rFonts w:hint="eastAsia"/>
                <w:u w:val="single"/>
              </w:rPr>
              <w:t>废弃试剂瓶</w:t>
            </w:r>
          </w:p>
        </w:tc>
        <w:tc>
          <w:tcPr>
            <w:tcW w:w="1901" w:type="dxa"/>
            <w:tcBorders>
              <w:tl2br w:val="nil"/>
              <w:tr2bl w:val="nil"/>
            </w:tcBorders>
            <w:vAlign w:val="center"/>
          </w:tcPr>
          <w:p>
            <w:pPr>
              <w:pStyle w:val="22"/>
              <w:rPr>
                <w:rStyle w:val="68"/>
                <w:color w:val="auto"/>
                <w:sz w:val="21"/>
                <w:szCs w:val="21"/>
                <w:u w:val="single"/>
              </w:rPr>
            </w:pPr>
            <w:r>
              <w:rPr>
                <w:rFonts w:hint="eastAsia"/>
                <w:u w:val="single"/>
              </w:rPr>
              <w:t>2.0</w:t>
            </w:r>
            <w:r>
              <w:rPr>
                <w:rFonts w:hint="eastAsia"/>
                <w:snapToGrid w:val="0"/>
                <w:kern w:val="21"/>
                <w:u w:val="single"/>
              </w:rPr>
              <w:t>t/a</w:t>
            </w:r>
          </w:p>
        </w:tc>
        <w:tc>
          <w:tcPr>
            <w:tcW w:w="971" w:type="dxa"/>
            <w:tcBorders>
              <w:tl2br w:val="nil"/>
              <w:tr2bl w:val="nil"/>
            </w:tcBorders>
            <w:vAlign w:val="center"/>
          </w:tcPr>
          <w:p>
            <w:pPr>
              <w:pStyle w:val="21"/>
              <w:spacing w:beforeLines="0" w:line="240" w:lineRule="auto"/>
              <w:rPr>
                <w:rStyle w:val="68"/>
                <w:color w:val="auto"/>
                <w:sz w:val="21"/>
                <w:szCs w:val="21"/>
                <w:u w:val="single"/>
              </w:rPr>
            </w:pPr>
            <w:r>
              <w:rPr>
                <w:rStyle w:val="68"/>
                <w:color w:val="auto"/>
                <w:sz w:val="21"/>
                <w:szCs w:val="21"/>
                <w:u w:val="single"/>
              </w:rPr>
              <w:t>/</w:t>
            </w:r>
          </w:p>
        </w:tc>
        <w:tc>
          <w:tcPr>
            <w:tcW w:w="1482" w:type="dxa"/>
            <w:tcBorders>
              <w:tl2br w:val="nil"/>
              <w:tr2bl w:val="nil"/>
            </w:tcBorders>
            <w:vAlign w:val="center"/>
          </w:tcPr>
          <w:p>
            <w:pPr>
              <w:pStyle w:val="21"/>
              <w:spacing w:beforeLines="0" w:line="240" w:lineRule="auto"/>
              <w:rPr>
                <w:rStyle w:val="68"/>
                <w:color w:val="auto"/>
                <w:sz w:val="21"/>
                <w:szCs w:val="21"/>
                <w:u w:val="single"/>
              </w:rPr>
            </w:pPr>
            <w:r>
              <w:rPr>
                <w:rStyle w:val="68"/>
                <w:color w:val="auto"/>
                <w:sz w:val="21"/>
                <w:szCs w:val="21"/>
                <w:u w:val="single"/>
              </w:rPr>
              <w:t>/</w:t>
            </w:r>
          </w:p>
        </w:tc>
        <w:tc>
          <w:tcPr>
            <w:tcW w:w="1996" w:type="dxa"/>
            <w:tcBorders>
              <w:tl2br w:val="nil"/>
              <w:tr2bl w:val="nil"/>
            </w:tcBorders>
            <w:vAlign w:val="center"/>
          </w:tcPr>
          <w:p>
            <w:pPr>
              <w:adjustRightInd w:val="0"/>
              <w:snapToGrid w:val="0"/>
              <w:jc w:val="center"/>
              <w:rPr>
                <w:bCs/>
                <w:szCs w:val="21"/>
                <w:u w:val="single"/>
              </w:rPr>
            </w:pPr>
            <w:r>
              <w:rPr>
                <w:rFonts w:hint="eastAsia"/>
                <w:bCs/>
                <w:szCs w:val="21"/>
                <w:u w:val="single"/>
              </w:rPr>
              <w:t>0</w:t>
            </w:r>
            <w:r>
              <w:rPr>
                <w:rFonts w:hint="eastAsia"/>
                <w:snapToGrid w:val="0"/>
                <w:kern w:val="21"/>
                <w:szCs w:val="21"/>
                <w:u w:val="single"/>
              </w:rPr>
              <w:t>t/a</w:t>
            </w:r>
          </w:p>
        </w:tc>
        <w:tc>
          <w:tcPr>
            <w:tcW w:w="1803" w:type="dxa"/>
            <w:tcBorders>
              <w:tl2br w:val="nil"/>
              <w:tr2bl w:val="nil"/>
            </w:tcBorders>
            <w:vAlign w:val="center"/>
          </w:tcPr>
          <w:p>
            <w:pPr>
              <w:jc w:val="center"/>
              <w:rPr>
                <w:rStyle w:val="68"/>
                <w:color w:val="auto"/>
                <w:sz w:val="21"/>
                <w:szCs w:val="21"/>
                <w:u w:val="single"/>
              </w:rPr>
            </w:pPr>
            <w:r>
              <w:rPr>
                <w:rStyle w:val="68"/>
                <w:color w:val="auto"/>
                <w:sz w:val="21"/>
                <w:szCs w:val="21"/>
                <w:u w:val="single"/>
              </w:rPr>
              <w:t>/</w:t>
            </w:r>
          </w:p>
        </w:tc>
        <w:tc>
          <w:tcPr>
            <w:tcW w:w="1668" w:type="dxa"/>
            <w:tcBorders>
              <w:tl2br w:val="nil"/>
              <w:tr2bl w:val="nil"/>
            </w:tcBorders>
            <w:vAlign w:val="center"/>
          </w:tcPr>
          <w:p>
            <w:pPr>
              <w:pStyle w:val="22"/>
              <w:rPr>
                <w:bCs/>
                <w:u w:val="single"/>
              </w:rPr>
            </w:pPr>
            <w:r>
              <w:rPr>
                <w:rFonts w:hint="eastAsia"/>
                <w:u w:val="single"/>
              </w:rPr>
              <w:t>2.0</w:t>
            </w:r>
            <w:r>
              <w:rPr>
                <w:rFonts w:hint="eastAsia"/>
                <w:snapToGrid w:val="0"/>
                <w:kern w:val="21"/>
                <w:u w:val="single"/>
              </w:rPr>
              <w:t>t/a</w:t>
            </w:r>
          </w:p>
        </w:tc>
        <w:tc>
          <w:tcPr>
            <w:tcW w:w="1996" w:type="dxa"/>
            <w:tcBorders>
              <w:tl2br w:val="nil"/>
              <w:tr2bl w:val="nil"/>
            </w:tcBorders>
            <w:vAlign w:val="center"/>
          </w:tcPr>
          <w:p>
            <w:pPr>
              <w:adjustRightInd w:val="0"/>
              <w:snapToGrid w:val="0"/>
              <w:jc w:val="center"/>
              <w:rPr>
                <w:bCs/>
                <w:szCs w:val="21"/>
                <w:u w:val="single"/>
              </w:rPr>
            </w:pPr>
            <w:r>
              <w:rPr>
                <w:rFonts w:hint="eastAsia"/>
                <w:bCs/>
                <w:szCs w:val="21"/>
                <w:u w:val="single"/>
              </w:rPr>
              <w:t>0t/a</w:t>
            </w:r>
          </w:p>
        </w:tc>
      </w:tr>
      <w:tr>
        <w:trPr>
          <w:trHeight w:val="482" w:hRule="atLeast"/>
          <w:jc w:val="center"/>
        </w:trPr>
        <w:tc>
          <w:tcPr>
            <w:tcW w:w="1122" w:type="dxa"/>
            <w:vMerge w:val="continue"/>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p>
        </w:tc>
        <w:tc>
          <w:tcPr>
            <w:tcW w:w="1418" w:type="dxa"/>
            <w:tcBorders>
              <w:tl2br w:val="nil"/>
              <w:tr2bl w:val="nil"/>
            </w:tcBorders>
            <w:vAlign w:val="center"/>
          </w:tcPr>
          <w:p>
            <w:pPr>
              <w:pStyle w:val="22"/>
              <w:rPr>
                <w:bCs/>
                <w:u w:val="single"/>
              </w:rPr>
            </w:pPr>
            <w:r>
              <w:rPr>
                <w:rFonts w:hint="eastAsia"/>
                <w:u w:val="single"/>
              </w:rPr>
              <w:t>废机油</w:t>
            </w:r>
          </w:p>
        </w:tc>
        <w:tc>
          <w:tcPr>
            <w:tcW w:w="1901" w:type="dxa"/>
            <w:tcBorders>
              <w:tl2br w:val="nil"/>
              <w:tr2bl w:val="nil"/>
            </w:tcBorders>
            <w:vAlign w:val="center"/>
          </w:tcPr>
          <w:p>
            <w:pPr>
              <w:pStyle w:val="22"/>
              <w:rPr>
                <w:rStyle w:val="68"/>
                <w:color w:val="auto"/>
                <w:sz w:val="21"/>
                <w:szCs w:val="21"/>
                <w:u w:val="single"/>
              </w:rPr>
            </w:pPr>
            <w:r>
              <w:rPr>
                <w:rFonts w:hint="eastAsia"/>
                <w:u w:val="single"/>
              </w:rPr>
              <w:t>1.0</w:t>
            </w:r>
            <w:r>
              <w:rPr>
                <w:rFonts w:hint="eastAsia"/>
                <w:snapToGrid w:val="0"/>
                <w:kern w:val="21"/>
                <w:u w:val="single"/>
              </w:rPr>
              <w:t>t/a</w:t>
            </w:r>
          </w:p>
        </w:tc>
        <w:tc>
          <w:tcPr>
            <w:tcW w:w="971" w:type="dxa"/>
            <w:tcBorders>
              <w:tl2br w:val="nil"/>
              <w:tr2bl w:val="nil"/>
            </w:tcBorders>
            <w:vAlign w:val="center"/>
          </w:tcPr>
          <w:p>
            <w:pPr>
              <w:pStyle w:val="21"/>
              <w:spacing w:beforeLines="0" w:line="240" w:lineRule="auto"/>
              <w:rPr>
                <w:rStyle w:val="68"/>
                <w:color w:val="auto"/>
                <w:sz w:val="21"/>
                <w:szCs w:val="21"/>
                <w:u w:val="single"/>
              </w:rPr>
            </w:pPr>
            <w:r>
              <w:rPr>
                <w:rStyle w:val="68"/>
                <w:color w:val="auto"/>
                <w:sz w:val="21"/>
                <w:szCs w:val="21"/>
                <w:u w:val="single"/>
              </w:rPr>
              <w:t>/</w:t>
            </w:r>
          </w:p>
        </w:tc>
        <w:tc>
          <w:tcPr>
            <w:tcW w:w="1482" w:type="dxa"/>
            <w:tcBorders>
              <w:tl2br w:val="nil"/>
              <w:tr2bl w:val="nil"/>
            </w:tcBorders>
            <w:vAlign w:val="center"/>
          </w:tcPr>
          <w:p>
            <w:pPr>
              <w:pStyle w:val="21"/>
              <w:spacing w:beforeLines="0" w:line="240" w:lineRule="auto"/>
              <w:rPr>
                <w:rStyle w:val="68"/>
                <w:color w:val="auto"/>
                <w:sz w:val="21"/>
                <w:szCs w:val="21"/>
                <w:u w:val="single"/>
              </w:rPr>
            </w:pPr>
            <w:r>
              <w:rPr>
                <w:rStyle w:val="68"/>
                <w:color w:val="auto"/>
                <w:sz w:val="21"/>
                <w:szCs w:val="21"/>
                <w:u w:val="single"/>
              </w:rPr>
              <w:t>/</w:t>
            </w:r>
          </w:p>
        </w:tc>
        <w:tc>
          <w:tcPr>
            <w:tcW w:w="1996" w:type="dxa"/>
            <w:tcBorders>
              <w:tl2br w:val="nil"/>
              <w:tr2bl w:val="nil"/>
            </w:tcBorders>
            <w:vAlign w:val="center"/>
          </w:tcPr>
          <w:p>
            <w:pPr>
              <w:adjustRightInd w:val="0"/>
              <w:snapToGrid w:val="0"/>
              <w:jc w:val="center"/>
              <w:rPr>
                <w:bCs/>
                <w:szCs w:val="21"/>
                <w:u w:val="single"/>
              </w:rPr>
            </w:pPr>
            <w:r>
              <w:rPr>
                <w:rFonts w:hint="eastAsia"/>
                <w:bCs/>
                <w:szCs w:val="21"/>
                <w:u w:val="single"/>
              </w:rPr>
              <w:t>0.5</w:t>
            </w:r>
            <w:r>
              <w:rPr>
                <w:rFonts w:hint="eastAsia"/>
                <w:snapToGrid w:val="0"/>
                <w:kern w:val="21"/>
                <w:szCs w:val="21"/>
                <w:u w:val="single"/>
              </w:rPr>
              <w:t>t/a</w:t>
            </w:r>
          </w:p>
        </w:tc>
        <w:tc>
          <w:tcPr>
            <w:tcW w:w="1803" w:type="dxa"/>
            <w:tcBorders>
              <w:tl2br w:val="nil"/>
              <w:tr2bl w:val="nil"/>
            </w:tcBorders>
            <w:vAlign w:val="center"/>
          </w:tcPr>
          <w:p>
            <w:pPr>
              <w:pStyle w:val="22"/>
              <w:rPr>
                <w:rStyle w:val="68"/>
                <w:color w:val="auto"/>
                <w:sz w:val="21"/>
                <w:szCs w:val="21"/>
                <w:u w:val="single"/>
              </w:rPr>
            </w:pPr>
            <w:r>
              <w:rPr>
                <w:rFonts w:hint="eastAsia"/>
                <w:u w:val="single"/>
              </w:rPr>
              <w:t>1.0</w:t>
            </w:r>
            <w:r>
              <w:rPr>
                <w:rFonts w:hint="eastAsia"/>
                <w:snapToGrid w:val="0"/>
                <w:kern w:val="21"/>
                <w:u w:val="single"/>
              </w:rPr>
              <w:t>t/a</w:t>
            </w:r>
          </w:p>
        </w:tc>
        <w:tc>
          <w:tcPr>
            <w:tcW w:w="1668" w:type="dxa"/>
            <w:tcBorders>
              <w:tl2br w:val="nil"/>
              <w:tr2bl w:val="nil"/>
            </w:tcBorders>
            <w:vAlign w:val="center"/>
          </w:tcPr>
          <w:p>
            <w:pPr>
              <w:adjustRightInd w:val="0"/>
              <w:snapToGrid w:val="0"/>
              <w:jc w:val="center"/>
              <w:rPr>
                <w:bCs/>
                <w:szCs w:val="21"/>
                <w:u w:val="single"/>
              </w:rPr>
            </w:pPr>
            <w:r>
              <w:rPr>
                <w:rFonts w:hint="eastAsia"/>
                <w:bCs/>
                <w:szCs w:val="21"/>
                <w:u w:val="single"/>
              </w:rPr>
              <w:t>0.5</w:t>
            </w:r>
            <w:r>
              <w:rPr>
                <w:rFonts w:hint="eastAsia"/>
                <w:snapToGrid w:val="0"/>
                <w:kern w:val="21"/>
                <w:szCs w:val="21"/>
                <w:u w:val="single"/>
              </w:rPr>
              <w:t>t/a</w:t>
            </w:r>
          </w:p>
        </w:tc>
        <w:tc>
          <w:tcPr>
            <w:tcW w:w="1996" w:type="dxa"/>
            <w:tcBorders>
              <w:tl2br w:val="nil"/>
              <w:tr2bl w:val="nil"/>
            </w:tcBorders>
            <w:vAlign w:val="center"/>
          </w:tcPr>
          <w:p>
            <w:pPr>
              <w:adjustRightInd w:val="0"/>
              <w:snapToGrid w:val="0"/>
              <w:jc w:val="center"/>
              <w:rPr>
                <w:bCs/>
                <w:szCs w:val="21"/>
                <w:u w:val="single"/>
              </w:rPr>
            </w:pPr>
            <w:r>
              <w:rPr>
                <w:rFonts w:hint="eastAsia"/>
                <w:bCs/>
                <w:szCs w:val="21"/>
                <w:u w:val="single"/>
              </w:rPr>
              <w:t>-0.5t/a</w:t>
            </w:r>
          </w:p>
        </w:tc>
      </w:tr>
      <w:tr>
        <w:trPr>
          <w:trHeight w:val="482" w:hRule="atLeast"/>
          <w:jc w:val="center"/>
        </w:trPr>
        <w:tc>
          <w:tcPr>
            <w:tcW w:w="1122" w:type="dxa"/>
            <w:vMerge w:val="continue"/>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p>
        </w:tc>
        <w:tc>
          <w:tcPr>
            <w:tcW w:w="1418" w:type="dxa"/>
            <w:tcBorders>
              <w:tl2br w:val="nil"/>
              <w:tr2bl w:val="nil"/>
            </w:tcBorders>
            <w:vAlign w:val="center"/>
          </w:tcPr>
          <w:p>
            <w:pPr>
              <w:pStyle w:val="22"/>
              <w:rPr>
                <w:snapToGrid w:val="0"/>
                <w:kern w:val="21"/>
                <w:u w:val="single"/>
              </w:rPr>
            </w:pPr>
            <w:r>
              <w:rPr>
                <w:bCs/>
                <w:u w:val="single"/>
              </w:rPr>
              <w:t>含油废抹布及手套</w:t>
            </w:r>
          </w:p>
        </w:tc>
        <w:tc>
          <w:tcPr>
            <w:tcW w:w="1901" w:type="dxa"/>
            <w:tcBorders>
              <w:tl2br w:val="nil"/>
              <w:tr2bl w:val="nil"/>
            </w:tcBorders>
            <w:vAlign w:val="center"/>
          </w:tcPr>
          <w:p>
            <w:pPr>
              <w:pStyle w:val="22"/>
              <w:rPr>
                <w:snapToGrid w:val="0"/>
                <w:kern w:val="21"/>
                <w:u w:val="single"/>
              </w:rPr>
            </w:pPr>
            <w:r>
              <w:rPr>
                <w:rFonts w:hint="eastAsia"/>
                <w:u w:val="single"/>
              </w:rPr>
              <w:t>0</w:t>
            </w:r>
            <w:r>
              <w:rPr>
                <w:rFonts w:hint="eastAsia"/>
                <w:snapToGrid w:val="0"/>
                <w:kern w:val="21"/>
                <w:u w:val="single"/>
              </w:rPr>
              <w:t>t/a</w:t>
            </w:r>
          </w:p>
        </w:tc>
        <w:tc>
          <w:tcPr>
            <w:tcW w:w="971"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8"/>
                <w:color w:val="auto"/>
                <w:sz w:val="21"/>
                <w:szCs w:val="21"/>
                <w:u w:val="single"/>
              </w:rPr>
              <w:t>/</w:t>
            </w:r>
          </w:p>
        </w:tc>
        <w:tc>
          <w:tcPr>
            <w:tcW w:w="1482" w:type="dxa"/>
            <w:tcBorders>
              <w:tl2br w:val="nil"/>
              <w:tr2bl w:val="nil"/>
            </w:tcBorders>
            <w:vAlign w:val="center"/>
          </w:tcPr>
          <w:p>
            <w:pPr>
              <w:pStyle w:val="21"/>
              <w:spacing w:beforeLines="0" w:line="240" w:lineRule="auto"/>
              <w:rPr>
                <w:rFonts w:ascii="Times New Roman" w:hAnsi="Times New Roman" w:cs="Times New Roman"/>
                <w:snapToGrid w:val="0"/>
                <w:kern w:val="21"/>
                <w:szCs w:val="21"/>
                <w:u w:val="single"/>
              </w:rPr>
            </w:pPr>
            <w:r>
              <w:rPr>
                <w:rStyle w:val="68"/>
                <w:color w:val="auto"/>
                <w:sz w:val="21"/>
                <w:szCs w:val="21"/>
                <w:u w:val="single"/>
              </w:rPr>
              <w:t>/</w:t>
            </w:r>
          </w:p>
        </w:tc>
        <w:tc>
          <w:tcPr>
            <w:tcW w:w="1996" w:type="dxa"/>
            <w:tcBorders>
              <w:tl2br w:val="nil"/>
              <w:tr2bl w:val="nil"/>
            </w:tcBorders>
            <w:vAlign w:val="center"/>
          </w:tcPr>
          <w:p>
            <w:pPr>
              <w:adjustRightInd w:val="0"/>
              <w:snapToGrid w:val="0"/>
              <w:jc w:val="center"/>
              <w:rPr>
                <w:snapToGrid w:val="0"/>
                <w:kern w:val="21"/>
                <w:szCs w:val="21"/>
                <w:u w:val="single"/>
              </w:rPr>
            </w:pPr>
            <w:r>
              <w:rPr>
                <w:rFonts w:hint="eastAsia"/>
                <w:bCs/>
                <w:szCs w:val="21"/>
                <w:u w:val="single"/>
              </w:rPr>
              <w:t>0.05t/a</w:t>
            </w:r>
          </w:p>
        </w:tc>
        <w:tc>
          <w:tcPr>
            <w:tcW w:w="1803" w:type="dxa"/>
            <w:tcBorders>
              <w:tl2br w:val="nil"/>
              <w:tr2bl w:val="nil"/>
            </w:tcBorders>
            <w:vAlign w:val="center"/>
          </w:tcPr>
          <w:p>
            <w:pPr>
              <w:pStyle w:val="22"/>
              <w:rPr>
                <w:snapToGrid w:val="0"/>
                <w:kern w:val="21"/>
                <w:u w:val="single"/>
              </w:rPr>
            </w:pPr>
            <w:r>
              <w:rPr>
                <w:rFonts w:hint="eastAsia"/>
                <w:u w:val="single"/>
              </w:rPr>
              <w:t>0</w:t>
            </w:r>
            <w:r>
              <w:rPr>
                <w:rFonts w:hint="eastAsia"/>
                <w:snapToGrid w:val="0"/>
                <w:kern w:val="21"/>
                <w:u w:val="single"/>
              </w:rPr>
              <w:t>t/a</w:t>
            </w:r>
          </w:p>
        </w:tc>
        <w:tc>
          <w:tcPr>
            <w:tcW w:w="1668" w:type="dxa"/>
            <w:tcBorders>
              <w:tl2br w:val="nil"/>
              <w:tr2bl w:val="nil"/>
            </w:tcBorders>
            <w:vAlign w:val="center"/>
          </w:tcPr>
          <w:p>
            <w:pPr>
              <w:adjustRightInd w:val="0"/>
              <w:snapToGrid w:val="0"/>
              <w:jc w:val="center"/>
              <w:rPr>
                <w:snapToGrid w:val="0"/>
                <w:kern w:val="21"/>
                <w:szCs w:val="21"/>
                <w:u w:val="single"/>
              </w:rPr>
            </w:pPr>
            <w:r>
              <w:rPr>
                <w:rFonts w:hint="eastAsia"/>
                <w:bCs/>
                <w:szCs w:val="21"/>
                <w:u w:val="single"/>
              </w:rPr>
              <w:t>0.05t/a</w:t>
            </w:r>
          </w:p>
        </w:tc>
        <w:tc>
          <w:tcPr>
            <w:tcW w:w="1996" w:type="dxa"/>
            <w:tcBorders>
              <w:tl2br w:val="nil"/>
              <w:tr2bl w:val="nil"/>
            </w:tcBorders>
            <w:vAlign w:val="center"/>
          </w:tcPr>
          <w:p>
            <w:pPr>
              <w:adjustRightInd w:val="0"/>
              <w:snapToGrid w:val="0"/>
              <w:jc w:val="center"/>
              <w:rPr>
                <w:snapToGrid w:val="0"/>
                <w:kern w:val="21"/>
                <w:szCs w:val="21"/>
                <w:u w:val="single"/>
              </w:rPr>
            </w:pPr>
            <w:r>
              <w:rPr>
                <w:rFonts w:hint="eastAsia"/>
                <w:bCs/>
                <w:szCs w:val="21"/>
                <w:u w:val="single"/>
              </w:rPr>
              <w:t>+0.05t/a</w:t>
            </w:r>
          </w:p>
        </w:tc>
      </w:tr>
    </w:tbl>
    <w:p>
      <w:pPr>
        <w:pStyle w:val="21"/>
        <w:spacing w:beforeLines="80" w:after="24"/>
        <w:jc w:val="left"/>
        <w:rPr>
          <w:rFonts w:ascii="Times New Roman" w:hAnsi="Times New Roman" w:cs="Times New Roman"/>
          <w:snapToGrid w:val="0"/>
          <w:spacing w:val="-6"/>
          <w:kern w:val="21"/>
          <w:szCs w:val="21"/>
        </w:rPr>
      </w:pPr>
      <w:r>
        <w:rPr>
          <w:rFonts w:ascii="Times New Roman" w:hAnsi="Times New Roman" w:cs="Times New Roman"/>
          <w:snapToGrid w:val="0"/>
          <w:kern w:val="21"/>
          <w:szCs w:val="21"/>
        </w:rPr>
        <w:t>注：</w:t>
      </w:r>
      <w:r>
        <w:rPr>
          <w:rFonts w:ascii="Times New Roman" w:hAnsi="Times New Roman" w:cs="Times New Roman"/>
          <w:snapToGrid w:val="0"/>
          <w:spacing w:val="-16"/>
          <w:kern w:val="21"/>
          <w:szCs w:val="21"/>
        </w:rPr>
        <w:fldChar w:fldCharType="begin"/>
      </w:r>
      <w:r>
        <w:rPr>
          <w:rFonts w:ascii="Times New Roman" w:hAnsi="Times New Roman" w:cs="Times New Roman"/>
          <w:snapToGrid w:val="0"/>
          <w:spacing w:val="-16"/>
          <w:kern w:val="21"/>
          <w:szCs w:val="21"/>
        </w:rPr>
        <w:instrText xml:space="preserve"> = 6 \* GB3 \* MERGEFORMAT </w:instrText>
      </w:r>
      <w:r>
        <w:rPr>
          <w:rFonts w:ascii="Times New Roman" w:hAnsi="Times New Roman" w:cs="Times New Roman"/>
          <w:snapToGrid w:val="0"/>
          <w:spacing w:val="-16"/>
          <w:kern w:val="21"/>
          <w:szCs w:val="21"/>
        </w:rPr>
        <w:fldChar w:fldCharType="separate"/>
      </w:r>
      <w:r>
        <w:rPr>
          <w:rFonts w:ascii="Cambria Math" w:hAnsi="Cambria Math" w:cs="Cambria Math"/>
          <w:szCs w:val="21"/>
        </w:rPr>
        <w:t>⑥</w:t>
      </w:r>
      <w:r>
        <w:rPr>
          <w:rFonts w:ascii="Times New Roman" w:hAnsi="Times New Roman" w:cs="Times New Roman"/>
          <w:snapToGrid w:val="0"/>
          <w:spacing w:val="-16"/>
          <w:kern w:val="21"/>
          <w:szCs w:val="21"/>
        </w:rPr>
        <w:fldChar w:fldCharType="end"/>
      </w:r>
      <w:r>
        <w:rPr>
          <w:rFonts w:ascii="Times New Roman" w:hAnsi="Times New Roman" w:cs="Times New Roman"/>
          <w:snapToGrid w:val="0"/>
          <w:spacing w:val="-16"/>
          <w:kern w:val="21"/>
          <w:szCs w:val="21"/>
        </w:rPr>
        <w:t>=</w:t>
      </w:r>
      <w:r>
        <w:rPr>
          <w:rFonts w:ascii="Times New Roman" w:hAnsi="Times New Roman" w:cs="Times New Roman"/>
          <w:snapToGrid w:val="0"/>
          <w:spacing w:val="-6"/>
          <w:kern w:val="21"/>
          <w:szCs w:val="21"/>
        </w:rPr>
        <w:fldChar w:fldCharType="begin"/>
      </w:r>
      <w:r>
        <w:rPr>
          <w:rFonts w:ascii="Times New Roman" w:hAnsi="Times New Roman" w:cs="Times New Roman"/>
          <w:snapToGrid w:val="0"/>
          <w:spacing w:val="-6"/>
          <w:kern w:val="21"/>
          <w:szCs w:val="21"/>
        </w:rPr>
        <w:instrText xml:space="preserve"> = 1 \* GB3 \* MERGEFORMAT </w:instrText>
      </w:r>
      <w:r>
        <w:rPr>
          <w:rFonts w:ascii="Times New Roman" w:hAnsi="Times New Roman" w:cs="Times New Roman"/>
          <w:snapToGrid w:val="0"/>
          <w:spacing w:val="-6"/>
          <w:kern w:val="21"/>
          <w:szCs w:val="21"/>
        </w:rPr>
        <w:fldChar w:fldCharType="separate"/>
      </w:r>
      <w:r>
        <w:rPr>
          <w:rFonts w:ascii="Cambria Math" w:hAnsi="Cambria Math" w:cs="Cambria Math"/>
          <w:szCs w:val="21"/>
        </w:rPr>
        <w:t>①</w:t>
      </w:r>
      <w:r>
        <w:rPr>
          <w:rFonts w:ascii="Times New Roman" w:hAnsi="Times New Roman" w:cs="Times New Roman"/>
          <w:snapToGrid w:val="0"/>
          <w:spacing w:val="-6"/>
          <w:kern w:val="21"/>
          <w:szCs w:val="21"/>
        </w:rPr>
        <w:fldChar w:fldCharType="end"/>
      </w:r>
      <w:r>
        <w:rPr>
          <w:rFonts w:ascii="Times New Roman" w:hAnsi="Times New Roman" w:cs="Times New Roman"/>
          <w:snapToGrid w:val="0"/>
          <w:spacing w:val="-6"/>
          <w:kern w:val="21"/>
          <w:szCs w:val="21"/>
        </w:rPr>
        <w:t>+</w:t>
      </w:r>
      <w:r>
        <w:rPr>
          <w:rFonts w:ascii="Times New Roman" w:hAnsi="Times New Roman" w:cs="Times New Roman"/>
          <w:snapToGrid w:val="0"/>
          <w:spacing w:val="-6"/>
          <w:kern w:val="21"/>
          <w:szCs w:val="21"/>
        </w:rPr>
        <w:fldChar w:fldCharType="begin"/>
      </w:r>
      <w:r>
        <w:rPr>
          <w:rFonts w:ascii="Times New Roman" w:hAnsi="Times New Roman" w:cs="Times New Roman"/>
          <w:snapToGrid w:val="0"/>
          <w:spacing w:val="-6"/>
          <w:kern w:val="21"/>
          <w:szCs w:val="21"/>
        </w:rPr>
        <w:instrText xml:space="preserve"> = 3 \* GB3 \* MERGEFORMAT </w:instrText>
      </w:r>
      <w:r>
        <w:rPr>
          <w:rFonts w:ascii="Times New Roman" w:hAnsi="Times New Roman" w:cs="Times New Roman"/>
          <w:snapToGrid w:val="0"/>
          <w:spacing w:val="-6"/>
          <w:kern w:val="21"/>
          <w:szCs w:val="21"/>
        </w:rPr>
        <w:fldChar w:fldCharType="separate"/>
      </w:r>
      <w:r>
        <w:rPr>
          <w:rFonts w:ascii="Cambria Math" w:hAnsi="Cambria Math" w:cs="Cambria Math"/>
          <w:szCs w:val="21"/>
        </w:rPr>
        <w:t>③</w:t>
      </w:r>
      <w:r>
        <w:rPr>
          <w:rFonts w:ascii="Times New Roman" w:hAnsi="Times New Roman" w:cs="Times New Roman"/>
          <w:snapToGrid w:val="0"/>
          <w:spacing w:val="-6"/>
          <w:kern w:val="21"/>
          <w:szCs w:val="21"/>
        </w:rPr>
        <w:fldChar w:fldCharType="end"/>
      </w:r>
      <w:r>
        <w:rPr>
          <w:rFonts w:ascii="Times New Roman" w:hAnsi="Times New Roman" w:cs="Times New Roman"/>
          <w:snapToGrid w:val="0"/>
          <w:spacing w:val="-6"/>
          <w:kern w:val="21"/>
          <w:szCs w:val="21"/>
        </w:rPr>
        <w:t>+</w:t>
      </w:r>
      <w:r>
        <w:rPr>
          <w:rFonts w:ascii="Times New Roman" w:hAnsi="Times New Roman" w:cs="Times New Roman"/>
          <w:snapToGrid w:val="0"/>
          <w:spacing w:val="-6"/>
          <w:kern w:val="21"/>
          <w:szCs w:val="21"/>
        </w:rPr>
        <w:fldChar w:fldCharType="begin"/>
      </w:r>
      <w:r>
        <w:rPr>
          <w:rFonts w:ascii="Times New Roman" w:hAnsi="Times New Roman" w:cs="Times New Roman"/>
          <w:snapToGrid w:val="0"/>
          <w:spacing w:val="-6"/>
          <w:kern w:val="21"/>
          <w:szCs w:val="21"/>
        </w:rPr>
        <w:instrText xml:space="preserve"> = 4 \* GB3 \* MERGEFORMAT </w:instrText>
      </w:r>
      <w:r>
        <w:rPr>
          <w:rFonts w:ascii="Times New Roman" w:hAnsi="Times New Roman" w:cs="Times New Roman"/>
          <w:snapToGrid w:val="0"/>
          <w:spacing w:val="-6"/>
          <w:kern w:val="21"/>
          <w:szCs w:val="21"/>
        </w:rPr>
        <w:fldChar w:fldCharType="separate"/>
      </w:r>
      <w:r>
        <w:rPr>
          <w:rFonts w:ascii="Cambria Math" w:hAnsi="Cambria Math" w:cs="Cambria Math"/>
          <w:szCs w:val="21"/>
        </w:rPr>
        <w:t>④</w:t>
      </w:r>
      <w:r>
        <w:rPr>
          <w:rFonts w:ascii="Times New Roman" w:hAnsi="Times New Roman" w:cs="Times New Roman"/>
          <w:snapToGrid w:val="0"/>
          <w:spacing w:val="-6"/>
          <w:kern w:val="21"/>
          <w:szCs w:val="21"/>
        </w:rPr>
        <w:fldChar w:fldCharType="end"/>
      </w:r>
      <w:r>
        <w:rPr>
          <w:rFonts w:ascii="Times New Roman" w:hAnsi="Times New Roman" w:cs="Times New Roman"/>
          <w:snapToGrid w:val="0"/>
          <w:spacing w:val="-6"/>
          <w:kern w:val="21"/>
          <w:szCs w:val="21"/>
        </w:rPr>
        <w:t>-</w:t>
      </w:r>
      <w:r>
        <w:rPr>
          <w:rFonts w:ascii="Times New Roman" w:hAnsi="Times New Roman" w:cs="Times New Roman"/>
          <w:snapToGrid w:val="0"/>
          <w:spacing w:val="-16"/>
          <w:kern w:val="21"/>
          <w:szCs w:val="21"/>
        </w:rPr>
        <w:fldChar w:fldCharType="begin"/>
      </w:r>
      <w:r>
        <w:rPr>
          <w:rFonts w:ascii="Times New Roman" w:hAnsi="Times New Roman" w:cs="Times New Roman"/>
          <w:snapToGrid w:val="0"/>
          <w:spacing w:val="-16"/>
          <w:kern w:val="21"/>
          <w:szCs w:val="21"/>
        </w:rPr>
        <w:instrText xml:space="preserve"> = 5 \* GB3 \* MERGEFORMAT </w:instrText>
      </w:r>
      <w:r>
        <w:rPr>
          <w:rFonts w:ascii="Times New Roman" w:hAnsi="Times New Roman" w:cs="Times New Roman"/>
          <w:snapToGrid w:val="0"/>
          <w:spacing w:val="-16"/>
          <w:kern w:val="21"/>
          <w:szCs w:val="21"/>
        </w:rPr>
        <w:fldChar w:fldCharType="separate"/>
      </w:r>
      <w:r>
        <w:rPr>
          <w:rFonts w:ascii="Cambria Math" w:hAnsi="Cambria Math" w:cs="Cambria Math"/>
          <w:szCs w:val="21"/>
        </w:rPr>
        <w:t>⑤</w:t>
      </w:r>
      <w:r>
        <w:rPr>
          <w:rFonts w:ascii="Times New Roman" w:hAnsi="Times New Roman" w:cs="Times New Roman"/>
          <w:snapToGrid w:val="0"/>
          <w:spacing w:val="-16"/>
          <w:kern w:val="21"/>
          <w:szCs w:val="21"/>
        </w:rPr>
        <w:fldChar w:fldCharType="end"/>
      </w:r>
      <w:r>
        <w:rPr>
          <w:rFonts w:ascii="Times New Roman" w:hAnsi="Times New Roman" w:cs="Times New Roman"/>
          <w:snapToGrid w:val="0"/>
          <w:spacing w:val="-16"/>
          <w:kern w:val="21"/>
          <w:szCs w:val="21"/>
        </w:rPr>
        <w:t>；</w:t>
      </w:r>
      <w:r>
        <w:rPr>
          <w:rFonts w:ascii="Times New Roman" w:hAnsi="Times New Roman" w:cs="Times New Roman"/>
          <w:snapToGrid w:val="0"/>
          <w:spacing w:val="-6"/>
          <w:kern w:val="21"/>
          <w:szCs w:val="21"/>
        </w:rPr>
        <w:fldChar w:fldCharType="begin"/>
      </w:r>
      <w:r>
        <w:rPr>
          <w:rFonts w:ascii="Times New Roman" w:hAnsi="Times New Roman" w:cs="Times New Roman"/>
          <w:snapToGrid w:val="0"/>
          <w:spacing w:val="-6"/>
          <w:kern w:val="21"/>
          <w:szCs w:val="21"/>
        </w:rPr>
        <w:instrText xml:space="preserve"> = 7 \* GB3 \* MERGEFORMAT </w:instrText>
      </w:r>
      <w:r>
        <w:rPr>
          <w:rFonts w:ascii="Times New Roman" w:hAnsi="Times New Roman" w:cs="Times New Roman"/>
          <w:snapToGrid w:val="0"/>
          <w:spacing w:val="-6"/>
          <w:kern w:val="21"/>
          <w:szCs w:val="21"/>
        </w:rPr>
        <w:fldChar w:fldCharType="separate"/>
      </w:r>
      <w:r>
        <w:rPr>
          <w:rFonts w:ascii="Cambria Math" w:hAnsi="Cambria Math" w:cs="Cambria Math"/>
          <w:szCs w:val="21"/>
        </w:rPr>
        <w:t>⑦</w:t>
      </w:r>
      <w:r>
        <w:rPr>
          <w:rFonts w:ascii="Times New Roman" w:hAnsi="Times New Roman" w:cs="Times New Roman"/>
          <w:snapToGrid w:val="0"/>
          <w:spacing w:val="-6"/>
          <w:kern w:val="21"/>
          <w:szCs w:val="21"/>
        </w:rPr>
        <w:fldChar w:fldCharType="end"/>
      </w:r>
      <w:r>
        <w:rPr>
          <w:rFonts w:ascii="Times New Roman" w:hAnsi="Times New Roman" w:cs="Times New Roman"/>
          <w:snapToGrid w:val="0"/>
          <w:spacing w:val="-6"/>
          <w:kern w:val="21"/>
          <w:szCs w:val="21"/>
        </w:rPr>
        <w:t>=</w:t>
      </w:r>
      <w:r>
        <w:rPr>
          <w:rFonts w:ascii="Times New Roman" w:hAnsi="Times New Roman" w:cs="Times New Roman"/>
          <w:snapToGrid w:val="0"/>
          <w:spacing w:val="-16"/>
          <w:kern w:val="21"/>
          <w:szCs w:val="21"/>
        </w:rPr>
        <w:fldChar w:fldCharType="begin"/>
      </w:r>
      <w:r>
        <w:rPr>
          <w:rFonts w:ascii="Times New Roman" w:hAnsi="Times New Roman" w:cs="Times New Roman"/>
          <w:snapToGrid w:val="0"/>
          <w:spacing w:val="-16"/>
          <w:kern w:val="21"/>
          <w:szCs w:val="21"/>
        </w:rPr>
        <w:instrText xml:space="preserve"> = 6 \* GB3 \* MERGEFORMAT </w:instrText>
      </w:r>
      <w:r>
        <w:rPr>
          <w:rFonts w:ascii="Times New Roman" w:hAnsi="Times New Roman" w:cs="Times New Roman"/>
          <w:snapToGrid w:val="0"/>
          <w:spacing w:val="-16"/>
          <w:kern w:val="21"/>
          <w:szCs w:val="21"/>
        </w:rPr>
        <w:fldChar w:fldCharType="separate"/>
      </w:r>
      <w:r>
        <w:rPr>
          <w:rFonts w:ascii="Cambria Math" w:hAnsi="Cambria Math" w:cs="Cambria Math"/>
          <w:szCs w:val="21"/>
        </w:rPr>
        <w:t>⑥</w:t>
      </w:r>
      <w:r>
        <w:rPr>
          <w:rFonts w:ascii="Times New Roman" w:hAnsi="Times New Roman" w:cs="Times New Roman"/>
          <w:snapToGrid w:val="0"/>
          <w:spacing w:val="-16"/>
          <w:kern w:val="21"/>
          <w:szCs w:val="21"/>
        </w:rPr>
        <w:fldChar w:fldCharType="end"/>
      </w:r>
      <w:r>
        <w:rPr>
          <w:rFonts w:ascii="Times New Roman" w:hAnsi="Times New Roman" w:cs="Times New Roman"/>
          <w:snapToGrid w:val="0"/>
          <w:spacing w:val="-16"/>
          <w:kern w:val="21"/>
          <w:szCs w:val="21"/>
        </w:rPr>
        <w:t>-</w:t>
      </w:r>
      <w:r>
        <w:rPr>
          <w:rFonts w:ascii="Times New Roman" w:hAnsi="Times New Roman" w:cs="Times New Roman"/>
          <w:snapToGrid w:val="0"/>
          <w:spacing w:val="-6"/>
          <w:kern w:val="21"/>
          <w:szCs w:val="21"/>
        </w:rPr>
        <w:fldChar w:fldCharType="begin"/>
      </w:r>
      <w:r>
        <w:rPr>
          <w:rFonts w:ascii="Times New Roman" w:hAnsi="Times New Roman" w:cs="Times New Roman"/>
          <w:snapToGrid w:val="0"/>
          <w:spacing w:val="-6"/>
          <w:kern w:val="21"/>
          <w:szCs w:val="21"/>
        </w:rPr>
        <w:instrText xml:space="preserve"> = 1 \* GB3 \* MERGEFORMAT </w:instrText>
      </w:r>
      <w:r>
        <w:rPr>
          <w:rFonts w:ascii="Times New Roman" w:hAnsi="Times New Roman" w:cs="Times New Roman"/>
          <w:snapToGrid w:val="0"/>
          <w:spacing w:val="-6"/>
          <w:kern w:val="21"/>
          <w:szCs w:val="21"/>
        </w:rPr>
        <w:fldChar w:fldCharType="separate"/>
      </w:r>
      <w:r>
        <w:rPr>
          <w:rFonts w:ascii="Cambria Math" w:hAnsi="Cambria Math" w:cs="Cambria Math"/>
          <w:szCs w:val="21"/>
        </w:rPr>
        <w:t>①</w:t>
      </w:r>
      <w:r>
        <w:rPr>
          <w:rFonts w:ascii="Times New Roman" w:hAnsi="Times New Roman" w:cs="Times New Roman"/>
          <w:snapToGrid w:val="0"/>
          <w:spacing w:val="-6"/>
          <w:kern w:val="21"/>
          <w:szCs w:val="21"/>
        </w:rPr>
        <w:fldChar w:fldCharType="end"/>
      </w:r>
    </w:p>
    <w:sectPr>
      <w:pgSz w:w="16838" w:h="11906" w:orient="landscape"/>
      <w:pgMar w:top="1134" w:right="1134" w:bottom="1134" w:left="1134" w:header="851" w:footer="992" w:gutter="0"/>
      <w:cols w:space="425" w:num="1"/>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2FF" w:usb1="400004FF" w:usb2="00000000" w:usb3="00000000" w:csb0="2000019F" w:csb1="00000000"/>
  </w:font>
  <w:font w:name="Calibri">
    <w:panose1 w:val="020F0502020204030204"/>
    <w:charset w:val="00"/>
    <w:family w:val="auto"/>
    <w:pitch w:val="default"/>
    <w:sig w:usb0="E10002FF" w:usb1="4000ACFF" w:usb2="00000009" w:usb3="00000000" w:csb0="2000019F" w:csb1="00000000"/>
  </w:font>
  <w:font w:name="Wingdings 2">
    <w:altName w:val="Webdings"/>
    <w:panose1 w:val="00000000000000000000"/>
    <w:charset w:val="02"/>
    <w:family w:val="auto"/>
    <w:pitch w:val="default"/>
    <w:sig w:usb0="00000000" w:usb1="00000000" w:usb2="00000000" w:usb3="00000000" w:csb0="80000000" w:csb1="00000000"/>
  </w:font>
  <w:font w:name="Cambria Math">
    <w:panose1 w:val="02040503050406030204"/>
    <w:charset w:val="00"/>
    <w:family w:val="auto"/>
    <w:pitch w:val="default"/>
    <w:sig w:usb0="E00002FF" w:usb1="420024FF" w:usb2="00000000" w:usb3="00000000" w:csb0="2000019F" w:csb1="00000000"/>
  </w:font>
  <w:font w:name="Webdings">
    <w:panose1 w:val="05030102010509060703"/>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14"/>
      <w:ind w:firstLine="200" w:firstLineChars="1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1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14"/>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14"/>
      <w:jc w:val="cente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31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15"/>
      <w:pBdr>
        <w:bottom w:val="none" w:color="auto"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1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15"/>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40585896">
    <w:nsid w:val="08612BA8"/>
    <w:multiLevelType w:val="multilevel"/>
    <w:tmpl w:val="08612BA8"/>
    <w:lvl w:ilvl="0" w:tentative="1">
      <w:start w:val="1"/>
      <w:numFmt w:val="decimal"/>
      <w:pStyle w:val="25"/>
      <w:suff w:val="space"/>
      <w:lvlText w:val="表%1"/>
      <w:lvlJc w:val="left"/>
      <w:pPr>
        <w:ind w:left="0" w:firstLine="284"/>
      </w:pPr>
      <w:rPr>
        <w:rFonts w:hint="default" w:ascii="Times New Roman" w:hAnsi="Times New Roman" w:eastAsia="宋体"/>
        <w:b/>
        <w:i w:val="0"/>
        <w:sz w:val="24"/>
      </w:rPr>
    </w:lvl>
    <w:lvl w:ilvl="1" w:tentative="1">
      <w:start w:val="1"/>
      <w:numFmt w:val="lowerLetter"/>
      <w:lvlText w:val="%2)"/>
      <w:lvlJc w:val="left"/>
      <w:pPr>
        <w:ind w:left="880" w:hanging="440"/>
      </w:pPr>
    </w:lvl>
    <w:lvl w:ilvl="2" w:tentative="1">
      <w:start w:val="1"/>
      <w:numFmt w:val="lowerRoman"/>
      <w:lvlText w:val="%3."/>
      <w:lvlJc w:val="right"/>
      <w:pPr>
        <w:ind w:left="1320" w:hanging="440"/>
      </w:pPr>
    </w:lvl>
    <w:lvl w:ilvl="3" w:tentative="1">
      <w:start w:val="1"/>
      <w:numFmt w:val="decimal"/>
      <w:lvlText w:val="%4."/>
      <w:lvlJc w:val="left"/>
      <w:pPr>
        <w:ind w:left="1760" w:hanging="440"/>
      </w:pPr>
    </w:lvl>
    <w:lvl w:ilvl="4" w:tentative="1">
      <w:start w:val="1"/>
      <w:numFmt w:val="lowerLetter"/>
      <w:lvlText w:val="%5)"/>
      <w:lvlJc w:val="left"/>
      <w:pPr>
        <w:ind w:left="2200" w:hanging="440"/>
      </w:pPr>
    </w:lvl>
    <w:lvl w:ilvl="5" w:tentative="1">
      <w:start w:val="1"/>
      <w:numFmt w:val="lowerRoman"/>
      <w:lvlText w:val="%6."/>
      <w:lvlJc w:val="right"/>
      <w:pPr>
        <w:ind w:left="2640" w:hanging="440"/>
      </w:pPr>
    </w:lvl>
    <w:lvl w:ilvl="6" w:tentative="1">
      <w:start w:val="1"/>
      <w:numFmt w:val="decimal"/>
      <w:lvlText w:val="%7."/>
      <w:lvlJc w:val="left"/>
      <w:pPr>
        <w:ind w:left="3080" w:hanging="440"/>
      </w:pPr>
    </w:lvl>
    <w:lvl w:ilvl="7" w:tentative="1">
      <w:start w:val="1"/>
      <w:numFmt w:val="lowerLetter"/>
      <w:lvlText w:val="%8)"/>
      <w:lvlJc w:val="left"/>
      <w:pPr>
        <w:ind w:left="3520" w:hanging="440"/>
      </w:pPr>
    </w:lvl>
    <w:lvl w:ilvl="8" w:tentative="1">
      <w:start w:val="1"/>
      <w:numFmt w:val="lowerRoman"/>
      <w:lvlText w:val="%9."/>
      <w:lvlJc w:val="right"/>
      <w:pPr>
        <w:ind w:left="3960" w:hanging="440"/>
      </w:pPr>
    </w:lvl>
  </w:abstractNum>
  <w:abstractNum w:abstractNumId="3835933414">
    <w:nsid w:val="E4A3B2E6"/>
    <w:multiLevelType w:val="singleLevel"/>
    <w:tmpl w:val="E4A3B2E6"/>
    <w:lvl w:ilvl="0" w:tentative="1">
      <w:start w:val="1"/>
      <w:numFmt w:val="decimal"/>
      <w:suff w:val="nothing"/>
      <w:lvlText w:val="（%1）"/>
      <w:lvlJc w:val="left"/>
    </w:lvl>
  </w:abstractNum>
  <w:abstractNum w:abstractNumId="1308227219">
    <w:nsid w:val="4DF9F693"/>
    <w:multiLevelType w:val="multilevel"/>
    <w:tmpl w:val="4DF9F693"/>
    <w:lvl w:ilvl="0" w:tentative="1">
      <w:start w:val="1"/>
      <w:numFmt w:val="decimal"/>
      <w:pStyle w:val="38"/>
      <w:lvlText w:val="表%1  "/>
      <w:lvlJc w:val="left"/>
      <w:pPr>
        <w:tabs>
          <w:tab w:val="left" w:pos="0"/>
        </w:tabs>
        <w:ind w:left="3681" w:hanging="420"/>
      </w:pPr>
    </w:lvl>
    <w:lvl w:ilvl="1" w:tentative="1">
      <w:start w:val="1"/>
      <w:numFmt w:val="lowerLetter"/>
      <w:lvlText w:val="%2)"/>
      <w:lvlJc w:val="left"/>
      <w:pPr>
        <w:tabs>
          <w:tab w:val="left" w:pos="0"/>
        </w:tabs>
        <w:ind w:left="840" w:hanging="420"/>
      </w:pPr>
    </w:lvl>
    <w:lvl w:ilvl="2" w:tentative="1">
      <w:start w:val="1"/>
      <w:numFmt w:val="lowerRoman"/>
      <w:lvlText w:val="%3."/>
      <w:lvlJc w:val="right"/>
      <w:pPr>
        <w:tabs>
          <w:tab w:val="left" w:pos="0"/>
        </w:tabs>
        <w:ind w:left="1260" w:hanging="420"/>
      </w:pPr>
    </w:lvl>
    <w:lvl w:ilvl="3" w:tentative="1">
      <w:start w:val="1"/>
      <w:numFmt w:val="decimal"/>
      <w:lvlText w:val="%4."/>
      <w:lvlJc w:val="left"/>
      <w:pPr>
        <w:tabs>
          <w:tab w:val="left" w:pos="0"/>
        </w:tabs>
        <w:ind w:left="1680" w:hanging="420"/>
      </w:pPr>
    </w:lvl>
    <w:lvl w:ilvl="4" w:tentative="1">
      <w:start w:val="1"/>
      <w:numFmt w:val="lowerLetter"/>
      <w:lvlText w:val="%5)"/>
      <w:lvlJc w:val="left"/>
      <w:pPr>
        <w:tabs>
          <w:tab w:val="left" w:pos="0"/>
        </w:tabs>
        <w:ind w:left="2100" w:hanging="420"/>
      </w:pPr>
    </w:lvl>
    <w:lvl w:ilvl="5" w:tentative="1">
      <w:start w:val="1"/>
      <w:numFmt w:val="lowerRoman"/>
      <w:lvlText w:val="%6."/>
      <w:lvlJc w:val="right"/>
      <w:pPr>
        <w:tabs>
          <w:tab w:val="left" w:pos="0"/>
        </w:tabs>
        <w:ind w:left="2520" w:hanging="420"/>
      </w:pPr>
    </w:lvl>
    <w:lvl w:ilvl="6" w:tentative="1">
      <w:start w:val="1"/>
      <w:numFmt w:val="decimal"/>
      <w:lvlText w:val="%7."/>
      <w:lvlJc w:val="left"/>
      <w:pPr>
        <w:tabs>
          <w:tab w:val="left" w:pos="0"/>
        </w:tabs>
        <w:ind w:left="2940" w:hanging="420"/>
      </w:pPr>
    </w:lvl>
    <w:lvl w:ilvl="7" w:tentative="1">
      <w:start w:val="1"/>
      <w:numFmt w:val="lowerLetter"/>
      <w:lvlText w:val="%8)"/>
      <w:lvlJc w:val="left"/>
      <w:pPr>
        <w:tabs>
          <w:tab w:val="left" w:pos="0"/>
        </w:tabs>
        <w:ind w:left="3360" w:hanging="420"/>
      </w:pPr>
    </w:lvl>
    <w:lvl w:ilvl="8" w:tentative="1">
      <w:start w:val="1"/>
      <w:numFmt w:val="lowerRoman"/>
      <w:lvlText w:val="%9."/>
      <w:lvlJc w:val="right"/>
      <w:pPr>
        <w:tabs>
          <w:tab w:val="left" w:pos="0"/>
        </w:tabs>
        <w:ind w:left="3780" w:hanging="420"/>
      </w:pPr>
    </w:lvl>
  </w:abstractNum>
  <w:num w:numId="1">
    <w:abstractNumId w:val="140585896"/>
  </w:num>
  <w:num w:numId="2">
    <w:abstractNumId w:val="1308227219"/>
  </w:num>
  <w:num w:numId="3">
    <w:abstractNumId w:val="38359334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0" w:name="footnote text"/>
    <w:lsdException w:qFormat="1" w:unhideWhenUsed="0" w:uiPriority="0" w:semiHidden="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qFormat="1" w:uiPriority="99" w:name="Body Text First Indent"/>
    <w:lsdException w:uiPriority="0" w:name="Body Text First Indent 2"/>
    <w:lsdException w:uiPriority="0" w:name="Note Heading"/>
    <w:lsdException w:uiPriority="0" w:name="Body Text 2"/>
    <w:lsdException w:uiPriority="0" w:name="Body Text 3"/>
    <w:lsdException w:qFormat="1" w:unhideWhenUsed="0" w:uiPriority="99" w:semiHidden="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annotation subject"/>
    <w:lsdException w:qFormat="1" w:uiPriority="99" w:name="Balloon Text"/>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1"/>
    <w:qFormat/>
    <w:uiPriority w:val="9"/>
    <w:pPr>
      <w:keepNext/>
      <w:keepLines/>
      <w:spacing w:before="340" w:after="330" w:line="578" w:lineRule="auto"/>
      <w:outlineLvl w:val="0"/>
    </w:pPr>
    <w:rPr>
      <w:b/>
      <w:bCs/>
      <w:kern w:val="44"/>
      <w:sz w:val="44"/>
      <w:szCs w:val="44"/>
    </w:rPr>
  </w:style>
  <w:style w:type="paragraph" w:styleId="4">
    <w:name w:val="heading 2"/>
    <w:basedOn w:val="1"/>
    <w:next w:val="5"/>
    <w:unhideWhenUsed/>
    <w:qFormat/>
    <w:uiPriority w:val="9"/>
    <w:pPr>
      <w:keepNext/>
      <w:keepLines/>
      <w:spacing w:before="260" w:after="260" w:line="416" w:lineRule="auto"/>
      <w:outlineLvl w:val="1"/>
    </w:pPr>
    <w:rPr>
      <w:rFonts w:ascii="Cambria" w:hAnsi="Cambria"/>
      <w:b/>
      <w:bCs/>
      <w:sz w:val="32"/>
      <w:szCs w:val="32"/>
    </w:rPr>
  </w:style>
  <w:style w:type="character" w:default="1" w:styleId="18">
    <w:name w:val="Default Paragraph Font"/>
    <w:unhideWhenUsed/>
    <w:uiPriority w:val="1"/>
  </w:style>
  <w:style w:type="paragraph" w:styleId="2">
    <w:name w:val="toc 2"/>
    <w:basedOn w:val="1"/>
    <w:next w:val="1"/>
    <w:qFormat/>
    <w:uiPriority w:val="0"/>
    <w:pPr>
      <w:ind w:left="420" w:leftChars="200"/>
    </w:pPr>
  </w:style>
  <w:style w:type="paragraph" w:styleId="5">
    <w:name w:val="Normal Indent"/>
    <w:basedOn w:val="1"/>
    <w:qFormat/>
    <w:uiPriority w:val="0"/>
    <w:pPr>
      <w:ind w:firstLine="420" w:firstLineChars="200"/>
    </w:pPr>
  </w:style>
  <w:style w:type="paragraph" w:styleId="6">
    <w:name w:val="annotation subject"/>
    <w:basedOn w:val="7"/>
    <w:next w:val="7"/>
    <w:link w:val="57"/>
    <w:semiHidden/>
    <w:unhideWhenUsed/>
    <w:qFormat/>
    <w:uiPriority w:val="99"/>
    <w:rPr>
      <w:b/>
      <w:bCs/>
    </w:rPr>
  </w:style>
  <w:style w:type="paragraph" w:styleId="7">
    <w:name w:val="annotation text"/>
    <w:basedOn w:val="1"/>
    <w:link w:val="55"/>
    <w:qFormat/>
    <w:uiPriority w:val="0"/>
    <w:pPr>
      <w:jc w:val="left"/>
    </w:pPr>
  </w:style>
  <w:style w:type="paragraph" w:styleId="8">
    <w:name w:val="Body Text First Indent"/>
    <w:basedOn w:val="9"/>
    <w:link w:val="62"/>
    <w:semiHidden/>
    <w:unhideWhenUsed/>
    <w:qFormat/>
    <w:uiPriority w:val="99"/>
    <w:pPr>
      <w:spacing w:after="120" w:line="240" w:lineRule="auto"/>
      <w:ind w:firstLine="420" w:firstLineChars="100"/>
    </w:pPr>
    <w:rPr>
      <w:rFonts w:cs="Times New Roman"/>
      <w:kern w:val="2"/>
      <w:sz w:val="21"/>
    </w:rPr>
  </w:style>
  <w:style w:type="paragraph" w:styleId="9">
    <w:name w:val="Body Text"/>
    <w:basedOn w:val="1"/>
    <w:link w:val="54"/>
    <w:qFormat/>
    <w:uiPriority w:val="0"/>
    <w:pPr>
      <w:spacing w:line="360" w:lineRule="auto"/>
      <w:ind w:firstLine="200" w:firstLineChars="200"/>
    </w:pPr>
    <w:rPr>
      <w:rFonts w:cs="黑体"/>
      <w:snapToGrid w:val="0"/>
      <w:kern w:val="0"/>
      <w:sz w:val="24"/>
    </w:rPr>
  </w:style>
  <w:style w:type="paragraph" w:styleId="10">
    <w:name w:val="Body Text Indent"/>
    <w:basedOn w:val="1"/>
    <w:qFormat/>
    <w:uiPriority w:val="0"/>
    <w:pPr>
      <w:spacing w:line="360" w:lineRule="auto"/>
      <w:ind w:firstLine="480" w:firstLineChars="168"/>
    </w:pPr>
    <w:rPr>
      <w:caps/>
      <w:sz w:val="24"/>
    </w:rPr>
  </w:style>
  <w:style w:type="paragraph" w:styleId="11">
    <w:name w:val="Plain Text"/>
    <w:basedOn w:val="1"/>
    <w:next w:val="1"/>
    <w:link w:val="56"/>
    <w:qFormat/>
    <w:uiPriority w:val="0"/>
    <w:rPr>
      <w:rFonts w:hint="eastAsia" w:ascii="宋体" w:hAnsi="Courier New"/>
      <w:szCs w:val="20"/>
    </w:rPr>
  </w:style>
  <w:style w:type="paragraph" w:styleId="12">
    <w:name w:val="Body Text Indent 2"/>
    <w:basedOn w:val="1"/>
    <w:link w:val="58"/>
    <w:qFormat/>
    <w:uiPriority w:val="99"/>
    <w:pPr>
      <w:spacing w:after="120" w:line="480" w:lineRule="auto"/>
      <w:ind w:left="420" w:leftChars="200"/>
    </w:pPr>
  </w:style>
  <w:style w:type="paragraph" w:styleId="13">
    <w:name w:val="Balloon Text"/>
    <w:basedOn w:val="1"/>
    <w:link w:val="51"/>
    <w:semiHidden/>
    <w:unhideWhenUsed/>
    <w:qFormat/>
    <w:uiPriority w:val="99"/>
    <w:rPr>
      <w:sz w:val="18"/>
      <w:szCs w:val="18"/>
    </w:rPr>
  </w:style>
  <w:style w:type="paragraph" w:styleId="14">
    <w:name w:val="footer"/>
    <w:basedOn w:val="1"/>
    <w:link w:val="49"/>
    <w:unhideWhenUsed/>
    <w:qFormat/>
    <w:uiPriority w:val="99"/>
    <w:pPr>
      <w:tabs>
        <w:tab w:val="center" w:pos="4153"/>
        <w:tab w:val="right" w:pos="8306"/>
      </w:tabs>
      <w:snapToGrid w:val="0"/>
      <w:jc w:val="left"/>
    </w:pPr>
    <w:rPr>
      <w:sz w:val="18"/>
      <w:szCs w:val="18"/>
    </w:rPr>
  </w:style>
  <w:style w:type="paragraph" w:styleId="15">
    <w:name w:val="header"/>
    <w:basedOn w:val="1"/>
    <w:link w:val="48"/>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Normal (Web)"/>
    <w:basedOn w:val="1"/>
    <w:link w:val="46"/>
    <w:unhideWhenUsed/>
    <w:qFormat/>
    <w:uiPriority w:val="0"/>
    <w:pPr>
      <w:widowControl/>
      <w:spacing w:before="100" w:beforeAutospacing="1" w:after="100" w:afterAutospacing="1"/>
      <w:jc w:val="left"/>
    </w:pPr>
    <w:rPr>
      <w:rFonts w:ascii="宋体" w:hAnsi="宋体" w:cs="黑体"/>
      <w:sz w:val="24"/>
      <w:szCs w:val="22"/>
    </w:rPr>
  </w:style>
  <w:style w:type="paragraph" w:styleId="17">
    <w:name w:val="Title"/>
    <w:basedOn w:val="1"/>
    <w:next w:val="1"/>
    <w:link w:val="50"/>
    <w:qFormat/>
    <w:uiPriority w:val="10"/>
    <w:pPr>
      <w:spacing w:before="240" w:after="60"/>
      <w:jc w:val="center"/>
      <w:outlineLvl w:val="0"/>
    </w:pPr>
    <w:rPr>
      <w:rFonts w:ascii="Cambria" w:hAnsi="Cambria" w:eastAsia="黑体" w:cs="黑体"/>
      <w:b/>
      <w:bCs/>
      <w:sz w:val="44"/>
      <w:szCs w:val="32"/>
    </w:rPr>
  </w:style>
  <w:style w:type="character" w:styleId="19">
    <w:name w:val="Strong"/>
    <w:basedOn w:val="18"/>
    <w:qFormat/>
    <w:uiPriority w:val="22"/>
    <w:rPr>
      <w:b/>
    </w:rPr>
  </w:style>
  <w:style w:type="character" w:styleId="20">
    <w:name w:val="annotation reference"/>
    <w:basedOn w:val="18"/>
    <w:qFormat/>
    <w:uiPriority w:val="0"/>
    <w:rPr>
      <w:sz w:val="21"/>
      <w:szCs w:val="21"/>
    </w:rPr>
  </w:style>
  <w:style w:type="paragraph" w:customStyle="1" w:styleId="21">
    <w:name w:val="表格"/>
    <w:basedOn w:val="1"/>
    <w:next w:val="1"/>
    <w:link w:val="47"/>
    <w:qFormat/>
    <w:uiPriority w:val="0"/>
    <w:pPr>
      <w:adjustRightInd w:val="0"/>
      <w:snapToGrid w:val="0"/>
      <w:spacing w:beforeLines="10" w:line="256" w:lineRule="auto"/>
      <w:jc w:val="center"/>
    </w:pPr>
    <w:rPr>
      <w:rFonts w:ascii="宋体" w:hAnsi="宋体" w:cs="黑体"/>
      <w:szCs w:val="22"/>
    </w:rPr>
  </w:style>
  <w:style w:type="paragraph" w:customStyle="1" w:styleId="22">
    <w:name w:val="表内文字"/>
    <w:basedOn w:val="1"/>
    <w:link w:val="52"/>
    <w:qFormat/>
    <w:uiPriority w:val="0"/>
    <w:pPr>
      <w:widowControl/>
      <w:adjustRightInd w:val="0"/>
      <w:snapToGrid w:val="0"/>
      <w:jc w:val="center"/>
    </w:pPr>
    <w:rPr>
      <w:szCs w:val="21"/>
    </w:rPr>
  </w:style>
  <w:style w:type="paragraph" w:customStyle="1" w:styleId="23">
    <w:name w:val="报告表正文"/>
    <w:basedOn w:val="1"/>
    <w:link w:val="53"/>
    <w:qFormat/>
    <w:uiPriority w:val="0"/>
    <w:pPr>
      <w:adjustRightInd w:val="0"/>
      <w:snapToGrid w:val="0"/>
      <w:spacing w:line="360" w:lineRule="auto"/>
      <w:ind w:firstLine="200" w:firstLineChars="200"/>
    </w:pPr>
    <w:rPr>
      <w:rFonts w:cs="黑体"/>
      <w:color w:val="000000"/>
      <w:sz w:val="24"/>
    </w:rPr>
  </w:style>
  <w:style w:type="paragraph" w:customStyle="1" w:styleId="24">
    <w:name w:val="List Paragraph"/>
    <w:basedOn w:val="1"/>
    <w:qFormat/>
    <w:uiPriority w:val="34"/>
    <w:pPr>
      <w:ind w:firstLine="420" w:firstLineChars="200"/>
    </w:pPr>
  </w:style>
  <w:style w:type="paragraph" w:customStyle="1" w:styleId="25">
    <w:name w:val="Default"/>
    <w:basedOn w:val="26"/>
    <w:qFormat/>
    <w:uiPriority w:val="0"/>
    <w:pPr>
      <w:numPr>
        <w:ilvl w:val="0"/>
        <w:numId w:val="1"/>
      </w:numPr>
      <w:autoSpaceDE w:val="0"/>
      <w:autoSpaceDN w:val="0"/>
      <w:adjustRightInd w:val="0"/>
      <w:snapToGrid w:val="0"/>
      <w:jc w:val="center"/>
    </w:pPr>
    <w:rPr>
      <w:rFonts w:ascii="宋体" w:hAnsi="Calibri"/>
      <w:b/>
      <w:sz w:val="24"/>
      <w:szCs w:val="22"/>
    </w:rPr>
  </w:style>
  <w:style w:type="paragraph" w:customStyle="1" w:styleId="26">
    <w:name w:val="正文 New New New New New New New New New New New New New New New New New New New New New New New New New New New New New New New"/>
    <w:qFormat/>
    <w:uiPriority w:val="0"/>
    <w:pPr>
      <w:widowControl w:val="0"/>
      <w:jc w:val="both"/>
    </w:pPr>
    <w:rPr>
      <w:kern w:val="2"/>
      <w:sz w:val="21"/>
      <w:szCs w:val="24"/>
    </w:rPr>
  </w:style>
  <w:style w:type="paragraph" w:customStyle="1" w:styleId="27">
    <w:name w:val="表字"/>
    <w:basedOn w:val="1"/>
    <w:qFormat/>
    <w:uiPriority w:val="0"/>
    <w:pPr>
      <w:jc w:val="center"/>
    </w:pPr>
    <w:rPr>
      <w:rFonts w:ascii="宋体"/>
      <w:szCs w:val="20"/>
    </w:rPr>
  </w:style>
  <w:style w:type="paragraph" w:customStyle="1" w:styleId="28">
    <w:name w:val="表格名称"/>
    <w:basedOn w:val="1"/>
    <w:next w:val="1"/>
    <w:qFormat/>
    <w:uiPriority w:val="0"/>
    <w:pPr>
      <w:tabs>
        <w:tab w:val="left" w:pos="737"/>
      </w:tabs>
      <w:snapToGrid w:val="0"/>
      <w:ind w:left="992" w:hanging="992"/>
      <w:jc w:val="center"/>
    </w:pPr>
    <w:rPr>
      <w:b/>
      <w:sz w:val="24"/>
    </w:rPr>
  </w:style>
  <w:style w:type="paragraph" w:customStyle="1" w:styleId="29">
    <w:name w:val="博士论文正文"/>
    <w:basedOn w:val="1"/>
    <w:qFormat/>
    <w:uiPriority w:val="0"/>
    <w:pPr>
      <w:snapToGrid w:val="0"/>
      <w:spacing w:beforeLines="20" w:afterLines="20" w:line="360" w:lineRule="auto"/>
      <w:ind w:firstLine="200" w:firstLineChars="200"/>
      <w:contextualSpacing/>
    </w:pPr>
    <w:rPr>
      <w:sz w:val="24"/>
    </w:rPr>
  </w:style>
  <w:style w:type="paragraph" w:customStyle="1" w:styleId="30">
    <w:name w:val="表格表头"/>
    <w:basedOn w:val="1"/>
    <w:next w:val="1"/>
    <w:qFormat/>
    <w:uiPriority w:val="0"/>
    <w:pPr>
      <w:tabs>
        <w:tab w:val="left" w:pos="3289"/>
      </w:tabs>
      <w:snapToGrid w:val="0"/>
      <w:ind w:left="995" w:hanging="995" w:hangingChars="472"/>
      <w:contextualSpacing/>
      <w:jc w:val="center"/>
    </w:pPr>
    <w:rPr>
      <w:b/>
      <w:szCs w:val="21"/>
    </w:rPr>
  </w:style>
  <w:style w:type="paragraph" w:customStyle="1" w:styleId="31">
    <w:name w:val="表格居中"/>
    <w:next w:val="1"/>
    <w:qFormat/>
    <w:uiPriority w:val="0"/>
    <w:pPr>
      <w:jc w:val="center"/>
    </w:pPr>
    <w:rPr>
      <w:rFonts w:ascii="Arial" w:hAnsi="Arial"/>
      <w:kern w:val="2"/>
      <w:sz w:val="21"/>
    </w:rPr>
  </w:style>
  <w:style w:type="paragraph" w:customStyle="1" w:styleId="32">
    <w:name w:val="0表头环评"/>
    <w:next w:val="1"/>
    <w:qFormat/>
    <w:uiPriority w:val="0"/>
    <w:pPr>
      <w:spacing w:beforeLines="50"/>
      <w:jc w:val="center"/>
    </w:pPr>
    <w:rPr>
      <w:rFonts w:ascii="宋体" w:hAnsi="宋体"/>
      <w:b/>
      <w:bCs/>
      <w:color w:val="000000"/>
      <w:kern w:val="2"/>
      <w:sz w:val="21"/>
      <w:szCs w:val="24"/>
      <w:u w:val="single"/>
    </w:rPr>
  </w:style>
  <w:style w:type="paragraph" w:customStyle="1" w:styleId="33">
    <w:name w:val="表格内文"/>
    <w:basedOn w:val="1"/>
    <w:qFormat/>
    <w:uiPriority w:val="0"/>
    <w:pPr>
      <w:jc w:val="center"/>
    </w:pPr>
    <w:rPr>
      <w:szCs w:val="21"/>
    </w:rPr>
  </w:style>
  <w:style w:type="paragraph" w:customStyle="1" w:styleId="34">
    <w:name w:val="正文 任"/>
    <w:basedOn w:val="9"/>
    <w:link w:val="59"/>
    <w:qFormat/>
    <w:uiPriority w:val="0"/>
    <w:pPr>
      <w:adjustRightInd w:val="0"/>
      <w:snapToGrid w:val="0"/>
      <w:ind w:firstLine="480"/>
    </w:pPr>
    <w:rPr>
      <w:rFonts w:cs="Times New Roman"/>
      <w:kern w:val="2"/>
    </w:rPr>
  </w:style>
  <w:style w:type="paragraph" w:customStyle="1" w:styleId="35">
    <w:name w:val="+正文"/>
    <w:basedOn w:val="1"/>
    <w:qFormat/>
    <w:uiPriority w:val="0"/>
    <w:pPr>
      <w:spacing w:line="360" w:lineRule="auto"/>
      <w:ind w:firstLine="200" w:firstLineChars="200"/>
    </w:pPr>
    <w:rPr>
      <w:rFonts w:ascii="Calibri" w:hAnsi="Calibri"/>
      <w:sz w:val="28"/>
      <w:szCs w:val="28"/>
    </w:rPr>
  </w:style>
  <w:style w:type="paragraph" w:customStyle="1" w:styleId="36">
    <w:name w:val="任表内"/>
    <w:basedOn w:val="1"/>
    <w:qFormat/>
    <w:uiPriority w:val="0"/>
    <w:pPr>
      <w:widowControl/>
      <w:adjustRightInd w:val="0"/>
      <w:snapToGrid w:val="0"/>
      <w:jc w:val="center"/>
    </w:pPr>
    <w:rPr>
      <w:szCs w:val="21"/>
    </w:rPr>
  </w:style>
  <w:style w:type="paragraph" w:customStyle="1" w:styleId="37">
    <w:name w:val="Table Paragraph"/>
    <w:basedOn w:val="1"/>
    <w:qFormat/>
    <w:uiPriority w:val="1"/>
    <w:pPr>
      <w:jc w:val="left"/>
    </w:pPr>
    <w:rPr>
      <w:rFonts w:ascii="Calibri" w:hAnsi="Calibri"/>
      <w:kern w:val="0"/>
      <w:sz w:val="22"/>
      <w:szCs w:val="22"/>
    </w:rPr>
  </w:style>
  <w:style w:type="paragraph" w:customStyle="1" w:styleId="38">
    <w:name w:val="监测表头"/>
    <w:basedOn w:val="1"/>
    <w:qFormat/>
    <w:uiPriority w:val="0"/>
    <w:pPr>
      <w:numPr>
        <w:ilvl w:val="0"/>
        <w:numId w:val="2"/>
      </w:numPr>
      <w:ind w:left="0" w:firstLine="0"/>
      <w:jc w:val="center"/>
    </w:pPr>
    <w:rPr>
      <w:b/>
    </w:rPr>
  </w:style>
  <w:style w:type="paragraph" w:customStyle="1" w:styleId="39">
    <w:name w:val="雷丹正文"/>
    <w:basedOn w:val="1"/>
    <w:qFormat/>
    <w:uiPriority w:val="0"/>
    <w:pPr>
      <w:adjustRightInd w:val="0"/>
      <w:snapToGrid w:val="0"/>
    </w:pPr>
  </w:style>
  <w:style w:type="paragraph" w:customStyle="1" w:styleId="40">
    <w:name w:val="No Spacing"/>
    <w:qFormat/>
    <w:uiPriority w:val="0"/>
    <w:pPr>
      <w:jc w:val="center"/>
    </w:pPr>
    <w:rPr>
      <w:rFonts w:ascii="Times New Roman" w:hAnsi="Times New Roman" w:eastAsia="宋体" w:cs="Times New Roman"/>
      <w:sz w:val="24"/>
      <w:szCs w:val="22"/>
      <w:lang w:val="en-US" w:eastAsia="zh-CN" w:bidi="ar-SA"/>
    </w:rPr>
  </w:style>
  <w:style w:type="paragraph" w:customStyle="1" w:styleId="41">
    <w:name w:val="p0"/>
    <w:basedOn w:val="1"/>
    <w:qFormat/>
    <w:uiPriority w:val="0"/>
    <w:pPr>
      <w:widowControl/>
    </w:pPr>
    <w:rPr>
      <w:rFonts w:ascii="Calibri" w:hAnsi="Calibri"/>
      <w:kern w:val="0"/>
      <w:szCs w:val="21"/>
    </w:rPr>
  </w:style>
  <w:style w:type="paragraph" w:customStyle="1" w:styleId="42">
    <w:name w:val="BG"/>
    <w:basedOn w:val="1"/>
    <w:qFormat/>
    <w:uiPriority w:val="0"/>
    <w:pPr>
      <w:jc w:val="center"/>
    </w:pPr>
    <w:rPr>
      <w:szCs w:val="21"/>
    </w:rPr>
  </w:style>
  <w:style w:type="paragraph" w:customStyle="1" w:styleId="43">
    <w:name w:val="Default2"/>
    <w:qFormat/>
    <w:uiPriority w:val="0"/>
    <w:pPr>
      <w:widowControl w:val="0"/>
      <w:autoSpaceDE w:val="0"/>
      <w:autoSpaceDN w:val="0"/>
      <w:adjustRightInd w:val="0"/>
    </w:pPr>
    <w:rPr>
      <w:rFonts w:ascii="宋体"/>
      <w:color w:val="000000"/>
      <w:sz w:val="24"/>
      <w:szCs w:val="24"/>
    </w:rPr>
  </w:style>
  <w:style w:type="paragraph" w:customStyle="1" w:styleId="44">
    <w:name w:val="样式 正文11 + 首行缩进:  2 字符"/>
    <w:basedOn w:val="45"/>
    <w:qFormat/>
    <w:uiPriority w:val="0"/>
    <w:pPr>
      <w:spacing w:line="500" w:lineRule="exact"/>
      <w:ind w:firstLine="560" w:firstLineChars="200"/>
    </w:pPr>
    <w:rPr>
      <w:rFonts w:ascii="宋体" w:hAnsi="宋体" w:cs="宋体"/>
      <w:color w:val="FF0000"/>
      <w:sz w:val="28"/>
    </w:rPr>
  </w:style>
  <w:style w:type="paragraph" w:customStyle="1" w:styleId="45">
    <w:name w:val="O.K.1"/>
    <w:basedOn w:val="4"/>
    <w:qFormat/>
    <w:uiPriority w:val="0"/>
    <w:pPr>
      <w:ind w:firstLine="482"/>
    </w:pPr>
    <w:rPr>
      <w:rFonts w:ascii="Times New Roman" w:hAnsi="Times New Roman"/>
    </w:rPr>
  </w:style>
  <w:style w:type="character" w:customStyle="1" w:styleId="46">
    <w:name w:val="普通(网站) Char Char"/>
    <w:link w:val="16"/>
    <w:uiPriority w:val="0"/>
    <w:rPr>
      <w:rFonts w:ascii="宋体" w:hAnsi="宋体" w:eastAsia="宋体"/>
      <w:sz w:val="24"/>
    </w:rPr>
  </w:style>
  <w:style w:type="character" w:customStyle="1" w:styleId="47">
    <w:name w:val="表格 Char Char"/>
    <w:link w:val="21"/>
    <w:qFormat/>
    <w:uiPriority w:val="0"/>
    <w:rPr>
      <w:kern w:val="2"/>
      <w:sz w:val="21"/>
      <w:szCs w:val="24"/>
    </w:rPr>
  </w:style>
  <w:style w:type="character" w:customStyle="1" w:styleId="48">
    <w:name w:val="页眉 Char Char"/>
    <w:basedOn w:val="18"/>
    <w:link w:val="15"/>
    <w:uiPriority w:val="99"/>
    <w:rPr>
      <w:rFonts w:ascii="Times New Roman" w:hAnsi="Times New Roman" w:eastAsia="宋体" w:cs="Times New Roman"/>
      <w:sz w:val="18"/>
      <w:szCs w:val="18"/>
    </w:rPr>
  </w:style>
  <w:style w:type="character" w:customStyle="1" w:styleId="49">
    <w:name w:val="页脚 Char Char"/>
    <w:basedOn w:val="18"/>
    <w:link w:val="14"/>
    <w:uiPriority w:val="99"/>
    <w:rPr>
      <w:rFonts w:ascii="Times New Roman" w:hAnsi="Times New Roman" w:eastAsia="宋体" w:cs="Times New Roman"/>
      <w:sz w:val="18"/>
      <w:szCs w:val="18"/>
    </w:rPr>
  </w:style>
  <w:style w:type="character" w:customStyle="1" w:styleId="50">
    <w:name w:val="标题 Char Char"/>
    <w:basedOn w:val="18"/>
    <w:link w:val="17"/>
    <w:uiPriority w:val="10"/>
    <w:rPr>
      <w:rFonts w:ascii="Cambria" w:hAnsi="Cambria" w:eastAsia="黑体" w:cs="黑体"/>
      <w:b/>
      <w:bCs/>
      <w:sz w:val="44"/>
      <w:szCs w:val="32"/>
    </w:rPr>
  </w:style>
  <w:style w:type="character" w:customStyle="1" w:styleId="51">
    <w:name w:val="批注框文本 Char Char"/>
    <w:basedOn w:val="18"/>
    <w:link w:val="13"/>
    <w:uiPriority w:val="99"/>
    <w:rPr>
      <w:rFonts w:ascii="Times New Roman" w:hAnsi="Times New Roman" w:eastAsia="宋体" w:cs="Times New Roman"/>
      <w:sz w:val="18"/>
      <w:szCs w:val="18"/>
    </w:rPr>
  </w:style>
  <w:style w:type="character" w:customStyle="1" w:styleId="52">
    <w:name w:val="表内文字 字符"/>
    <w:link w:val="22"/>
    <w:qFormat/>
    <w:uiPriority w:val="0"/>
    <w:rPr>
      <w:rFonts w:ascii="Times New Roman" w:hAnsi="Times New Roman" w:eastAsia="宋体" w:cs="Times New Roman"/>
      <w:szCs w:val="21"/>
    </w:rPr>
  </w:style>
  <w:style w:type="character" w:customStyle="1" w:styleId="53">
    <w:name w:val="报告表正文 Char Char"/>
    <w:link w:val="23"/>
    <w:qFormat/>
    <w:uiPriority w:val="0"/>
    <w:rPr>
      <w:rFonts w:ascii="Times New Roman" w:hAnsi="Times New Roman" w:eastAsia="宋体"/>
      <w:color w:val="000000"/>
      <w:sz w:val="24"/>
      <w:szCs w:val="24"/>
    </w:rPr>
  </w:style>
  <w:style w:type="character" w:customStyle="1" w:styleId="54">
    <w:name w:val="正文文本 Char Char"/>
    <w:basedOn w:val="18"/>
    <w:link w:val="9"/>
    <w:uiPriority w:val="0"/>
    <w:rPr>
      <w:rFonts w:ascii="Times New Roman" w:hAnsi="Times New Roman" w:eastAsia="宋体"/>
      <w:snapToGrid w:val="0"/>
      <w:kern w:val="0"/>
      <w:sz w:val="24"/>
      <w:szCs w:val="24"/>
    </w:rPr>
  </w:style>
  <w:style w:type="character" w:customStyle="1" w:styleId="55">
    <w:name w:val="批注文字 Char Char"/>
    <w:basedOn w:val="18"/>
    <w:link w:val="7"/>
    <w:uiPriority w:val="0"/>
    <w:rPr>
      <w:rFonts w:ascii="Times New Roman" w:hAnsi="Times New Roman" w:eastAsia="宋体" w:cs="Times New Roman"/>
      <w:szCs w:val="24"/>
    </w:rPr>
  </w:style>
  <w:style w:type="character" w:customStyle="1" w:styleId="56">
    <w:name w:val="纯文本 Char Char"/>
    <w:basedOn w:val="18"/>
    <w:link w:val="11"/>
    <w:uiPriority w:val="0"/>
    <w:rPr>
      <w:rFonts w:ascii="宋体" w:hAnsi="Courier New" w:eastAsia="宋体" w:cs="Times New Roman"/>
      <w:szCs w:val="20"/>
    </w:rPr>
  </w:style>
  <w:style w:type="character" w:customStyle="1" w:styleId="57">
    <w:name w:val="批注主题 Char Char"/>
    <w:basedOn w:val="55"/>
    <w:link w:val="6"/>
    <w:uiPriority w:val="99"/>
    <w:rPr>
      <w:rFonts w:ascii="Times New Roman" w:hAnsi="Times New Roman" w:eastAsia="宋体" w:cs="Times New Roman"/>
      <w:b/>
      <w:bCs/>
      <w:szCs w:val="24"/>
    </w:rPr>
  </w:style>
  <w:style w:type="character" w:customStyle="1" w:styleId="58">
    <w:name w:val="正文文本缩进 2 Char Char"/>
    <w:basedOn w:val="18"/>
    <w:link w:val="12"/>
    <w:uiPriority w:val="99"/>
    <w:rPr>
      <w:rFonts w:ascii="Times New Roman" w:hAnsi="Times New Roman" w:eastAsia="宋体" w:cs="Times New Roman"/>
      <w:szCs w:val="24"/>
    </w:rPr>
  </w:style>
  <w:style w:type="character" w:customStyle="1" w:styleId="59">
    <w:name w:val="正文 任 Char Char"/>
    <w:link w:val="34"/>
    <w:qFormat/>
    <w:uiPriority w:val="0"/>
    <w:rPr>
      <w:rFonts w:ascii="Times New Roman" w:hAnsi="Times New Roman" w:eastAsia="宋体" w:cs="Times New Roman"/>
      <w:sz w:val="24"/>
      <w:szCs w:val="24"/>
    </w:rPr>
  </w:style>
  <w:style w:type="character" w:customStyle="1" w:styleId="60">
    <w:name w:val="表内文字 Char1"/>
    <w:qFormat/>
    <w:uiPriority w:val="0"/>
    <w:rPr>
      <w:kern w:val="2"/>
      <w:sz w:val="21"/>
      <w:szCs w:val="21"/>
    </w:rPr>
  </w:style>
  <w:style w:type="character" w:customStyle="1" w:styleId="61">
    <w:name w:val="标题 1 Char Char"/>
    <w:basedOn w:val="18"/>
    <w:link w:val="3"/>
    <w:uiPriority w:val="9"/>
    <w:rPr>
      <w:rFonts w:ascii="Times New Roman" w:hAnsi="Times New Roman" w:eastAsia="宋体" w:cs="Times New Roman"/>
      <w:b/>
      <w:bCs/>
      <w:kern w:val="44"/>
      <w:sz w:val="44"/>
      <w:szCs w:val="44"/>
    </w:rPr>
  </w:style>
  <w:style w:type="character" w:customStyle="1" w:styleId="62">
    <w:name w:val="正文首行缩进 Char Char"/>
    <w:basedOn w:val="54"/>
    <w:link w:val="8"/>
    <w:uiPriority w:val="99"/>
    <w:rPr>
      <w:rFonts w:ascii="Times New Roman" w:hAnsi="Times New Roman" w:eastAsia="宋体" w:cs="Times New Roman"/>
      <w:kern w:val="0"/>
      <w:sz w:val="24"/>
      <w:szCs w:val="24"/>
    </w:rPr>
  </w:style>
  <w:style w:type="character" w:customStyle="1" w:styleId="63">
    <w:name w:val="font11"/>
    <w:basedOn w:val="18"/>
    <w:qFormat/>
    <w:uiPriority w:val="0"/>
    <w:rPr>
      <w:rFonts w:hint="eastAsia" w:ascii="宋体" w:hAnsi="宋体" w:eastAsia="宋体"/>
      <w:color w:val="000000"/>
      <w:sz w:val="18"/>
      <w:szCs w:val="18"/>
      <w:u w:val="none"/>
    </w:rPr>
  </w:style>
  <w:style w:type="character" w:customStyle="1" w:styleId="64">
    <w:name w:val="font21"/>
    <w:basedOn w:val="18"/>
    <w:qFormat/>
    <w:uiPriority w:val="0"/>
    <w:rPr>
      <w:rFonts w:hint="default" w:ascii="Times New Roman" w:hAnsi="Times New Roman" w:cs="Times New Roman"/>
      <w:color w:val="000000"/>
      <w:sz w:val="18"/>
      <w:szCs w:val="18"/>
      <w:u w:val="none"/>
    </w:rPr>
  </w:style>
  <w:style w:type="character" w:customStyle="1" w:styleId="65">
    <w:name w:val="font61"/>
    <w:basedOn w:val="18"/>
    <w:qFormat/>
    <w:uiPriority w:val="0"/>
    <w:rPr>
      <w:rFonts w:hint="default" w:ascii="Times New Roman" w:hAnsi="Times New Roman" w:cs="Times New Roman"/>
      <w:color w:val="000000"/>
      <w:sz w:val="18"/>
      <w:szCs w:val="18"/>
      <w:u w:val="none"/>
      <w:vertAlign w:val="superscript"/>
    </w:rPr>
  </w:style>
  <w:style w:type="character" w:customStyle="1" w:styleId="66">
    <w:name w:val="font71"/>
    <w:basedOn w:val="18"/>
    <w:qFormat/>
    <w:uiPriority w:val="0"/>
    <w:rPr>
      <w:rFonts w:hint="default" w:ascii="Times New Roman" w:hAnsi="Times New Roman" w:cs="Times New Roman"/>
      <w:color w:val="000000"/>
      <w:sz w:val="18"/>
      <w:szCs w:val="18"/>
      <w:u w:val="none"/>
      <w:vertAlign w:val="subscript"/>
    </w:rPr>
  </w:style>
  <w:style w:type="character" w:customStyle="1" w:styleId="67">
    <w:name w:val="font01"/>
    <w:basedOn w:val="18"/>
    <w:qFormat/>
    <w:uiPriority w:val="0"/>
    <w:rPr>
      <w:rFonts w:hint="eastAsia" w:ascii="宋体" w:hAnsi="宋体" w:eastAsia="宋体"/>
      <w:color w:val="000000"/>
      <w:sz w:val="22"/>
      <w:szCs w:val="22"/>
      <w:u w:val="none"/>
    </w:rPr>
  </w:style>
  <w:style w:type="character" w:customStyle="1" w:styleId="68">
    <w:name w:val="font31"/>
    <w:basedOn w:val="18"/>
    <w:qFormat/>
    <w:uiPriority w:val="0"/>
    <w:rPr>
      <w:rFonts w:hint="default" w:ascii="Times New Roman" w:hAnsi="Times New Roman" w:cs="Times New Roman"/>
      <w:color w:val="000000"/>
      <w:sz w:val="22"/>
      <w:szCs w:val="22"/>
      <w:u w:val="none"/>
    </w:rPr>
  </w:style>
  <w:style w:type="character" w:customStyle="1" w:styleId="69">
    <w:name w:val="font41"/>
    <w:basedOn w:val="18"/>
    <w:qFormat/>
    <w:uiPriority w:val="0"/>
    <w:rPr>
      <w:rFonts w:hint="eastAsia" w:ascii="宋体" w:hAnsi="宋体" w:eastAsia="宋体"/>
      <w:color w:val="00B050"/>
      <w:sz w:val="18"/>
      <w:szCs w:val="18"/>
      <w:u w:val="none"/>
    </w:rPr>
  </w:style>
  <w:style w:type="character" w:customStyle="1" w:styleId="70">
    <w:name w:val="font51"/>
    <w:basedOn w:val="18"/>
    <w:qFormat/>
    <w:uiPriority w:val="0"/>
    <w:rPr>
      <w:rFonts w:hint="eastAsia" w:ascii="宋体" w:hAnsi="宋体" w:eastAsia="宋体"/>
      <w:color w:val="000000"/>
      <w:sz w:val="21"/>
      <w:szCs w:val="21"/>
      <w:u w:val="none"/>
    </w:r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10" Type="http://schemas.openxmlformats.org/officeDocument/2006/relationships/footer" Target="footer4.xml"/><Relationship Id="rId11" Type="http://schemas.openxmlformats.org/officeDocument/2006/relationships/theme" Target="theme/theme1.xml"/><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wmf"/><Relationship Id="rId17" Type="http://schemas.openxmlformats.org/officeDocument/2006/relationships/image" Target="media/image6.png"/><Relationship Id="rId18" Type="http://schemas.openxmlformats.org/officeDocument/2006/relationships/oleObject" Target="embeddings/oleObject1.bin"/><Relationship Id="rId19" Type="http://schemas.openxmlformats.org/officeDocument/2006/relationships/image" Target="media/image7.wmf"/><Relationship Id="rId2" Type="http://schemas.openxmlformats.org/officeDocument/2006/relationships/styles" Target="styles.xml"/><Relationship Id="rId20" Type="http://schemas.openxmlformats.org/officeDocument/2006/relationships/oleObject" Target="embeddings/oleObject2.bin"/><Relationship Id="rId21" Type="http://schemas.openxmlformats.org/officeDocument/2006/relationships/image" Target="media/image8.wmf"/><Relationship Id="rId22" Type="http://schemas.openxmlformats.org/officeDocument/2006/relationships/oleObject" Target="embeddings/oleObject3.bin"/><Relationship Id="rId23" Type="http://schemas.openxmlformats.org/officeDocument/2006/relationships/image" Target="media/image9.wmf"/><Relationship Id="rId24" Type="http://schemas.openxmlformats.org/officeDocument/2006/relationships/oleObject" Target="embeddings/oleObject4.bin"/><Relationship Id="rId25" Type="http://schemas.openxmlformats.org/officeDocument/2006/relationships/image" Target="media/image10.wmf"/><Relationship Id="rId26" Type="http://schemas.openxmlformats.org/officeDocument/2006/relationships/oleObject" Target="embeddings/oleObject5.bin"/><Relationship Id="rId27" Type="http://schemas.openxmlformats.org/officeDocument/2006/relationships/image" Target="media/image11.wmf"/><Relationship Id="rId28" Type="http://schemas.openxmlformats.org/officeDocument/2006/relationships/oleObject" Target="embeddings/oleObject6.bin"/><Relationship Id="rId29" Type="http://schemas.openxmlformats.org/officeDocument/2006/relationships/image" Target="media/image12.wmf"/><Relationship Id="rId3" Type="http://schemas.openxmlformats.org/officeDocument/2006/relationships/settings" Target="settings.xml"/><Relationship Id="rId30" Type="http://schemas.openxmlformats.org/officeDocument/2006/relationships/oleObject" Target="embeddings/oleObject7.bin"/><Relationship Id="rId31" Type="http://schemas.openxmlformats.org/officeDocument/2006/relationships/image" Target="media/image13.wmf"/><Relationship Id="rId32" Type="http://schemas.openxmlformats.org/officeDocument/2006/relationships/oleObject" Target="embeddings/oleObject8.bin"/><Relationship Id="rId33" Type="http://schemas.openxmlformats.org/officeDocument/2006/relationships/image" Target="media/image14.wmf"/><Relationship Id="rId34" Type="http://schemas.openxmlformats.org/officeDocument/2006/relationships/oleObject" Target="embeddings/oleObject9.bin"/><Relationship Id="rId35" Type="http://schemas.openxmlformats.org/officeDocument/2006/relationships/image" Target="media/image15.wmf"/><Relationship Id="rId36" Type="http://schemas.openxmlformats.org/officeDocument/2006/relationships/image" Target="media/image16.png"/><Relationship Id="rId37" Type="http://schemas.openxmlformats.org/officeDocument/2006/relationships/customXml" Target="../customXml/item1.xml"/><Relationship Id="rId38" Type="http://schemas.openxmlformats.org/officeDocument/2006/relationships/numbering" Target="numbering.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55</Pages>
  <Words>6335</Words>
  <Characters>36112</Characters>
  <Lines>300</Lines>
  <Paragraphs>84</Paragraphs>
  <TotalTime>0</TotalTime>
  <ScaleCrop>false</ScaleCrop>
  <LinksUpToDate>false</LinksUpToDate>
  <CharactersWithSpaces>0</CharactersWithSpaces>
  <Application>WPS Office 专业版_9.1.0.4337_{F1E327BC-269C-435d-A152-05C5408002CA}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2025-03-26T00:54:00Z</dcterms:created>
  <dc:creator>dell</dc:creator>
  <cp:lastModifiedBy>Administrator</cp:lastModifiedBy>
  <cp:lastPrinted>2025-03-31T06:18:00Z</cp:lastPrinted>
  <dcterms:modified xsi:type="dcterms:W3CDTF">2026-10-09T02:14:58Z</dcterms:modified>
  <dc:title>柳河县康华牧业有限责任公司锅炉改造项目</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eyJoZGlkIjoiYTY2YjExN2E4NWYxOGJmNTdmNzUwODk2ZTM4YTk1ODgiLCJ1c2VySWQiOiIzNDU0NDcyNDcifQ==</vt:lpwstr>
  </property>
  <property fmtid="{D5CDD505-2E9C-101B-9397-08002B2CF9AE}" pid="3" name="KSOProductBuildVer">
    <vt:lpwstr>2052-9.1.0.4337</vt:lpwstr>
  </property>
  <property fmtid="{D5CDD505-2E9C-101B-9397-08002B2CF9AE}" pid="4" name="ICV">
    <vt:lpwstr>BF18BAE1E48E40C8AB31EE15BE1FD601_13</vt:lpwstr>
  </property>
</Properties>
</file>