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4"/>
        <w:spacing w:before="0" w:beforeAutospacing="0" w:after="0" w:afterAutospacing="0"/>
        <w:outlineLvl w:val="0"/>
        <w:rPr>
          <w:rFonts w:ascii="Times New Roman" w:hAnsi="Times New Roman"/>
          <w:b/>
          <w:bCs/>
          <w:snapToGrid w:val="0"/>
          <w:sz w:val="28"/>
          <w:szCs w:val="28"/>
        </w:rPr>
      </w:pPr>
      <w:r>
        <w:rPr>
          <w:rFonts w:hint="eastAsia" w:ascii="Times New Roman" w:hAnsi="Times New Roman"/>
          <w:b/>
          <w:bCs/>
          <w:snapToGrid w:val="0"/>
          <w:sz w:val="28"/>
          <w:szCs w:val="28"/>
        </w:rPr>
        <w:t>一、建设项目基本情况</w:t>
      </w:r>
    </w:p>
    <w:tbl>
      <w:tblPr>
        <w:tblStyle w:val="27"/>
        <w:tblW w:w="943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933"/>
        <w:gridCol w:w="2343"/>
        <w:gridCol w:w="2352"/>
        <w:gridCol w:w="280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33" w:type="dxa"/>
            <w:tcMar>
              <w:top w:w="16" w:type="dxa"/>
              <w:left w:w="16" w:type="dxa"/>
              <w:right w:w="16" w:type="dxa"/>
            </w:tcMar>
            <w:vAlign w:val="center"/>
          </w:tcPr>
          <w:p>
            <w:pPr>
              <w:adjustRightInd w:val="0"/>
              <w:snapToGrid w:val="0"/>
              <w:jc w:val="center"/>
              <w:rPr>
                <w:rFonts w:cs="宋体"/>
                <w:sz w:val="24"/>
              </w:rPr>
            </w:pPr>
            <w:r>
              <w:rPr>
                <w:rFonts w:hint="eastAsia" w:cs="宋体"/>
                <w:sz w:val="24"/>
              </w:rPr>
              <w:t>建设项目名称</w:t>
            </w:r>
          </w:p>
        </w:tc>
        <w:tc>
          <w:tcPr>
            <w:tcW w:w="7503" w:type="dxa"/>
            <w:gridSpan w:val="3"/>
            <w:vAlign w:val="center"/>
          </w:tcPr>
          <w:p>
            <w:pPr>
              <w:adjustRightInd w:val="0"/>
              <w:snapToGrid w:val="0"/>
              <w:jc w:val="center"/>
              <w:rPr>
                <w:rFonts w:cs="宋体"/>
                <w:sz w:val="24"/>
              </w:rPr>
            </w:pPr>
            <w:r>
              <w:rPr>
                <w:rFonts w:hint="eastAsia" w:cs="宋体"/>
                <w:kern w:val="0"/>
                <w:sz w:val="24"/>
              </w:rPr>
              <w:t>时家店乡鲜食玉米产业园建设项目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33" w:type="dxa"/>
            <w:tcMar>
              <w:top w:w="16" w:type="dxa"/>
              <w:left w:w="16" w:type="dxa"/>
              <w:right w:w="16" w:type="dxa"/>
            </w:tcMar>
            <w:vAlign w:val="center"/>
          </w:tcPr>
          <w:p>
            <w:pPr>
              <w:adjustRightInd w:val="0"/>
              <w:snapToGrid w:val="0"/>
              <w:jc w:val="center"/>
              <w:rPr>
                <w:rFonts w:cs="宋体"/>
                <w:sz w:val="24"/>
              </w:rPr>
            </w:pPr>
            <w:r>
              <w:rPr>
                <w:rFonts w:hint="eastAsia" w:cs="宋体"/>
                <w:sz w:val="24"/>
              </w:rPr>
              <w:t>项目代码</w:t>
            </w:r>
          </w:p>
        </w:tc>
        <w:tc>
          <w:tcPr>
            <w:tcW w:w="7503" w:type="dxa"/>
            <w:gridSpan w:val="3"/>
            <w:vAlign w:val="center"/>
          </w:tcPr>
          <w:p>
            <w:pPr>
              <w:adjustRightInd w:val="0"/>
              <w:snapToGrid w:val="0"/>
              <w:jc w:val="center"/>
              <w:rPr>
                <w:rFonts w:cs="宋体"/>
                <w:sz w:val="24"/>
              </w:rPr>
            </w:pPr>
            <w:r>
              <w:rPr>
                <w:rFonts w:hint="eastAsia" w:cs="宋体"/>
                <w:sz w:val="24"/>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33" w:type="dxa"/>
            <w:tcMar>
              <w:top w:w="16" w:type="dxa"/>
              <w:left w:w="16" w:type="dxa"/>
              <w:right w:w="16" w:type="dxa"/>
            </w:tcMar>
            <w:vAlign w:val="center"/>
          </w:tcPr>
          <w:p>
            <w:pPr>
              <w:adjustRightInd w:val="0"/>
              <w:snapToGrid w:val="0"/>
              <w:jc w:val="center"/>
              <w:rPr>
                <w:rFonts w:cs="宋体"/>
                <w:sz w:val="24"/>
              </w:rPr>
            </w:pPr>
            <w:r>
              <w:rPr>
                <w:rFonts w:hint="eastAsia" w:cs="宋体"/>
                <w:sz w:val="24"/>
              </w:rPr>
              <w:t>建设单位联系人</w:t>
            </w:r>
          </w:p>
        </w:tc>
        <w:tc>
          <w:tcPr>
            <w:tcW w:w="2343" w:type="dxa"/>
            <w:vAlign w:val="center"/>
          </w:tcPr>
          <w:p>
            <w:pPr>
              <w:adjustRightInd w:val="0"/>
              <w:snapToGrid w:val="0"/>
              <w:jc w:val="center"/>
              <w:rPr>
                <w:rFonts w:cs="宋体"/>
                <w:sz w:val="24"/>
              </w:rPr>
            </w:pPr>
            <w:r>
              <w:rPr>
                <w:rFonts w:hint="eastAsia" w:ascii="宋体" w:hAnsi="宋体"/>
                <w:sz w:val="24"/>
              </w:rPr>
              <w:t>冯恩旭</w:t>
            </w:r>
          </w:p>
        </w:tc>
        <w:tc>
          <w:tcPr>
            <w:tcW w:w="2352" w:type="dxa"/>
            <w:vAlign w:val="center"/>
          </w:tcPr>
          <w:p>
            <w:pPr>
              <w:adjustRightInd w:val="0"/>
              <w:snapToGrid w:val="0"/>
              <w:jc w:val="center"/>
              <w:rPr>
                <w:rFonts w:cs="宋体"/>
                <w:sz w:val="24"/>
              </w:rPr>
            </w:pPr>
            <w:r>
              <w:rPr>
                <w:rFonts w:hint="eastAsia" w:cs="宋体"/>
                <w:sz w:val="24"/>
              </w:rPr>
              <w:t>联系方式</w:t>
            </w:r>
          </w:p>
        </w:tc>
        <w:tc>
          <w:tcPr>
            <w:tcW w:w="2808" w:type="dxa"/>
            <w:vAlign w:val="center"/>
          </w:tcPr>
          <w:p>
            <w:pPr>
              <w:adjustRightInd w:val="0"/>
              <w:snapToGrid w:val="0"/>
              <w:jc w:val="center"/>
              <w:rPr>
                <w:rFonts w:cs="宋体"/>
                <w:sz w:val="24"/>
              </w:rPr>
            </w:pPr>
            <w:r>
              <w:rPr>
                <w:rFonts w:hint="eastAsia" w:ascii="宋体" w:hAnsi="宋体"/>
                <w:sz w:val="24"/>
              </w:rPr>
              <w:t>15044532777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33" w:type="dxa"/>
            <w:tcMar>
              <w:top w:w="16" w:type="dxa"/>
              <w:left w:w="16" w:type="dxa"/>
              <w:right w:w="16" w:type="dxa"/>
            </w:tcMar>
            <w:vAlign w:val="center"/>
          </w:tcPr>
          <w:p>
            <w:pPr>
              <w:adjustRightInd w:val="0"/>
              <w:snapToGrid w:val="0"/>
              <w:jc w:val="center"/>
              <w:rPr>
                <w:rFonts w:cs="宋体"/>
                <w:sz w:val="24"/>
              </w:rPr>
            </w:pPr>
            <w:r>
              <w:rPr>
                <w:rFonts w:hint="eastAsia" w:cs="宋体"/>
                <w:sz w:val="24"/>
              </w:rPr>
              <w:t>建设地点</w:t>
            </w:r>
          </w:p>
        </w:tc>
        <w:tc>
          <w:tcPr>
            <w:tcW w:w="7503" w:type="dxa"/>
            <w:gridSpan w:val="3"/>
            <w:vAlign w:val="center"/>
          </w:tcPr>
          <w:p>
            <w:pPr>
              <w:adjustRightInd w:val="0"/>
              <w:snapToGrid w:val="0"/>
              <w:jc w:val="center"/>
              <w:rPr>
                <w:rFonts w:cs="宋体"/>
                <w:sz w:val="24"/>
              </w:rPr>
            </w:pPr>
            <w:r>
              <w:rPr>
                <w:rFonts w:ascii="宋体" w:hAnsi="宋体"/>
                <w:sz w:val="24"/>
              </w:rPr>
              <w:t>时家店</w:t>
            </w:r>
            <w:r>
              <w:rPr>
                <w:rFonts w:hint="eastAsia" w:ascii="宋体" w:hAnsi="宋体"/>
                <w:sz w:val="24"/>
              </w:rPr>
              <w:t>乡中心校旧址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33" w:type="dxa"/>
            <w:tcMar>
              <w:top w:w="16" w:type="dxa"/>
              <w:left w:w="16" w:type="dxa"/>
              <w:right w:w="16" w:type="dxa"/>
            </w:tcMar>
            <w:vAlign w:val="center"/>
          </w:tcPr>
          <w:p>
            <w:pPr>
              <w:adjustRightInd w:val="0"/>
              <w:snapToGrid w:val="0"/>
              <w:jc w:val="center"/>
              <w:rPr>
                <w:rFonts w:cs="宋体"/>
                <w:sz w:val="24"/>
              </w:rPr>
            </w:pPr>
            <w:r>
              <w:rPr>
                <w:rFonts w:hint="eastAsia" w:cs="宋体"/>
                <w:sz w:val="24"/>
              </w:rPr>
              <w:t>地理坐标</w:t>
            </w:r>
          </w:p>
        </w:tc>
        <w:tc>
          <w:tcPr>
            <w:tcW w:w="7503" w:type="dxa"/>
            <w:gridSpan w:val="3"/>
            <w:vAlign w:val="center"/>
          </w:tcPr>
          <w:p>
            <w:pPr>
              <w:jc w:val="center"/>
              <w:rPr>
                <w:rFonts w:cs="宋体"/>
                <w:sz w:val="24"/>
              </w:rPr>
            </w:pPr>
            <w:r>
              <w:rPr>
                <w:sz w:val="24"/>
              </w:rPr>
              <w:t>12</w:t>
            </w:r>
            <w:r>
              <w:rPr>
                <w:rFonts w:hint="eastAsia"/>
                <w:sz w:val="24"/>
              </w:rPr>
              <w:t>5</w:t>
            </w:r>
            <w:r>
              <w:rPr>
                <w:sz w:val="24"/>
              </w:rPr>
              <w:t>度</w:t>
            </w:r>
            <w:r>
              <w:rPr>
                <w:rFonts w:hint="eastAsia"/>
                <w:sz w:val="24"/>
              </w:rPr>
              <w:t>57</w:t>
            </w:r>
            <w:r>
              <w:rPr>
                <w:sz w:val="24"/>
              </w:rPr>
              <w:t>分</w:t>
            </w:r>
            <w:r>
              <w:rPr>
                <w:rFonts w:hint="eastAsia"/>
                <w:sz w:val="24"/>
              </w:rPr>
              <w:t>45.031</w:t>
            </w:r>
            <w:r>
              <w:rPr>
                <w:sz w:val="24"/>
              </w:rPr>
              <w:t>秒，4</w:t>
            </w:r>
            <w:r>
              <w:rPr>
                <w:rFonts w:hint="eastAsia"/>
                <w:sz w:val="24"/>
              </w:rPr>
              <w:t>2</w:t>
            </w:r>
            <w:r>
              <w:rPr>
                <w:sz w:val="24"/>
              </w:rPr>
              <w:t>度</w:t>
            </w:r>
            <w:r>
              <w:rPr>
                <w:rFonts w:hint="eastAsia"/>
                <w:sz w:val="24"/>
              </w:rPr>
              <w:t>17</w:t>
            </w:r>
            <w:r>
              <w:rPr>
                <w:sz w:val="24"/>
              </w:rPr>
              <w:t>分</w:t>
            </w:r>
            <w:r>
              <w:rPr>
                <w:rFonts w:hint="eastAsia"/>
                <w:sz w:val="24"/>
              </w:rPr>
              <w:t>6.329</w:t>
            </w:r>
            <w:r>
              <w:rPr>
                <w:sz w:val="24"/>
              </w:rPr>
              <w:t>秒</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1" w:hRule="atLeast"/>
          <w:jc w:val="center"/>
        </w:trPr>
        <w:tc>
          <w:tcPr>
            <w:tcW w:w="1933" w:type="dxa"/>
            <w:tcMar>
              <w:top w:w="16" w:type="dxa"/>
              <w:left w:w="16" w:type="dxa"/>
              <w:right w:w="16" w:type="dxa"/>
            </w:tcMar>
            <w:vAlign w:val="center"/>
          </w:tcPr>
          <w:p>
            <w:pPr>
              <w:adjustRightInd w:val="0"/>
              <w:snapToGrid w:val="0"/>
              <w:jc w:val="center"/>
              <w:rPr>
                <w:rFonts w:cs="宋体"/>
                <w:sz w:val="24"/>
              </w:rPr>
            </w:pPr>
            <w:r>
              <w:rPr>
                <w:rFonts w:hint="eastAsia" w:cs="宋体"/>
                <w:sz w:val="24"/>
              </w:rPr>
              <w:t>国民经济</w:t>
            </w:r>
          </w:p>
          <w:p>
            <w:pPr>
              <w:adjustRightInd w:val="0"/>
              <w:snapToGrid w:val="0"/>
              <w:jc w:val="center"/>
              <w:rPr>
                <w:rFonts w:cs="宋体"/>
                <w:sz w:val="24"/>
              </w:rPr>
            </w:pPr>
            <w:r>
              <w:rPr>
                <w:rFonts w:hint="eastAsia" w:cs="宋体"/>
                <w:sz w:val="24"/>
              </w:rPr>
              <w:t>行业类别</w:t>
            </w:r>
          </w:p>
        </w:tc>
        <w:tc>
          <w:tcPr>
            <w:tcW w:w="2343" w:type="dxa"/>
            <w:vAlign w:val="center"/>
          </w:tcPr>
          <w:p>
            <w:pPr>
              <w:adjustRightInd w:val="0"/>
              <w:snapToGrid w:val="0"/>
              <w:jc w:val="center"/>
              <w:rPr>
                <w:rFonts w:cs="宋体"/>
                <w:sz w:val="24"/>
              </w:rPr>
            </w:pPr>
            <w:r>
              <w:rPr>
                <w:rFonts w:cs="宋体"/>
                <w:sz w:val="24"/>
              </w:rPr>
              <w:t>C1</w:t>
            </w:r>
            <w:r>
              <w:rPr>
                <w:rFonts w:hint="eastAsia" w:cs="宋体"/>
                <w:sz w:val="24"/>
              </w:rPr>
              <w:t>371蔬菜加工</w:t>
            </w:r>
            <w:r>
              <w:rPr>
                <w:rFonts w:cs="宋体"/>
                <w:sz w:val="24"/>
              </w:rPr>
              <w:t>D4430热力生产和供应</w:t>
            </w:r>
          </w:p>
        </w:tc>
        <w:tc>
          <w:tcPr>
            <w:tcW w:w="2352" w:type="dxa"/>
            <w:vAlign w:val="center"/>
          </w:tcPr>
          <w:p>
            <w:pPr>
              <w:adjustRightInd w:val="0"/>
              <w:snapToGrid w:val="0"/>
              <w:jc w:val="center"/>
              <w:rPr>
                <w:rFonts w:cs="宋体"/>
                <w:sz w:val="24"/>
              </w:rPr>
            </w:pPr>
            <w:r>
              <w:rPr>
                <w:rFonts w:hint="eastAsia" w:cs="宋体"/>
                <w:sz w:val="24"/>
              </w:rPr>
              <w:t>建设项目</w:t>
            </w:r>
          </w:p>
          <w:p>
            <w:pPr>
              <w:adjustRightInd w:val="0"/>
              <w:snapToGrid w:val="0"/>
              <w:jc w:val="center"/>
              <w:rPr>
                <w:rFonts w:cs="宋体"/>
                <w:sz w:val="24"/>
              </w:rPr>
            </w:pPr>
            <w:r>
              <w:rPr>
                <w:rFonts w:hint="eastAsia" w:cs="宋体"/>
                <w:sz w:val="24"/>
              </w:rPr>
              <w:t>行业类别</w:t>
            </w:r>
          </w:p>
        </w:tc>
        <w:tc>
          <w:tcPr>
            <w:tcW w:w="2808" w:type="dxa"/>
            <w:vAlign w:val="center"/>
          </w:tcPr>
          <w:p>
            <w:pPr>
              <w:adjustRightInd w:val="0"/>
              <w:snapToGrid w:val="0"/>
              <w:rPr>
                <w:rFonts w:cs="宋体"/>
                <w:sz w:val="24"/>
              </w:rPr>
            </w:pPr>
            <w:r>
              <w:rPr>
                <w:rFonts w:hint="eastAsia" w:cs="宋体"/>
                <w:sz w:val="24"/>
              </w:rPr>
              <w:t>四十一、热力生产和供应业，91、热力生产和供应工程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19" w:hRule="atLeast"/>
          <w:jc w:val="center"/>
        </w:trPr>
        <w:tc>
          <w:tcPr>
            <w:tcW w:w="1933" w:type="dxa"/>
            <w:tcMar>
              <w:top w:w="16" w:type="dxa"/>
              <w:left w:w="16" w:type="dxa"/>
              <w:right w:w="16" w:type="dxa"/>
            </w:tcMar>
            <w:vAlign w:val="center"/>
          </w:tcPr>
          <w:p>
            <w:pPr>
              <w:adjustRightInd w:val="0"/>
              <w:snapToGrid w:val="0"/>
              <w:jc w:val="center"/>
              <w:rPr>
                <w:rFonts w:cs="宋体"/>
                <w:sz w:val="24"/>
              </w:rPr>
            </w:pPr>
            <w:r>
              <w:rPr>
                <w:rFonts w:hint="eastAsia" w:cs="宋体"/>
                <w:sz w:val="24"/>
              </w:rPr>
              <w:t>建设性质</w:t>
            </w:r>
          </w:p>
        </w:tc>
        <w:tc>
          <w:tcPr>
            <w:tcW w:w="2343" w:type="dxa"/>
            <w:vAlign w:val="center"/>
          </w:tcPr>
          <w:p>
            <w:pPr>
              <w:jc w:val="left"/>
              <w:rPr>
                <w:rFonts w:cs="宋体"/>
                <w:sz w:val="24"/>
              </w:rPr>
            </w:pPr>
            <w:r>
              <w:rPr>
                <w:rFonts w:hint="eastAsia" w:cs="宋体"/>
                <w:sz w:val="24"/>
              </w:rPr>
              <w:sym w:font="Wingdings 2" w:char="0052"/>
            </w:r>
            <w:r>
              <w:rPr>
                <w:rFonts w:hint="eastAsia" w:cs="宋体"/>
                <w:sz w:val="24"/>
              </w:rPr>
              <w:t>新建（迁建）</w:t>
            </w:r>
          </w:p>
          <w:p>
            <w:pPr>
              <w:jc w:val="left"/>
              <w:rPr>
                <w:rFonts w:cs="宋体"/>
                <w:sz w:val="24"/>
              </w:rPr>
            </w:pPr>
            <w:r>
              <w:rPr>
                <w:rFonts w:hint="eastAsia" w:cs="宋体"/>
                <w:sz w:val="24"/>
              </w:rPr>
              <w:sym w:font="Wingdings 2" w:char="00A3"/>
            </w:r>
            <w:r>
              <w:rPr>
                <w:rFonts w:hint="eastAsia" w:cs="宋体"/>
                <w:sz w:val="24"/>
              </w:rPr>
              <w:t>改建</w:t>
            </w:r>
          </w:p>
          <w:p>
            <w:pPr>
              <w:jc w:val="left"/>
              <w:rPr>
                <w:rFonts w:cs="宋体"/>
                <w:sz w:val="24"/>
              </w:rPr>
            </w:pPr>
            <w:r>
              <w:rPr>
                <w:rFonts w:hint="eastAsia" w:cs="宋体"/>
                <w:sz w:val="24"/>
              </w:rPr>
              <w:sym w:font="Wingdings 2" w:char="00A3"/>
            </w:r>
            <w:r>
              <w:rPr>
                <w:rFonts w:hint="eastAsia" w:cs="宋体"/>
                <w:sz w:val="24"/>
              </w:rPr>
              <w:t>扩建</w:t>
            </w:r>
          </w:p>
          <w:p>
            <w:pPr>
              <w:jc w:val="left"/>
              <w:rPr>
                <w:rFonts w:cs="宋体"/>
                <w:sz w:val="24"/>
              </w:rPr>
            </w:pPr>
            <w:r>
              <w:rPr>
                <w:rFonts w:hint="eastAsia" w:cs="宋体"/>
                <w:sz w:val="24"/>
              </w:rPr>
              <w:sym w:font="Wingdings 2" w:char="00A3"/>
            </w:r>
            <w:r>
              <w:rPr>
                <w:rFonts w:hint="eastAsia" w:cs="宋体"/>
                <w:sz w:val="24"/>
              </w:rPr>
              <w:t>技术改造</w:t>
            </w:r>
          </w:p>
        </w:tc>
        <w:tc>
          <w:tcPr>
            <w:tcW w:w="2352" w:type="dxa"/>
            <w:vAlign w:val="center"/>
          </w:tcPr>
          <w:p>
            <w:pPr>
              <w:adjustRightInd w:val="0"/>
              <w:snapToGrid w:val="0"/>
              <w:jc w:val="center"/>
              <w:rPr>
                <w:rFonts w:cs="宋体"/>
                <w:sz w:val="24"/>
              </w:rPr>
            </w:pPr>
            <w:r>
              <w:rPr>
                <w:rFonts w:hint="eastAsia" w:cs="宋体"/>
                <w:sz w:val="24"/>
              </w:rPr>
              <w:t>建设项目</w:t>
            </w:r>
          </w:p>
          <w:p>
            <w:pPr>
              <w:adjustRightInd w:val="0"/>
              <w:snapToGrid w:val="0"/>
              <w:jc w:val="center"/>
              <w:rPr>
                <w:rFonts w:cs="宋体"/>
                <w:sz w:val="24"/>
              </w:rPr>
            </w:pPr>
            <w:r>
              <w:rPr>
                <w:rFonts w:hint="eastAsia" w:cs="宋体"/>
                <w:sz w:val="24"/>
              </w:rPr>
              <w:t>申报情形</w:t>
            </w:r>
          </w:p>
        </w:tc>
        <w:tc>
          <w:tcPr>
            <w:tcW w:w="2808" w:type="dxa"/>
            <w:vAlign w:val="center"/>
          </w:tcPr>
          <w:p>
            <w:pPr>
              <w:jc w:val="left"/>
              <w:rPr>
                <w:rFonts w:cs="宋体"/>
                <w:sz w:val="24"/>
              </w:rPr>
            </w:pPr>
            <w:r>
              <w:rPr>
                <w:rFonts w:hint="eastAsia" w:cs="宋体"/>
                <w:sz w:val="24"/>
              </w:rPr>
              <w:sym w:font="Wingdings 2" w:char="0052"/>
            </w:r>
            <w:r>
              <w:rPr>
                <w:rFonts w:hint="eastAsia" w:cs="宋体"/>
                <w:sz w:val="24"/>
              </w:rPr>
              <w:t>首次申报项目</w:t>
            </w:r>
            <w:r>
              <w:rPr>
                <w:rFonts w:cs="宋体"/>
                <w:sz w:val="24"/>
              </w:rPr>
              <w:t xml:space="preserve">             </w:t>
            </w:r>
          </w:p>
          <w:p>
            <w:pPr>
              <w:jc w:val="left"/>
              <w:rPr>
                <w:rFonts w:cs="宋体"/>
                <w:sz w:val="24"/>
              </w:rPr>
            </w:pPr>
            <w:r>
              <w:rPr>
                <w:rFonts w:hint="eastAsia" w:cs="宋体"/>
                <w:sz w:val="24"/>
              </w:rPr>
              <w:sym w:font="Wingdings 2" w:char="00A3"/>
            </w:r>
            <w:r>
              <w:rPr>
                <w:rFonts w:hint="eastAsia" w:cs="宋体"/>
                <w:sz w:val="24"/>
              </w:rPr>
              <w:t>不予批准后再次申报项目</w:t>
            </w:r>
          </w:p>
          <w:p>
            <w:pPr>
              <w:jc w:val="left"/>
              <w:rPr>
                <w:rFonts w:cs="宋体"/>
                <w:sz w:val="24"/>
              </w:rPr>
            </w:pPr>
            <w:r>
              <w:rPr>
                <w:rFonts w:hint="eastAsia" w:cs="宋体"/>
                <w:sz w:val="24"/>
              </w:rPr>
              <w:sym w:font="Wingdings 2" w:char="00A3"/>
            </w:r>
            <w:r>
              <w:rPr>
                <w:rFonts w:hint="eastAsia" w:cs="宋体"/>
                <w:sz w:val="24"/>
              </w:rPr>
              <w:t>超五年重新审核项目</w:t>
            </w:r>
            <w:r>
              <w:rPr>
                <w:rFonts w:cs="宋体"/>
                <w:sz w:val="24"/>
              </w:rPr>
              <w:t xml:space="preserve">     </w:t>
            </w:r>
          </w:p>
          <w:p>
            <w:pPr>
              <w:jc w:val="left"/>
              <w:rPr>
                <w:rFonts w:cs="宋体"/>
                <w:sz w:val="24"/>
              </w:rPr>
            </w:pPr>
            <w:r>
              <w:rPr>
                <w:rFonts w:hint="eastAsia" w:cs="宋体"/>
                <w:sz w:val="24"/>
              </w:rPr>
              <w:sym w:font="Wingdings 2" w:char="00A3"/>
            </w:r>
            <w:r>
              <w:rPr>
                <w:rFonts w:hint="eastAsia" w:cs="宋体"/>
                <w:sz w:val="24"/>
              </w:rPr>
              <w:t>重大变动重新报批项目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51" w:hRule="atLeast"/>
          <w:jc w:val="center"/>
        </w:trPr>
        <w:tc>
          <w:tcPr>
            <w:tcW w:w="1933" w:type="dxa"/>
            <w:tcMar>
              <w:top w:w="16" w:type="dxa"/>
              <w:left w:w="16" w:type="dxa"/>
              <w:right w:w="16" w:type="dxa"/>
            </w:tcMar>
            <w:vAlign w:val="center"/>
          </w:tcPr>
          <w:p>
            <w:pPr>
              <w:adjustRightInd w:val="0"/>
              <w:snapToGrid w:val="0"/>
              <w:jc w:val="center"/>
              <w:rPr>
                <w:rFonts w:cs="宋体"/>
                <w:sz w:val="24"/>
              </w:rPr>
            </w:pPr>
            <w:r>
              <w:rPr>
                <w:rFonts w:hint="eastAsia" w:cs="宋体"/>
                <w:sz w:val="24"/>
              </w:rPr>
              <w:t>项目审批（核准</w:t>
            </w:r>
            <w:r>
              <w:rPr>
                <w:rFonts w:cs="宋体"/>
                <w:sz w:val="24"/>
              </w:rPr>
              <w:t>/</w:t>
            </w:r>
          </w:p>
          <w:p>
            <w:pPr>
              <w:adjustRightInd w:val="0"/>
              <w:snapToGrid w:val="0"/>
              <w:jc w:val="center"/>
              <w:rPr>
                <w:rFonts w:cs="宋体"/>
                <w:sz w:val="24"/>
              </w:rPr>
            </w:pPr>
            <w:r>
              <w:rPr>
                <w:rFonts w:hint="eastAsia" w:cs="宋体"/>
                <w:sz w:val="24"/>
              </w:rPr>
              <w:t>备案）部门（选填）</w:t>
            </w:r>
          </w:p>
        </w:tc>
        <w:tc>
          <w:tcPr>
            <w:tcW w:w="2343" w:type="dxa"/>
            <w:vAlign w:val="center"/>
          </w:tcPr>
          <w:p>
            <w:pPr>
              <w:adjustRightInd w:val="0"/>
              <w:snapToGrid w:val="0"/>
              <w:jc w:val="center"/>
              <w:rPr>
                <w:rFonts w:cs="宋体"/>
                <w:sz w:val="24"/>
              </w:rPr>
            </w:pPr>
            <w:r>
              <w:rPr>
                <w:rFonts w:hint="eastAsia" w:cs="宋体"/>
                <w:sz w:val="24"/>
              </w:rPr>
              <w:t>/</w:t>
            </w:r>
          </w:p>
        </w:tc>
        <w:tc>
          <w:tcPr>
            <w:tcW w:w="2352" w:type="dxa"/>
            <w:vAlign w:val="center"/>
          </w:tcPr>
          <w:p>
            <w:pPr>
              <w:adjustRightInd w:val="0"/>
              <w:snapToGrid w:val="0"/>
              <w:jc w:val="center"/>
              <w:rPr>
                <w:rFonts w:cs="宋体"/>
                <w:sz w:val="24"/>
              </w:rPr>
            </w:pPr>
            <w:r>
              <w:rPr>
                <w:rFonts w:hint="eastAsia" w:cs="宋体"/>
                <w:sz w:val="24"/>
              </w:rPr>
              <w:t>项目审批（核准</w:t>
            </w:r>
            <w:r>
              <w:rPr>
                <w:rFonts w:cs="宋体"/>
                <w:sz w:val="24"/>
              </w:rPr>
              <w:t>/</w:t>
            </w:r>
          </w:p>
          <w:p>
            <w:pPr>
              <w:adjustRightInd w:val="0"/>
              <w:snapToGrid w:val="0"/>
              <w:jc w:val="center"/>
              <w:rPr>
                <w:rFonts w:cs="宋体"/>
                <w:sz w:val="24"/>
              </w:rPr>
            </w:pPr>
            <w:r>
              <w:rPr>
                <w:rFonts w:hint="eastAsia" w:cs="宋体"/>
                <w:sz w:val="24"/>
              </w:rPr>
              <w:t>备案）文号（选填）</w:t>
            </w:r>
          </w:p>
        </w:tc>
        <w:tc>
          <w:tcPr>
            <w:tcW w:w="2808" w:type="dxa"/>
            <w:vAlign w:val="center"/>
          </w:tcPr>
          <w:p>
            <w:pPr>
              <w:adjustRightInd w:val="0"/>
              <w:snapToGrid w:val="0"/>
              <w:jc w:val="center"/>
              <w:rPr>
                <w:rFonts w:cs="宋体"/>
                <w:sz w:val="24"/>
              </w:rPr>
            </w:pPr>
            <w:r>
              <w:rPr>
                <w:rFonts w:hint="eastAsia" w:cs="宋体"/>
                <w:sz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33" w:type="dxa"/>
            <w:tcMar>
              <w:top w:w="16" w:type="dxa"/>
              <w:left w:w="16" w:type="dxa"/>
              <w:right w:w="16" w:type="dxa"/>
            </w:tcMar>
            <w:vAlign w:val="center"/>
          </w:tcPr>
          <w:p>
            <w:pPr>
              <w:adjustRightInd w:val="0"/>
              <w:snapToGrid w:val="0"/>
              <w:jc w:val="center"/>
              <w:rPr>
                <w:rFonts w:cs="宋体"/>
                <w:sz w:val="24"/>
              </w:rPr>
            </w:pPr>
            <w:r>
              <w:rPr>
                <w:rFonts w:hint="eastAsia" w:cs="宋体"/>
                <w:sz w:val="24"/>
              </w:rPr>
              <w:t>总投资（万元）</w:t>
            </w:r>
          </w:p>
        </w:tc>
        <w:tc>
          <w:tcPr>
            <w:tcW w:w="2343" w:type="dxa"/>
            <w:vAlign w:val="center"/>
          </w:tcPr>
          <w:p>
            <w:pPr>
              <w:adjustRightInd w:val="0"/>
              <w:snapToGrid w:val="0"/>
              <w:jc w:val="center"/>
              <w:rPr>
                <w:rFonts w:cs="宋体"/>
                <w:sz w:val="24"/>
              </w:rPr>
            </w:pPr>
            <w:r>
              <w:rPr>
                <w:rFonts w:hint="eastAsia" w:cs="宋体"/>
                <w:sz w:val="24"/>
              </w:rPr>
              <w:t>435.63</w:t>
            </w:r>
          </w:p>
        </w:tc>
        <w:tc>
          <w:tcPr>
            <w:tcW w:w="2352" w:type="dxa"/>
            <w:tcMar>
              <w:top w:w="16" w:type="dxa"/>
              <w:left w:w="16" w:type="dxa"/>
              <w:right w:w="16" w:type="dxa"/>
            </w:tcMar>
            <w:vAlign w:val="center"/>
          </w:tcPr>
          <w:p>
            <w:pPr>
              <w:adjustRightInd w:val="0"/>
              <w:snapToGrid w:val="0"/>
              <w:jc w:val="center"/>
              <w:rPr>
                <w:rFonts w:cs="宋体"/>
                <w:sz w:val="24"/>
              </w:rPr>
            </w:pPr>
            <w:r>
              <w:rPr>
                <w:rFonts w:hint="eastAsia" w:cs="宋体"/>
                <w:sz w:val="24"/>
              </w:rPr>
              <w:t>环保投资（万元）</w:t>
            </w:r>
          </w:p>
        </w:tc>
        <w:tc>
          <w:tcPr>
            <w:tcW w:w="2808" w:type="dxa"/>
            <w:vAlign w:val="center"/>
          </w:tcPr>
          <w:p>
            <w:pPr>
              <w:adjustRightInd w:val="0"/>
              <w:snapToGrid w:val="0"/>
              <w:jc w:val="center"/>
              <w:rPr>
                <w:rFonts w:cs="宋体"/>
                <w:sz w:val="24"/>
              </w:rPr>
            </w:pPr>
            <w:r>
              <w:rPr>
                <w:rFonts w:hint="eastAsia" w:cs="宋体"/>
                <w:sz w:val="24"/>
              </w:rPr>
              <w:t>22.2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33" w:type="dxa"/>
            <w:tcMar>
              <w:top w:w="16" w:type="dxa"/>
              <w:left w:w="16" w:type="dxa"/>
              <w:right w:w="16" w:type="dxa"/>
            </w:tcMar>
            <w:vAlign w:val="center"/>
          </w:tcPr>
          <w:p>
            <w:pPr>
              <w:adjustRightInd w:val="0"/>
              <w:snapToGrid w:val="0"/>
              <w:jc w:val="center"/>
              <w:rPr>
                <w:rFonts w:cs="宋体"/>
                <w:sz w:val="24"/>
              </w:rPr>
            </w:pPr>
            <w:r>
              <w:rPr>
                <w:rFonts w:hint="eastAsia" w:cs="宋体"/>
                <w:sz w:val="24"/>
              </w:rPr>
              <w:t>环保投资占比（</w:t>
            </w:r>
            <w:r>
              <w:rPr>
                <w:rFonts w:cs="宋体"/>
                <w:sz w:val="24"/>
              </w:rPr>
              <w:t>%</w:t>
            </w:r>
            <w:r>
              <w:rPr>
                <w:rFonts w:hint="eastAsia" w:cs="宋体"/>
                <w:sz w:val="24"/>
              </w:rPr>
              <w:t>）</w:t>
            </w:r>
          </w:p>
        </w:tc>
        <w:tc>
          <w:tcPr>
            <w:tcW w:w="2343" w:type="dxa"/>
            <w:vAlign w:val="center"/>
          </w:tcPr>
          <w:p>
            <w:pPr>
              <w:adjustRightInd w:val="0"/>
              <w:snapToGrid w:val="0"/>
              <w:jc w:val="center"/>
              <w:rPr>
                <w:rFonts w:cs="宋体"/>
                <w:sz w:val="24"/>
              </w:rPr>
            </w:pPr>
            <w:r>
              <w:rPr>
                <w:rFonts w:hint="eastAsia" w:cs="宋体"/>
                <w:sz w:val="24"/>
              </w:rPr>
              <w:t>5.1</w:t>
            </w:r>
          </w:p>
        </w:tc>
        <w:tc>
          <w:tcPr>
            <w:tcW w:w="2352" w:type="dxa"/>
            <w:tcMar>
              <w:top w:w="16" w:type="dxa"/>
              <w:left w:w="16" w:type="dxa"/>
              <w:right w:w="16" w:type="dxa"/>
            </w:tcMar>
            <w:vAlign w:val="center"/>
          </w:tcPr>
          <w:p>
            <w:pPr>
              <w:adjustRightInd w:val="0"/>
              <w:snapToGrid w:val="0"/>
              <w:jc w:val="center"/>
              <w:rPr>
                <w:rFonts w:cs="宋体"/>
                <w:sz w:val="24"/>
              </w:rPr>
            </w:pPr>
            <w:r>
              <w:rPr>
                <w:rFonts w:hint="eastAsia" w:cs="宋体"/>
                <w:sz w:val="24"/>
              </w:rPr>
              <w:t>施工工期</w:t>
            </w:r>
          </w:p>
        </w:tc>
        <w:tc>
          <w:tcPr>
            <w:tcW w:w="2808" w:type="dxa"/>
            <w:vAlign w:val="center"/>
          </w:tcPr>
          <w:p>
            <w:pPr>
              <w:adjustRightInd w:val="0"/>
              <w:snapToGrid w:val="0"/>
              <w:jc w:val="center"/>
              <w:rPr>
                <w:rFonts w:cs="宋体"/>
                <w:sz w:val="24"/>
              </w:rPr>
            </w:pPr>
            <w:r>
              <w:rPr>
                <w:rFonts w:hint="eastAsia" w:cs="宋体"/>
                <w:sz w:val="24"/>
              </w:rPr>
              <w:t>2个月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33" w:type="dxa"/>
            <w:tcMar>
              <w:top w:w="16" w:type="dxa"/>
              <w:left w:w="16" w:type="dxa"/>
              <w:right w:w="16" w:type="dxa"/>
            </w:tcMar>
            <w:vAlign w:val="center"/>
          </w:tcPr>
          <w:p>
            <w:pPr>
              <w:adjustRightInd w:val="0"/>
              <w:snapToGrid w:val="0"/>
              <w:jc w:val="center"/>
              <w:rPr>
                <w:rFonts w:cs="宋体"/>
                <w:sz w:val="24"/>
              </w:rPr>
            </w:pPr>
            <w:r>
              <w:rPr>
                <w:rFonts w:hint="eastAsia" w:cs="宋体"/>
                <w:sz w:val="24"/>
              </w:rPr>
              <w:t>是否开工建设</w:t>
            </w:r>
          </w:p>
        </w:tc>
        <w:tc>
          <w:tcPr>
            <w:tcW w:w="2343" w:type="dxa"/>
            <w:vAlign w:val="center"/>
          </w:tcPr>
          <w:p>
            <w:pPr>
              <w:adjustRightInd w:val="0"/>
              <w:snapToGrid w:val="0"/>
              <w:rPr>
                <w:rFonts w:cs="宋体"/>
                <w:sz w:val="24"/>
              </w:rPr>
            </w:pPr>
            <w:r>
              <w:rPr>
                <w:rFonts w:hint="eastAsia" w:cs="宋体"/>
                <w:sz w:val="24"/>
              </w:rPr>
              <w:sym w:font="Wingdings 2" w:char="0052"/>
            </w:r>
            <w:r>
              <w:rPr>
                <w:rFonts w:hint="eastAsia" w:cs="宋体"/>
                <w:sz w:val="24"/>
              </w:rPr>
              <w:t>否</w:t>
            </w:r>
          </w:p>
          <w:p>
            <w:pPr>
              <w:adjustRightInd w:val="0"/>
              <w:snapToGrid w:val="0"/>
              <w:rPr>
                <w:rFonts w:cs="宋体"/>
                <w:sz w:val="24"/>
              </w:rPr>
            </w:pPr>
            <w:r>
              <w:rPr>
                <w:rFonts w:hint="eastAsia" w:cs="宋体"/>
                <w:sz w:val="24"/>
              </w:rPr>
              <w:sym w:font="Wingdings 2" w:char="00A3"/>
            </w:r>
            <w:r>
              <w:rPr>
                <w:rFonts w:hint="eastAsia" w:cs="宋体"/>
                <w:sz w:val="24"/>
              </w:rPr>
              <w:t>是：</w:t>
            </w:r>
            <w:r>
              <w:rPr>
                <w:rFonts w:hint="eastAsia" w:cs="宋体"/>
                <w:sz w:val="24"/>
                <w:u w:val="single"/>
              </w:rPr>
              <w:t xml:space="preserve">             </w:t>
            </w:r>
          </w:p>
        </w:tc>
        <w:tc>
          <w:tcPr>
            <w:tcW w:w="2352" w:type="dxa"/>
            <w:tcMar>
              <w:top w:w="16" w:type="dxa"/>
              <w:left w:w="16" w:type="dxa"/>
              <w:right w:w="16" w:type="dxa"/>
            </w:tcMar>
            <w:vAlign w:val="center"/>
          </w:tcPr>
          <w:p>
            <w:pPr>
              <w:adjustRightInd w:val="0"/>
              <w:snapToGrid w:val="0"/>
              <w:jc w:val="center"/>
              <w:rPr>
                <w:rFonts w:cs="宋体"/>
                <w:spacing w:val="-6"/>
                <w:sz w:val="24"/>
              </w:rPr>
            </w:pPr>
            <w:r>
              <w:rPr>
                <w:rFonts w:hint="eastAsia" w:cs="宋体"/>
                <w:spacing w:val="-6"/>
                <w:sz w:val="24"/>
              </w:rPr>
              <w:t>用地（用海）</w:t>
            </w:r>
          </w:p>
          <w:p>
            <w:pPr>
              <w:adjustRightInd w:val="0"/>
              <w:snapToGrid w:val="0"/>
              <w:jc w:val="center"/>
              <w:rPr>
                <w:rFonts w:cs="宋体"/>
                <w:sz w:val="24"/>
              </w:rPr>
            </w:pPr>
            <w:r>
              <w:rPr>
                <w:rFonts w:hint="eastAsia" w:cs="宋体"/>
                <w:spacing w:val="-6"/>
                <w:sz w:val="24"/>
              </w:rPr>
              <w:t>面积（</w:t>
            </w:r>
            <w:r>
              <w:rPr>
                <w:rFonts w:cs="宋体"/>
                <w:spacing w:val="-6"/>
                <w:sz w:val="24"/>
              </w:rPr>
              <w:t>m</w:t>
            </w:r>
            <w:r>
              <w:rPr>
                <w:rFonts w:cs="宋体"/>
                <w:spacing w:val="-6"/>
                <w:sz w:val="24"/>
                <w:vertAlign w:val="superscript"/>
              </w:rPr>
              <w:t>2</w:t>
            </w:r>
            <w:r>
              <w:rPr>
                <w:rFonts w:hint="eastAsia" w:cs="宋体"/>
                <w:spacing w:val="-6"/>
                <w:sz w:val="24"/>
              </w:rPr>
              <w:t>）</w:t>
            </w:r>
          </w:p>
        </w:tc>
        <w:tc>
          <w:tcPr>
            <w:tcW w:w="2808" w:type="dxa"/>
            <w:vAlign w:val="center"/>
          </w:tcPr>
          <w:p>
            <w:pPr>
              <w:adjustRightInd w:val="0"/>
              <w:snapToGrid w:val="0"/>
              <w:jc w:val="center"/>
              <w:rPr>
                <w:rFonts w:cs="宋体"/>
                <w:sz w:val="24"/>
              </w:rPr>
            </w:pPr>
            <w:r>
              <w:rPr>
                <w:rFonts w:hint="eastAsia" w:ascii="宋体" w:hAnsi="宋体"/>
                <w:sz w:val="24"/>
              </w:rPr>
              <w:t>7186.8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33" w:type="dxa"/>
            <w:vAlign w:val="center"/>
          </w:tcPr>
          <w:p>
            <w:pPr>
              <w:autoSpaceDE w:val="0"/>
              <w:autoSpaceDN w:val="0"/>
              <w:adjustRightInd w:val="0"/>
              <w:snapToGrid w:val="0"/>
              <w:jc w:val="center"/>
              <w:rPr>
                <w:rFonts w:cs="宋体"/>
                <w:kern w:val="0"/>
                <w:sz w:val="24"/>
              </w:rPr>
            </w:pPr>
            <w:r>
              <w:rPr>
                <w:rFonts w:hint="eastAsia" w:cs="宋体"/>
                <w:kern w:val="0"/>
                <w:sz w:val="24"/>
              </w:rPr>
              <w:t>专项评价设置情况</w:t>
            </w:r>
          </w:p>
        </w:tc>
        <w:tc>
          <w:tcPr>
            <w:tcW w:w="7503" w:type="dxa"/>
            <w:gridSpan w:val="3"/>
            <w:vAlign w:val="center"/>
          </w:tcPr>
          <w:p>
            <w:pPr>
              <w:autoSpaceDE w:val="0"/>
              <w:autoSpaceDN w:val="0"/>
              <w:adjustRightInd w:val="0"/>
              <w:snapToGrid w:val="0"/>
              <w:ind w:firstLine="480" w:firstLineChars="200"/>
              <w:rPr>
                <w:rFonts w:cs="宋体"/>
                <w:kern w:val="0"/>
                <w:sz w:val="24"/>
              </w:rPr>
            </w:pPr>
            <w:r>
              <w:rPr>
                <w:rFonts w:hint="eastAsia" w:cs="宋体"/>
                <w:kern w:val="0"/>
                <w:sz w:val="24"/>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933" w:type="dxa"/>
            <w:vAlign w:val="center"/>
          </w:tcPr>
          <w:p>
            <w:pPr>
              <w:autoSpaceDE w:val="0"/>
              <w:autoSpaceDN w:val="0"/>
              <w:adjustRightInd w:val="0"/>
              <w:snapToGrid w:val="0"/>
              <w:jc w:val="center"/>
              <w:rPr>
                <w:rFonts w:cs="宋体"/>
                <w:kern w:val="0"/>
                <w:sz w:val="24"/>
              </w:rPr>
            </w:pPr>
            <w:r>
              <w:rPr>
                <w:rFonts w:hint="eastAsia" w:cs="宋体"/>
                <w:sz w:val="24"/>
              </w:rPr>
              <w:t>规划情况</w:t>
            </w:r>
          </w:p>
        </w:tc>
        <w:tc>
          <w:tcPr>
            <w:tcW w:w="7503" w:type="dxa"/>
            <w:gridSpan w:val="3"/>
            <w:vAlign w:val="center"/>
          </w:tcPr>
          <w:p>
            <w:pPr>
              <w:autoSpaceDE w:val="0"/>
              <w:autoSpaceDN w:val="0"/>
              <w:adjustRightInd w:val="0"/>
              <w:snapToGrid w:val="0"/>
              <w:spacing w:line="360" w:lineRule="auto"/>
              <w:ind w:firstLine="480" w:firstLineChars="200"/>
              <w:jc w:val="left"/>
              <w:rPr>
                <w:rFonts w:cs="宋体"/>
                <w:kern w:val="0"/>
                <w:sz w:val="24"/>
              </w:rPr>
            </w:pPr>
            <w:r>
              <w:rPr>
                <w:rFonts w:hint="eastAsia" w:ascii="宋体" w:hAnsi="宋体" w:cs="宋体"/>
                <w:kern w:val="0"/>
                <w:sz w:val="24"/>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1933" w:type="dxa"/>
            <w:vAlign w:val="center"/>
          </w:tcPr>
          <w:p>
            <w:pPr>
              <w:adjustRightInd w:val="0"/>
              <w:snapToGrid w:val="0"/>
              <w:jc w:val="center"/>
              <w:rPr>
                <w:rFonts w:cs="宋体"/>
                <w:kern w:val="0"/>
                <w:sz w:val="24"/>
              </w:rPr>
            </w:pPr>
            <w:r>
              <w:rPr>
                <w:rFonts w:hint="eastAsia" w:cs="宋体"/>
                <w:sz w:val="24"/>
              </w:rPr>
              <w:t>规划环境影响评价情况</w:t>
            </w:r>
          </w:p>
        </w:tc>
        <w:tc>
          <w:tcPr>
            <w:tcW w:w="7503" w:type="dxa"/>
            <w:gridSpan w:val="3"/>
            <w:vAlign w:val="center"/>
          </w:tcPr>
          <w:p>
            <w:pPr>
              <w:autoSpaceDE w:val="0"/>
              <w:autoSpaceDN w:val="0"/>
              <w:adjustRightInd w:val="0"/>
              <w:snapToGrid w:val="0"/>
              <w:ind w:firstLine="480" w:firstLineChars="200"/>
              <w:rPr>
                <w:rFonts w:cs="宋体"/>
                <w:kern w:val="0"/>
                <w:sz w:val="24"/>
              </w:rPr>
            </w:pPr>
            <w:r>
              <w:rPr>
                <w:rFonts w:hint="eastAsia" w:cs="宋体"/>
                <w:kern w:val="0"/>
                <w:sz w:val="24"/>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933" w:type="dxa"/>
            <w:vAlign w:val="center"/>
          </w:tcPr>
          <w:p>
            <w:pPr>
              <w:autoSpaceDE w:val="0"/>
              <w:autoSpaceDN w:val="0"/>
              <w:adjustRightInd w:val="0"/>
              <w:snapToGrid w:val="0"/>
              <w:jc w:val="center"/>
              <w:rPr>
                <w:rFonts w:cs="宋体"/>
                <w:kern w:val="0"/>
                <w:sz w:val="24"/>
              </w:rPr>
            </w:pPr>
            <w:r>
              <w:rPr>
                <w:rFonts w:hint="eastAsia" w:cs="宋体"/>
                <w:kern w:val="0"/>
                <w:sz w:val="24"/>
              </w:rPr>
              <w:t>规划及规划环境影响评价符合性分析</w:t>
            </w:r>
          </w:p>
        </w:tc>
        <w:tc>
          <w:tcPr>
            <w:tcW w:w="7503" w:type="dxa"/>
            <w:gridSpan w:val="3"/>
            <w:vAlign w:val="center"/>
          </w:tcPr>
          <w:p>
            <w:pPr>
              <w:autoSpaceDE w:val="0"/>
              <w:autoSpaceDN w:val="0"/>
              <w:adjustRightInd w:val="0"/>
              <w:snapToGrid w:val="0"/>
              <w:spacing w:line="360" w:lineRule="auto"/>
              <w:ind w:firstLine="480" w:firstLineChars="200"/>
              <w:jc w:val="left"/>
              <w:rPr>
                <w:rFonts w:ascii="宋体" w:hAnsi="宋体" w:cs="宋体"/>
                <w:sz w:val="24"/>
              </w:rPr>
            </w:pPr>
            <w:r>
              <w:rPr>
                <w:rFonts w:hint="eastAsia" w:ascii="宋体" w:hAnsi="宋体" w:cs="宋体"/>
                <w:kern w:val="0"/>
                <w:sz w:val="24"/>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33" w:type="dxa"/>
            <w:vAlign w:val="center"/>
          </w:tcPr>
          <w:p>
            <w:pPr>
              <w:autoSpaceDE w:val="0"/>
              <w:autoSpaceDN w:val="0"/>
              <w:adjustRightInd w:val="0"/>
              <w:snapToGrid w:val="0"/>
              <w:jc w:val="center"/>
              <w:rPr>
                <w:rFonts w:cs="宋体"/>
                <w:kern w:val="0"/>
                <w:sz w:val="24"/>
              </w:rPr>
            </w:pPr>
            <w:r>
              <w:rPr>
                <w:rFonts w:hint="eastAsia" w:cs="宋体"/>
                <w:kern w:val="0"/>
                <w:sz w:val="24"/>
              </w:rPr>
              <w:t>其他符合性分析</w:t>
            </w:r>
          </w:p>
        </w:tc>
        <w:tc>
          <w:tcPr>
            <w:tcW w:w="7503" w:type="dxa"/>
            <w:gridSpan w:val="3"/>
            <w:vAlign w:val="top"/>
          </w:tcPr>
          <w:p>
            <w:pPr>
              <w:widowControl/>
              <w:spacing w:line="360" w:lineRule="auto"/>
              <w:ind w:firstLine="482" w:firstLineChars="200"/>
              <w:jc w:val="left"/>
              <w:rPr>
                <w:sz w:val="24"/>
                <w:szCs w:val="32"/>
              </w:rPr>
            </w:pPr>
            <w:r>
              <w:rPr>
                <w:rFonts w:hint="eastAsia" w:ascii="宋体" w:hAnsi="宋体" w:cs="宋体"/>
                <w:b/>
                <w:bCs/>
                <w:sz w:val="24"/>
                <w:szCs w:val="32"/>
              </w:rPr>
              <w:t>1.1“三线一单”符合性分析</w:t>
            </w:r>
          </w:p>
          <w:p>
            <w:pPr>
              <w:pStyle w:val="34"/>
              <w:adjustRightInd/>
              <w:spacing w:line="360" w:lineRule="auto"/>
              <w:jc w:val="center"/>
              <w:rPr>
                <w:bCs/>
                <w:color w:val="auto"/>
                <w:sz w:val="21"/>
                <w:u w:val="single"/>
              </w:rPr>
            </w:pPr>
            <w:r>
              <w:rPr>
                <w:rFonts w:hint="eastAsia"/>
                <w:bCs/>
                <w:color w:val="auto"/>
                <w:szCs w:val="32"/>
                <w:u w:val="single"/>
              </w:rPr>
              <w:t>1-1    通化市“三线一单”生态环境分区管控的意见</w:t>
            </w:r>
          </w:p>
          <w:tbl>
            <w:tblPr>
              <w:tblStyle w:val="27"/>
              <w:tblW w:w="7283"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00"/>
              <w:gridCol w:w="4676"/>
              <w:gridCol w:w="1205"/>
              <w:gridCol w:w="60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00" w:type="dxa"/>
                  <w:tcBorders>
                    <w:tl2br w:val="nil"/>
                    <w:tr2bl w:val="nil"/>
                  </w:tcBorders>
                  <w:vAlign w:val="center"/>
                </w:tcPr>
                <w:p>
                  <w:pPr>
                    <w:autoSpaceDE w:val="0"/>
                    <w:autoSpaceDN w:val="0"/>
                    <w:adjustRightInd w:val="0"/>
                    <w:snapToGrid w:val="0"/>
                    <w:jc w:val="center"/>
                    <w:rPr>
                      <w:rFonts w:ascii="宋体" w:hAnsi="宋体" w:cs="宋体"/>
                    </w:rPr>
                  </w:pPr>
                  <w:r>
                    <w:rPr>
                      <w:rFonts w:hint="eastAsia" w:ascii="宋体" w:hAnsi="宋体" w:cs="宋体"/>
                    </w:rPr>
                    <w:t>工程类别</w:t>
                  </w:r>
                </w:p>
              </w:tc>
              <w:tc>
                <w:tcPr>
                  <w:tcW w:w="4676" w:type="dxa"/>
                  <w:tcBorders>
                    <w:tl2br w:val="nil"/>
                    <w:tr2bl w:val="nil"/>
                  </w:tcBorders>
                  <w:vAlign w:val="center"/>
                </w:tcPr>
                <w:p>
                  <w:pPr>
                    <w:autoSpaceDE w:val="0"/>
                    <w:autoSpaceDN w:val="0"/>
                    <w:adjustRightInd w:val="0"/>
                    <w:snapToGrid w:val="0"/>
                    <w:jc w:val="center"/>
                    <w:rPr>
                      <w:rFonts w:ascii="宋体" w:hAnsi="宋体" w:cs="宋体"/>
                    </w:rPr>
                  </w:pPr>
                  <w:r>
                    <w:rPr>
                      <w:rFonts w:hint="eastAsia" w:ascii="宋体" w:hAnsi="宋体" w:cs="宋体"/>
                    </w:rPr>
                    <w:t>项目具体情况</w:t>
                  </w:r>
                </w:p>
              </w:tc>
              <w:tc>
                <w:tcPr>
                  <w:tcW w:w="1205" w:type="dxa"/>
                  <w:tcBorders>
                    <w:tl2br w:val="nil"/>
                    <w:tr2bl w:val="nil"/>
                  </w:tcBorders>
                  <w:vAlign w:val="center"/>
                </w:tcPr>
                <w:p>
                  <w:pPr>
                    <w:adjustRightInd w:val="0"/>
                    <w:snapToGrid w:val="0"/>
                    <w:jc w:val="center"/>
                    <w:rPr>
                      <w:rFonts w:ascii="宋体" w:hAnsi="宋体" w:cs="宋体"/>
                    </w:rPr>
                  </w:pPr>
                  <w:r>
                    <w:rPr>
                      <w:rFonts w:hint="eastAsia"/>
                    </w:rPr>
                    <w:t>本项目</w:t>
                  </w:r>
                </w:p>
              </w:tc>
              <w:tc>
                <w:tcPr>
                  <w:tcW w:w="602" w:type="dxa"/>
                  <w:tcBorders>
                    <w:tl2br w:val="nil"/>
                    <w:tr2bl w:val="nil"/>
                  </w:tcBorders>
                  <w:vAlign w:val="center"/>
                </w:tcPr>
                <w:p>
                  <w:pPr>
                    <w:adjustRightInd w:val="0"/>
                    <w:snapToGrid w:val="0"/>
                    <w:jc w:val="center"/>
                    <w:rPr>
                      <w:rFonts w:ascii="宋体" w:hAnsi="宋体" w:cs="宋体"/>
                    </w:rPr>
                  </w:pPr>
                  <w:r>
                    <w:t>符合性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00" w:type="dxa"/>
                  <w:tcBorders>
                    <w:tl2br w:val="nil"/>
                    <w:tr2bl w:val="nil"/>
                  </w:tcBorders>
                  <w:vAlign w:val="center"/>
                </w:tcPr>
                <w:p>
                  <w:pPr>
                    <w:pStyle w:val="34"/>
                    <w:spacing w:line="240" w:lineRule="auto"/>
                    <w:jc w:val="center"/>
                    <w:rPr>
                      <w:b w:val="0"/>
                      <w:color w:val="auto"/>
                      <w:sz w:val="21"/>
                    </w:rPr>
                  </w:pPr>
                  <w:r>
                    <w:rPr>
                      <w:rFonts w:hint="eastAsia"/>
                      <w:b w:val="0"/>
                      <w:color w:val="auto"/>
                      <w:sz w:val="21"/>
                    </w:rPr>
                    <w:t>优先保护单元</w:t>
                  </w:r>
                </w:p>
              </w:tc>
              <w:tc>
                <w:tcPr>
                  <w:tcW w:w="4676" w:type="dxa"/>
                  <w:tcBorders>
                    <w:tl2br w:val="nil"/>
                    <w:tr2bl w:val="nil"/>
                  </w:tcBorders>
                  <w:vAlign w:val="top"/>
                </w:tcPr>
                <w:p>
                  <w:pPr>
                    <w:pStyle w:val="34"/>
                    <w:spacing w:line="240" w:lineRule="auto"/>
                    <w:jc w:val="both"/>
                    <w:rPr>
                      <w:b w:val="0"/>
                      <w:color w:val="auto"/>
                      <w:sz w:val="21"/>
                    </w:rPr>
                  </w:pPr>
                  <w:r>
                    <w:rPr>
                      <w:rFonts w:hint="eastAsia"/>
                      <w:b w:val="0"/>
                      <w:color w:val="auto"/>
                      <w:sz w:val="21"/>
                    </w:rPr>
                    <w:t>优先保护单元应当按照法律法规和有关规定禁止或严格限制大规模、高强度的工业和城镇开发建设。其中生态保护红线内区域严格按照法律法规和有关规定，禁止开发性、生产性建设活动，生态保护红线外各类生态功能重要区和生态敏感脆弱区、水环境优先保护区、大气环境优先保护区，按照保护对象不同属性和功能严格按照法律法规和有关规定，限制开发性、生产性建设活动。对于功能受损的优先保护单元，还应当优先开展生态保护修复活动，恢复生态系统服务功能。</w:t>
                  </w:r>
                </w:p>
              </w:tc>
              <w:tc>
                <w:tcPr>
                  <w:tcW w:w="1205" w:type="dxa"/>
                  <w:tcBorders>
                    <w:tl2br w:val="nil"/>
                    <w:tr2bl w:val="nil"/>
                  </w:tcBorders>
                  <w:vAlign w:val="center"/>
                </w:tcPr>
                <w:p>
                  <w:pPr>
                    <w:pStyle w:val="34"/>
                    <w:spacing w:line="240" w:lineRule="auto"/>
                    <w:jc w:val="center"/>
                    <w:rPr>
                      <w:b w:val="0"/>
                      <w:color w:val="auto"/>
                      <w:sz w:val="21"/>
                    </w:rPr>
                  </w:pPr>
                  <w:r>
                    <w:rPr>
                      <w:rFonts w:hint="eastAsia"/>
                      <w:b w:val="0"/>
                      <w:color w:val="auto"/>
                      <w:sz w:val="21"/>
                    </w:rPr>
                    <w:t>本项目不属于优先保护单元，为一般管控单元。</w:t>
                  </w:r>
                </w:p>
              </w:tc>
              <w:tc>
                <w:tcPr>
                  <w:tcW w:w="602" w:type="dxa"/>
                  <w:tcBorders>
                    <w:tl2br w:val="nil"/>
                    <w:tr2bl w:val="nil"/>
                  </w:tcBorders>
                  <w:vAlign w:val="center"/>
                </w:tcPr>
                <w:p>
                  <w:pPr>
                    <w:pStyle w:val="34"/>
                    <w:spacing w:line="240" w:lineRule="auto"/>
                    <w:jc w:val="center"/>
                    <w:rPr>
                      <w:b w:val="0"/>
                      <w:color w:val="auto"/>
                      <w:sz w:val="21"/>
                    </w:rPr>
                  </w:pPr>
                  <w:r>
                    <w:rPr>
                      <w:rFonts w:hint="eastAsia"/>
                      <w:b w:val="0"/>
                      <w:color w:val="auto"/>
                      <w:sz w:val="21"/>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00" w:type="dxa"/>
                  <w:tcBorders>
                    <w:tl2br w:val="nil"/>
                    <w:tr2bl w:val="nil"/>
                  </w:tcBorders>
                  <w:vAlign w:val="center"/>
                </w:tcPr>
                <w:p>
                  <w:pPr>
                    <w:pStyle w:val="34"/>
                    <w:spacing w:line="240" w:lineRule="auto"/>
                    <w:jc w:val="center"/>
                    <w:rPr>
                      <w:b w:val="0"/>
                      <w:color w:val="auto"/>
                      <w:sz w:val="21"/>
                    </w:rPr>
                  </w:pPr>
                  <w:r>
                    <w:rPr>
                      <w:rFonts w:hint="eastAsia"/>
                      <w:b w:val="0"/>
                      <w:color w:val="auto"/>
                      <w:sz w:val="21"/>
                    </w:rPr>
                    <w:t>重点管控单元</w:t>
                  </w:r>
                </w:p>
              </w:tc>
              <w:tc>
                <w:tcPr>
                  <w:tcW w:w="4676" w:type="dxa"/>
                  <w:tcBorders>
                    <w:tl2br w:val="nil"/>
                    <w:tr2bl w:val="nil"/>
                  </w:tcBorders>
                  <w:vAlign w:val="top"/>
                </w:tcPr>
                <w:p>
                  <w:pPr>
                    <w:pStyle w:val="34"/>
                    <w:spacing w:line="240" w:lineRule="auto"/>
                    <w:jc w:val="both"/>
                    <w:rPr>
                      <w:b w:val="0"/>
                      <w:color w:val="auto"/>
                      <w:sz w:val="21"/>
                    </w:rPr>
                  </w:pPr>
                  <w:r>
                    <w:rPr>
                      <w:rFonts w:hint="eastAsia"/>
                      <w:b w:val="0"/>
                      <w:color w:val="auto"/>
                      <w:sz w:val="21"/>
                    </w:rPr>
                    <w:t>重点管控单元41个，面积占比13.75%，主要包括吉林东昌经济开发区、吉林辉南经济开发区、吉林柳河经济开发区、通化国际内陆港务区、吉林通化县经济开发区、吉林二道江经济开发区、通化医药高新技术产业开发区、集安边境经济合作区和吉林集安经济开发区9个经济开发区、城镇开发边界等开发强度高、污染物排放强度大的区域，以及生态环境问题相对集中的区域。重点管控单元应当优化空间和产业布局，结合生态环境质量达标情况以及经济社会发展水平等，按照差别化的生态环境准入要求，加强污染物排放控制和环境风险防控，不断提升资源利用效率，稳步改善生态环境质量。水环境重点管控区、大气环境重点管控区和土壤污染风险重点管控区应当按照管控对象不同属性和功能严格按照法律法规和有关规定分类实施重点管控。</w:t>
                  </w:r>
                </w:p>
              </w:tc>
              <w:tc>
                <w:tcPr>
                  <w:tcW w:w="1205" w:type="dxa"/>
                  <w:tcBorders>
                    <w:tl2br w:val="nil"/>
                    <w:tr2bl w:val="nil"/>
                  </w:tcBorders>
                  <w:vAlign w:val="center"/>
                </w:tcPr>
                <w:p>
                  <w:pPr>
                    <w:pStyle w:val="34"/>
                    <w:spacing w:line="240" w:lineRule="auto"/>
                    <w:jc w:val="center"/>
                    <w:rPr>
                      <w:b w:val="0"/>
                      <w:color w:val="auto"/>
                      <w:sz w:val="21"/>
                    </w:rPr>
                  </w:pPr>
                  <w:r>
                    <w:rPr>
                      <w:rFonts w:hint="eastAsia"/>
                      <w:b w:val="0"/>
                      <w:color w:val="auto"/>
                      <w:sz w:val="21"/>
                    </w:rPr>
                    <w:t>本项目不在重点管控单元之内</w:t>
                  </w:r>
                </w:p>
              </w:tc>
              <w:tc>
                <w:tcPr>
                  <w:tcW w:w="602" w:type="dxa"/>
                  <w:tcBorders>
                    <w:tl2br w:val="nil"/>
                    <w:tr2bl w:val="nil"/>
                  </w:tcBorders>
                  <w:vAlign w:val="center"/>
                </w:tcPr>
                <w:p>
                  <w:pPr>
                    <w:pStyle w:val="34"/>
                    <w:spacing w:line="240" w:lineRule="auto"/>
                    <w:jc w:val="center"/>
                    <w:rPr>
                      <w:b w:val="0"/>
                      <w:color w:val="auto"/>
                      <w:sz w:val="21"/>
                    </w:rPr>
                  </w:pPr>
                  <w:r>
                    <w:rPr>
                      <w:rFonts w:hint="eastAsia"/>
                      <w:b w:val="0"/>
                      <w:color w:val="auto"/>
                      <w:sz w:val="21"/>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00" w:type="dxa"/>
                  <w:tcBorders>
                    <w:tl2br w:val="nil"/>
                    <w:tr2bl w:val="nil"/>
                  </w:tcBorders>
                  <w:vAlign w:val="center"/>
                </w:tcPr>
                <w:p>
                  <w:pPr>
                    <w:pStyle w:val="34"/>
                    <w:spacing w:line="240" w:lineRule="auto"/>
                    <w:jc w:val="center"/>
                    <w:rPr>
                      <w:b w:val="0"/>
                      <w:color w:val="auto"/>
                      <w:sz w:val="21"/>
                    </w:rPr>
                  </w:pPr>
                  <w:r>
                    <w:rPr>
                      <w:rFonts w:hint="eastAsia"/>
                      <w:b w:val="0"/>
                      <w:color w:val="auto"/>
                      <w:sz w:val="21"/>
                    </w:rPr>
                    <w:t>一般管控单元</w:t>
                  </w:r>
                </w:p>
              </w:tc>
              <w:tc>
                <w:tcPr>
                  <w:tcW w:w="4676" w:type="dxa"/>
                  <w:tcBorders>
                    <w:tl2br w:val="nil"/>
                    <w:tr2bl w:val="nil"/>
                  </w:tcBorders>
                  <w:vAlign w:val="top"/>
                </w:tcPr>
                <w:p>
                  <w:pPr>
                    <w:pStyle w:val="34"/>
                    <w:spacing w:line="240" w:lineRule="auto"/>
                    <w:rPr>
                      <w:b w:val="0"/>
                      <w:color w:val="auto"/>
                      <w:sz w:val="21"/>
                    </w:rPr>
                  </w:pPr>
                  <w:r>
                    <w:rPr>
                      <w:rFonts w:hint="eastAsia"/>
                      <w:b w:val="0"/>
                      <w:color w:val="auto"/>
                      <w:sz w:val="21"/>
                    </w:rPr>
                    <w:t>一般管控单元4个，面积占比20.70%，为优先保护单元、重点管控单元以外的区域。一般管控单元应当以经济社会可持续发展为导向，执行生态环境保护的基本要求。</w:t>
                  </w:r>
                </w:p>
              </w:tc>
              <w:tc>
                <w:tcPr>
                  <w:tcW w:w="1205" w:type="dxa"/>
                  <w:tcBorders>
                    <w:tl2br w:val="nil"/>
                    <w:tr2bl w:val="nil"/>
                  </w:tcBorders>
                  <w:vAlign w:val="center"/>
                </w:tcPr>
                <w:p>
                  <w:pPr>
                    <w:pStyle w:val="34"/>
                    <w:spacing w:line="240" w:lineRule="auto"/>
                    <w:jc w:val="center"/>
                    <w:rPr>
                      <w:b w:val="0"/>
                      <w:color w:val="auto"/>
                      <w:sz w:val="21"/>
                    </w:rPr>
                  </w:pPr>
                  <w:r>
                    <w:rPr>
                      <w:rFonts w:hint="eastAsia"/>
                      <w:b w:val="0"/>
                      <w:color w:val="auto"/>
                      <w:sz w:val="21"/>
                    </w:rPr>
                    <w:t>本项目在一般管控单元</w:t>
                  </w:r>
                </w:p>
              </w:tc>
              <w:tc>
                <w:tcPr>
                  <w:tcW w:w="602" w:type="dxa"/>
                  <w:tcBorders>
                    <w:tl2br w:val="nil"/>
                    <w:tr2bl w:val="nil"/>
                  </w:tcBorders>
                  <w:vAlign w:val="center"/>
                </w:tcPr>
                <w:p>
                  <w:pPr>
                    <w:pStyle w:val="34"/>
                    <w:spacing w:line="240" w:lineRule="auto"/>
                    <w:jc w:val="center"/>
                    <w:rPr>
                      <w:b w:val="0"/>
                      <w:color w:val="auto"/>
                      <w:sz w:val="21"/>
                    </w:rPr>
                  </w:pPr>
                  <w:r>
                    <w:rPr>
                      <w:rFonts w:hint="eastAsia"/>
                      <w:b w:val="0"/>
                      <w:color w:val="auto"/>
                      <w:sz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00" w:type="dxa"/>
                  <w:tcBorders>
                    <w:tl2br w:val="nil"/>
                    <w:tr2bl w:val="nil"/>
                  </w:tcBorders>
                  <w:vAlign w:val="center"/>
                </w:tcPr>
                <w:p>
                  <w:pPr>
                    <w:pStyle w:val="34"/>
                    <w:spacing w:line="240" w:lineRule="auto"/>
                    <w:jc w:val="center"/>
                    <w:rPr>
                      <w:b w:val="0"/>
                      <w:color w:val="auto"/>
                      <w:sz w:val="21"/>
                    </w:rPr>
                  </w:pPr>
                  <w:r>
                    <w:rPr>
                      <w:rFonts w:hint="eastAsia"/>
                      <w:b w:val="0"/>
                      <w:color w:val="auto"/>
                      <w:sz w:val="21"/>
                    </w:rPr>
                    <w:t>生态环境准入清单</w:t>
                  </w:r>
                </w:p>
              </w:tc>
              <w:tc>
                <w:tcPr>
                  <w:tcW w:w="4676" w:type="dxa"/>
                  <w:tcBorders>
                    <w:tl2br w:val="nil"/>
                    <w:tr2bl w:val="nil"/>
                  </w:tcBorders>
                  <w:vAlign w:val="top"/>
                </w:tcPr>
                <w:p>
                  <w:pPr>
                    <w:pStyle w:val="34"/>
                    <w:spacing w:line="240" w:lineRule="auto"/>
                    <w:rPr>
                      <w:b w:val="0"/>
                      <w:color w:val="auto"/>
                      <w:sz w:val="21"/>
                    </w:rPr>
                  </w:pPr>
                  <w:r>
                    <w:rPr>
                      <w:rFonts w:hint="eastAsia"/>
                      <w:b w:val="0"/>
                      <w:color w:val="auto"/>
                      <w:sz w:val="21"/>
                    </w:rPr>
                    <w:t>以全省生态环境分区管控体系为基础，从空间布局约束、污染物排放管控、风险管控防控、资源开发利用效率四个维度，建立“1+1+1+120”四个层级的生态环境准入清单。“1”为全省总体准入要求，“1”为松花江流域环境准入及管控要求，“1”为全市总体管控要求,“120”为各环境管控单元环境准入及管控要求。</w:t>
                  </w:r>
                </w:p>
              </w:tc>
              <w:tc>
                <w:tcPr>
                  <w:tcW w:w="1205" w:type="dxa"/>
                  <w:tcBorders>
                    <w:tl2br w:val="nil"/>
                    <w:tr2bl w:val="nil"/>
                  </w:tcBorders>
                  <w:vAlign w:val="center"/>
                </w:tcPr>
                <w:p>
                  <w:pPr>
                    <w:pStyle w:val="34"/>
                    <w:spacing w:line="240" w:lineRule="auto"/>
                    <w:jc w:val="center"/>
                    <w:rPr>
                      <w:b w:val="0"/>
                      <w:color w:val="auto"/>
                      <w:sz w:val="21"/>
                    </w:rPr>
                  </w:pPr>
                  <w:r>
                    <w:rPr>
                      <w:rFonts w:hint="eastAsia"/>
                      <w:b w:val="0"/>
                      <w:color w:val="auto"/>
                      <w:sz w:val="21"/>
                    </w:rPr>
                    <w:t>本项目属于食品加工行业，符合准入条件</w:t>
                  </w:r>
                </w:p>
              </w:tc>
              <w:tc>
                <w:tcPr>
                  <w:tcW w:w="602" w:type="dxa"/>
                  <w:tcBorders>
                    <w:tl2br w:val="nil"/>
                    <w:tr2bl w:val="nil"/>
                  </w:tcBorders>
                  <w:vAlign w:val="center"/>
                </w:tcPr>
                <w:p>
                  <w:pPr>
                    <w:pStyle w:val="34"/>
                    <w:spacing w:line="240" w:lineRule="auto"/>
                    <w:jc w:val="center"/>
                    <w:rPr>
                      <w:b w:val="0"/>
                      <w:color w:val="auto"/>
                      <w:sz w:val="21"/>
                    </w:rPr>
                  </w:pPr>
                  <w:r>
                    <w:rPr>
                      <w:rFonts w:hint="eastAsia"/>
                      <w:b w:val="0"/>
                      <w:color w:val="auto"/>
                      <w:sz w:val="21"/>
                    </w:rPr>
                    <w:t>符合</w:t>
                  </w:r>
                </w:p>
              </w:tc>
            </w:tr>
          </w:tbl>
          <w:p>
            <w:pPr>
              <w:pStyle w:val="34"/>
              <w:adjustRightInd/>
              <w:spacing w:line="360" w:lineRule="auto"/>
              <w:jc w:val="center"/>
              <w:rPr>
                <w:bCs/>
                <w:color w:val="auto"/>
                <w:sz w:val="21"/>
                <w:szCs w:val="21"/>
                <w:u w:val="single"/>
              </w:rPr>
            </w:pPr>
            <w:r>
              <w:rPr>
                <w:rFonts w:hint="eastAsia"/>
                <w:bCs/>
                <w:color w:val="auto"/>
                <w:szCs w:val="32"/>
                <w:u w:val="single"/>
              </w:rPr>
              <w:t>表 1-2   通化市生态环境准入清单</w:t>
            </w:r>
          </w:p>
          <w:tbl>
            <w:tblPr>
              <w:tblStyle w:val="27"/>
              <w:tblW w:w="7283"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83"/>
              <w:gridCol w:w="937"/>
              <w:gridCol w:w="2702"/>
              <w:gridCol w:w="1624"/>
              <w:gridCol w:w="93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83" w:type="dxa"/>
                  <w:tcBorders>
                    <w:tl2br w:val="nil"/>
                    <w:tr2bl w:val="nil"/>
                  </w:tcBorders>
                  <w:vAlign w:val="center"/>
                </w:tcPr>
                <w:p>
                  <w:pPr>
                    <w:autoSpaceDE w:val="0"/>
                    <w:autoSpaceDN w:val="0"/>
                    <w:adjustRightInd w:val="0"/>
                    <w:snapToGrid w:val="0"/>
                    <w:jc w:val="center"/>
                    <w:rPr>
                      <w:rFonts w:ascii="宋体" w:hAnsi="宋体" w:cs="宋体"/>
                      <w:b/>
                    </w:rPr>
                  </w:pPr>
                  <w:r>
                    <w:rPr>
                      <w:rFonts w:hint="eastAsia" w:ascii="宋体" w:hAnsi="宋体" w:cs="宋体"/>
                      <w:b/>
                    </w:rPr>
                    <w:t>管控类别</w:t>
                  </w:r>
                </w:p>
              </w:tc>
              <w:tc>
                <w:tcPr>
                  <w:tcW w:w="3639" w:type="dxa"/>
                  <w:gridSpan w:val="2"/>
                  <w:tcBorders>
                    <w:tl2br w:val="nil"/>
                    <w:tr2bl w:val="nil"/>
                  </w:tcBorders>
                  <w:vAlign w:val="center"/>
                </w:tcPr>
                <w:p>
                  <w:pPr>
                    <w:autoSpaceDE w:val="0"/>
                    <w:autoSpaceDN w:val="0"/>
                    <w:adjustRightInd w:val="0"/>
                    <w:snapToGrid w:val="0"/>
                    <w:jc w:val="center"/>
                    <w:rPr>
                      <w:rFonts w:ascii="宋体" w:hAnsi="宋体" w:cs="宋体"/>
                      <w:b/>
                    </w:rPr>
                  </w:pPr>
                  <w:r>
                    <w:rPr>
                      <w:rFonts w:hint="eastAsia" w:ascii="宋体" w:hAnsi="宋体" w:cs="宋体"/>
                      <w:b/>
                    </w:rPr>
                    <w:t>管控要求</w:t>
                  </w:r>
                </w:p>
              </w:tc>
              <w:tc>
                <w:tcPr>
                  <w:tcW w:w="1624" w:type="dxa"/>
                  <w:tcBorders>
                    <w:tl2br w:val="nil"/>
                    <w:tr2bl w:val="nil"/>
                  </w:tcBorders>
                  <w:vAlign w:val="center"/>
                </w:tcPr>
                <w:p>
                  <w:pPr>
                    <w:autoSpaceDE w:val="0"/>
                    <w:autoSpaceDN w:val="0"/>
                    <w:adjustRightInd w:val="0"/>
                    <w:snapToGrid w:val="0"/>
                    <w:jc w:val="center"/>
                    <w:rPr>
                      <w:rFonts w:ascii="宋体" w:hAnsi="宋体" w:cs="宋体"/>
                      <w:b/>
                    </w:rPr>
                  </w:pPr>
                  <w:r>
                    <w:rPr>
                      <w:rFonts w:hint="eastAsia" w:ascii="宋体" w:hAnsi="宋体" w:cs="宋体"/>
                      <w:b/>
                    </w:rPr>
                    <w:t>本项目</w:t>
                  </w:r>
                </w:p>
              </w:tc>
              <w:tc>
                <w:tcPr>
                  <w:tcW w:w="937" w:type="dxa"/>
                  <w:tcBorders>
                    <w:tl2br w:val="nil"/>
                    <w:tr2bl w:val="nil"/>
                  </w:tcBorders>
                  <w:vAlign w:val="center"/>
                </w:tcPr>
                <w:p>
                  <w:pPr>
                    <w:autoSpaceDE w:val="0"/>
                    <w:autoSpaceDN w:val="0"/>
                    <w:adjustRightInd w:val="0"/>
                    <w:snapToGrid w:val="0"/>
                    <w:jc w:val="center"/>
                    <w:rPr>
                      <w:rFonts w:ascii="宋体" w:hAnsi="宋体" w:cs="宋体"/>
                      <w:b/>
                    </w:rPr>
                  </w:pPr>
                  <w:r>
                    <w:rPr>
                      <w:rFonts w:hint="eastAsia" w:ascii="宋体" w:hAnsi="宋体" w:cs="宋体"/>
                      <w:b/>
                    </w:rPr>
                    <w:t>符合性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83" w:type="dxa"/>
                  <w:vMerge w:val="restart"/>
                  <w:tcBorders>
                    <w:tl2br w:val="nil"/>
                    <w:tr2bl w:val="nil"/>
                  </w:tcBorders>
                  <w:vAlign w:val="center"/>
                </w:tcPr>
                <w:p>
                  <w:pPr>
                    <w:autoSpaceDE w:val="0"/>
                    <w:autoSpaceDN w:val="0"/>
                    <w:adjustRightInd w:val="0"/>
                    <w:snapToGrid w:val="0"/>
                    <w:jc w:val="center"/>
                    <w:rPr>
                      <w:rFonts w:ascii="宋体" w:hAnsi="宋体" w:cs="宋体"/>
                      <w:bCs/>
                    </w:rPr>
                  </w:pPr>
                  <w:r>
                    <w:rPr>
                      <w:rFonts w:hint="eastAsia" w:ascii="宋体" w:hAnsi="宋体" w:cs="宋体"/>
                      <w:bCs/>
                    </w:rPr>
                    <w:t>空间布局约束</w:t>
                  </w:r>
                </w:p>
              </w:tc>
              <w:tc>
                <w:tcPr>
                  <w:tcW w:w="3639" w:type="dxa"/>
                  <w:gridSpan w:val="2"/>
                  <w:tcBorders>
                    <w:tl2br w:val="nil"/>
                    <w:tr2bl w:val="nil"/>
                  </w:tcBorders>
                  <w:vAlign w:val="center"/>
                </w:tcPr>
                <w:p>
                  <w:pPr>
                    <w:widowControl/>
                    <w:rPr>
                      <w:rFonts w:ascii="宋体" w:hAnsi="宋体" w:cs="宋体"/>
                      <w:bCs/>
                    </w:rPr>
                  </w:pPr>
                  <w:r>
                    <w:rPr>
                      <w:rFonts w:hint="eastAsia" w:ascii="宋体" w:hAnsi="宋体" w:cs="宋体"/>
                    </w:rPr>
                    <w:t>严格落实《中华人民共和国自然保护区条例（2017 年修订）》《水产种质资源保护区管理暂行办法（2016 年修正本）》《国家湿地公园管理办法》《国家级森林公园管理办法》《湿地保护管理规程》《中华人民共和国草原法》要求。</w:t>
                  </w:r>
                </w:p>
              </w:tc>
              <w:tc>
                <w:tcPr>
                  <w:tcW w:w="1624" w:type="dxa"/>
                  <w:tcBorders>
                    <w:tl2br w:val="nil"/>
                    <w:tr2bl w:val="nil"/>
                  </w:tcBorders>
                  <w:vAlign w:val="center"/>
                </w:tcPr>
                <w:p>
                  <w:pPr>
                    <w:autoSpaceDE w:val="0"/>
                    <w:autoSpaceDN w:val="0"/>
                    <w:adjustRightInd w:val="0"/>
                    <w:snapToGrid w:val="0"/>
                    <w:jc w:val="center"/>
                    <w:rPr>
                      <w:rFonts w:ascii="宋体" w:hAnsi="宋体" w:cs="宋体"/>
                      <w:bCs/>
                    </w:rPr>
                  </w:pPr>
                  <w:r>
                    <w:rPr>
                      <w:rFonts w:hint="eastAsia" w:ascii="宋体" w:hAnsi="宋体" w:cs="宋体"/>
                      <w:bCs/>
                    </w:rPr>
                    <w:t>本项目不涉及自然保护区、水产资源保护区、湿地、草原、国家级森林公园</w:t>
                  </w:r>
                </w:p>
              </w:tc>
              <w:tc>
                <w:tcPr>
                  <w:tcW w:w="937" w:type="dxa"/>
                  <w:tcBorders>
                    <w:tl2br w:val="nil"/>
                    <w:tr2bl w:val="nil"/>
                  </w:tcBorders>
                  <w:vAlign w:val="center"/>
                </w:tcPr>
                <w:p>
                  <w:pPr>
                    <w:autoSpaceDE w:val="0"/>
                    <w:autoSpaceDN w:val="0"/>
                    <w:adjustRightInd w:val="0"/>
                    <w:snapToGrid w:val="0"/>
                    <w:jc w:val="center"/>
                    <w:rPr>
                      <w:rFonts w:ascii="宋体" w:hAnsi="宋体" w:cs="宋体"/>
                      <w:bCs/>
                    </w:rPr>
                  </w:pPr>
                  <w:r>
                    <w:rPr>
                      <w:rFonts w:hint="eastAsia" w:ascii="宋体" w:hAnsi="宋体" w:cs="宋体"/>
                      <w:bCs/>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83" w:type="dxa"/>
                  <w:vMerge w:val="continue"/>
                  <w:tcBorders>
                    <w:tl2br w:val="nil"/>
                    <w:tr2bl w:val="nil"/>
                  </w:tcBorders>
                  <w:vAlign w:val="center"/>
                </w:tcPr>
                <w:p>
                  <w:pPr>
                    <w:autoSpaceDE w:val="0"/>
                    <w:autoSpaceDN w:val="0"/>
                    <w:adjustRightInd w:val="0"/>
                    <w:snapToGrid w:val="0"/>
                    <w:jc w:val="center"/>
                    <w:rPr>
                      <w:rFonts w:ascii="宋体" w:hAnsi="宋体" w:cs="宋体"/>
                      <w:bCs/>
                    </w:rPr>
                  </w:pPr>
                </w:p>
              </w:tc>
              <w:tc>
                <w:tcPr>
                  <w:tcW w:w="3639" w:type="dxa"/>
                  <w:gridSpan w:val="2"/>
                  <w:tcBorders>
                    <w:tl2br w:val="nil"/>
                    <w:tr2bl w:val="nil"/>
                  </w:tcBorders>
                  <w:vAlign w:val="center"/>
                </w:tcPr>
                <w:p>
                  <w:pPr>
                    <w:widowControl/>
                    <w:jc w:val="left"/>
                    <w:rPr>
                      <w:rFonts w:ascii="宋体" w:hAnsi="宋体" w:cs="宋体"/>
                      <w:bCs/>
                    </w:rPr>
                  </w:pPr>
                  <w:r>
                    <w:rPr>
                      <w:rFonts w:hint="eastAsia" w:ascii="宋体" w:hAnsi="宋体" w:cs="宋体"/>
                    </w:rPr>
                    <w:t>禁止在二十度以上陡坡地开垦种植农作物。种植人参开垦坡度不得超过二十五度。在二十度以上陡坡地种植经济林的，应当科学选择树种，合理确定规模，并采取鱼鳞坑、竹节梯田等措施整地造林，防止造成水土流失。</w:t>
                  </w:r>
                </w:p>
              </w:tc>
              <w:tc>
                <w:tcPr>
                  <w:tcW w:w="1624" w:type="dxa"/>
                  <w:tcBorders>
                    <w:tl2br w:val="nil"/>
                    <w:tr2bl w:val="nil"/>
                  </w:tcBorders>
                  <w:vAlign w:val="center"/>
                </w:tcPr>
                <w:p>
                  <w:pPr>
                    <w:autoSpaceDE w:val="0"/>
                    <w:autoSpaceDN w:val="0"/>
                    <w:adjustRightInd w:val="0"/>
                    <w:snapToGrid w:val="0"/>
                    <w:jc w:val="center"/>
                    <w:rPr>
                      <w:rFonts w:ascii="宋体" w:hAnsi="宋体" w:cs="宋体"/>
                      <w:bCs/>
                    </w:rPr>
                  </w:pPr>
                  <w:r>
                    <w:rPr>
                      <w:rFonts w:hint="eastAsia" w:ascii="宋体" w:hAnsi="宋体" w:cs="宋体"/>
                      <w:bCs/>
                    </w:rPr>
                    <w:t>本项目不涉及开垦种植</w:t>
                  </w:r>
                </w:p>
              </w:tc>
              <w:tc>
                <w:tcPr>
                  <w:tcW w:w="937" w:type="dxa"/>
                  <w:tcBorders>
                    <w:tl2br w:val="nil"/>
                    <w:tr2bl w:val="nil"/>
                  </w:tcBorders>
                  <w:vAlign w:val="center"/>
                </w:tcPr>
                <w:p>
                  <w:pPr>
                    <w:autoSpaceDE w:val="0"/>
                    <w:autoSpaceDN w:val="0"/>
                    <w:adjustRightInd w:val="0"/>
                    <w:snapToGrid w:val="0"/>
                    <w:jc w:val="center"/>
                    <w:rPr>
                      <w:rFonts w:ascii="宋体" w:hAnsi="宋体" w:cs="宋体"/>
                      <w:bCs/>
                    </w:rPr>
                  </w:pPr>
                  <w:r>
                    <w:rPr>
                      <w:rFonts w:hint="eastAsia" w:ascii="宋体" w:hAnsi="宋体" w:cs="宋体"/>
                      <w:bCs/>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83" w:type="dxa"/>
                  <w:vMerge w:val="continue"/>
                  <w:tcBorders>
                    <w:tl2br w:val="nil"/>
                    <w:tr2bl w:val="nil"/>
                  </w:tcBorders>
                  <w:vAlign w:val="center"/>
                </w:tcPr>
                <w:p>
                  <w:pPr>
                    <w:autoSpaceDE w:val="0"/>
                    <w:autoSpaceDN w:val="0"/>
                    <w:adjustRightInd w:val="0"/>
                    <w:snapToGrid w:val="0"/>
                    <w:jc w:val="center"/>
                    <w:rPr>
                      <w:rFonts w:ascii="宋体" w:hAnsi="宋体" w:cs="宋体"/>
                      <w:bCs/>
                    </w:rPr>
                  </w:pPr>
                </w:p>
              </w:tc>
              <w:tc>
                <w:tcPr>
                  <w:tcW w:w="3639" w:type="dxa"/>
                  <w:gridSpan w:val="2"/>
                  <w:tcBorders>
                    <w:tl2br w:val="nil"/>
                    <w:tr2bl w:val="nil"/>
                  </w:tcBorders>
                  <w:vAlign w:val="center"/>
                </w:tcPr>
                <w:p>
                  <w:pPr>
                    <w:widowControl/>
                    <w:jc w:val="left"/>
                    <w:rPr>
                      <w:rFonts w:ascii="宋体" w:hAnsi="宋体" w:cs="宋体"/>
                      <w:bCs/>
                    </w:rPr>
                  </w:pPr>
                  <w:r>
                    <w:rPr>
                      <w:rFonts w:hint="eastAsia" w:ascii="宋体" w:hAnsi="宋体" w:cs="宋体"/>
                    </w:rPr>
                    <w:t>全面启动城镇人口密集区和环境敏感区域的危险化学品生产企业搬迁入园或转产关闭工作。</w:t>
                  </w:r>
                </w:p>
              </w:tc>
              <w:tc>
                <w:tcPr>
                  <w:tcW w:w="1624" w:type="dxa"/>
                  <w:tcBorders>
                    <w:tl2br w:val="nil"/>
                    <w:tr2bl w:val="nil"/>
                  </w:tcBorders>
                  <w:vAlign w:val="center"/>
                </w:tcPr>
                <w:p>
                  <w:pPr>
                    <w:autoSpaceDE w:val="0"/>
                    <w:autoSpaceDN w:val="0"/>
                    <w:adjustRightInd w:val="0"/>
                    <w:snapToGrid w:val="0"/>
                    <w:jc w:val="center"/>
                    <w:rPr>
                      <w:rFonts w:ascii="宋体" w:hAnsi="宋体" w:cs="宋体"/>
                      <w:bCs/>
                    </w:rPr>
                  </w:pPr>
                  <w:r>
                    <w:rPr>
                      <w:rFonts w:hint="eastAsia" w:ascii="宋体" w:hAnsi="宋体" w:cs="宋体"/>
                      <w:bCs/>
                    </w:rPr>
                    <w:t>本项目为蔬菜加工目项，不涉及危化品生产。</w:t>
                  </w:r>
                </w:p>
              </w:tc>
              <w:tc>
                <w:tcPr>
                  <w:tcW w:w="937" w:type="dxa"/>
                  <w:tcBorders>
                    <w:tl2br w:val="nil"/>
                    <w:tr2bl w:val="nil"/>
                  </w:tcBorders>
                  <w:vAlign w:val="center"/>
                </w:tcPr>
                <w:p>
                  <w:pPr>
                    <w:autoSpaceDE w:val="0"/>
                    <w:autoSpaceDN w:val="0"/>
                    <w:adjustRightInd w:val="0"/>
                    <w:snapToGrid w:val="0"/>
                    <w:jc w:val="center"/>
                    <w:rPr>
                      <w:rFonts w:ascii="宋体" w:hAnsi="宋体" w:cs="宋体"/>
                      <w:bCs/>
                    </w:rPr>
                  </w:pPr>
                  <w:r>
                    <w:rPr>
                      <w:rFonts w:hint="eastAsia" w:ascii="宋体" w:hAnsi="宋体" w:cs="宋体"/>
                      <w:bCs/>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83" w:type="dxa"/>
                  <w:vMerge w:val="restart"/>
                  <w:tcBorders>
                    <w:tl2br w:val="nil"/>
                    <w:tr2bl w:val="nil"/>
                  </w:tcBorders>
                  <w:vAlign w:val="center"/>
                </w:tcPr>
                <w:p>
                  <w:pPr>
                    <w:autoSpaceDE w:val="0"/>
                    <w:autoSpaceDN w:val="0"/>
                    <w:adjustRightInd w:val="0"/>
                    <w:snapToGrid w:val="0"/>
                    <w:jc w:val="center"/>
                    <w:rPr>
                      <w:rFonts w:ascii="宋体" w:hAnsi="宋体" w:cs="宋体"/>
                      <w:bCs/>
                    </w:rPr>
                  </w:pPr>
                  <w:r>
                    <w:rPr>
                      <w:rFonts w:hint="eastAsia" w:ascii="宋体" w:hAnsi="宋体" w:cs="宋体"/>
                      <w:bCs/>
                    </w:rPr>
                    <w:t>污染物排放管控</w:t>
                  </w:r>
                </w:p>
              </w:tc>
              <w:tc>
                <w:tcPr>
                  <w:tcW w:w="937" w:type="dxa"/>
                  <w:vMerge w:val="restart"/>
                  <w:tcBorders>
                    <w:tl2br w:val="nil"/>
                    <w:tr2bl w:val="nil"/>
                  </w:tcBorders>
                  <w:vAlign w:val="center"/>
                </w:tcPr>
                <w:p>
                  <w:pPr>
                    <w:widowControl/>
                    <w:jc w:val="center"/>
                    <w:rPr>
                      <w:rFonts w:ascii="宋体" w:hAnsi="宋体" w:cs="宋体"/>
                      <w:bCs/>
                    </w:rPr>
                  </w:pPr>
                  <w:r>
                    <w:rPr>
                      <w:rFonts w:hint="eastAsia" w:ascii="宋体" w:hAnsi="宋体" w:cs="宋体"/>
                    </w:rPr>
                    <w:t>环境质量目标</w:t>
                  </w:r>
                </w:p>
              </w:tc>
              <w:tc>
                <w:tcPr>
                  <w:tcW w:w="2702" w:type="dxa"/>
                  <w:tcBorders>
                    <w:tl2br w:val="nil"/>
                    <w:tr2bl w:val="nil"/>
                  </w:tcBorders>
                  <w:vAlign w:val="center"/>
                </w:tcPr>
                <w:p>
                  <w:pPr>
                    <w:widowControl/>
                    <w:jc w:val="left"/>
                    <w:rPr>
                      <w:rFonts w:ascii="宋体" w:hAnsi="宋体" w:cs="宋体"/>
                      <w:bCs/>
                    </w:rPr>
                  </w:pPr>
                  <w:r>
                    <w:rPr>
                      <w:rFonts w:hint="eastAsia" w:ascii="宋体" w:hAnsi="宋体" w:cs="宋体"/>
                    </w:rPr>
                    <w:t>2025年和2035年，全市PM2.5年均浓度达到35微克/立方米，并保持稳定。2025年和2035年，全市优良天数比率按照省级下达指标确定。</w:t>
                  </w:r>
                </w:p>
              </w:tc>
              <w:tc>
                <w:tcPr>
                  <w:tcW w:w="1624" w:type="dxa"/>
                  <w:tcBorders>
                    <w:tl2br w:val="nil"/>
                    <w:tr2bl w:val="nil"/>
                  </w:tcBorders>
                  <w:vAlign w:val="center"/>
                </w:tcPr>
                <w:p>
                  <w:pPr>
                    <w:autoSpaceDE w:val="0"/>
                    <w:autoSpaceDN w:val="0"/>
                    <w:adjustRightInd w:val="0"/>
                    <w:snapToGrid w:val="0"/>
                    <w:jc w:val="center"/>
                    <w:rPr>
                      <w:rFonts w:ascii="宋体" w:hAnsi="宋体" w:cs="宋体"/>
                      <w:bCs/>
                    </w:rPr>
                  </w:pPr>
                  <w:r>
                    <w:rPr>
                      <w:rFonts w:hint="eastAsia" w:ascii="宋体" w:hAnsi="宋体" w:cs="宋体"/>
                      <w:bCs/>
                      <w:u w:val="single"/>
                    </w:rPr>
                    <w:t>本项目新建一台生物质锅炉用于生产线蒸汽灭菌。锅炉烟气经布袋除尘器处理后通过30m高排气筒排放。经预测，烟气中，颗粒物、二氧化硫、氮氧化物浓度可达标排放。</w:t>
                  </w:r>
                </w:p>
              </w:tc>
              <w:tc>
                <w:tcPr>
                  <w:tcW w:w="937" w:type="dxa"/>
                  <w:tcBorders>
                    <w:tl2br w:val="nil"/>
                    <w:tr2bl w:val="nil"/>
                  </w:tcBorders>
                  <w:vAlign w:val="center"/>
                </w:tcPr>
                <w:p>
                  <w:pPr>
                    <w:autoSpaceDE w:val="0"/>
                    <w:autoSpaceDN w:val="0"/>
                    <w:adjustRightInd w:val="0"/>
                    <w:snapToGrid w:val="0"/>
                    <w:jc w:val="center"/>
                    <w:rPr>
                      <w:rFonts w:ascii="宋体" w:hAnsi="宋体" w:cs="宋体"/>
                      <w:bCs/>
                    </w:rPr>
                  </w:pPr>
                  <w:r>
                    <w:rPr>
                      <w:rFonts w:hint="eastAsia" w:ascii="宋体" w:hAnsi="宋体" w:cs="宋体"/>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83" w:type="dxa"/>
                  <w:vMerge w:val="continue"/>
                  <w:tcBorders>
                    <w:tl2br w:val="nil"/>
                    <w:tr2bl w:val="nil"/>
                  </w:tcBorders>
                  <w:vAlign w:val="center"/>
                </w:tcPr>
                <w:p>
                  <w:pPr>
                    <w:autoSpaceDE w:val="0"/>
                    <w:autoSpaceDN w:val="0"/>
                    <w:adjustRightInd w:val="0"/>
                    <w:snapToGrid w:val="0"/>
                    <w:jc w:val="center"/>
                    <w:rPr>
                      <w:rFonts w:ascii="宋体" w:hAnsi="宋体" w:cs="宋体"/>
                      <w:bCs/>
                    </w:rPr>
                  </w:pPr>
                </w:p>
              </w:tc>
              <w:tc>
                <w:tcPr>
                  <w:tcW w:w="937" w:type="dxa"/>
                  <w:vMerge w:val="continue"/>
                  <w:tcBorders>
                    <w:tl2br w:val="nil"/>
                    <w:tr2bl w:val="nil"/>
                  </w:tcBorders>
                  <w:vAlign w:val="center"/>
                </w:tcPr>
                <w:p>
                  <w:pPr>
                    <w:autoSpaceDE w:val="0"/>
                    <w:autoSpaceDN w:val="0"/>
                    <w:adjustRightInd w:val="0"/>
                    <w:snapToGrid w:val="0"/>
                    <w:jc w:val="center"/>
                    <w:rPr>
                      <w:rFonts w:ascii="宋体" w:hAnsi="宋体" w:cs="宋体"/>
                      <w:bCs/>
                    </w:rPr>
                  </w:pPr>
                </w:p>
              </w:tc>
              <w:tc>
                <w:tcPr>
                  <w:tcW w:w="2702" w:type="dxa"/>
                  <w:tcBorders>
                    <w:tl2br w:val="nil"/>
                    <w:tr2bl w:val="nil"/>
                  </w:tcBorders>
                  <w:vAlign w:val="center"/>
                </w:tcPr>
                <w:p>
                  <w:pPr>
                    <w:widowControl/>
                    <w:rPr>
                      <w:rFonts w:ascii="宋体" w:hAnsi="宋体" w:cs="宋体"/>
                      <w:bCs/>
                    </w:rPr>
                  </w:pPr>
                  <w:r>
                    <w:rPr>
                      <w:rFonts w:hint="eastAsia" w:ascii="宋体" w:hAnsi="宋体" w:cs="宋体"/>
                    </w:rPr>
                    <w:t>到2025年，受污染耕地安全利用率达到 92%以上，污染地块安全利用率达到92%以上。到2035年，受污染耕地安全利用率达到97%以上，污染地块安全利用率达到97%以上。</w:t>
                  </w:r>
                </w:p>
              </w:tc>
              <w:tc>
                <w:tcPr>
                  <w:tcW w:w="1624" w:type="dxa"/>
                  <w:tcBorders>
                    <w:tl2br w:val="nil"/>
                    <w:tr2bl w:val="nil"/>
                  </w:tcBorders>
                  <w:vAlign w:val="center"/>
                </w:tcPr>
                <w:p>
                  <w:pPr>
                    <w:autoSpaceDE w:val="0"/>
                    <w:autoSpaceDN w:val="0"/>
                    <w:adjustRightInd w:val="0"/>
                    <w:snapToGrid w:val="0"/>
                    <w:jc w:val="center"/>
                    <w:rPr>
                      <w:rFonts w:ascii="宋体" w:hAnsi="宋体" w:cs="宋体"/>
                      <w:bCs/>
                    </w:rPr>
                  </w:pPr>
                  <w:r>
                    <w:rPr>
                      <w:rFonts w:hint="eastAsia" w:ascii="宋体" w:hAnsi="宋体" w:cs="宋体"/>
                      <w:bCs/>
                      <w:u w:val="single"/>
                    </w:rPr>
                    <w:t>本项目周围无受污染耕地，本项目为蔬菜加工行业，废水不外排；危废间按照要求做好防渗无污染土壤风险。</w:t>
                  </w:r>
                </w:p>
              </w:tc>
              <w:tc>
                <w:tcPr>
                  <w:tcW w:w="937" w:type="dxa"/>
                  <w:tcBorders>
                    <w:tl2br w:val="nil"/>
                    <w:tr2bl w:val="nil"/>
                  </w:tcBorders>
                  <w:vAlign w:val="center"/>
                </w:tcPr>
                <w:p>
                  <w:pPr>
                    <w:autoSpaceDE w:val="0"/>
                    <w:autoSpaceDN w:val="0"/>
                    <w:adjustRightInd w:val="0"/>
                    <w:snapToGrid w:val="0"/>
                    <w:jc w:val="center"/>
                    <w:rPr>
                      <w:rFonts w:ascii="宋体" w:hAnsi="宋体" w:cs="宋体"/>
                      <w:bCs/>
                    </w:rPr>
                  </w:pPr>
                  <w:r>
                    <w:rPr>
                      <w:rFonts w:hint="eastAsia" w:ascii="宋体" w:hAnsi="宋体" w:cs="宋体"/>
                      <w:bCs/>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83" w:type="dxa"/>
                  <w:vMerge w:val="continue"/>
                  <w:tcBorders>
                    <w:tl2br w:val="nil"/>
                    <w:tr2bl w:val="nil"/>
                  </w:tcBorders>
                  <w:vAlign w:val="center"/>
                </w:tcPr>
                <w:p>
                  <w:pPr>
                    <w:autoSpaceDE w:val="0"/>
                    <w:autoSpaceDN w:val="0"/>
                    <w:adjustRightInd w:val="0"/>
                    <w:snapToGrid w:val="0"/>
                    <w:jc w:val="center"/>
                    <w:rPr>
                      <w:rFonts w:ascii="宋体" w:hAnsi="宋体" w:cs="宋体"/>
                      <w:bCs/>
                    </w:rPr>
                  </w:pPr>
                </w:p>
              </w:tc>
              <w:tc>
                <w:tcPr>
                  <w:tcW w:w="937" w:type="dxa"/>
                  <w:tcBorders>
                    <w:tl2br w:val="nil"/>
                    <w:tr2bl w:val="nil"/>
                  </w:tcBorders>
                  <w:vAlign w:val="center"/>
                </w:tcPr>
                <w:p>
                  <w:pPr>
                    <w:autoSpaceDE w:val="0"/>
                    <w:autoSpaceDN w:val="0"/>
                    <w:adjustRightInd w:val="0"/>
                    <w:snapToGrid w:val="0"/>
                    <w:jc w:val="center"/>
                    <w:rPr>
                      <w:rFonts w:ascii="宋体" w:hAnsi="宋体" w:cs="宋体"/>
                      <w:bCs/>
                    </w:rPr>
                  </w:pPr>
                  <w:r>
                    <w:rPr>
                      <w:rFonts w:hint="eastAsia" w:ascii="宋体" w:hAnsi="宋体" w:cs="宋体"/>
                      <w:bCs/>
                    </w:rPr>
                    <w:t>污染物控制要求</w:t>
                  </w:r>
                </w:p>
                <w:p>
                  <w:pPr>
                    <w:autoSpaceDE w:val="0"/>
                    <w:autoSpaceDN w:val="0"/>
                    <w:adjustRightInd w:val="0"/>
                    <w:snapToGrid w:val="0"/>
                    <w:jc w:val="center"/>
                    <w:rPr>
                      <w:rFonts w:ascii="宋体" w:hAnsi="宋体" w:cs="宋体"/>
                      <w:bCs/>
                    </w:rPr>
                  </w:pPr>
                </w:p>
              </w:tc>
              <w:tc>
                <w:tcPr>
                  <w:tcW w:w="2702" w:type="dxa"/>
                  <w:tcBorders>
                    <w:tl2br w:val="nil"/>
                    <w:tr2bl w:val="nil"/>
                  </w:tcBorders>
                  <w:vAlign w:val="center"/>
                </w:tcPr>
                <w:p>
                  <w:pPr>
                    <w:widowControl/>
                    <w:rPr>
                      <w:rFonts w:ascii="宋体" w:hAnsi="宋体" w:cs="宋体"/>
                      <w:bCs/>
                    </w:rPr>
                  </w:pPr>
                  <w:r>
                    <w:rPr>
                      <w:rFonts w:hint="eastAsia" w:ascii="宋体" w:hAnsi="宋体" w:cs="宋体"/>
                    </w:rPr>
                    <w:t>建立较为完善的城市污水管网。新建区严格执行雨、污分流制；新建污水管道应沿规划路设置，并以排水线路短、埋深浅、管网密度均匀合理为原则。</w:t>
                  </w:r>
                </w:p>
              </w:tc>
              <w:tc>
                <w:tcPr>
                  <w:tcW w:w="1624" w:type="dxa"/>
                  <w:tcBorders>
                    <w:tl2br w:val="nil"/>
                    <w:tr2bl w:val="nil"/>
                  </w:tcBorders>
                  <w:vAlign w:val="center"/>
                </w:tcPr>
                <w:p>
                  <w:pPr>
                    <w:autoSpaceDE w:val="0"/>
                    <w:autoSpaceDN w:val="0"/>
                    <w:adjustRightInd w:val="0"/>
                    <w:snapToGrid w:val="0"/>
                    <w:jc w:val="center"/>
                    <w:rPr>
                      <w:rFonts w:ascii="宋体" w:hAnsi="宋体" w:cs="宋体"/>
                      <w:bCs/>
                    </w:rPr>
                  </w:pPr>
                  <w:r>
                    <w:rPr>
                      <w:rFonts w:hint="eastAsia" w:ascii="宋体" w:hAnsi="宋体" w:cs="宋体"/>
                      <w:u w:val="single"/>
                    </w:rPr>
                    <w:t>项</w:t>
                  </w:r>
                  <w:r>
                    <w:rPr>
                      <w:rFonts w:hint="eastAsia" w:ascii="宋体" w:hAnsi="宋体" w:cs="宋体"/>
                      <w:szCs w:val="21"/>
                      <w:u w:val="single"/>
                    </w:rPr>
                    <w:t>目生活污水排入防渗旱厕，</w:t>
                  </w:r>
                  <w:r>
                    <w:rPr>
                      <w:rFonts w:hint="eastAsia"/>
                      <w:kern w:val="0"/>
                      <w:szCs w:val="21"/>
                      <w:u w:val="single"/>
                    </w:rPr>
                    <w:t>定期清掏做农肥</w:t>
                  </w:r>
                  <w:r>
                    <w:rPr>
                      <w:rFonts w:hint="eastAsia" w:ascii="宋体" w:hAnsi="宋体" w:cs="宋体"/>
                      <w:szCs w:val="21"/>
                      <w:u w:val="single"/>
                    </w:rPr>
                    <w:t>。</w:t>
                  </w:r>
                  <w:r>
                    <w:rPr>
                      <w:rFonts w:hint="eastAsia" w:ascii="宋体" w:hAnsi="宋体" w:cs="宋体"/>
                      <w:iCs/>
                      <w:szCs w:val="21"/>
                      <w:u w:val="single"/>
                    </w:rPr>
                    <w:t>地面清洁</w:t>
                  </w:r>
                  <w:r>
                    <w:rPr>
                      <w:rFonts w:hint="eastAsia" w:ascii="宋体" w:hAnsi="宋体" w:cs="宋体"/>
                      <w:szCs w:val="21"/>
                      <w:u w:val="single"/>
                    </w:rPr>
                    <w:t>废水</w:t>
                  </w:r>
                  <w:r>
                    <w:rPr>
                      <w:rFonts w:hint="eastAsia" w:ascii="宋体" w:hAnsi="宋体" w:cs="宋体"/>
                      <w:u w:val="single"/>
                    </w:rPr>
                    <w:t>全部消耗，高温灭菌废水循环利用不外排，设备清洗废水、浸泡废水排入自建沉淀池，定期</w:t>
                  </w:r>
                  <w:r>
                    <w:rPr>
                      <w:rFonts w:hint="eastAsia" w:ascii="宋体" w:hAnsi="宋体" w:cs="宋体"/>
                      <w:iCs/>
                      <w:u w:val="single"/>
                    </w:rPr>
                    <w:t>外运养殖场</w:t>
                  </w:r>
                  <w:r>
                    <w:rPr>
                      <w:rFonts w:hint="eastAsia" w:ascii="宋体" w:hAnsi="宋体" w:cs="宋体"/>
                      <w:u w:val="single"/>
                    </w:rPr>
                    <w:t>，不外排。锅炉排水用于园区降尘及灰渣调湿；</w:t>
                  </w:r>
                </w:p>
              </w:tc>
              <w:tc>
                <w:tcPr>
                  <w:tcW w:w="937" w:type="dxa"/>
                  <w:tcBorders>
                    <w:tl2br w:val="nil"/>
                    <w:tr2bl w:val="nil"/>
                  </w:tcBorders>
                  <w:vAlign w:val="center"/>
                </w:tcPr>
                <w:p>
                  <w:pPr>
                    <w:autoSpaceDE w:val="0"/>
                    <w:autoSpaceDN w:val="0"/>
                    <w:adjustRightInd w:val="0"/>
                    <w:snapToGrid w:val="0"/>
                    <w:jc w:val="center"/>
                    <w:rPr>
                      <w:rFonts w:ascii="宋体" w:hAnsi="宋体" w:cs="宋体"/>
                      <w:bCs/>
                    </w:rPr>
                  </w:pPr>
                  <w:r>
                    <w:rPr>
                      <w:rFonts w:hint="eastAsia" w:ascii="宋体" w:hAnsi="宋体" w:cs="宋体"/>
                      <w:bCs/>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83" w:type="dxa"/>
                  <w:tcBorders>
                    <w:tl2br w:val="nil"/>
                    <w:tr2bl w:val="nil"/>
                  </w:tcBorders>
                  <w:vAlign w:val="center"/>
                </w:tcPr>
                <w:p>
                  <w:pPr>
                    <w:autoSpaceDE w:val="0"/>
                    <w:autoSpaceDN w:val="0"/>
                    <w:adjustRightInd w:val="0"/>
                    <w:snapToGrid w:val="0"/>
                    <w:jc w:val="center"/>
                    <w:rPr>
                      <w:rFonts w:ascii="宋体" w:hAnsi="宋体" w:cs="宋体"/>
                      <w:bCs/>
                    </w:rPr>
                  </w:pPr>
                  <w:r>
                    <w:rPr>
                      <w:rFonts w:hint="eastAsia" w:ascii="宋体" w:hAnsi="宋体" w:cs="宋体"/>
                      <w:bCs/>
                    </w:rPr>
                    <w:t>环境风险防控</w:t>
                  </w:r>
                </w:p>
              </w:tc>
              <w:tc>
                <w:tcPr>
                  <w:tcW w:w="3639" w:type="dxa"/>
                  <w:gridSpan w:val="2"/>
                  <w:tcBorders>
                    <w:tl2br w:val="nil"/>
                    <w:tr2bl w:val="nil"/>
                  </w:tcBorders>
                  <w:vAlign w:val="center"/>
                </w:tcPr>
                <w:p>
                  <w:pPr>
                    <w:widowControl/>
                    <w:jc w:val="left"/>
                    <w:rPr>
                      <w:rFonts w:ascii="宋体" w:hAnsi="宋体" w:cs="宋体"/>
                      <w:bCs/>
                    </w:rPr>
                  </w:pPr>
                  <w:r>
                    <w:rPr>
                      <w:rFonts w:hint="eastAsia" w:ascii="宋体" w:hAnsi="宋体" w:cs="宋体"/>
                    </w:rPr>
                    <w:t>强化危险废物风险防控。强化固体废物全过程监管，加强环境风险评估，提升环境风险预警、排查、应对水平。</w:t>
                  </w:r>
                </w:p>
              </w:tc>
              <w:tc>
                <w:tcPr>
                  <w:tcW w:w="1624" w:type="dxa"/>
                  <w:tcBorders>
                    <w:tl2br w:val="nil"/>
                    <w:tr2bl w:val="nil"/>
                  </w:tcBorders>
                  <w:vAlign w:val="center"/>
                </w:tcPr>
                <w:p>
                  <w:pPr>
                    <w:autoSpaceDE w:val="0"/>
                    <w:autoSpaceDN w:val="0"/>
                    <w:adjustRightInd w:val="0"/>
                    <w:snapToGrid w:val="0"/>
                    <w:jc w:val="center"/>
                    <w:rPr>
                      <w:rFonts w:ascii="宋体" w:hAnsi="宋体" w:cs="宋体"/>
                      <w:bCs/>
                    </w:rPr>
                  </w:pPr>
                  <w:r>
                    <w:rPr>
                      <w:rFonts w:hint="eastAsia" w:ascii="宋体" w:hAnsi="宋体" w:cs="宋体"/>
                      <w:bCs/>
                      <w:u w:val="single"/>
                    </w:rPr>
                    <w:t>本项目为蔬菜加工行业，产生的危废暂存于新建的危废间内，定期委托有资质的单位妥善处置</w:t>
                  </w:r>
                </w:p>
              </w:tc>
              <w:tc>
                <w:tcPr>
                  <w:tcW w:w="937" w:type="dxa"/>
                  <w:tcBorders>
                    <w:tl2br w:val="nil"/>
                    <w:tr2bl w:val="nil"/>
                  </w:tcBorders>
                  <w:vAlign w:val="center"/>
                </w:tcPr>
                <w:p>
                  <w:pPr>
                    <w:autoSpaceDE w:val="0"/>
                    <w:autoSpaceDN w:val="0"/>
                    <w:adjustRightInd w:val="0"/>
                    <w:snapToGrid w:val="0"/>
                    <w:jc w:val="center"/>
                    <w:rPr>
                      <w:rFonts w:ascii="宋体" w:hAnsi="宋体" w:cs="宋体"/>
                      <w:bCs/>
                    </w:rPr>
                  </w:pPr>
                  <w:r>
                    <w:rPr>
                      <w:rFonts w:hint="eastAsia" w:ascii="宋体" w:hAnsi="宋体" w:cs="宋体"/>
                      <w:bCs/>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83" w:type="dxa"/>
                  <w:vMerge w:val="restart"/>
                  <w:tcBorders>
                    <w:tl2br w:val="nil"/>
                    <w:tr2bl w:val="nil"/>
                  </w:tcBorders>
                  <w:vAlign w:val="center"/>
                </w:tcPr>
                <w:p>
                  <w:pPr>
                    <w:widowControl/>
                    <w:jc w:val="center"/>
                    <w:rPr>
                      <w:rFonts w:ascii="宋体" w:hAnsi="宋体" w:cs="宋体"/>
                      <w:bCs/>
                    </w:rPr>
                  </w:pPr>
                  <w:r>
                    <w:rPr>
                      <w:rFonts w:hint="eastAsia" w:ascii="宋体" w:hAnsi="宋体" w:cs="宋体"/>
                    </w:rPr>
                    <w:t>资源利用要求</w:t>
                  </w:r>
                </w:p>
              </w:tc>
              <w:tc>
                <w:tcPr>
                  <w:tcW w:w="937" w:type="dxa"/>
                  <w:tcBorders>
                    <w:tl2br w:val="nil"/>
                    <w:tr2bl w:val="nil"/>
                  </w:tcBorders>
                  <w:vAlign w:val="center"/>
                </w:tcPr>
                <w:p>
                  <w:pPr>
                    <w:widowControl/>
                    <w:jc w:val="center"/>
                    <w:rPr>
                      <w:rFonts w:ascii="宋体" w:hAnsi="宋体" w:cs="宋体"/>
                      <w:bCs/>
                    </w:rPr>
                  </w:pPr>
                  <w:r>
                    <w:rPr>
                      <w:rFonts w:hint="eastAsia" w:ascii="宋体" w:hAnsi="宋体" w:cs="宋体"/>
                    </w:rPr>
                    <w:t>水资源</w:t>
                  </w:r>
                </w:p>
              </w:tc>
              <w:tc>
                <w:tcPr>
                  <w:tcW w:w="2702" w:type="dxa"/>
                  <w:tcBorders>
                    <w:tl2br w:val="nil"/>
                    <w:tr2bl w:val="nil"/>
                  </w:tcBorders>
                  <w:vAlign w:val="center"/>
                </w:tcPr>
                <w:p>
                  <w:pPr>
                    <w:widowControl/>
                    <w:rPr>
                      <w:rFonts w:ascii="宋体" w:hAnsi="宋体" w:cs="宋体"/>
                      <w:bCs/>
                    </w:rPr>
                  </w:pPr>
                  <w:r>
                    <w:rPr>
                      <w:rFonts w:hint="eastAsia" w:ascii="宋体" w:hAnsi="宋体" w:cs="宋体"/>
                    </w:rPr>
                    <w:t>2025年，水资源管理控制指标为10.0亿m³；2035年，水资源管理控制指标为10.2亿m³。</w:t>
                  </w:r>
                </w:p>
              </w:tc>
              <w:tc>
                <w:tcPr>
                  <w:tcW w:w="1624" w:type="dxa"/>
                  <w:vMerge w:val="restart"/>
                  <w:tcBorders>
                    <w:tl2br w:val="nil"/>
                    <w:tr2bl w:val="nil"/>
                  </w:tcBorders>
                  <w:vAlign w:val="center"/>
                </w:tcPr>
                <w:p>
                  <w:pPr>
                    <w:autoSpaceDE w:val="0"/>
                    <w:autoSpaceDN w:val="0"/>
                    <w:adjustRightInd w:val="0"/>
                    <w:snapToGrid w:val="0"/>
                    <w:jc w:val="center"/>
                    <w:rPr>
                      <w:rFonts w:ascii="宋体" w:hAnsi="宋体" w:cs="宋体"/>
                      <w:bCs/>
                    </w:rPr>
                  </w:pPr>
                  <w:r>
                    <w:rPr>
                      <w:rFonts w:hint="eastAsia" w:ascii="宋体" w:hAnsi="宋体" w:cs="宋体"/>
                      <w:bCs/>
                    </w:rPr>
                    <w:t>本项目为蔬菜加工行业，新建一座厂房，新建一座锅炉房，仓库及办公室利用现有建筑，能源消耗量小，水资源消耗量小。不新增占地。</w:t>
                  </w:r>
                </w:p>
              </w:tc>
              <w:tc>
                <w:tcPr>
                  <w:tcW w:w="937" w:type="dxa"/>
                  <w:vMerge w:val="restart"/>
                  <w:tcBorders>
                    <w:tl2br w:val="nil"/>
                    <w:tr2bl w:val="nil"/>
                  </w:tcBorders>
                  <w:vAlign w:val="center"/>
                </w:tcPr>
                <w:p>
                  <w:pPr>
                    <w:autoSpaceDE w:val="0"/>
                    <w:autoSpaceDN w:val="0"/>
                    <w:adjustRightInd w:val="0"/>
                    <w:snapToGrid w:val="0"/>
                    <w:jc w:val="center"/>
                    <w:rPr>
                      <w:rFonts w:ascii="宋体" w:hAnsi="宋体" w:cs="宋体"/>
                      <w:bCs/>
                    </w:rPr>
                  </w:pPr>
                  <w:r>
                    <w:rPr>
                      <w:rFonts w:hint="eastAsia" w:ascii="宋体" w:hAnsi="宋体" w:cs="宋体"/>
                      <w:bCs/>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83" w:type="dxa"/>
                  <w:vMerge w:val="continue"/>
                  <w:tcBorders>
                    <w:tl2br w:val="nil"/>
                    <w:tr2bl w:val="nil"/>
                  </w:tcBorders>
                  <w:vAlign w:val="center"/>
                </w:tcPr>
                <w:p>
                  <w:pPr>
                    <w:autoSpaceDE w:val="0"/>
                    <w:autoSpaceDN w:val="0"/>
                    <w:adjustRightInd w:val="0"/>
                    <w:snapToGrid w:val="0"/>
                    <w:jc w:val="center"/>
                    <w:rPr>
                      <w:rFonts w:ascii="宋体" w:hAnsi="宋体" w:cs="宋体"/>
                      <w:bCs/>
                      <w:i/>
                      <w:iCs/>
                      <w:u w:val="single"/>
                    </w:rPr>
                  </w:pPr>
                </w:p>
              </w:tc>
              <w:tc>
                <w:tcPr>
                  <w:tcW w:w="937" w:type="dxa"/>
                  <w:tcBorders>
                    <w:tl2br w:val="nil"/>
                    <w:tr2bl w:val="nil"/>
                  </w:tcBorders>
                  <w:vAlign w:val="center"/>
                </w:tcPr>
                <w:p>
                  <w:pPr>
                    <w:widowControl/>
                    <w:jc w:val="center"/>
                    <w:rPr>
                      <w:rFonts w:ascii="宋体" w:hAnsi="宋体" w:cs="宋体"/>
                      <w:bCs/>
                    </w:rPr>
                  </w:pPr>
                  <w:r>
                    <w:rPr>
                      <w:rFonts w:hint="eastAsia" w:ascii="宋体" w:hAnsi="宋体" w:cs="宋体"/>
                    </w:rPr>
                    <w:t>能源</w:t>
                  </w:r>
                </w:p>
              </w:tc>
              <w:tc>
                <w:tcPr>
                  <w:tcW w:w="2702" w:type="dxa"/>
                  <w:tcBorders>
                    <w:tl2br w:val="nil"/>
                    <w:tr2bl w:val="nil"/>
                  </w:tcBorders>
                  <w:vAlign w:val="center"/>
                </w:tcPr>
                <w:p>
                  <w:pPr>
                    <w:widowControl/>
                    <w:jc w:val="left"/>
                    <w:rPr>
                      <w:rFonts w:ascii="宋体" w:hAnsi="宋体" w:cs="宋体"/>
                      <w:bCs/>
                    </w:rPr>
                  </w:pPr>
                  <w:r>
                    <w:rPr>
                      <w:rFonts w:hint="eastAsia" w:ascii="宋体" w:hAnsi="宋体" w:cs="宋体"/>
                    </w:rPr>
                    <w:t>2025年，能源消费总量指标按照全省下达指标确定。</w:t>
                  </w:r>
                </w:p>
              </w:tc>
              <w:tc>
                <w:tcPr>
                  <w:tcW w:w="1624" w:type="dxa"/>
                  <w:vMerge w:val="continue"/>
                  <w:tcBorders>
                    <w:tl2br w:val="nil"/>
                    <w:tr2bl w:val="nil"/>
                  </w:tcBorders>
                  <w:vAlign w:val="center"/>
                </w:tcPr>
                <w:p>
                  <w:pPr>
                    <w:autoSpaceDE w:val="0"/>
                    <w:autoSpaceDN w:val="0"/>
                    <w:adjustRightInd w:val="0"/>
                    <w:snapToGrid w:val="0"/>
                    <w:jc w:val="center"/>
                    <w:rPr>
                      <w:rFonts w:ascii="宋体" w:hAnsi="宋体" w:cs="宋体"/>
                      <w:bCs/>
                      <w:i/>
                      <w:iCs/>
                      <w:u w:val="single"/>
                    </w:rPr>
                  </w:pPr>
                </w:p>
              </w:tc>
              <w:tc>
                <w:tcPr>
                  <w:tcW w:w="937" w:type="dxa"/>
                  <w:vMerge w:val="continue"/>
                  <w:tcBorders>
                    <w:tl2br w:val="nil"/>
                    <w:tr2bl w:val="nil"/>
                  </w:tcBorders>
                  <w:vAlign w:val="center"/>
                </w:tcPr>
                <w:p>
                  <w:pPr>
                    <w:autoSpaceDE w:val="0"/>
                    <w:autoSpaceDN w:val="0"/>
                    <w:adjustRightInd w:val="0"/>
                    <w:snapToGrid w:val="0"/>
                    <w:jc w:val="center"/>
                    <w:rPr>
                      <w:rFonts w:ascii="宋体" w:hAnsi="宋体" w:cs="宋体"/>
                      <w:bCs/>
                      <w:i/>
                      <w:iCs/>
                      <w:u w:val="singl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83" w:type="dxa"/>
                  <w:vMerge w:val="continue"/>
                  <w:tcBorders>
                    <w:tl2br w:val="nil"/>
                    <w:tr2bl w:val="nil"/>
                  </w:tcBorders>
                  <w:vAlign w:val="center"/>
                </w:tcPr>
                <w:p>
                  <w:pPr>
                    <w:autoSpaceDE w:val="0"/>
                    <w:autoSpaceDN w:val="0"/>
                    <w:adjustRightInd w:val="0"/>
                    <w:snapToGrid w:val="0"/>
                    <w:jc w:val="center"/>
                    <w:rPr>
                      <w:rFonts w:ascii="宋体" w:hAnsi="宋体" w:cs="宋体"/>
                      <w:bCs/>
                      <w:i/>
                      <w:iCs/>
                      <w:u w:val="single"/>
                    </w:rPr>
                  </w:pPr>
                </w:p>
              </w:tc>
              <w:tc>
                <w:tcPr>
                  <w:tcW w:w="937" w:type="dxa"/>
                  <w:tcBorders>
                    <w:tl2br w:val="nil"/>
                    <w:tr2bl w:val="nil"/>
                  </w:tcBorders>
                  <w:vAlign w:val="center"/>
                </w:tcPr>
                <w:p>
                  <w:pPr>
                    <w:widowControl/>
                    <w:jc w:val="center"/>
                    <w:rPr>
                      <w:rFonts w:ascii="宋体" w:hAnsi="宋体" w:cs="宋体"/>
                      <w:bCs/>
                    </w:rPr>
                  </w:pPr>
                  <w:r>
                    <w:rPr>
                      <w:rFonts w:hint="eastAsia" w:ascii="宋体" w:hAnsi="宋体" w:cs="宋体"/>
                    </w:rPr>
                    <w:t>土地资源</w:t>
                  </w:r>
                </w:p>
              </w:tc>
              <w:tc>
                <w:tcPr>
                  <w:tcW w:w="2702" w:type="dxa"/>
                  <w:tcBorders>
                    <w:tl2br w:val="nil"/>
                    <w:tr2bl w:val="nil"/>
                  </w:tcBorders>
                  <w:vAlign w:val="center"/>
                </w:tcPr>
                <w:p>
                  <w:pPr>
                    <w:widowControl/>
                    <w:jc w:val="left"/>
                    <w:rPr>
                      <w:rFonts w:ascii="宋体" w:hAnsi="宋体" w:cs="宋体"/>
                    </w:rPr>
                  </w:pPr>
                  <w:r>
                    <w:rPr>
                      <w:rFonts w:hint="eastAsia" w:ascii="宋体" w:hAnsi="宋体" w:cs="宋体"/>
                    </w:rPr>
                    <w:t>2025 年，耕地保有量23.54万公顷，基本农田保护面积17.54万公顷，建设用地总规模5.37万公顷，城乡建设用地规模3.83万公顷。</w:t>
                  </w:r>
                </w:p>
                <w:p>
                  <w:pPr>
                    <w:autoSpaceDE w:val="0"/>
                    <w:autoSpaceDN w:val="0"/>
                    <w:adjustRightInd w:val="0"/>
                    <w:snapToGrid w:val="0"/>
                    <w:jc w:val="center"/>
                    <w:rPr>
                      <w:rFonts w:ascii="宋体" w:hAnsi="宋体" w:cs="宋体"/>
                      <w:bCs/>
                    </w:rPr>
                  </w:pPr>
                </w:p>
              </w:tc>
              <w:tc>
                <w:tcPr>
                  <w:tcW w:w="1624" w:type="dxa"/>
                  <w:vMerge w:val="continue"/>
                  <w:tcBorders>
                    <w:tl2br w:val="nil"/>
                    <w:tr2bl w:val="nil"/>
                  </w:tcBorders>
                  <w:vAlign w:val="center"/>
                </w:tcPr>
                <w:p>
                  <w:pPr>
                    <w:autoSpaceDE w:val="0"/>
                    <w:autoSpaceDN w:val="0"/>
                    <w:adjustRightInd w:val="0"/>
                    <w:snapToGrid w:val="0"/>
                    <w:jc w:val="center"/>
                    <w:rPr>
                      <w:rFonts w:ascii="宋体" w:hAnsi="宋体" w:cs="宋体"/>
                      <w:bCs/>
                      <w:i/>
                      <w:iCs/>
                      <w:u w:val="single"/>
                    </w:rPr>
                  </w:pPr>
                </w:p>
              </w:tc>
              <w:tc>
                <w:tcPr>
                  <w:tcW w:w="937" w:type="dxa"/>
                  <w:vMerge w:val="continue"/>
                  <w:tcBorders>
                    <w:tl2br w:val="nil"/>
                    <w:tr2bl w:val="nil"/>
                  </w:tcBorders>
                  <w:vAlign w:val="center"/>
                </w:tcPr>
                <w:p>
                  <w:pPr>
                    <w:autoSpaceDE w:val="0"/>
                    <w:autoSpaceDN w:val="0"/>
                    <w:adjustRightInd w:val="0"/>
                    <w:snapToGrid w:val="0"/>
                    <w:jc w:val="center"/>
                    <w:rPr>
                      <w:rFonts w:ascii="宋体" w:hAnsi="宋体" w:cs="宋体"/>
                      <w:bCs/>
                      <w:i/>
                      <w:iCs/>
                      <w:u w:val="single"/>
                    </w:rPr>
                  </w:pPr>
                </w:p>
              </w:tc>
            </w:tr>
          </w:tbl>
          <w:p>
            <w:pPr>
              <w:autoSpaceDE w:val="0"/>
              <w:autoSpaceDN w:val="0"/>
              <w:adjustRightInd w:val="0"/>
              <w:snapToGrid w:val="0"/>
              <w:spacing w:line="360" w:lineRule="auto"/>
              <w:ind w:firstLine="480" w:firstLineChars="200"/>
              <w:rPr>
                <w:rFonts w:ascii="宋体" w:hAnsi="宋体" w:cs="宋体"/>
                <w:color w:val="000000"/>
                <w:spacing w:val="2"/>
                <w:sz w:val="24"/>
              </w:rPr>
            </w:pPr>
            <w:r>
              <w:rPr>
                <w:rFonts w:hint="eastAsia"/>
                <w:sz w:val="24"/>
              </w:rPr>
              <w:t>通过对吉林省生态环境分区管控公共端应用平台查询</w:t>
            </w:r>
            <w:r>
              <w:rPr>
                <w:rFonts w:hint="eastAsia" w:ascii="宋体" w:hAnsi="宋体" w:cs="宋体"/>
                <w:color w:val="000000"/>
                <w:sz w:val="24"/>
              </w:rPr>
              <w:t>，本项目区属于一般管控单元，</w:t>
            </w:r>
            <w:r>
              <w:rPr>
                <w:rFonts w:hint="eastAsia" w:ascii="宋体" w:hAnsi="宋体" w:cs="宋体"/>
                <w:sz w:val="24"/>
              </w:rPr>
              <w:t>环境管控单元名称为ZH22052430001，管控单元分类为</w:t>
            </w:r>
            <w:r>
              <w:rPr>
                <w:rFonts w:hint="eastAsia" w:ascii="宋体" w:hAnsi="宋体" w:cs="宋体"/>
                <w:color w:val="000000"/>
                <w:kern w:val="0"/>
                <w:sz w:val="24"/>
              </w:rPr>
              <w:t>柳河县一般管控区，</w:t>
            </w:r>
            <w:r>
              <w:rPr>
                <w:rFonts w:hint="eastAsia"/>
                <w:sz w:val="24"/>
              </w:rPr>
              <w:t>平台查询结果详见附图1</w:t>
            </w:r>
            <w:r>
              <w:rPr>
                <w:rFonts w:hint="eastAsia" w:ascii="宋体" w:hAnsi="宋体" w:cs="宋体"/>
                <w:color w:val="000000"/>
                <w:sz w:val="24"/>
              </w:rPr>
              <w:t>。</w:t>
            </w:r>
            <w:r>
              <w:rPr>
                <w:rFonts w:hint="eastAsia" w:ascii="宋体" w:hAnsi="宋体" w:cs="宋体"/>
                <w:color w:val="000000"/>
                <w:spacing w:val="2"/>
                <w:sz w:val="24"/>
              </w:rPr>
              <w:t>一般管控单元应当</w:t>
            </w:r>
            <w:r>
              <w:rPr>
                <w:rFonts w:hint="eastAsia" w:ascii="宋体" w:hAnsi="宋体" w:cs="宋体"/>
                <w:color w:val="000000"/>
                <w:sz w:val="24"/>
              </w:rPr>
              <w:t>以经济社会可持续发展为导向，</w:t>
            </w:r>
            <w:r>
              <w:rPr>
                <w:rFonts w:hint="eastAsia" w:ascii="宋体" w:hAnsi="宋体" w:cs="宋体"/>
                <w:color w:val="000000"/>
                <w:spacing w:val="2"/>
                <w:sz w:val="24"/>
              </w:rPr>
              <w:t>执行生态环境保护的基</w:t>
            </w:r>
            <w:r>
              <w:rPr>
                <w:rFonts w:hint="eastAsia" w:ascii="宋体" w:hAnsi="宋体" w:cs="宋体"/>
                <w:color w:val="000000"/>
                <w:sz w:val="24"/>
              </w:rPr>
              <w:t>本要求。</w:t>
            </w:r>
          </w:p>
          <w:p>
            <w:pPr>
              <w:pStyle w:val="2"/>
              <w:spacing w:before="0" w:after="0" w:line="360" w:lineRule="auto"/>
              <w:ind w:firstLine="480" w:firstLineChars="200"/>
              <w:rPr>
                <w:rFonts w:ascii="宋体" w:hAnsi="宋体" w:cs="宋体"/>
                <w:sz w:val="24"/>
                <w:szCs w:val="24"/>
              </w:rPr>
            </w:pPr>
            <w:r>
              <w:rPr>
                <w:rFonts w:hint="eastAsia" w:ascii="宋体" w:hAnsi="宋体" w:cs="宋体"/>
                <w:sz w:val="24"/>
                <w:szCs w:val="24"/>
              </w:rPr>
              <w:t>本项目位于</w:t>
            </w:r>
            <w:r>
              <w:rPr>
                <w:rFonts w:ascii="宋体" w:hAnsi="宋体" w:cs="宋体"/>
                <w:spacing w:val="1"/>
                <w:sz w:val="24"/>
                <w:szCs w:val="24"/>
              </w:rPr>
              <w:t>吉林省柳河县</w:t>
            </w:r>
            <w:r>
              <w:rPr>
                <w:rFonts w:hint="eastAsia" w:ascii="宋体" w:hAnsi="宋体" w:cs="宋体"/>
                <w:spacing w:val="1"/>
                <w:sz w:val="24"/>
                <w:szCs w:val="24"/>
              </w:rPr>
              <w:t>时家店乡</w:t>
            </w:r>
            <w:r>
              <w:rPr>
                <w:rFonts w:hint="eastAsia" w:ascii="宋体" w:hAnsi="宋体" w:cs="宋体"/>
                <w:sz w:val="24"/>
                <w:szCs w:val="24"/>
              </w:rPr>
              <w:t>，根据通化市生态环境准入清单-吉林柳河县一般管控区生态环境准入清单，符合性分析如下：</w:t>
            </w:r>
          </w:p>
          <w:p>
            <w:pPr>
              <w:pStyle w:val="34"/>
              <w:adjustRightInd/>
              <w:spacing w:line="360" w:lineRule="auto"/>
              <w:jc w:val="center"/>
              <w:rPr>
                <w:bCs/>
                <w:color w:val="auto"/>
                <w:szCs w:val="32"/>
                <w:u w:val="single"/>
              </w:rPr>
            </w:pPr>
            <w:r>
              <w:rPr>
                <w:rFonts w:hint="eastAsia"/>
                <w:bCs/>
                <w:color w:val="auto"/>
                <w:szCs w:val="32"/>
                <w:u w:val="single"/>
              </w:rPr>
              <w:t>表1-3 柳河县生态环境准入清单</w:t>
            </w:r>
          </w:p>
          <w:tbl>
            <w:tblPr>
              <w:tblStyle w:val="27"/>
              <w:tblW w:w="7283"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51"/>
              <w:gridCol w:w="1023"/>
              <w:gridCol w:w="832"/>
              <w:gridCol w:w="874"/>
              <w:gridCol w:w="290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651" w:type="dxa"/>
                  <w:vAlign w:val="center"/>
                </w:tcPr>
                <w:p>
                  <w:pPr>
                    <w:pStyle w:val="81"/>
                    <w:widowControl w:val="0"/>
                    <w:spacing w:line="240" w:lineRule="auto"/>
                    <w:ind w:firstLine="0" w:firstLineChars="0"/>
                    <w:jc w:val="center"/>
                    <w:rPr>
                      <w:rFonts w:cs="Times New Roman"/>
                      <w:sz w:val="21"/>
                      <w:szCs w:val="21"/>
                    </w:rPr>
                  </w:pPr>
                  <w:r>
                    <w:rPr>
                      <w:rFonts w:hint="eastAsia" w:cs="Times New Roman"/>
                      <w:sz w:val="21"/>
                      <w:szCs w:val="21"/>
                    </w:rPr>
                    <w:t>环境管控单元编号</w:t>
                  </w:r>
                </w:p>
              </w:tc>
              <w:tc>
                <w:tcPr>
                  <w:tcW w:w="1023" w:type="dxa"/>
                  <w:vAlign w:val="center"/>
                </w:tcPr>
                <w:p>
                  <w:pPr>
                    <w:pStyle w:val="81"/>
                    <w:widowControl w:val="0"/>
                    <w:spacing w:line="240" w:lineRule="auto"/>
                    <w:ind w:firstLine="0" w:firstLineChars="0"/>
                    <w:jc w:val="center"/>
                    <w:rPr>
                      <w:rFonts w:cs="Times New Roman"/>
                      <w:sz w:val="21"/>
                      <w:szCs w:val="21"/>
                    </w:rPr>
                  </w:pPr>
                  <w:r>
                    <w:rPr>
                      <w:rFonts w:hint="eastAsia" w:cs="Times New Roman"/>
                      <w:sz w:val="21"/>
                      <w:szCs w:val="21"/>
                    </w:rPr>
                    <w:t>环境管控单元名称</w:t>
                  </w:r>
                </w:p>
              </w:tc>
              <w:tc>
                <w:tcPr>
                  <w:tcW w:w="832" w:type="dxa"/>
                  <w:vAlign w:val="center"/>
                </w:tcPr>
                <w:p>
                  <w:pPr>
                    <w:pStyle w:val="81"/>
                    <w:widowControl w:val="0"/>
                    <w:spacing w:line="240" w:lineRule="auto"/>
                    <w:ind w:firstLine="0" w:firstLineChars="0"/>
                    <w:jc w:val="center"/>
                    <w:rPr>
                      <w:rFonts w:cs="Times New Roman"/>
                      <w:sz w:val="21"/>
                      <w:szCs w:val="21"/>
                    </w:rPr>
                  </w:pPr>
                  <w:r>
                    <w:rPr>
                      <w:rFonts w:hint="eastAsia" w:cs="Times New Roman"/>
                      <w:sz w:val="21"/>
                      <w:szCs w:val="21"/>
                    </w:rPr>
                    <w:t>管控单元分类</w:t>
                  </w:r>
                </w:p>
              </w:tc>
              <w:tc>
                <w:tcPr>
                  <w:tcW w:w="874" w:type="dxa"/>
                  <w:vAlign w:val="center"/>
                </w:tcPr>
                <w:p>
                  <w:pPr>
                    <w:pStyle w:val="81"/>
                    <w:widowControl w:val="0"/>
                    <w:spacing w:line="240" w:lineRule="auto"/>
                    <w:ind w:firstLine="0" w:firstLineChars="0"/>
                    <w:jc w:val="center"/>
                    <w:rPr>
                      <w:rFonts w:cs="Times New Roman"/>
                      <w:sz w:val="21"/>
                      <w:szCs w:val="21"/>
                    </w:rPr>
                  </w:pPr>
                  <w:r>
                    <w:rPr>
                      <w:rFonts w:hint="eastAsia" w:cs="Times New Roman"/>
                      <w:sz w:val="21"/>
                      <w:szCs w:val="21"/>
                    </w:rPr>
                    <w:t>管控类型</w:t>
                  </w:r>
                </w:p>
              </w:tc>
              <w:tc>
                <w:tcPr>
                  <w:tcW w:w="2903" w:type="dxa"/>
                  <w:vAlign w:val="center"/>
                </w:tcPr>
                <w:p>
                  <w:pPr>
                    <w:pStyle w:val="81"/>
                    <w:widowControl w:val="0"/>
                    <w:spacing w:line="240" w:lineRule="auto"/>
                    <w:ind w:firstLine="0" w:firstLineChars="0"/>
                    <w:jc w:val="center"/>
                    <w:rPr>
                      <w:rFonts w:cs="Times New Roman"/>
                      <w:sz w:val="21"/>
                      <w:szCs w:val="21"/>
                    </w:rPr>
                  </w:pPr>
                  <w:r>
                    <w:rPr>
                      <w:rFonts w:hint="eastAsia" w:cs="Times New Roman"/>
                      <w:sz w:val="21"/>
                      <w:szCs w:val="21"/>
                    </w:rPr>
                    <w:t>管控要求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651" w:type="dxa"/>
                  <w:vAlign w:val="center"/>
                </w:tcPr>
                <w:p>
                  <w:pPr>
                    <w:pStyle w:val="81"/>
                    <w:widowControl w:val="0"/>
                    <w:spacing w:line="240" w:lineRule="auto"/>
                    <w:ind w:firstLine="0" w:firstLineChars="0"/>
                    <w:jc w:val="center"/>
                    <w:rPr>
                      <w:rFonts w:cs="Times New Roman"/>
                      <w:sz w:val="21"/>
                      <w:szCs w:val="21"/>
                    </w:rPr>
                  </w:pPr>
                  <w:r>
                    <w:rPr>
                      <w:rFonts w:hint="eastAsia" w:cs="Times New Roman"/>
                      <w:sz w:val="21"/>
                      <w:szCs w:val="21"/>
                    </w:rPr>
                    <w:t>ZH22052430001</w:t>
                  </w:r>
                </w:p>
              </w:tc>
              <w:tc>
                <w:tcPr>
                  <w:tcW w:w="1023" w:type="dxa"/>
                  <w:vAlign w:val="center"/>
                </w:tcPr>
                <w:p>
                  <w:pPr>
                    <w:pStyle w:val="81"/>
                    <w:widowControl w:val="0"/>
                    <w:spacing w:line="240" w:lineRule="auto"/>
                    <w:ind w:firstLine="0" w:firstLineChars="0"/>
                    <w:jc w:val="center"/>
                    <w:rPr>
                      <w:rFonts w:cs="Times New Roman"/>
                      <w:sz w:val="21"/>
                      <w:szCs w:val="21"/>
                    </w:rPr>
                  </w:pPr>
                  <w:r>
                    <w:rPr>
                      <w:rFonts w:hint="eastAsia" w:cs="Times New Roman"/>
                      <w:sz w:val="21"/>
                      <w:szCs w:val="21"/>
                    </w:rPr>
                    <w:t>柳河县一般管控区</w:t>
                  </w:r>
                </w:p>
              </w:tc>
              <w:tc>
                <w:tcPr>
                  <w:tcW w:w="832" w:type="dxa"/>
                  <w:vAlign w:val="center"/>
                </w:tcPr>
                <w:p>
                  <w:pPr>
                    <w:pStyle w:val="81"/>
                    <w:widowControl w:val="0"/>
                    <w:spacing w:line="240" w:lineRule="auto"/>
                    <w:ind w:firstLine="0" w:firstLineChars="0"/>
                    <w:jc w:val="center"/>
                    <w:rPr>
                      <w:rFonts w:cs="Times New Roman"/>
                      <w:sz w:val="21"/>
                      <w:szCs w:val="21"/>
                    </w:rPr>
                  </w:pPr>
                  <w:r>
                    <w:rPr>
                      <w:rFonts w:hint="eastAsia" w:cs="Times New Roman"/>
                      <w:sz w:val="21"/>
                      <w:szCs w:val="21"/>
                    </w:rPr>
                    <w:t>3-一般管控</w:t>
                  </w:r>
                </w:p>
              </w:tc>
              <w:tc>
                <w:tcPr>
                  <w:tcW w:w="874" w:type="dxa"/>
                  <w:vAlign w:val="center"/>
                </w:tcPr>
                <w:p>
                  <w:pPr>
                    <w:pStyle w:val="81"/>
                    <w:widowControl w:val="0"/>
                    <w:spacing w:line="240" w:lineRule="auto"/>
                    <w:ind w:firstLine="0" w:firstLineChars="0"/>
                    <w:jc w:val="center"/>
                    <w:rPr>
                      <w:rFonts w:cs="Times New Roman"/>
                      <w:sz w:val="21"/>
                      <w:szCs w:val="21"/>
                    </w:rPr>
                  </w:pPr>
                  <w:r>
                    <w:rPr>
                      <w:rFonts w:hint="eastAsia" w:cs="Times New Roman"/>
                      <w:sz w:val="21"/>
                      <w:szCs w:val="21"/>
                    </w:rPr>
                    <w:t>污染物排放</w:t>
                  </w:r>
                </w:p>
              </w:tc>
              <w:tc>
                <w:tcPr>
                  <w:tcW w:w="2903" w:type="dxa"/>
                  <w:vAlign w:val="center"/>
                </w:tcPr>
                <w:p>
                  <w:pPr>
                    <w:pStyle w:val="24"/>
                    <w:spacing w:beforeAutospacing="0" w:afterAutospacing="0"/>
                    <w:rPr>
                      <w:sz w:val="21"/>
                      <w:szCs w:val="21"/>
                    </w:rPr>
                  </w:pPr>
                  <w:r>
                    <w:rPr>
                      <w:rFonts w:hint="eastAsia" w:ascii="Times New Roman" w:hAnsi="Times New Roman"/>
                      <w:sz w:val="21"/>
                      <w:szCs w:val="21"/>
                    </w:rPr>
                    <w:t>贯彻实施国家与吉林省大气、水污染相关各项标准，深化重点行业污染治理，推进国家和地方确定的各项产业结构调整措施。新、改、扩建项目，满足产业准入、总量控制、排放标准等管理制度要求的前提下，推进工业项目进园、集约高效发展。</w:t>
                  </w:r>
                </w:p>
              </w:tc>
            </w:tr>
          </w:tbl>
          <w:p>
            <w:pPr>
              <w:autoSpaceDE w:val="0"/>
              <w:autoSpaceDN w:val="0"/>
              <w:adjustRightInd w:val="0"/>
              <w:snapToGrid w:val="0"/>
              <w:spacing w:line="360" w:lineRule="auto"/>
              <w:jc w:val="left"/>
              <w:rPr>
                <w:b/>
                <w:sz w:val="24"/>
              </w:rPr>
            </w:pPr>
            <w:r>
              <w:rPr>
                <w:rFonts w:hint="eastAsia"/>
                <w:b/>
                <w:sz w:val="24"/>
              </w:rPr>
              <w:t>1.2吉林省空气、水环境、土壤环境质量巩固提升三个行动方案符合性分析</w:t>
            </w:r>
          </w:p>
          <w:p>
            <w:pPr>
              <w:autoSpaceDE w:val="0"/>
              <w:autoSpaceDN w:val="0"/>
              <w:adjustRightInd w:val="0"/>
              <w:snapToGrid w:val="0"/>
              <w:spacing w:line="360" w:lineRule="auto"/>
              <w:jc w:val="center"/>
              <w:rPr>
                <w:rFonts w:ascii="宋体" w:hAnsi="宋体" w:eastAsia="宋体" w:cs="宋体"/>
                <w:b/>
                <w:kern w:val="0"/>
                <w:szCs w:val="21"/>
              </w:rPr>
            </w:pPr>
            <w:r>
              <w:rPr>
                <w:rFonts w:hint="eastAsia" w:ascii="宋体" w:hAnsi="宋体" w:eastAsia="宋体" w:cs="宋体"/>
                <w:b/>
                <w:kern w:val="0"/>
                <w:szCs w:val="21"/>
                <w:u w:val="single"/>
              </w:rPr>
              <w:t>表1-4 吉林省空气、水环境、土壤环境质量巩固提升三个行动方案相符性</w:t>
            </w:r>
          </w:p>
          <w:tbl>
            <w:tblPr>
              <w:tblStyle w:val="27"/>
              <w:tblW w:w="7286"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16"/>
              <w:gridCol w:w="4041"/>
              <w:gridCol w:w="1749"/>
              <w:gridCol w:w="78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757" w:type="dxa"/>
                  <w:gridSpan w:val="2"/>
                  <w:tcBorders>
                    <w:tl2br w:val="nil"/>
                    <w:tr2bl w:val="nil"/>
                  </w:tcBorders>
                  <w:vAlign w:val="center"/>
                </w:tcPr>
                <w:p>
                  <w:pPr>
                    <w:autoSpaceDE w:val="0"/>
                    <w:autoSpaceDN w:val="0"/>
                    <w:adjustRightInd w:val="0"/>
                    <w:snapToGrid w:val="0"/>
                    <w:jc w:val="center"/>
                    <w:rPr>
                      <w:bCs/>
                      <w:kern w:val="0"/>
                      <w:szCs w:val="21"/>
                    </w:rPr>
                  </w:pPr>
                  <w:r>
                    <w:rPr>
                      <w:rFonts w:hint="eastAsia"/>
                      <w:bCs/>
                      <w:kern w:val="0"/>
                      <w:szCs w:val="21"/>
                    </w:rPr>
                    <w:t>意见具体情况</w:t>
                  </w:r>
                </w:p>
              </w:tc>
              <w:tc>
                <w:tcPr>
                  <w:tcW w:w="1749" w:type="dxa"/>
                  <w:tcBorders>
                    <w:tl2br w:val="nil"/>
                    <w:tr2bl w:val="nil"/>
                  </w:tcBorders>
                  <w:vAlign w:val="center"/>
                </w:tcPr>
                <w:p>
                  <w:pPr>
                    <w:autoSpaceDE w:val="0"/>
                    <w:autoSpaceDN w:val="0"/>
                    <w:adjustRightInd w:val="0"/>
                    <w:snapToGrid w:val="0"/>
                    <w:jc w:val="center"/>
                    <w:rPr>
                      <w:bCs/>
                      <w:kern w:val="0"/>
                      <w:szCs w:val="21"/>
                    </w:rPr>
                  </w:pPr>
                  <w:r>
                    <w:rPr>
                      <w:rFonts w:hint="eastAsia" w:ascii="宋体" w:hAnsi="宋体" w:cs="宋体"/>
                      <w:bCs/>
                      <w:kern w:val="0"/>
                      <w:szCs w:val="21"/>
                    </w:rPr>
                    <w:t>本项目</w:t>
                  </w:r>
                </w:p>
              </w:tc>
              <w:tc>
                <w:tcPr>
                  <w:tcW w:w="780" w:type="dxa"/>
                  <w:tcBorders>
                    <w:tl2br w:val="nil"/>
                    <w:tr2bl w:val="nil"/>
                  </w:tcBorders>
                  <w:vAlign w:val="center"/>
                </w:tcPr>
                <w:p>
                  <w:pPr>
                    <w:autoSpaceDE w:val="0"/>
                    <w:autoSpaceDN w:val="0"/>
                    <w:adjustRightInd w:val="0"/>
                    <w:snapToGrid w:val="0"/>
                    <w:jc w:val="center"/>
                    <w:rPr>
                      <w:bCs/>
                      <w:kern w:val="0"/>
                      <w:szCs w:val="21"/>
                    </w:rPr>
                  </w:pPr>
                  <w:r>
                    <w:rPr>
                      <w:rFonts w:hint="eastAsia" w:ascii="宋体" w:hAnsi="宋体" w:cs="宋体"/>
                      <w:bCs/>
                      <w:kern w:val="0"/>
                      <w:szCs w:val="21"/>
                    </w:rPr>
                    <w:t>符合性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7286" w:type="dxa"/>
                  <w:gridSpan w:val="4"/>
                  <w:tcBorders>
                    <w:tl2br w:val="nil"/>
                    <w:tr2bl w:val="nil"/>
                  </w:tcBorders>
                  <w:vAlign w:val="center"/>
                </w:tcPr>
                <w:p>
                  <w:pPr>
                    <w:autoSpaceDE w:val="0"/>
                    <w:autoSpaceDN w:val="0"/>
                    <w:adjustRightInd w:val="0"/>
                    <w:snapToGrid w:val="0"/>
                    <w:jc w:val="center"/>
                    <w:rPr>
                      <w:rFonts w:ascii="宋体" w:hAnsi="宋体" w:cs="宋体"/>
                      <w:bCs/>
                      <w:kern w:val="0"/>
                      <w:szCs w:val="21"/>
                    </w:rPr>
                  </w:pPr>
                  <w:r>
                    <w:rPr>
                      <w:rFonts w:hint="eastAsia" w:ascii="宋体" w:hAnsi="宋体" w:cs="宋体"/>
                      <w:bCs/>
                      <w:kern w:val="0"/>
                      <w:szCs w:val="21"/>
                    </w:rPr>
                    <w:t>吉林省空气质量巩固提升行动方案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16" w:type="dxa"/>
                  <w:vMerge w:val="restart"/>
                  <w:tcBorders>
                    <w:tl2br w:val="nil"/>
                    <w:tr2bl w:val="nil"/>
                  </w:tcBorders>
                  <w:vAlign w:val="center"/>
                </w:tcPr>
                <w:p>
                  <w:pPr>
                    <w:autoSpaceDE w:val="0"/>
                    <w:autoSpaceDN w:val="0"/>
                    <w:adjustRightInd w:val="0"/>
                    <w:snapToGrid w:val="0"/>
                    <w:jc w:val="center"/>
                    <w:rPr>
                      <w:bCs/>
                      <w:kern w:val="0"/>
                      <w:szCs w:val="21"/>
                    </w:rPr>
                  </w:pPr>
                  <w:r>
                    <w:rPr>
                      <w:rFonts w:hint="eastAsia"/>
                      <w:bCs/>
                      <w:kern w:val="0"/>
                      <w:szCs w:val="21"/>
                    </w:rPr>
                    <w:t>深入推进燃煤污染控制</w:t>
                  </w:r>
                </w:p>
              </w:tc>
              <w:tc>
                <w:tcPr>
                  <w:tcW w:w="4041" w:type="dxa"/>
                  <w:tcBorders>
                    <w:tl2br w:val="nil"/>
                    <w:tr2bl w:val="nil"/>
                  </w:tcBorders>
                  <w:vAlign w:val="center"/>
                </w:tcPr>
                <w:p>
                  <w:pPr>
                    <w:autoSpaceDE w:val="0"/>
                    <w:autoSpaceDN w:val="0"/>
                    <w:adjustRightInd w:val="0"/>
                    <w:snapToGrid w:val="0"/>
                    <w:rPr>
                      <w:bCs/>
                      <w:kern w:val="0"/>
                      <w:szCs w:val="21"/>
                    </w:rPr>
                  </w:pPr>
                  <w:r>
                    <w:rPr>
                      <w:rFonts w:hint="eastAsia"/>
                      <w:bCs/>
                      <w:kern w:val="0"/>
                      <w:szCs w:val="21"/>
                    </w:rPr>
                    <w:t>实行煤炭消费总量控制。实行煤炭消费指标管理，完成省下达的煤炭消费总量控制目标。加快清洁能源替代，大力提高天然气利用水平。优化调控煤炭消费，逐步关停改造分散燃煤锅炉，推进热电联产和区域集中供热，推进煤炭清洁利用。积极推广应用煤炭清洁高效利用和新型节能技术，探索绿色电厂建设。加大经济政策调节力度，建立完善能源消费政策机制，促进能源结构调整和节能减排。</w:t>
                  </w:r>
                </w:p>
              </w:tc>
              <w:tc>
                <w:tcPr>
                  <w:tcW w:w="1749" w:type="dxa"/>
                  <w:tcBorders>
                    <w:tl2br w:val="nil"/>
                    <w:tr2bl w:val="nil"/>
                  </w:tcBorders>
                  <w:vAlign w:val="center"/>
                </w:tcPr>
                <w:p>
                  <w:pPr>
                    <w:autoSpaceDE w:val="0"/>
                    <w:autoSpaceDN w:val="0"/>
                    <w:adjustRightInd w:val="0"/>
                    <w:snapToGrid w:val="0"/>
                    <w:jc w:val="center"/>
                    <w:rPr>
                      <w:bCs/>
                      <w:kern w:val="0"/>
                      <w:szCs w:val="21"/>
                    </w:rPr>
                  </w:pPr>
                  <w:r>
                    <w:rPr>
                      <w:rFonts w:hint="eastAsia"/>
                      <w:bCs/>
                      <w:kern w:val="0"/>
                      <w:szCs w:val="21"/>
                    </w:rPr>
                    <w:t>本项目为蔬菜加工行业，新建一座厂房，新建一座锅炉房，仓库及办公室利用现有建筑，锅炉燃料为生物质。</w:t>
                  </w:r>
                </w:p>
              </w:tc>
              <w:tc>
                <w:tcPr>
                  <w:tcW w:w="780" w:type="dxa"/>
                  <w:tcBorders>
                    <w:tl2br w:val="nil"/>
                    <w:tr2bl w:val="nil"/>
                  </w:tcBorders>
                  <w:vAlign w:val="center"/>
                </w:tcPr>
                <w:p>
                  <w:pPr>
                    <w:autoSpaceDE w:val="0"/>
                    <w:autoSpaceDN w:val="0"/>
                    <w:adjustRightInd w:val="0"/>
                    <w:snapToGrid w:val="0"/>
                    <w:jc w:val="center"/>
                    <w:rPr>
                      <w:bCs/>
                      <w:kern w:val="0"/>
                      <w:szCs w:val="21"/>
                    </w:rPr>
                  </w:pPr>
                  <w:r>
                    <w:rPr>
                      <w:rFonts w:hint="eastAsia"/>
                      <w:bCs/>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16" w:type="dxa"/>
                  <w:vMerge w:val="continue"/>
                  <w:tcBorders>
                    <w:tl2br w:val="nil"/>
                    <w:tr2bl w:val="nil"/>
                  </w:tcBorders>
                  <w:vAlign w:val="center"/>
                </w:tcPr>
                <w:p>
                  <w:pPr>
                    <w:autoSpaceDE w:val="0"/>
                    <w:autoSpaceDN w:val="0"/>
                    <w:adjustRightInd w:val="0"/>
                    <w:snapToGrid w:val="0"/>
                    <w:jc w:val="center"/>
                    <w:rPr>
                      <w:bCs/>
                      <w:kern w:val="0"/>
                      <w:szCs w:val="21"/>
                    </w:rPr>
                  </w:pPr>
                </w:p>
              </w:tc>
              <w:tc>
                <w:tcPr>
                  <w:tcW w:w="4041" w:type="dxa"/>
                  <w:tcBorders>
                    <w:tl2br w:val="nil"/>
                    <w:tr2bl w:val="nil"/>
                  </w:tcBorders>
                  <w:vAlign w:val="center"/>
                </w:tcPr>
                <w:p>
                  <w:pPr>
                    <w:autoSpaceDE w:val="0"/>
                    <w:autoSpaceDN w:val="0"/>
                    <w:adjustRightInd w:val="0"/>
                    <w:snapToGrid w:val="0"/>
                    <w:rPr>
                      <w:bCs/>
                      <w:kern w:val="0"/>
                      <w:szCs w:val="21"/>
                    </w:rPr>
                  </w:pPr>
                  <w:r>
                    <w:rPr>
                      <w:rFonts w:hint="eastAsia"/>
                      <w:bCs/>
                      <w:kern w:val="0"/>
                      <w:szCs w:val="21"/>
                    </w:rPr>
                    <w:t>继续推进清洁供暖。进一步提高煤炭洗选比例，做到应洗尽洗。定期开展煤质检查，严厉打击劣质煤炭进入市场流通销售。全面摸清城中村、城乡</w:t>
                  </w:r>
                  <w:r>
                    <w:rPr>
                      <w:rFonts w:hint="eastAsia"/>
                      <w:bCs/>
                      <w:kern w:val="0"/>
                      <w:szCs w:val="21"/>
                      <w:lang w:eastAsia="zh-CN"/>
                    </w:rPr>
                    <w:t>接</w:t>
                  </w:r>
                  <w:r>
                    <w:rPr>
                      <w:rFonts w:hint="eastAsia"/>
                      <w:bCs/>
                      <w:kern w:val="0"/>
                      <w:szCs w:val="21"/>
                    </w:rPr>
                    <w:t>合部散煤底数，制定清洁取暖散煤替代方案。</w:t>
                  </w:r>
                </w:p>
              </w:tc>
              <w:tc>
                <w:tcPr>
                  <w:tcW w:w="1749" w:type="dxa"/>
                  <w:tcBorders>
                    <w:tl2br w:val="nil"/>
                    <w:tr2bl w:val="nil"/>
                  </w:tcBorders>
                  <w:vAlign w:val="center"/>
                </w:tcPr>
                <w:p>
                  <w:pPr>
                    <w:autoSpaceDE w:val="0"/>
                    <w:autoSpaceDN w:val="0"/>
                    <w:adjustRightInd w:val="0"/>
                    <w:snapToGrid w:val="0"/>
                    <w:jc w:val="center"/>
                    <w:rPr>
                      <w:bCs/>
                      <w:kern w:val="0"/>
                      <w:szCs w:val="21"/>
                    </w:rPr>
                  </w:pPr>
                  <w:r>
                    <w:rPr>
                      <w:rFonts w:hint="eastAsia"/>
                      <w:bCs/>
                      <w:kern w:val="0"/>
                      <w:szCs w:val="21"/>
                    </w:rPr>
                    <w:t>本项目为蔬菜加工行业，新建一座厂房，新建一座锅炉房，仓库及办公室利用现有建筑，锅炉燃料为生物质。</w:t>
                  </w:r>
                </w:p>
              </w:tc>
              <w:tc>
                <w:tcPr>
                  <w:tcW w:w="780" w:type="dxa"/>
                  <w:tcBorders>
                    <w:tl2br w:val="nil"/>
                    <w:tr2bl w:val="nil"/>
                  </w:tcBorders>
                  <w:vAlign w:val="center"/>
                </w:tcPr>
                <w:p>
                  <w:pPr>
                    <w:autoSpaceDE w:val="0"/>
                    <w:autoSpaceDN w:val="0"/>
                    <w:adjustRightInd w:val="0"/>
                    <w:snapToGrid w:val="0"/>
                    <w:jc w:val="center"/>
                    <w:rPr>
                      <w:bCs/>
                      <w:kern w:val="0"/>
                      <w:szCs w:val="21"/>
                    </w:rPr>
                  </w:pPr>
                  <w:r>
                    <w:rPr>
                      <w:rFonts w:hint="eastAsia"/>
                      <w:bCs/>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16" w:type="dxa"/>
                  <w:vMerge w:val="continue"/>
                  <w:tcBorders>
                    <w:tl2br w:val="nil"/>
                    <w:tr2bl w:val="nil"/>
                  </w:tcBorders>
                  <w:vAlign w:val="center"/>
                </w:tcPr>
                <w:p>
                  <w:pPr>
                    <w:autoSpaceDE w:val="0"/>
                    <w:autoSpaceDN w:val="0"/>
                    <w:adjustRightInd w:val="0"/>
                    <w:snapToGrid w:val="0"/>
                    <w:jc w:val="center"/>
                    <w:rPr>
                      <w:bCs/>
                      <w:kern w:val="0"/>
                      <w:szCs w:val="21"/>
                    </w:rPr>
                  </w:pPr>
                </w:p>
              </w:tc>
              <w:tc>
                <w:tcPr>
                  <w:tcW w:w="4041" w:type="dxa"/>
                  <w:tcBorders>
                    <w:tl2br w:val="nil"/>
                    <w:tr2bl w:val="nil"/>
                  </w:tcBorders>
                  <w:vAlign w:val="center"/>
                </w:tcPr>
                <w:p>
                  <w:pPr>
                    <w:autoSpaceDE w:val="0"/>
                    <w:autoSpaceDN w:val="0"/>
                    <w:adjustRightInd w:val="0"/>
                    <w:snapToGrid w:val="0"/>
                    <w:rPr>
                      <w:bCs/>
                      <w:kern w:val="0"/>
                      <w:szCs w:val="21"/>
                    </w:rPr>
                  </w:pPr>
                  <w:r>
                    <w:rPr>
                      <w:rFonts w:hint="eastAsia"/>
                      <w:bCs/>
                      <w:kern w:val="0"/>
                      <w:szCs w:val="21"/>
                    </w:rPr>
                    <w:t>加大燃煤锅炉淘汰力度。</w:t>
                  </w:r>
                  <w:r>
                    <w:t>严控新建燃煤锅炉，县级以上城市建成区原则上不再新建每小时35蒸吨以下燃煤锅炉，其他地区原则上不再新建每小时10蒸吨以下燃煤锅炉。按照国家政策的调整和要求，逐步开展燃煤锅炉淘汰工作。</w:t>
                  </w:r>
                </w:p>
              </w:tc>
              <w:tc>
                <w:tcPr>
                  <w:tcW w:w="1749" w:type="dxa"/>
                  <w:tcBorders>
                    <w:tl2br w:val="nil"/>
                    <w:tr2bl w:val="nil"/>
                  </w:tcBorders>
                  <w:vAlign w:val="center"/>
                </w:tcPr>
                <w:p>
                  <w:pPr>
                    <w:autoSpaceDE w:val="0"/>
                    <w:autoSpaceDN w:val="0"/>
                    <w:adjustRightInd w:val="0"/>
                    <w:snapToGrid w:val="0"/>
                    <w:jc w:val="center"/>
                    <w:rPr>
                      <w:bCs/>
                      <w:kern w:val="0"/>
                      <w:szCs w:val="21"/>
                    </w:rPr>
                  </w:pPr>
                  <w:r>
                    <w:rPr>
                      <w:rFonts w:hint="eastAsia"/>
                      <w:bCs/>
                      <w:kern w:val="0"/>
                      <w:szCs w:val="21"/>
                    </w:rPr>
                    <w:t>本项目新建1台燃生物质锅炉，符合通化市环保局发布的通市环发[2017]84号《关于10蒸吨燃煤锅炉改造允许使用燃料的通知》</w:t>
                  </w:r>
                </w:p>
              </w:tc>
              <w:tc>
                <w:tcPr>
                  <w:tcW w:w="780" w:type="dxa"/>
                  <w:tcBorders>
                    <w:tl2br w:val="nil"/>
                    <w:tr2bl w:val="nil"/>
                  </w:tcBorders>
                  <w:vAlign w:val="center"/>
                </w:tcPr>
                <w:p>
                  <w:pPr>
                    <w:autoSpaceDE w:val="0"/>
                    <w:autoSpaceDN w:val="0"/>
                    <w:adjustRightInd w:val="0"/>
                    <w:snapToGrid w:val="0"/>
                    <w:jc w:val="center"/>
                    <w:rPr>
                      <w:bCs/>
                      <w:kern w:val="0"/>
                      <w:szCs w:val="21"/>
                    </w:rPr>
                  </w:pPr>
                  <w:r>
                    <w:rPr>
                      <w:rFonts w:hint="eastAsia"/>
                      <w:bCs/>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16" w:type="dxa"/>
                  <w:tcBorders>
                    <w:tl2br w:val="nil"/>
                    <w:tr2bl w:val="nil"/>
                  </w:tcBorders>
                  <w:vAlign w:val="center"/>
                </w:tcPr>
                <w:p>
                  <w:pPr>
                    <w:autoSpaceDE w:val="0"/>
                    <w:autoSpaceDN w:val="0"/>
                    <w:adjustRightInd w:val="0"/>
                    <w:snapToGrid w:val="0"/>
                    <w:jc w:val="center"/>
                    <w:rPr>
                      <w:bCs/>
                      <w:kern w:val="0"/>
                      <w:szCs w:val="21"/>
                    </w:rPr>
                  </w:pPr>
                  <w:r>
                    <w:rPr>
                      <w:rFonts w:hint="eastAsia"/>
                      <w:bCs/>
                      <w:kern w:val="0"/>
                      <w:szCs w:val="21"/>
                    </w:rPr>
                    <w:t>深入推进工业污染源治理</w:t>
                  </w:r>
                </w:p>
              </w:tc>
              <w:tc>
                <w:tcPr>
                  <w:tcW w:w="4041" w:type="dxa"/>
                  <w:tcBorders>
                    <w:tl2br w:val="nil"/>
                    <w:tr2bl w:val="nil"/>
                  </w:tcBorders>
                  <w:vAlign w:val="center"/>
                </w:tcPr>
                <w:p>
                  <w:pPr>
                    <w:autoSpaceDE w:val="0"/>
                    <w:autoSpaceDN w:val="0"/>
                    <w:adjustRightInd w:val="0"/>
                    <w:snapToGrid w:val="0"/>
                    <w:rPr>
                      <w:bCs/>
                      <w:kern w:val="0"/>
                      <w:szCs w:val="21"/>
                    </w:rPr>
                  </w:pPr>
                  <w:r>
                    <w:rPr>
                      <w:rFonts w:hint="eastAsia"/>
                      <w:bCs/>
                      <w:kern w:val="0"/>
                      <w:szCs w:val="21"/>
                    </w:rPr>
                    <w:t>持续推进工业污染源全面达标排放。加大工业污染源烟气高效脱硫脱硝、除尘改造力度，确保各项污染物稳定达标排放。重点排污单位全部安装自动监控设备并与生态环境部门联网。对排放不达标的企业按照“一企一策”的原则，限期整改到位。全面加强工业无组织排放管控。</w:t>
                  </w:r>
                </w:p>
              </w:tc>
              <w:tc>
                <w:tcPr>
                  <w:tcW w:w="1749" w:type="dxa"/>
                  <w:tcBorders>
                    <w:tl2br w:val="nil"/>
                    <w:tr2bl w:val="nil"/>
                  </w:tcBorders>
                  <w:vAlign w:val="center"/>
                </w:tcPr>
                <w:p>
                  <w:pPr>
                    <w:autoSpaceDE w:val="0"/>
                    <w:autoSpaceDN w:val="0"/>
                    <w:adjustRightInd w:val="0"/>
                    <w:snapToGrid w:val="0"/>
                    <w:jc w:val="center"/>
                    <w:rPr>
                      <w:bCs/>
                      <w:kern w:val="0"/>
                      <w:szCs w:val="21"/>
                    </w:rPr>
                  </w:pPr>
                  <w:r>
                    <w:rPr>
                      <w:rFonts w:hint="eastAsia"/>
                      <w:bCs/>
                      <w:kern w:val="0"/>
                      <w:szCs w:val="21"/>
                    </w:rPr>
                    <w:t>本项目</w:t>
                  </w:r>
                  <w:r>
                    <w:rPr>
                      <w:rFonts w:hint="eastAsia"/>
                    </w:rPr>
                    <w:t>为蔬菜加工行业，</w:t>
                  </w:r>
                  <w:r>
                    <w:rPr>
                      <w:rFonts w:hint="eastAsia"/>
                      <w:bCs/>
                      <w:kern w:val="0"/>
                      <w:szCs w:val="21"/>
                    </w:rPr>
                    <w:t>新建一台2.5t燃生物质锅炉，不属于重点排污单位</w:t>
                  </w:r>
                </w:p>
              </w:tc>
              <w:tc>
                <w:tcPr>
                  <w:tcW w:w="780" w:type="dxa"/>
                  <w:tcBorders>
                    <w:tl2br w:val="nil"/>
                    <w:tr2bl w:val="nil"/>
                  </w:tcBorders>
                  <w:vAlign w:val="center"/>
                </w:tcPr>
                <w:p>
                  <w:pPr>
                    <w:autoSpaceDE w:val="0"/>
                    <w:autoSpaceDN w:val="0"/>
                    <w:adjustRightInd w:val="0"/>
                    <w:snapToGrid w:val="0"/>
                    <w:jc w:val="center"/>
                    <w:rPr>
                      <w:bCs/>
                      <w:kern w:val="0"/>
                      <w:szCs w:val="21"/>
                    </w:rPr>
                  </w:pPr>
                  <w:r>
                    <w:rPr>
                      <w:rFonts w:hint="eastAsia"/>
                      <w:bCs/>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286" w:type="dxa"/>
                  <w:gridSpan w:val="4"/>
                  <w:tcBorders>
                    <w:tl2br w:val="nil"/>
                    <w:tr2bl w:val="nil"/>
                  </w:tcBorders>
                  <w:vAlign w:val="center"/>
                </w:tcPr>
                <w:p>
                  <w:pPr>
                    <w:autoSpaceDE w:val="0"/>
                    <w:autoSpaceDN w:val="0"/>
                    <w:adjustRightInd w:val="0"/>
                    <w:snapToGrid w:val="0"/>
                    <w:jc w:val="center"/>
                    <w:rPr>
                      <w:bCs/>
                      <w:kern w:val="0"/>
                      <w:szCs w:val="21"/>
                    </w:rPr>
                  </w:pPr>
                  <w:r>
                    <w:rPr>
                      <w:rFonts w:hint="eastAsia"/>
                      <w:bCs/>
                      <w:kern w:val="0"/>
                      <w:szCs w:val="21"/>
                    </w:rPr>
                    <w:t>吉林省水环境质量巩固提升行动方案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16" w:type="dxa"/>
                  <w:tcBorders>
                    <w:tl2br w:val="nil"/>
                    <w:tr2bl w:val="nil"/>
                  </w:tcBorders>
                  <w:vAlign w:val="center"/>
                </w:tcPr>
                <w:p>
                  <w:pPr>
                    <w:autoSpaceDE w:val="0"/>
                    <w:autoSpaceDN w:val="0"/>
                    <w:adjustRightInd w:val="0"/>
                    <w:snapToGrid w:val="0"/>
                    <w:jc w:val="center"/>
                    <w:rPr>
                      <w:bCs/>
                      <w:kern w:val="0"/>
                      <w:szCs w:val="21"/>
                    </w:rPr>
                  </w:pPr>
                  <w:r>
                    <w:rPr>
                      <w:rFonts w:hint="eastAsia"/>
                      <w:bCs/>
                      <w:kern w:val="0"/>
                      <w:szCs w:val="21"/>
                    </w:rPr>
                    <w:t>实施水环境治理工程</w:t>
                  </w:r>
                </w:p>
              </w:tc>
              <w:tc>
                <w:tcPr>
                  <w:tcW w:w="4041" w:type="dxa"/>
                  <w:tcBorders>
                    <w:tl2br w:val="nil"/>
                    <w:tr2bl w:val="nil"/>
                  </w:tcBorders>
                  <w:vAlign w:val="center"/>
                </w:tcPr>
                <w:p>
                  <w:pPr>
                    <w:autoSpaceDE w:val="0"/>
                    <w:autoSpaceDN w:val="0"/>
                    <w:adjustRightInd w:val="0"/>
                    <w:snapToGrid w:val="0"/>
                    <w:rPr>
                      <w:bCs/>
                      <w:kern w:val="0"/>
                      <w:szCs w:val="21"/>
                    </w:rPr>
                  </w:pPr>
                  <w:r>
                    <w:rPr>
                      <w:rFonts w:hint="eastAsia"/>
                      <w:bCs/>
                      <w:kern w:val="0"/>
                      <w:szCs w:val="21"/>
                    </w:rPr>
                    <w:t>规范工业企业排水管理。各地政府或工业园区管理机构要组织有关部门和单位对进入市政污水收集设施的工业企业进行排查，开展评估，经评估认定污染物不能被城镇污水厂有效处理或可能影响城镇污水处理厂出水稳定达标的，要依法责令限期退出；经评估可继续接入污水管网的，应当依法取得排污许可。</w:t>
                  </w:r>
                </w:p>
              </w:tc>
              <w:tc>
                <w:tcPr>
                  <w:tcW w:w="1749" w:type="dxa"/>
                  <w:tcBorders>
                    <w:tl2br w:val="nil"/>
                    <w:tr2bl w:val="nil"/>
                  </w:tcBorders>
                  <w:vAlign w:val="center"/>
                </w:tcPr>
                <w:p>
                  <w:pPr>
                    <w:autoSpaceDE w:val="0"/>
                    <w:autoSpaceDN w:val="0"/>
                    <w:adjustRightInd w:val="0"/>
                    <w:snapToGrid w:val="0"/>
                    <w:jc w:val="center"/>
                    <w:rPr>
                      <w:bCs/>
                      <w:kern w:val="0"/>
                      <w:szCs w:val="21"/>
                    </w:rPr>
                  </w:pPr>
                  <w:r>
                    <w:rPr>
                      <w:rFonts w:hint="eastAsia" w:ascii="宋体" w:hAnsi="宋体" w:cs="宋体"/>
                    </w:rPr>
                    <w:t>项目生活污水排入防渗旱厕</w:t>
                  </w:r>
                  <w:r>
                    <w:rPr>
                      <w:rFonts w:hint="eastAsia"/>
                      <w:kern w:val="0"/>
                      <w:sz w:val="24"/>
                    </w:rPr>
                    <w:t>，</w:t>
                  </w:r>
                  <w:r>
                    <w:rPr>
                      <w:rFonts w:hint="eastAsia"/>
                      <w:kern w:val="0"/>
                      <w:szCs w:val="21"/>
                    </w:rPr>
                    <w:t>定期清掏做农肥</w:t>
                  </w:r>
                  <w:r>
                    <w:rPr>
                      <w:rFonts w:hint="eastAsia" w:ascii="宋体" w:hAnsi="宋体" w:cs="宋体"/>
                      <w:szCs w:val="21"/>
                    </w:rPr>
                    <w:t>。</w:t>
                  </w:r>
                  <w:r>
                    <w:rPr>
                      <w:rFonts w:hint="eastAsia" w:ascii="宋体" w:hAnsi="宋体" w:cs="宋体"/>
                      <w:iCs/>
                    </w:rPr>
                    <w:t>地面清洁</w:t>
                  </w:r>
                  <w:r>
                    <w:rPr>
                      <w:rFonts w:hint="eastAsia" w:ascii="宋体" w:hAnsi="宋体" w:cs="宋体"/>
                    </w:rPr>
                    <w:t>废水全部消耗，高温灭菌废水循环利用不外排，设备清洗废水、浸泡废水排入自建沉淀池，定期</w:t>
                  </w:r>
                  <w:r>
                    <w:rPr>
                      <w:rFonts w:hint="eastAsia" w:ascii="宋体" w:hAnsi="宋体" w:cs="宋体"/>
                      <w:iCs/>
                    </w:rPr>
                    <w:t>外运养殖场</w:t>
                  </w:r>
                  <w:r>
                    <w:rPr>
                      <w:rFonts w:hint="eastAsia" w:ascii="宋体" w:hAnsi="宋体" w:cs="宋体"/>
                    </w:rPr>
                    <w:t>，不外排。锅炉排水用于园区降尘；</w:t>
                  </w:r>
                </w:p>
              </w:tc>
              <w:tc>
                <w:tcPr>
                  <w:tcW w:w="780" w:type="dxa"/>
                  <w:tcBorders>
                    <w:tl2br w:val="nil"/>
                    <w:tr2bl w:val="nil"/>
                  </w:tcBorders>
                  <w:vAlign w:val="center"/>
                </w:tcPr>
                <w:p>
                  <w:pPr>
                    <w:autoSpaceDE w:val="0"/>
                    <w:autoSpaceDN w:val="0"/>
                    <w:adjustRightInd w:val="0"/>
                    <w:snapToGrid w:val="0"/>
                    <w:jc w:val="center"/>
                    <w:rPr>
                      <w:bCs/>
                      <w:kern w:val="0"/>
                      <w:szCs w:val="21"/>
                    </w:rPr>
                  </w:pPr>
                  <w:r>
                    <w:rPr>
                      <w:rFonts w:hint="eastAsia"/>
                      <w:bCs/>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16" w:type="dxa"/>
                  <w:tcBorders>
                    <w:tl2br w:val="nil"/>
                    <w:tr2bl w:val="nil"/>
                  </w:tcBorders>
                  <w:vAlign w:val="center"/>
                </w:tcPr>
                <w:p>
                  <w:pPr>
                    <w:autoSpaceDE w:val="0"/>
                    <w:autoSpaceDN w:val="0"/>
                    <w:adjustRightInd w:val="0"/>
                    <w:snapToGrid w:val="0"/>
                    <w:jc w:val="center"/>
                    <w:rPr>
                      <w:bCs/>
                      <w:kern w:val="0"/>
                      <w:szCs w:val="21"/>
                    </w:rPr>
                  </w:pPr>
                  <w:r>
                    <w:rPr>
                      <w:rFonts w:hint="eastAsia"/>
                      <w:bCs/>
                      <w:kern w:val="0"/>
                      <w:szCs w:val="21"/>
                    </w:rPr>
                    <w:t>实施水资源保障工程</w:t>
                  </w:r>
                </w:p>
              </w:tc>
              <w:tc>
                <w:tcPr>
                  <w:tcW w:w="4041" w:type="dxa"/>
                  <w:tcBorders>
                    <w:tl2br w:val="nil"/>
                    <w:tr2bl w:val="nil"/>
                  </w:tcBorders>
                  <w:vAlign w:val="center"/>
                </w:tcPr>
                <w:p>
                  <w:pPr>
                    <w:autoSpaceDE w:val="0"/>
                    <w:autoSpaceDN w:val="0"/>
                    <w:adjustRightInd w:val="0"/>
                    <w:snapToGrid w:val="0"/>
                    <w:rPr>
                      <w:bCs/>
                      <w:kern w:val="0"/>
                      <w:szCs w:val="21"/>
                    </w:rPr>
                  </w:pPr>
                  <w:r>
                    <w:rPr>
                      <w:rFonts w:hint="eastAsia"/>
                      <w:bCs/>
                      <w:kern w:val="0"/>
                      <w:szCs w:val="21"/>
                    </w:rPr>
                    <w:t>推进节水行动。坚持“以水定城、以水定地、以水定人、以水定产”，充分发挥水资源的刚性约束作用。推进工业节水，造纸、石油化工、食品发酵等高耗水行业推广节水新技术、新工艺和新设备，优先使用再生水，鼓励高耗水企业开展节水技术改造和再生水回用改造，不断提高企业用水水平。推进农业节水，加强大型灌区、重点中型灌区节水改造，发展旱田高效节水灌溉。推进城镇节水，工业生产、城市绿化、道路清洁、车辆冲洗、建筑施工及生态景观用水等优先使用再生水。</w:t>
                  </w:r>
                </w:p>
              </w:tc>
              <w:tc>
                <w:tcPr>
                  <w:tcW w:w="1749" w:type="dxa"/>
                  <w:tcBorders>
                    <w:tl2br w:val="nil"/>
                    <w:tr2bl w:val="nil"/>
                  </w:tcBorders>
                  <w:vAlign w:val="center"/>
                </w:tcPr>
                <w:p>
                  <w:pPr>
                    <w:autoSpaceDE w:val="0"/>
                    <w:autoSpaceDN w:val="0"/>
                    <w:adjustRightInd w:val="0"/>
                    <w:snapToGrid w:val="0"/>
                    <w:jc w:val="center"/>
                    <w:rPr>
                      <w:bCs/>
                      <w:kern w:val="0"/>
                      <w:szCs w:val="21"/>
                    </w:rPr>
                  </w:pPr>
                  <w:r>
                    <w:rPr>
                      <w:rFonts w:hint="eastAsia" w:ascii="宋体" w:hAnsi="宋体" w:cs="宋体"/>
                    </w:rPr>
                    <w:t>项目生活污水排入防渗旱厕，定期清掏做农肥。</w:t>
                  </w:r>
                  <w:r>
                    <w:rPr>
                      <w:rFonts w:hint="eastAsia" w:ascii="宋体" w:hAnsi="宋体" w:cs="宋体"/>
                      <w:iCs/>
                    </w:rPr>
                    <w:t>地面清洁</w:t>
                  </w:r>
                  <w:r>
                    <w:rPr>
                      <w:rFonts w:hint="eastAsia" w:ascii="宋体" w:hAnsi="宋体" w:cs="宋体"/>
                    </w:rPr>
                    <w:t>废水全部消耗，高温灭菌废水循环利用不外排，设备清洗废水、浸泡废水排入自建沉淀池，定期</w:t>
                  </w:r>
                  <w:r>
                    <w:rPr>
                      <w:rFonts w:hint="eastAsia" w:ascii="宋体" w:hAnsi="宋体" w:cs="宋体"/>
                      <w:iCs/>
                    </w:rPr>
                    <w:t>外运养殖场</w:t>
                  </w:r>
                  <w:r>
                    <w:rPr>
                      <w:rFonts w:hint="eastAsia" w:ascii="宋体" w:hAnsi="宋体" w:cs="宋体"/>
                    </w:rPr>
                    <w:t>，不外排。锅炉排水用于园区降尘及灰渣调湿；</w:t>
                  </w:r>
                </w:p>
              </w:tc>
              <w:tc>
                <w:tcPr>
                  <w:tcW w:w="780" w:type="dxa"/>
                  <w:tcBorders>
                    <w:tl2br w:val="nil"/>
                    <w:tr2bl w:val="nil"/>
                  </w:tcBorders>
                  <w:vAlign w:val="center"/>
                </w:tcPr>
                <w:p>
                  <w:pPr>
                    <w:autoSpaceDE w:val="0"/>
                    <w:autoSpaceDN w:val="0"/>
                    <w:adjustRightInd w:val="0"/>
                    <w:snapToGrid w:val="0"/>
                    <w:jc w:val="center"/>
                    <w:rPr>
                      <w:bCs/>
                      <w:kern w:val="0"/>
                      <w:szCs w:val="21"/>
                    </w:rPr>
                  </w:pPr>
                  <w:r>
                    <w:rPr>
                      <w:rFonts w:hint="eastAsia"/>
                      <w:bCs/>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286" w:type="dxa"/>
                  <w:gridSpan w:val="4"/>
                  <w:tcBorders>
                    <w:tl2br w:val="nil"/>
                    <w:tr2bl w:val="nil"/>
                  </w:tcBorders>
                  <w:vAlign w:val="center"/>
                </w:tcPr>
                <w:p>
                  <w:pPr>
                    <w:autoSpaceDE w:val="0"/>
                    <w:autoSpaceDN w:val="0"/>
                    <w:adjustRightInd w:val="0"/>
                    <w:snapToGrid w:val="0"/>
                    <w:jc w:val="center"/>
                    <w:rPr>
                      <w:bCs/>
                      <w:kern w:val="0"/>
                      <w:szCs w:val="21"/>
                    </w:rPr>
                  </w:pPr>
                  <w:r>
                    <w:rPr>
                      <w:rFonts w:hint="eastAsia"/>
                      <w:bCs/>
                      <w:kern w:val="0"/>
                      <w:szCs w:val="21"/>
                    </w:rPr>
                    <w:t>吉林省土壤环境质量巩固提升行动方案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16" w:type="dxa"/>
                  <w:tcBorders>
                    <w:tl2br w:val="nil"/>
                    <w:tr2bl w:val="nil"/>
                  </w:tcBorders>
                  <w:vAlign w:val="center"/>
                </w:tcPr>
                <w:p>
                  <w:pPr>
                    <w:autoSpaceDE w:val="0"/>
                    <w:autoSpaceDN w:val="0"/>
                    <w:adjustRightInd w:val="0"/>
                    <w:snapToGrid w:val="0"/>
                    <w:jc w:val="center"/>
                    <w:rPr>
                      <w:bCs/>
                      <w:kern w:val="0"/>
                      <w:szCs w:val="21"/>
                    </w:rPr>
                  </w:pPr>
                  <w:r>
                    <w:rPr>
                      <w:rFonts w:hint="eastAsia"/>
                      <w:bCs/>
                      <w:kern w:val="0"/>
                      <w:szCs w:val="21"/>
                    </w:rPr>
                    <w:t>实施农村生活垃圾污水治理提升工程</w:t>
                  </w:r>
                </w:p>
              </w:tc>
              <w:tc>
                <w:tcPr>
                  <w:tcW w:w="4041" w:type="dxa"/>
                  <w:tcBorders>
                    <w:tl2br w:val="nil"/>
                    <w:tr2bl w:val="nil"/>
                  </w:tcBorders>
                  <w:vAlign w:val="center"/>
                </w:tcPr>
                <w:p>
                  <w:pPr>
                    <w:autoSpaceDE w:val="0"/>
                    <w:autoSpaceDN w:val="0"/>
                    <w:adjustRightInd w:val="0"/>
                    <w:snapToGrid w:val="0"/>
                    <w:rPr>
                      <w:bCs/>
                      <w:kern w:val="0"/>
                      <w:szCs w:val="21"/>
                    </w:rPr>
                  </w:pPr>
                  <w:r>
                    <w:rPr>
                      <w:rFonts w:hint="eastAsia"/>
                      <w:bCs/>
                      <w:kern w:val="0"/>
                      <w:szCs w:val="21"/>
                    </w:rPr>
                    <w:t>提升农村生活垃圾治理能力。完善农村生活垃圾收运体系，因地制宜选择适合本地实际的农村生活垃圾处理方式。加强村庄日常保洁，推进农村生活垃圾分类和资源化利用。</w:t>
                  </w:r>
                </w:p>
              </w:tc>
              <w:tc>
                <w:tcPr>
                  <w:tcW w:w="1749" w:type="dxa"/>
                  <w:tcBorders>
                    <w:tl2br w:val="nil"/>
                    <w:tr2bl w:val="nil"/>
                  </w:tcBorders>
                  <w:vAlign w:val="center"/>
                </w:tcPr>
                <w:p>
                  <w:pPr>
                    <w:autoSpaceDE w:val="0"/>
                    <w:autoSpaceDN w:val="0"/>
                    <w:adjustRightInd w:val="0"/>
                    <w:snapToGrid w:val="0"/>
                    <w:jc w:val="center"/>
                    <w:rPr>
                      <w:bCs/>
                      <w:kern w:val="0"/>
                      <w:szCs w:val="21"/>
                    </w:rPr>
                  </w:pPr>
                  <w:r>
                    <w:rPr>
                      <w:rFonts w:hint="eastAsia"/>
                      <w:bCs/>
                      <w:kern w:val="0"/>
                      <w:szCs w:val="21"/>
                    </w:rPr>
                    <w:t>本项目固体废物均得到妥善处置，不会对环境造成二次污染</w:t>
                  </w:r>
                </w:p>
              </w:tc>
              <w:tc>
                <w:tcPr>
                  <w:tcW w:w="780" w:type="dxa"/>
                  <w:tcBorders>
                    <w:tl2br w:val="nil"/>
                    <w:tr2bl w:val="nil"/>
                  </w:tcBorders>
                  <w:vAlign w:val="center"/>
                </w:tcPr>
                <w:p>
                  <w:pPr>
                    <w:autoSpaceDE w:val="0"/>
                    <w:autoSpaceDN w:val="0"/>
                    <w:adjustRightInd w:val="0"/>
                    <w:snapToGrid w:val="0"/>
                    <w:jc w:val="center"/>
                    <w:rPr>
                      <w:bCs/>
                      <w:kern w:val="0"/>
                      <w:szCs w:val="21"/>
                    </w:rPr>
                  </w:pPr>
                  <w:r>
                    <w:rPr>
                      <w:rFonts w:hint="eastAsia"/>
                      <w:bCs/>
                      <w:kern w:val="0"/>
                      <w:szCs w:val="21"/>
                    </w:rPr>
                    <w:t>符合</w:t>
                  </w:r>
                </w:p>
              </w:tc>
            </w:tr>
          </w:tbl>
          <w:p>
            <w:pPr>
              <w:autoSpaceDE w:val="0"/>
              <w:autoSpaceDN w:val="0"/>
              <w:adjustRightInd w:val="0"/>
              <w:snapToGrid w:val="0"/>
              <w:spacing w:line="360" w:lineRule="auto"/>
              <w:ind w:firstLine="482" w:firstLineChars="200"/>
              <w:rPr>
                <w:b/>
                <w:iCs/>
                <w:sz w:val="24"/>
              </w:rPr>
            </w:pPr>
            <w:r>
              <w:rPr>
                <w:rFonts w:hint="eastAsia"/>
                <w:b/>
                <w:iCs/>
                <w:sz w:val="24"/>
              </w:rPr>
              <w:t>1.3产业政策符合性分析</w:t>
            </w:r>
          </w:p>
          <w:p>
            <w:pPr>
              <w:autoSpaceDE w:val="0"/>
              <w:autoSpaceDN w:val="0"/>
              <w:adjustRightInd w:val="0"/>
              <w:snapToGrid w:val="0"/>
              <w:spacing w:line="360" w:lineRule="auto"/>
              <w:ind w:firstLine="480" w:firstLineChars="200"/>
              <w:rPr>
                <w:sz w:val="24"/>
              </w:rPr>
            </w:pPr>
            <w:r>
              <w:rPr>
                <w:rFonts w:hint="eastAsia"/>
                <w:sz w:val="24"/>
              </w:rPr>
              <w:t>根据中华人民共和国国家发展和改革委员会第7号令《产业结构调整指导目录（2024 年本）》中规定，本项目属于第一项鼓励类中第一类“农林业”中第26条“农林牧渔产品储运、保鲜、加工与综合利用”项目，并能带动种植业、运输业的发展，因此，本项目符合国家产业政策要求。</w:t>
            </w:r>
          </w:p>
          <w:p>
            <w:pPr>
              <w:widowControl/>
              <w:spacing w:line="360" w:lineRule="auto"/>
              <w:ind w:firstLine="480" w:firstLineChars="200"/>
              <w:jc w:val="left"/>
              <w:rPr>
                <w:sz w:val="24"/>
                <w:u w:val="single"/>
              </w:rPr>
            </w:pPr>
            <w:r>
              <w:rPr>
                <w:rFonts w:hint="eastAsia"/>
                <w:sz w:val="24"/>
                <w:u w:val="single"/>
              </w:rPr>
              <w:t>本次新建的锅炉为2.5t生物质链条炉。不属于《产业结构调整指导目录（2024 年本）》中第二类 限制类“十一、机械57．每小时 35 蒸吨及以下固定炉排式生物质锅炉”和第三类 淘汰类“二、落后产品（七）机械66．每小时2蒸吨及以下生物质锅炉”项目。</w:t>
            </w:r>
          </w:p>
          <w:p>
            <w:pPr>
              <w:autoSpaceDE w:val="0"/>
              <w:autoSpaceDN w:val="0"/>
              <w:adjustRightInd w:val="0"/>
              <w:snapToGrid w:val="0"/>
              <w:spacing w:line="360" w:lineRule="auto"/>
              <w:ind w:firstLine="482" w:firstLineChars="200"/>
              <w:rPr>
                <w:bCs/>
                <w:iCs/>
                <w:sz w:val="24"/>
              </w:rPr>
            </w:pPr>
            <w:r>
              <w:rPr>
                <w:rFonts w:hint="eastAsia"/>
                <w:b/>
                <w:iCs/>
                <w:sz w:val="24"/>
              </w:rPr>
              <w:t>1.4选址合理性分析</w:t>
            </w:r>
          </w:p>
          <w:p>
            <w:pPr>
              <w:autoSpaceDE w:val="0"/>
              <w:autoSpaceDN w:val="0"/>
              <w:adjustRightInd w:val="0"/>
              <w:snapToGrid w:val="0"/>
              <w:spacing w:line="360" w:lineRule="auto"/>
              <w:ind w:firstLine="480" w:firstLineChars="200"/>
              <w:rPr>
                <w:bCs/>
                <w:iCs/>
                <w:sz w:val="24"/>
              </w:rPr>
            </w:pPr>
            <w:r>
              <w:rPr>
                <w:rFonts w:hint="eastAsia"/>
                <w:bCs/>
                <w:iCs/>
                <w:sz w:val="24"/>
              </w:rPr>
              <w:t>本项目为真空糯玉米生产，利用时家店乡中心校旧址进行建设，该地点不再进行教学，土地性质为工业用地（见附件）。</w:t>
            </w:r>
            <w:r>
              <w:rPr>
                <w:sz w:val="24"/>
              </w:rPr>
              <w:t>东侧</w:t>
            </w:r>
            <w:r>
              <w:rPr>
                <w:rFonts w:hint="eastAsia"/>
                <w:sz w:val="24"/>
              </w:rPr>
              <w:t>10m</w:t>
            </w:r>
            <w:r>
              <w:rPr>
                <w:sz w:val="24"/>
              </w:rPr>
              <w:t>为加油站；南侧为乡道，隔乡道</w:t>
            </w:r>
            <w:r>
              <w:rPr>
                <w:rFonts w:hint="eastAsia"/>
                <w:sz w:val="24"/>
              </w:rPr>
              <w:t>40m为一家车辆修理部</w:t>
            </w:r>
            <w:r>
              <w:rPr>
                <w:sz w:val="24"/>
              </w:rPr>
              <w:t>；西侧</w:t>
            </w:r>
            <w:r>
              <w:rPr>
                <w:rFonts w:hint="eastAsia"/>
                <w:sz w:val="24"/>
              </w:rPr>
              <w:t>15m</w:t>
            </w:r>
            <w:r>
              <w:rPr>
                <w:sz w:val="24"/>
              </w:rPr>
              <w:t>为一栋二层楼（空楼）</w:t>
            </w:r>
            <w:r>
              <w:rPr>
                <w:rFonts w:hint="eastAsia"/>
                <w:sz w:val="24"/>
              </w:rPr>
              <w:t>，二层楼西侧为时家店村</w:t>
            </w:r>
            <w:r>
              <w:rPr>
                <w:sz w:val="24"/>
              </w:rPr>
              <w:t>；北侧</w:t>
            </w:r>
            <w:r>
              <w:rPr>
                <w:rFonts w:hint="eastAsia"/>
                <w:sz w:val="24"/>
              </w:rPr>
              <w:t>7m</w:t>
            </w:r>
            <w:r>
              <w:rPr>
                <w:sz w:val="24"/>
              </w:rPr>
              <w:t>为</w:t>
            </w:r>
            <w:r>
              <w:rPr>
                <w:rFonts w:hint="eastAsia"/>
                <w:sz w:val="24"/>
              </w:rPr>
              <w:t>农田</w:t>
            </w:r>
            <w:r>
              <w:rPr>
                <w:sz w:val="24"/>
              </w:rPr>
              <w:t>；西北侧</w:t>
            </w:r>
            <w:r>
              <w:rPr>
                <w:rFonts w:hint="eastAsia"/>
                <w:sz w:val="24"/>
              </w:rPr>
              <w:t>10m</w:t>
            </w:r>
            <w:r>
              <w:rPr>
                <w:sz w:val="24"/>
              </w:rPr>
              <w:t>为时家店</w:t>
            </w:r>
            <w:r>
              <w:rPr>
                <w:rFonts w:hint="eastAsia"/>
                <w:sz w:val="24"/>
              </w:rPr>
              <w:t>村</w:t>
            </w:r>
            <w:r>
              <w:rPr>
                <w:sz w:val="24"/>
              </w:rPr>
              <w:t>村民3户。</w:t>
            </w:r>
            <w:r>
              <w:rPr>
                <w:rFonts w:hint="eastAsia"/>
                <w:bCs/>
                <w:iCs/>
                <w:sz w:val="24"/>
              </w:rPr>
              <w:t>真空糯玉米生产具有季节性，同时采取一定的围挡、隔声措施，项目对环境保护目标的影响是可以接受的，因此选址是合理的。</w:t>
            </w:r>
          </w:p>
          <w:p>
            <w:pPr>
              <w:autoSpaceDE w:val="0"/>
              <w:autoSpaceDN w:val="0"/>
              <w:adjustRightInd w:val="0"/>
              <w:snapToGrid w:val="0"/>
              <w:spacing w:line="360" w:lineRule="auto"/>
              <w:ind w:firstLine="480" w:firstLineChars="200"/>
              <w:rPr>
                <w:bCs/>
                <w:iCs/>
                <w:sz w:val="24"/>
              </w:rPr>
            </w:pPr>
          </w:p>
          <w:p>
            <w:pPr>
              <w:pStyle w:val="15"/>
              <w:ind w:firstLine="2592"/>
              <w:rPr>
                <w:bCs/>
                <w:iCs/>
                <w:sz w:val="24"/>
              </w:rPr>
            </w:pPr>
          </w:p>
          <w:p>
            <w:pPr>
              <w:pStyle w:val="15"/>
              <w:ind w:firstLine="2592"/>
              <w:rPr>
                <w:bCs/>
                <w:iCs/>
                <w:sz w:val="24"/>
              </w:rPr>
            </w:pPr>
          </w:p>
          <w:p>
            <w:pPr>
              <w:pStyle w:val="15"/>
              <w:ind w:firstLine="2592"/>
              <w:rPr>
                <w:bCs/>
                <w:iCs/>
                <w:sz w:val="24"/>
              </w:rPr>
            </w:pPr>
          </w:p>
          <w:p>
            <w:pPr>
              <w:pStyle w:val="15"/>
              <w:ind w:firstLine="2592"/>
              <w:rPr>
                <w:bCs/>
                <w:iCs/>
                <w:sz w:val="24"/>
              </w:rPr>
            </w:pPr>
          </w:p>
          <w:p>
            <w:pPr>
              <w:pStyle w:val="15"/>
              <w:ind w:firstLine="2592"/>
              <w:rPr>
                <w:bCs/>
                <w:iCs/>
                <w:sz w:val="24"/>
              </w:rPr>
            </w:pPr>
          </w:p>
          <w:p>
            <w:pPr>
              <w:pStyle w:val="15"/>
              <w:ind w:firstLine="2592"/>
              <w:rPr>
                <w:bCs/>
                <w:iCs/>
                <w:sz w:val="24"/>
              </w:rPr>
            </w:pPr>
          </w:p>
          <w:p>
            <w:pPr>
              <w:pStyle w:val="15"/>
              <w:ind w:firstLine="2592"/>
              <w:rPr>
                <w:bCs/>
                <w:iCs/>
                <w:sz w:val="24"/>
              </w:rPr>
            </w:pPr>
          </w:p>
          <w:p>
            <w:pPr>
              <w:pStyle w:val="15"/>
              <w:ind w:firstLine="2592"/>
              <w:rPr>
                <w:bCs/>
                <w:iCs/>
                <w:sz w:val="24"/>
              </w:rPr>
            </w:pPr>
          </w:p>
          <w:p>
            <w:pPr>
              <w:pStyle w:val="26"/>
              <w:adjustRightInd w:val="0"/>
              <w:spacing w:after="0" w:line="360" w:lineRule="auto"/>
              <w:ind w:firstLine="482" w:firstLineChars="200"/>
              <w:rPr>
                <w:b/>
                <w:bCs/>
                <w:sz w:val="24"/>
                <w:szCs w:val="24"/>
              </w:rPr>
            </w:pPr>
          </w:p>
          <w:p>
            <w:pPr>
              <w:autoSpaceDE w:val="0"/>
              <w:autoSpaceDN w:val="0"/>
              <w:adjustRightInd w:val="0"/>
              <w:snapToGrid w:val="0"/>
              <w:spacing w:line="360" w:lineRule="auto"/>
              <w:ind w:firstLine="480" w:firstLineChars="200"/>
              <w:rPr>
                <w:rFonts w:cs="宋体"/>
                <w:kern w:val="0"/>
                <w:sz w:val="24"/>
              </w:rPr>
            </w:pPr>
          </w:p>
          <w:p>
            <w:pPr>
              <w:autoSpaceDE w:val="0"/>
              <w:autoSpaceDN w:val="0"/>
              <w:adjustRightInd w:val="0"/>
              <w:snapToGrid w:val="0"/>
              <w:spacing w:line="360" w:lineRule="auto"/>
              <w:ind w:firstLine="480" w:firstLineChars="200"/>
              <w:rPr>
                <w:rFonts w:cs="宋体"/>
                <w:kern w:val="0"/>
                <w:sz w:val="24"/>
              </w:rPr>
            </w:pPr>
          </w:p>
          <w:p>
            <w:pPr>
              <w:autoSpaceDE w:val="0"/>
              <w:autoSpaceDN w:val="0"/>
              <w:adjustRightInd w:val="0"/>
              <w:snapToGrid w:val="0"/>
              <w:spacing w:line="360" w:lineRule="auto"/>
              <w:ind w:firstLine="480" w:firstLineChars="200"/>
              <w:rPr>
                <w:rFonts w:cs="宋体"/>
                <w:kern w:val="0"/>
                <w:sz w:val="24"/>
              </w:rPr>
            </w:pPr>
          </w:p>
          <w:p>
            <w:pPr>
              <w:autoSpaceDE w:val="0"/>
              <w:autoSpaceDN w:val="0"/>
              <w:adjustRightInd w:val="0"/>
              <w:snapToGrid w:val="0"/>
              <w:spacing w:line="360" w:lineRule="auto"/>
              <w:rPr>
                <w:rFonts w:cs="宋体"/>
                <w:kern w:val="0"/>
                <w:sz w:val="24"/>
              </w:rPr>
            </w:pPr>
          </w:p>
        </w:tc>
      </w:tr>
    </w:tbl>
    <w:p>
      <w:pPr>
        <w:spacing w:line="360" w:lineRule="auto"/>
        <w:outlineLvl w:val="0"/>
        <w:rPr>
          <w:sz w:val="30"/>
        </w:rPr>
        <w:sectPr>
          <w:footerReference r:id="rId3" w:type="default"/>
          <w:pgSz w:w="11906" w:h="16838"/>
          <w:pgMar w:top="1134" w:right="1247" w:bottom="1134" w:left="1247" w:header="851" w:footer="1077" w:gutter="0"/>
          <w:pgNumType w:start="1"/>
          <w:cols w:space="720" w:num="1"/>
          <w:docGrid w:linePitch="312" w:charSpace="0"/>
        </w:sectPr>
      </w:pPr>
    </w:p>
    <w:p>
      <w:pPr>
        <w:pStyle w:val="24"/>
        <w:spacing w:before="0" w:beforeAutospacing="0" w:after="0" w:afterAutospacing="0"/>
        <w:jc w:val="center"/>
        <w:outlineLvl w:val="0"/>
        <w:rPr>
          <w:rFonts w:ascii="Times New Roman" w:hAnsi="Times New Roman"/>
          <w:snapToGrid w:val="0"/>
          <w:sz w:val="30"/>
          <w:szCs w:val="30"/>
        </w:rPr>
      </w:pPr>
      <w:r>
        <w:rPr>
          <w:rFonts w:hint="eastAsia" w:ascii="Times New Roman" w:hAnsi="Times New Roman"/>
          <w:b/>
          <w:bCs/>
          <w:snapToGrid w:val="0"/>
          <w:sz w:val="28"/>
          <w:szCs w:val="28"/>
        </w:rPr>
        <w:t>二、建设项目工程分析</w:t>
      </w:r>
    </w:p>
    <w:tbl>
      <w:tblPr>
        <w:tblStyle w:val="27"/>
        <w:tblW w:w="898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23"/>
        <w:gridCol w:w="816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996" w:hRule="atLeast"/>
          <w:jc w:val="center"/>
        </w:trPr>
        <w:tc>
          <w:tcPr>
            <w:tcW w:w="823" w:type="dxa"/>
            <w:vAlign w:val="center"/>
          </w:tcPr>
          <w:p>
            <w:pPr>
              <w:pStyle w:val="24"/>
              <w:adjustRightInd w:val="0"/>
              <w:snapToGrid w:val="0"/>
              <w:spacing w:before="0" w:beforeAutospacing="0" w:after="0" w:afterAutospacing="0"/>
              <w:jc w:val="center"/>
              <w:rPr>
                <w:rFonts w:ascii="Times New Roman" w:hAnsi="Times New Roman" w:cs="宋体"/>
                <w:sz w:val="21"/>
                <w:szCs w:val="21"/>
              </w:rPr>
            </w:pPr>
            <w:r>
              <w:rPr>
                <w:rFonts w:hint="eastAsia" w:ascii="Times New Roman" w:hAnsi="Times New Roman" w:cs="宋体"/>
                <w:szCs w:val="24"/>
              </w:rPr>
              <w:t>建设内容</w:t>
            </w:r>
          </w:p>
        </w:tc>
        <w:tc>
          <w:tcPr>
            <w:tcW w:w="8161" w:type="dxa"/>
            <w:vAlign w:val="top"/>
          </w:tcPr>
          <w:p>
            <w:pPr>
              <w:spacing w:line="360" w:lineRule="auto"/>
              <w:rPr>
                <w:b/>
                <w:bCs/>
                <w:sz w:val="24"/>
              </w:rPr>
            </w:pPr>
            <w:r>
              <w:rPr>
                <w:rFonts w:hint="eastAsia"/>
                <w:b/>
                <w:bCs/>
                <w:sz w:val="24"/>
              </w:rPr>
              <w:t>2.1建设内容</w:t>
            </w:r>
          </w:p>
          <w:p>
            <w:pPr>
              <w:spacing w:line="360" w:lineRule="auto"/>
              <w:rPr>
                <w:b/>
                <w:bCs/>
                <w:sz w:val="24"/>
              </w:rPr>
            </w:pPr>
            <w:r>
              <w:rPr>
                <w:rFonts w:hint="eastAsia"/>
                <w:b/>
                <w:bCs/>
                <w:sz w:val="24"/>
              </w:rPr>
              <w:t>2.1.1项目组成及建设内容</w:t>
            </w:r>
          </w:p>
          <w:p>
            <w:pPr>
              <w:spacing w:line="360" w:lineRule="auto"/>
              <w:ind w:firstLine="528" w:firstLineChars="220"/>
              <w:rPr>
                <w:sz w:val="24"/>
              </w:rPr>
            </w:pPr>
            <w:r>
              <w:rPr>
                <w:sz w:val="24"/>
              </w:rPr>
              <w:t>本项目位于时家店乡中心校旧址，厂区中心点经纬度坐标为126度</w:t>
            </w:r>
            <w:r>
              <w:rPr>
                <w:rFonts w:hint="eastAsia"/>
                <w:sz w:val="24"/>
              </w:rPr>
              <w:t>57</w:t>
            </w:r>
            <w:r>
              <w:rPr>
                <w:sz w:val="24"/>
              </w:rPr>
              <w:t>分</w:t>
            </w:r>
            <w:r>
              <w:rPr>
                <w:rFonts w:hint="eastAsia"/>
                <w:sz w:val="24"/>
              </w:rPr>
              <w:t>45.031</w:t>
            </w:r>
            <w:r>
              <w:rPr>
                <w:sz w:val="24"/>
              </w:rPr>
              <w:t>秒，4</w:t>
            </w:r>
            <w:r>
              <w:rPr>
                <w:rFonts w:hint="eastAsia"/>
                <w:sz w:val="24"/>
              </w:rPr>
              <w:t>2</w:t>
            </w:r>
            <w:r>
              <w:rPr>
                <w:sz w:val="24"/>
              </w:rPr>
              <w:t>度</w:t>
            </w:r>
            <w:r>
              <w:rPr>
                <w:rFonts w:hint="eastAsia"/>
                <w:sz w:val="24"/>
              </w:rPr>
              <w:t>17</w:t>
            </w:r>
            <w:r>
              <w:rPr>
                <w:sz w:val="24"/>
              </w:rPr>
              <w:t>分6.</w:t>
            </w:r>
            <w:r>
              <w:rPr>
                <w:rFonts w:hint="eastAsia"/>
                <w:sz w:val="24"/>
              </w:rPr>
              <w:t>329</w:t>
            </w:r>
            <w:r>
              <w:rPr>
                <w:sz w:val="24"/>
              </w:rPr>
              <w:t>秒。东侧</w:t>
            </w:r>
            <w:r>
              <w:rPr>
                <w:rFonts w:hint="eastAsia"/>
                <w:sz w:val="24"/>
              </w:rPr>
              <w:t>10m</w:t>
            </w:r>
            <w:r>
              <w:rPr>
                <w:sz w:val="24"/>
              </w:rPr>
              <w:t>为</w:t>
            </w:r>
            <w:r>
              <w:rPr>
                <w:rFonts w:hint="eastAsia"/>
                <w:sz w:val="24"/>
              </w:rPr>
              <w:t>时家店农机</w:t>
            </w:r>
            <w:r>
              <w:rPr>
                <w:sz w:val="24"/>
              </w:rPr>
              <w:t>加油站；南侧为乡道，隔乡道</w:t>
            </w:r>
            <w:r>
              <w:rPr>
                <w:rFonts w:hint="eastAsia"/>
                <w:sz w:val="24"/>
              </w:rPr>
              <w:t>40m为一家车辆修理部</w:t>
            </w:r>
            <w:r>
              <w:rPr>
                <w:sz w:val="24"/>
              </w:rPr>
              <w:t>；西侧</w:t>
            </w:r>
            <w:r>
              <w:rPr>
                <w:rFonts w:hint="eastAsia"/>
                <w:sz w:val="24"/>
              </w:rPr>
              <w:t>15m</w:t>
            </w:r>
            <w:r>
              <w:rPr>
                <w:sz w:val="24"/>
              </w:rPr>
              <w:t>为一栋二层楼（空楼）</w:t>
            </w:r>
            <w:r>
              <w:rPr>
                <w:rFonts w:hint="eastAsia"/>
                <w:sz w:val="24"/>
              </w:rPr>
              <w:t>，二层楼西侧为时家店村</w:t>
            </w:r>
            <w:r>
              <w:rPr>
                <w:sz w:val="24"/>
              </w:rPr>
              <w:t>；北侧</w:t>
            </w:r>
            <w:r>
              <w:rPr>
                <w:rFonts w:hint="eastAsia"/>
                <w:sz w:val="24"/>
              </w:rPr>
              <w:t>7m</w:t>
            </w:r>
            <w:r>
              <w:rPr>
                <w:sz w:val="24"/>
              </w:rPr>
              <w:t>为</w:t>
            </w:r>
            <w:r>
              <w:rPr>
                <w:rFonts w:hint="eastAsia"/>
                <w:sz w:val="24"/>
              </w:rPr>
              <w:t>农田</w:t>
            </w:r>
            <w:r>
              <w:rPr>
                <w:sz w:val="24"/>
              </w:rPr>
              <w:t>；西北侧</w:t>
            </w:r>
            <w:r>
              <w:rPr>
                <w:rFonts w:hint="eastAsia"/>
                <w:sz w:val="24"/>
              </w:rPr>
              <w:t>10m</w:t>
            </w:r>
            <w:r>
              <w:rPr>
                <w:sz w:val="24"/>
              </w:rPr>
              <w:t>为时家店乡村民3户。本项目地理位置详见附图</w:t>
            </w:r>
            <w:r>
              <w:rPr>
                <w:rFonts w:hint="eastAsia"/>
                <w:sz w:val="24"/>
              </w:rPr>
              <w:t>2。</w:t>
            </w:r>
          </w:p>
          <w:p>
            <w:pPr>
              <w:spacing w:line="360" w:lineRule="auto"/>
              <w:ind w:firstLine="528" w:firstLineChars="220"/>
              <w:rPr>
                <w:szCs w:val="21"/>
              </w:rPr>
            </w:pPr>
            <w:r>
              <w:rPr>
                <w:rFonts w:hint="eastAsia"/>
                <w:sz w:val="24"/>
              </w:rPr>
              <w:t>本项目利用时家店乡中心校旧址进行建设，原址不再办学。</w:t>
            </w:r>
            <w:r>
              <w:rPr>
                <w:rFonts w:hint="eastAsia"/>
                <w:sz w:val="24"/>
                <w:u w:val="single"/>
              </w:rPr>
              <w:t>学校旧址遗留3栋建筑，均为一层建筑。本次不对遗留建筑进行拆除，仅作为仓库和办公室使用。旧址无遗留环境问题，未接到投诉。</w:t>
            </w:r>
            <w:r>
              <w:rPr>
                <w:rFonts w:hint="eastAsia"/>
                <w:sz w:val="24"/>
              </w:rPr>
              <w:t>本次在空地新建一座生产厂房、一个挡雨棚，新建一座锅炉房，仓库及办公室利用现有建筑。占地面积7186.8m</w:t>
            </w:r>
            <w:r>
              <w:rPr>
                <w:rFonts w:hint="eastAsia"/>
                <w:sz w:val="24"/>
                <w:vertAlign w:val="superscript"/>
              </w:rPr>
              <w:t>2</w:t>
            </w:r>
            <w:r>
              <w:rPr>
                <w:rFonts w:hint="eastAsia"/>
                <w:sz w:val="24"/>
              </w:rPr>
              <w:t>，建筑面积1820.6m</w:t>
            </w:r>
            <w:r>
              <w:rPr>
                <w:rFonts w:hint="eastAsia"/>
                <w:sz w:val="24"/>
                <w:vertAlign w:val="superscript"/>
              </w:rPr>
              <w:t>2</w:t>
            </w:r>
            <w:r>
              <w:rPr>
                <w:rFonts w:hint="eastAsia"/>
                <w:sz w:val="24"/>
              </w:rPr>
              <w:t>。建设真空糯玉米和生产线，年产</w:t>
            </w:r>
            <w:r>
              <w:rPr>
                <w:rFonts w:hint="eastAsia"/>
                <w:bCs/>
                <w:iCs/>
                <w:sz w:val="24"/>
              </w:rPr>
              <w:t>真空糯玉米</w:t>
            </w:r>
            <w:r>
              <w:rPr>
                <w:rFonts w:hint="eastAsia"/>
                <w:sz w:val="24"/>
              </w:rPr>
              <w:t>700万棒，主要工程组成详见下表。</w:t>
            </w:r>
          </w:p>
          <w:p>
            <w:pPr>
              <w:pStyle w:val="34"/>
              <w:adjustRightInd/>
              <w:spacing w:line="360" w:lineRule="auto"/>
              <w:jc w:val="center"/>
              <w:rPr>
                <w:bCs/>
                <w:color w:val="auto"/>
                <w:szCs w:val="32"/>
                <w:u w:val="single"/>
              </w:rPr>
            </w:pPr>
            <w:r>
              <w:rPr>
                <w:bCs/>
                <w:color w:val="auto"/>
                <w:szCs w:val="32"/>
                <w:u w:val="single"/>
              </w:rPr>
              <w:t>表</w:t>
            </w:r>
            <w:r>
              <w:rPr>
                <w:rFonts w:hint="eastAsia"/>
                <w:bCs/>
                <w:color w:val="auto"/>
                <w:szCs w:val="32"/>
                <w:u w:val="single"/>
              </w:rPr>
              <w:t>2-1</w:t>
            </w:r>
            <w:r>
              <w:rPr>
                <w:bCs/>
                <w:color w:val="auto"/>
                <w:szCs w:val="32"/>
                <w:u w:val="single"/>
              </w:rPr>
              <w:t xml:space="preserve">  项目工程组成一览表</w:t>
            </w:r>
          </w:p>
          <w:tbl>
            <w:tblPr>
              <w:tblStyle w:val="27"/>
              <w:tblW w:w="7942" w:type="dxa"/>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1061"/>
              <w:gridCol w:w="627"/>
              <w:gridCol w:w="1053"/>
              <w:gridCol w:w="3960"/>
              <w:gridCol w:w="1241"/>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061" w:type="dxa"/>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项目组成</w:t>
                  </w:r>
                </w:p>
              </w:tc>
              <w:tc>
                <w:tcPr>
                  <w:tcW w:w="1680" w:type="dxa"/>
                  <w:gridSpan w:val="2"/>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工程名称</w:t>
                  </w:r>
                </w:p>
              </w:tc>
              <w:tc>
                <w:tcPr>
                  <w:tcW w:w="3960" w:type="dxa"/>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建设规模</w:t>
                  </w:r>
                </w:p>
              </w:tc>
              <w:tc>
                <w:tcPr>
                  <w:tcW w:w="1241" w:type="dxa"/>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备注</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061" w:type="dxa"/>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主体工程</w:t>
                  </w:r>
                </w:p>
              </w:tc>
              <w:tc>
                <w:tcPr>
                  <w:tcW w:w="1680" w:type="dxa"/>
                  <w:gridSpan w:val="2"/>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生产车间</w:t>
                  </w:r>
                </w:p>
              </w:tc>
              <w:tc>
                <w:tcPr>
                  <w:tcW w:w="3960"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生产厂房建筑面积1000m</w:t>
                  </w:r>
                  <w:r>
                    <w:rPr>
                      <w:rFonts w:hint="eastAsia" w:ascii="Times New Roman" w:hAnsi="Times New Roman"/>
                      <w:szCs w:val="21"/>
                      <w:vertAlign w:val="superscript"/>
                      <w:lang w:val="en-US"/>
                    </w:rPr>
                    <w:t>2</w:t>
                  </w:r>
                  <w:r>
                    <w:rPr>
                      <w:rFonts w:hint="eastAsia" w:ascii="Times New Roman" w:hAnsi="Times New Roman"/>
                      <w:szCs w:val="21"/>
                      <w:lang w:val="en-US"/>
                    </w:rPr>
                    <w:t>，挡雨棚400m</w:t>
                  </w:r>
                  <w:r>
                    <w:rPr>
                      <w:rFonts w:hint="eastAsia" w:ascii="Times New Roman" w:hAnsi="Times New Roman"/>
                      <w:szCs w:val="21"/>
                      <w:vertAlign w:val="superscript"/>
                      <w:lang w:val="en-US"/>
                    </w:rPr>
                    <w:t>2</w:t>
                  </w:r>
                  <w:r>
                    <w:rPr>
                      <w:rFonts w:hint="eastAsia" w:ascii="Times New Roman" w:hAnsi="Times New Roman"/>
                      <w:szCs w:val="21"/>
                      <w:lang w:val="en-US"/>
                    </w:rPr>
                    <w:t>，设置</w:t>
                  </w:r>
                  <w:r>
                    <w:rPr>
                      <w:rFonts w:hint="eastAsia" w:ascii="Times New Roman" w:hAnsi="Times New Roman"/>
                      <w:bCs/>
                      <w:iCs/>
                      <w:szCs w:val="21"/>
                      <w:lang w:val="en-US"/>
                    </w:rPr>
                    <w:t>真空糯玉米</w:t>
                  </w:r>
                  <w:r>
                    <w:rPr>
                      <w:rFonts w:hint="eastAsia" w:ascii="Times New Roman" w:hAnsi="Times New Roman"/>
                      <w:szCs w:val="21"/>
                      <w:lang w:val="en-US"/>
                    </w:rPr>
                    <w:t>生产线、成品库、原料区。</w:t>
                  </w:r>
                </w:p>
              </w:tc>
              <w:tc>
                <w:tcPr>
                  <w:tcW w:w="1241"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新建</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061" w:type="dxa"/>
                  <w:vMerge w:val="restart"/>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辅助工程</w:t>
                  </w:r>
                </w:p>
              </w:tc>
              <w:tc>
                <w:tcPr>
                  <w:tcW w:w="1680" w:type="dxa"/>
                  <w:gridSpan w:val="2"/>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锅炉间</w:t>
                  </w:r>
                </w:p>
              </w:tc>
              <w:tc>
                <w:tcPr>
                  <w:tcW w:w="3960"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位于生产车间北侧，建筑面积152m</w:t>
                  </w:r>
                  <w:r>
                    <w:rPr>
                      <w:rFonts w:hint="eastAsia" w:ascii="Times New Roman" w:hAnsi="Times New Roman"/>
                      <w:szCs w:val="21"/>
                      <w:vertAlign w:val="superscript"/>
                      <w:lang w:val="en-US"/>
                    </w:rPr>
                    <w:t>2</w:t>
                  </w:r>
                  <w:r>
                    <w:rPr>
                      <w:rFonts w:hint="eastAsia" w:ascii="Times New Roman" w:hAnsi="Times New Roman"/>
                      <w:szCs w:val="21"/>
                      <w:lang w:val="en-US"/>
                    </w:rPr>
                    <w:t>，内置一台2.5t/h燃生物质锅炉，设置生物质暂存区和灰渣间。</w:t>
                  </w:r>
                </w:p>
              </w:tc>
              <w:tc>
                <w:tcPr>
                  <w:tcW w:w="1241" w:type="dxa"/>
                  <w:tcBorders>
                    <w:tl2br w:val="nil"/>
                    <w:tr2bl w:val="nil"/>
                  </w:tcBorders>
                  <w:vAlign w:val="center"/>
                </w:tcPr>
                <w:p>
                  <w:pPr>
                    <w:autoSpaceDE w:val="0"/>
                    <w:autoSpaceDN w:val="0"/>
                    <w:jc w:val="center"/>
                    <w:rPr>
                      <w:szCs w:val="21"/>
                    </w:rPr>
                  </w:pPr>
                  <w:r>
                    <w:rPr>
                      <w:rFonts w:hint="eastAsia"/>
                      <w:szCs w:val="21"/>
                    </w:rPr>
                    <w:t>新建</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061" w:type="dxa"/>
                  <w:vMerge w:val="continue"/>
                  <w:tcBorders>
                    <w:tl2br w:val="nil"/>
                    <w:tr2bl w:val="nil"/>
                  </w:tcBorders>
                  <w:vAlign w:val="center"/>
                </w:tcPr>
                <w:p>
                  <w:pPr>
                    <w:autoSpaceDE w:val="0"/>
                    <w:autoSpaceDN w:val="0"/>
                    <w:jc w:val="center"/>
                    <w:rPr>
                      <w:szCs w:val="21"/>
                    </w:rPr>
                  </w:pPr>
                </w:p>
              </w:tc>
              <w:tc>
                <w:tcPr>
                  <w:tcW w:w="1680" w:type="dxa"/>
                  <w:gridSpan w:val="2"/>
                  <w:tcBorders>
                    <w:tl2br w:val="nil"/>
                    <w:tr2bl w:val="nil"/>
                  </w:tcBorders>
                  <w:vAlign w:val="center"/>
                </w:tcPr>
                <w:p>
                  <w:pPr>
                    <w:pStyle w:val="54"/>
                    <w:autoSpaceDE w:val="0"/>
                    <w:autoSpaceDN w:val="0"/>
                    <w:rPr>
                      <w:rFonts w:ascii="Times New Roman" w:hAnsi="Times New Roman"/>
                      <w:szCs w:val="21"/>
                      <w:lang w:val="en-US"/>
                    </w:rPr>
                  </w:pPr>
                  <w:r>
                    <w:rPr>
                      <w:rFonts w:ascii="Times New Roman" w:hAnsi="Times New Roman"/>
                      <w:szCs w:val="21"/>
                    </w:rPr>
                    <w:t>办公</w:t>
                  </w:r>
                  <w:r>
                    <w:rPr>
                      <w:rFonts w:hint="eastAsia" w:ascii="Times New Roman" w:hAnsi="Times New Roman"/>
                      <w:szCs w:val="21"/>
                      <w:lang w:val="en-US"/>
                    </w:rPr>
                    <w:t>区</w:t>
                  </w:r>
                </w:p>
              </w:tc>
              <w:tc>
                <w:tcPr>
                  <w:tcW w:w="3960"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利用学校现有办公室，</w:t>
                  </w:r>
                  <w:r>
                    <w:rPr>
                      <w:rFonts w:ascii="Times New Roman" w:hAnsi="Times New Roman"/>
                      <w:szCs w:val="21"/>
                    </w:rPr>
                    <w:t>建筑面积</w:t>
                  </w:r>
                  <w:r>
                    <w:rPr>
                      <w:rFonts w:hint="eastAsia" w:ascii="Times New Roman" w:hAnsi="Times New Roman"/>
                      <w:szCs w:val="21"/>
                      <w:lang w:val="en-US"/>
                    </w:rPr>
                    <w:t>418.6</w:t>
                  </w:r>
                  <w:r>
                    <w:rPr>
                      <w:rFonts w:ascii="Times New Roman" w:hAnsi="Times New Roman"/>
                      <w:szCs w:val="21"/>
                    </w:rPr>
                    <w:t>m</w:t>
                  </w:r>
                  <w:r>
                    <w:rPr>
                      <w:rFonts w:ascii="Times New Roman" w:hAnsi="Times New Roman"/>
                      <w:szCs w:val="21"/>
                      <w:vertAlign w:val="superscript"/>
                    </w:rPr>
                    <w:t>2</w:t>
                  </w:r>
                </w:p>
              </w:tc>
              <w:tc>
                <w:tcPr>
                  <w:tcW w:w="1241" w:type="dxa"/>
                  <w:tcBorders>
                    <w:tl2br w:val="nil"/>
                    <w:tr2bl w:val="nil"/>
                  </w:tcBorders>
                  <w:vAlign w:val="center"/>
                </w:tcPr>
                <w:p>
                  <w:pPr>
                    <w:autoSpaceDE w:val="0"/>
                    <w:autoSpaceDN w:val="0"/>
                    <w:jc w:val="center"/>
                    <w:rPr>
                      <w:szCs w:val="21"/>
                    </w:rPr>
                  </w:pPr>
                  <w:r>
                    <w:rPr>
                      <w:rFonts w:hint="eastAsia"/>
                      <w:szCs w:val="21"/>
                    </w:rPr>
                    <w:t>依托现有</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1061" w:type="dxa"/>
                  <w:vMerge w:val="restart"/>
                  <w:tcBorders>
                    <w:tl2br w:val="nil"/>
                    <w:tr2bl w:val="nil"/>
                  </w:tcBorders>
                  <w:vAlign w:val="center"/>
                </w:tcPr>
                <w:p>
                  <w:pPr>
                    <w:autoSpaceDE w:val="0"/>
                    <w:autoSpaceDN w:val="0"/>
                    <w:jc w:val="center"/>
                    <w:rPr>
                      <w:szCs w:val="21"/>
                    </w:rPr>
                  </w:pPr>
                  <w:r>
                    <w:rPr>
                      <w:rFonts w:hint="eastAsia"/>
                      <w:szCs w:val="21"/>
                    </w:rPr>
                    <w:t>储运工程</w:t>
                  </w:r>
                </w:p>
              </w:tc>
              <w:tc>
                <w:tcPr>
                  <w:tcW w:w="1680" w:type="dxa"/>
                  <w:gridSpan w:val="2"/>
                  <w:tcBorders>
                    <w:bottom w:val="single" w:color="000000" w:sz="4" w:space="0"/>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库房1</w:t>
                  </w:r>
                </w:p>
              </w:tc>
              <w:tc>
                <w:tcPr>
                  <w:tcW w:w="3960" w:type="dxa"/>
                  <w:tcBorders>
                    <w:bottom w:val="single" w:color="000000" w:sz="4" w:space="0"/>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利用厂内原有教室，位于厂区北侧，建筑面积528㎡。设置危废间一间，占地面积5㎡。</w:t>
                  </w:r>
                </w:p>
              </w:tc>
              <w:tc>
                <w:tcPr>
                  <w:tcW w:w="1241" w:type="dxa"/>
                  <w:tcBorders>
                    <w:bottom w:val="single" w:color="000000" w:sz="4" w:space="0"/>
                  </w:tcBorders>
                  <w:vAlign w:val="center"/>
                </w:tcPr>
                <w:p>
                  <w:pPr>
                    <w:autoSpaceDE w:val="0"/>
                    <w:autoSpaceDN w:val="0"/>
                    <w:jc w:val="center"/>
                    <w:rPr>
                      <w:szCs w:val="21"/>
                    </w:rPr>
                  </w:pPr>
                  <w:r>
                    <w:rPr>
                      <w:rFonts w:hint="eastAsia"/>
                      <w:szCs w:val="21"/>
                    </w:rPr>
                    <w:t>依托现有</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1061" w:type="dxa"/>
                  <w:vMerge w:val="continue"/>
                  <w:tcBorders>
                    <w:tl2br w:val="nil"/>
                    <w:tr2bl w:val="nil"/>
                  </w:tcBorders>
                  <w:vAlign w:val="center"/>
                </w:tcPr>
                <w:p>
                  <w:pPr>
                    <w:autoSpaceDE w:val="0"/>
                    <w:autoSpaceDN w:val="0"/>
                    <w:jc w:val="center"/>
                    <w:rPr>
                      <w:szCs w:val="21"/>
                    </w:rPr>
                  </w:pPr>
                </w:p>
              </w:tc>
              <w:tc>
                <w:tcPr>
                  <w:tcW w:w="1680" w:type="dxa"/>
                  <w:gridSpan w:val="2"/>
                  <w:tcBorders>
                    <w:top w:val="single" w:color="000000" w:sz="4" w:space="0"/>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库房2</w:t>
                  </w:r>
                </w:p>
              </w:tc>
              <w:tc>
                <w:tcPr>
                  <w:tcW w:w="3960" w:type="dxa"/>
                  <w:tcBorders>
                    <w:top w:val="single" w:color="000000" w:sz="4" w:space="0"/>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利用原有仓库，位于厂区东侧，建筑面积197.2㎡。</w:t>
                  </w:r>
                </w:p>
              </w:tc>
              <w:tc>
                <w:tcPr>
                  <w:tcW w:w="1241" w:type="dxa"/>
                  <w:tcBorders>
                    <w:top w:val="single" w:color="000000" w:sz="4" w:space="0"/>
                  </w:tcBorders>
                  <w:vAlign w:val="center"/>
                </w:tcPr>
                <w:p>
                  <w:pPr>
                    <w:autoSpaceDE w:val="0"/>
                    <w:autoSpaceDN w:val="0"/>
                    <w:jc w:val="center"/>
                    <w:rPr>
                      <w:szCs w:val="21"/>
                    </w:rPr>
                  </w:pPr>
                  <w:r>
                    <w:rPr>
                      <w:rFonts w:hint="eastAsia"/>
                      <w:szCs w:val="21"/>
                    </w:rPr>
                    <w:t>依托现有</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51" w:hRule="atLeast"/>
              </w:trPr>
              <w:tc>
                <w:tcPr>
                  <w:tcW w:w="1061" w:type="dxa"/>
                  <w:vMerge w:val="continue"/>
                  <w:tcBorders>
                    <w:tl2br w:val="nil"/>
                    <w:tr2bl w:val="nil"/>
                  </w:tcBorders>
                  <w:vAlign w:val="center"/>
                </w:tcPr>
                <w:p>
                  <w:pPr>
                    <w:autoSpaceDE w:val="0"/>
                    <w:autoSpaceDN w:val="0"/>
                    <w:jc w:val="center"/>
                    <w:rPr>
                      <w:szCs w:val="21"/>
                    </w:rPr>
                  </w:pPr>
                </w:p>
              </w:tc>
              <w:tc>
                <w:tcPr>
                  <w:tcW w:w="1680" w:type="dxa"/>
                  <w:gridSpan w:val="2"/>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rPr>
                    <w:t>原料</w:t>
                  </w:r>
                  <w:r>
                    <w:rPr>
                      <w:rFonts w:hint="eastAsia" w:ascii="Times New Roman" w:hAnsi="Times New Roman"/>
                      <w:szCs w:val="21"/>
                      <w:lang w:val="en-US"/>
                    </w:rPr>
                    <w:t>区</w:t>
                  </w:r>
                </w:p>
              </w:tc>
              <w:tc>
                <w:tcPr>
                  <w:tcW w:w="3960"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位于生产车间内，</w:t>
                  </w:r>
                  <w:r>
                    <w:rPr>
                      <w:rFonts w:hint="eastAsia" w:ascii="Times New Roman" w:hAnsi="Times New Roman"/>
                      <w:szCs w:val="21"/>
                    </w:rPr>
                    <w:t>用于</w:t>
                  </w:r>
                  <w:r>
                    <w:rPr>
                      <w:rFonts w:hint="eastAsia" w:ascii="Times New Roman" w:hAnsi="Times New Roman"/>
                      <w:szCs w:val="21"/>
                      <w:lang w:val="en-US"/>
                    </w:rPr>
                    <w:t>存</w:t>
                  </w:r>
                  <w:r>
                    <w:rPr>
                      <w:rFonts w:hint="eastAsia" w:ascii="Times New Roman" w:hAnsi="Times New Roman"/>
                      <w:szCs w:val="21"/>
                    </w:rPr>
                    <w:t>放未加工玉米棒；</w:t>
                  </w:r>
                </w:p>
              </w:tc>
              <w:tc>
                <w:tcPr>
                  <w:tcW w:w="1241" w:type="dxa"/>
                  <w:tcBorders>
                    <w:tl2br w:val="nil"/>
                    <w:tr2bl w:val="nil"/>
                  </w:tcBorders>
                  <w:vAlign w:val="center"/>
                </w:tcPr>
                <w:p>
                  <w:pPr>
                    <w:autoSpaceDE w:val="0"/>
                    <w:autoSpaceDN w:val="0"/>
                    <w:jc w:val="center"/>
                    <w:rPr>
                      <w:szCs w:val="21"/>
                    </w:rPr>
                  </w:pPr>
                  <w:r>
                    <w:rPr>
                      <w:rFonts w:hint="eastAsia"/>
                      <w:szCs w:val="21"/>
                    </w:rPr>
                    <w:t>新建</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061" w:type="dxa"/>
                  <w:vMerge w:val="restart"/>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公用工程</w:t>
                  </w:r>
                </w:p>
              </w:tc>
              <w:tc>
                <w:tcPr>
                  <w:tcW w:w="1680" w:type="dxa"/>
                  <w:gridSpan w:val="2"/>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给水</w:t>
                  </w:r>
                </w:p>
              </w:tc>
              <w:tc>
                <w:tcPr>
                  <w:tcW w:w="3960" w:type="dxa"/>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厂区深水井</w:t>
                  </w:r>
                </w:p>
              </w:tc>
              <w:tc>
                <w:tcPr>
                  <w:tcW w:w="1241"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依托现有</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061" w:type="dxa"/>
                  <w:vMerge w:val="continue"/>
                  <w:tcBorders>
                    <w:tl2br w:val="nil"/>
                    <w:tr2bl w:val="nil"/>
                  </w:tcBorders>
                  <w:vAlign w:val="center"/>
                </w:tcPr>
                <w:p>
                  <w:pPr>
                    <w:autoSpaceDE w:val="0"/>
                    <w:autoSpaceDN w:val="0"/>
                    <w:jc w:val="center"/>
                    <w:rPr>
                      <w:szCs w:val="21"/>
                    </w:rPr>
                  </w:pPr>
                </w:p>
              </w:tc>
              <w:tc>
                <w:tcPr>
                  <w:tcW w:w="1680" w:type="dxa"/>
                  <w:gridSpan w:val="2"/>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排水</w:t>
                  </w:r>
                </w:p>
              </w:tc>
              <w:tc>
                <w:tcPr>
                  <w:tcW w:w="3960" w:type="dxa"/>
                  <w:tcBorders>
                    <w:tl2br w:val="nil"/>
                    <w:tr2bl w:val="nil"/>
                  </w:tcBorders>
                  <w:vAlign w:val="center"/>
                </w:tcPr>
                <w:p>
                  <w:pPr>
                    <w:widowControl/>
                    <w:jc w:val="left"/>
                    <w:rPr>
                      <w:szCs w:val="21"/>
                    </w:rPr>
                  </w:pPr>
                  <w:r>
                    <w:rPr>
                      <w:rFonts w:hint="eastAsia" w:ascii="宋体" w:hAnsi="宋体" w:cs="宋体"/>
                    </w:rPr>
                    <w:t>项目生活污水排入防渗旱厕，定期清掏做农肥。地面清洁废水全部消耗，高温灭菌废水循环利用不外排，设备清洗废水、浸泡废水排入自建沉淀池，定期外运养殖场，不外排。锅炉排水用于园区降尘及灰渣调湿；</w:t>
                  </w:r>
                </w:p>
              </w:tc>
              <w:tc>
                <w:tcPr>
                  <w:tcW w:w="1241"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061" w:type="dxa"/>
                  <w:vMerge w:val="continue"/>
                  <w:tcBorders>
                    <w:tl2br w:val="nil"/>
                    <w:tr2bl w:val="nil"/>
                  </w:tcBorders>
                  <w:vAlign w:val="center"/>
                </w:tcPr>
                <w:p>
                  <w:pPr>
                    <w:autoSpaceDE w:val="0"/>
                    <w:autoSpaceDN w:val="0"/>
                    <w:jc w:val="center"/>
                    <w:rPr>
                      <w:szCs w:val="21"/>
                    </w:rPr>
                  </w:pPr>
                </w:p>
              </w:tc>
              <w:tc>
                <w:tcPr>
                  <w:tcW w:w="1680" w:type="dxa"/>
                  <w:gridSpan w:val="2"/>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供电</w:t>
                  </w:r>
                </w:p>
              </w:tc>
              <w:tc>
                <w:tcPr>
                  <w:tcW w:w="3960" w:type="dxa"/>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电网供给</w:t>
                  </w:r>
                </w:p>
              </w:tc>
              <w:tc>
                <w:tcPr>
                  <w:tcW w:w="1241" w:type="dxa"/>
                  <w:tcBorders>
                    <w:tl2br w:val="nil"/>
                    <w:tr2bl w:val="nil"/>
                  </w:tcBorders>
                  <w:vAlign w:val="center"/>
                </w:tcPr>
                <w:p>
                  <w:pPr>
                    <w:pStyle w:val="54"/>
                    <w:autoSpaceDE w:val="0"/>
                    <w:autoSpaceDN w:val="0"/>
                    <w:rPr>
                      <w:rFonts w:ascii="Times New Roman" w:hAnsi="Times New Roman"/>
                      <w:szCs w:val="21"/>
                    </w:rPr>
                  </w:pPr>
                  <w:r>
                    <w:rPr>
                      <w:rFonts w:hint="eastAsia" w:ascii="Times New Roman" w:hAnsi="Times New Roman"/>
                      <w:szCs w:val="21"/>
                      <w:lang w:val="en-US"/>
                    </w:rPr>
                    <w:t>依托现有</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061" w:type="dxa"/>
                  <w:vMerge w:val="continue"/>
                  <w:tcBorders>
                    <w:tl2br w:val="nil"/>
                    <w:tr2bl w:val="nil"/>
                  </w:tcBorders>
                  <w:vAlign w:val="center"/>
                </w:tcPr>
                <w:p>
                  <w:pPr>
                    <w:autoSpaceDE w:val="0"/>
                    <w:autoSpaceDN w:val="0"/>
                    <w:jc w:val="center"/>
                    <w:rPr>
                      <w:szCs w:val="21"/>
                    </w:rPr>
                  </w:pPr>
                </w:p>
              </w:tc>
              <w:tc>
                <w:tcPr>
                  <w:tcW w:w="1680" w:type="dxa"/>
                  <w:gridSpan w:val="2"/>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供暖</w:t>
                  </w:r>
                </w:p>
              </w:tc>
              <w:tc>
                <w:tcPr>
                  <w:tcW w:w="3960"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冬季不生产，生产用蒸汽由燃生物质锅炉供应。</w:t>
                  </w:r>
                </w:p>
              </w:tc>
              <w:tc>
                <w:tcPr>
                  <w:tcW w:w="1241" w:type="dxa"/>
                  <w:tcBorders>
                    <w:tl2br w:val="nil"/>
                    <w:tr2bl w:val="nil"/>
                  </w:tcBorders>
                  <w:vAlign w:val="center"/>
                </w:tcPr>
                <w:p>
                  <w:pPr>
                    <w:pStyle w:val="54"/>
                    <w:autoSpaceDE w:val="0"/>
                    <w:autoSpaceDN w:val="0"/>
                    <w:rPr>
                      <w:rFonts w:ascii="Times New Roman" w:hAnsi="Times New Roman"/>
                      <w:szCs w:val="21"/>
                    </w:rPr>
                  </w:pPr>
                  <w:r>
                    <w:rPr>
                      <w:rFonts w:hint="eastAsia" w:ascii="Times New Roman" w:hAnsi="Times New Roman"/>
                      <w:szCs w:val="21"/>
                      <w:lang w:val="en-US"/>
                    </w:rPr>
                    <w:t>新建</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1061" w:type="dxa"/>
                  <w:vMerge w:val="restart"/>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环保工程</w:t>
                  </w:r>
                </w:p>
              </w:tc>
              <w:tc>
                <w:tcPr>
                  <w:tcW w:w="1680" w:type="dxa"/>
                  <w:gridSpan w:val="2"/>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废水</w:t>
                  </w:r>
                </w:p>
              </w:tc>
              <w:tc>
                <w:tcPr>
                  <w:tcW w:w="3960" w:type="dxa"/>
                  <w:tcBorders>
                    <w:tl2br w:val="nil"/>
                    <w:tr2bl w:val="nil"/>
                  </w:tcBorders>
                  <w:vAlign w:val="center"/>
                </w:tcPr>
                <w:p>
                  <w:pPr>
                    <w:pStyle w:val="54"/>
                    <w:autoSpaceDE w:val="0"/>
                    <w:autoSpaceDN w:val="0"/>
                    <w:rPr>
                      <w:szCs w:val="21"/>
                      <w:lang w:val="en-US"/>
                    </w:rPr>
                  </w:pPr>
                  <w:r>
                    <w:rPr>
                      <w:rFonts w:hint="eastAsia"/>
                    </w:rPr>
                    <w:t>项目</w:t>
                  </w:r>
                  <w:r>
                    <w:rPr>
                      <w:rFonts w:hint="eastAsia"/>
                      <w:lang w:val="en-US"/>
                    </w:rPr>
                    <w:t>生活污水排入防渗旱厕，定期清掏做农肥。地面清洁废水全部消耗，高温灭菌废水循环利用不外排，设备清洗废水、浸泡废水排入自建沉淀池，定期外运养殖场，不外排。锅炉排水用于园区降尘及灰渣调湿</w:t>
                  </w:r>
                  <w:r>
                    <w:rPr>
                      <w:rFonts w:hint="eastAsia"/>
                    </w:rPr>
                    <w:t>；</w:t>
                  </w:r>
                  <w:r>
                    <w:rPr>
                      <w:rFonts w:hint="eastAsia"/>
                      <w:lang w:val="en-US"/>
                    </w:rPr>
                    <w:t>新建沉淀池容积为21m³（4m*3.5m*1.5m）。</w:t>
                  </w:r>
                </w:p>
              </w:tc>
              <w:tc>
                <w:tcPr>
                  <w:tcW w:w="1241"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新建</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1061" w:type="dxa"/>
                  <w:vMerge w:val="continue"/>
                  <w:tcBorders>
                    <w:tl2br w:val="nil"/>
                    <w:tr2bl w:val="nil"/>
                  </w:tcBorders>
                  <w:vAlign w:val="center"/>
                </w:tcPr>
                <w:p>
                  <w:pPr>
                    <w:autoSpaceDE w:val="0"/>
                    <w:autoSpaceDN w:val="0"/>
                    <w:jc w:val="center"/>
                    <w:rPr>
                      <w:szCs w:val="21"/>
                    </w:rPr>
                  </w:pPr>
                </w:p>
              </w:tc>
              <w:tc>
                <w:tcPr>
                  <w:tcW w:w="627" w:type="dxa"/>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废气</w:t>
                  </w:r>
                </w:p>
              </w:tc>
              <w:tc>
                <w:tcPr>
                  <w:tcW w:w="1053" w:type="dxa"/>
                  <w:tcBorders>
                    <w:bottom w:val="single" w:color="auto" w:sz="4" w:space="0"/>
                    <w:tl2br w:val="nil"/>
                    <w:tr2bl w:val="nil"/>
                  </w:tcBorders>
                  <w:vAlign w:val="center"/>
                </w:tcPr>
                <w:p>
                  <w:pPr>
                    <w:pStyle w:val="54"/>
                    <w:autoSpaceDE w:val="0"/>
                    <w:autoSpaceDN w:val="0"/>
                    <w:rPr>
                      <w:rFonts w:ascii="Times New Roman" w:hAnsi="Times New Roman"/>
                      <w:szCs w:val="21"/>
                    </w:rPr>
                  </w:pPr>
                  <w:r>
                    <w:rPr>
                      <w:rFonts w:hint="eastAsia" w:ascii="Times New Roman" w:hAnsi="Times New Roman"/>
                      <w:szCs w:val="21"/>
                      <w:lang w:val="en-US"/>
                    </w:rPr>
                    <w:t>锅炉</w:t>
                  </w:r>
                  <w:r>
                    <w:rPr>
                      <w:rFonts w:ascii="Times New Roman" w:hAnsi="Times New Roman"/>
                      <w:szCs w:val="21"/>
                    </w:rPr>
                    <w:t>烟气</w:t>
                  </w:r>
                </w:p>
              </w:tc>
              <w:tc>
                <w:tcPr>
                  <w:tcW w:w="3960" w:type="dxa"/>
                  <w:tcBorders>
                    <w:bottom w:val="single" w:color="auto" w:sz="4" w:space="0"/>
                    <w:tl2br w:val="nil"/>
                    <w:tr2bl w:val="nil"/>
                  </w:tcBorders>
                  <w:vAlign w:val="center"/>
                </w:tcPr>
                <w:p>
                  <w:pPr>
                    <w:pStyle w:val="54"/>
                    <w:autoSpaceDE w:val="0"/>
                    <w:autoSpaceDN w:val="0"/>
                    <w:rPr>
                      <w:szCs w:val="21"/>
                    </w:rPr>
                  </w:pPr>
                  <w:r>
                    <w:rPr>
                      <w:rFonts w:hint="eastAsia"/>
                      <w:szCs w:val="21"/>
                    </w:rPr>
                    <w:t>布袋除尘器处理，</w:t>
                  </w:r>
                  <w:r>
                    <w:rPr>
                      <w:rFonts w:hint="eastAsia"/>
                      <w:szCs w:val="21"/>
                      <w:lang w:val="en-US"/>
                    </w:rPr>
                    <w:t>30</w:t>
                  </w:r>
                  <w:r>
                    <w:rPr>
                      <w:rFonts w:hint="eastAsia"/>
                      <w:szCs w:val="21"/>
                    </w:rPr>
                    <w:t>m高排气筒</w:t>
                  </w:r>
                  <w:r>
                    <w:rPr>
                      <w:rFonts w:hint="eastAsia"/>
                      <w:szCs w:val="21"/>
                      <w:lang w:val="en-US"/>
                    </w:rPr>
                    <w:t>DA001</w:t>
                  </w:r>
                  <w:r>
                    <w:rPr>
                      <w:rFonts w:hint="eastAsia"/>
                      <w:szCs w:val="21"/>
                    </w:rPr>
                    <w:t>。</w:t>
                  </w:r>
                </w:p>
              </w:tc>
              <w:tc>
                <w:tcPr>
                  <w:tcW w:w="1241" w:type="dxa"/>
                  <w:tcBorders>
                    <w:bottom w:val="single" w:color="auto" w:sz="4" w:space="0"/>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新建</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51" w:hRule="atLeast"/>
              </w:trPr>
              <w:tc>
                <w:tcPr>
                  <w:tcW w:w="1061" w:type="dxa"/>
                  <w:vMerge w:val="continue"/>
                  <w:tcBorders>
                    <w:tl2br w:val="nil"/>
                    <w:tr2bl w:val="nil"/>
                  </w:tcBorders>
                  <w:vAlign w:val="center"/>
                </w:tcPr>
                <w:p>
                  <w:pPr>
                    <w:autoSpaceDE w:val="0"/>
                    <w:autoSpaceDN w:val="0"/>
                    <w:jc w:val="center"/>
                    <w:rPr>
                      <w:szCs w:val="21"/>
                    </w:rPr>
                  </w:pPr>
                </w:p>
              </w:tc>
              <w:tc>
                <w:tcPr>
                  <w:tcW w:w="1680" w:type="dxa"/>
                  <w:gridSpan w:val="2"/>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噪声</w:t>
                  </w:r>
                </w:p>
              </w:tc>
              <w:tc>
                <w:tcPr>
                  <w:tcW w:w="3960" w:type="dxa"/>
                  <w:tcBorders>
                    <w:tl2br w:val="nil"/>
                    <w:tr2bl w:val="nil"/>
                  </w:tcBorders>
                  <w:vAlign w:val="center"/>
                </w:tcPr>
                <w:p>
                  <w:pPr>
                    <w:pStyle w:val="54"/>
                    <w:autoSpaceDE w:val="0"/>
                    <w:autoSpaceDN w:val="0"/>
                    <w:rPr>
                      <w:szCs w:val="21"/>
                    </w:rPr>
                  </w:pPr>
                  <w:r>
                    <w:rPr>
                      <w:rFonts w:hint="eastAsia"/>
                      <w:szCs w:val="21"/>
                    </w:rPr>
                    <w:t>采用隔音、减震、消声等措施</w:t>
                  </w:r>
                </w:p>
              </w:tc>
              <w:tc>
                <w:tcPr>
                  <w:tcW w:w="1241" w:type="dxa"/>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新建</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52" w:hRule="atLeast"/>
              </w:trPr>
              <w:tc>
                <w:tcPr>
                  <w:tcW w:w="1061" w:type="dxa"/>
                  <w:vMerge w:val="continue"/>
                  <w:tcBorders>
                    <w:tl2br w:val="nil"/>
                    <w:tr2bl w:val="nil"/>
                  </w:tcBorders>
                  <w:vAlign w:val="center"/>
                </w:tcPr>
                <w:p>
                  <w:pPr>
                    <w:autoSpaceDE w:val="0"/>
                    <w:autoSpaceDN w:val="0"/>
                    <w:jc w:val="center"/>
                    <w:rPr>
                      <w:szCs w:val="21"/>
                    </w:rPr>
                  </w:pPr>
                </w:p>
              </w:tc>
              <w:tc>
                <w:tcPr>
                  <w:tcW w:w="627" w:type="dxa"/>
                  <w:vMerge w:val="restart"/>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固体废物</w:t>
                  </w:r>
                </w:p>
              </w:tc>
              <w:tc>
                <w:tcPr>
                  <w:tcW w:w="1053" w:type="dxa"/>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灰渣</w:t>
                  </w:r>
                </w:p>
              </w:tc>
              <w:tc>
                <w:tcPr>
                  <w:tcW w:w="3960" w:type="dxa"/>
                  <w:vMerge w:val="restart"/>
                  <w:tcBorders>
                    <w:tl2br w:val="nil"/>
                    <w:tr2bl w:val="nil"/>
                  </w:tcBorders>
                  <w:vAlign w:val="center"/>
                </w:tcPr>
                <w:p>
                  <w:pPr>
                    <w:pStyle w:val="54"/>
                    <w:autoSpaceDE w:val="0"/>
                    <w:autoSpaceDN w:val="0"/>
                    <w:rPr>
                      <w:rFonts w:ascii="Times New Roman" w:hAnsi="Times New Roman"/>
                      <w:szCs w:val="21"/>
                    </w:rPr>
                  </w:pPr>
                  <w:r>
                    <w:rPr>
                      <w:rFonts w:hint="eastAsia" w:ascii="Times New Roman" w:hAnsi="Times New Roman"/>
                      <w:szCs w:val="21"/>
                      <w:u w:val="single"/>
                      <w:lang w:val="en-US"/>
                    </w:rPr>
                    <w:t>袋装收集后</w:t>
                  </w:r>
                  <w:r>
                    <w:rPr>
                      <w:rFonts w:ascii="Times New Roman" w:hAnsi="Times New Roman"/>
                      <w:szCs w:val="21"/>
                      <w:u w:val="single"/>
                    </w:rPr>
                    <w:t>暂存于</w:t>
                  </w:r>
                  <w:r>
                    <w:rPr>
                      <w:rFonts w:hint="eastAsia" w:ascii="Times New Roman" w:hAnsi="Times New Roman"/>
                      <w:szCs w:val="21"/>
                      <w:u w:val="single"/>
                      <w:lang w:val="en-US"/>
                    </w:rPr>
                    <w:t>锅炉房灰渣间，外售有机肥厂。</w:t>
                  </w:r>
                </w:p>
              </w:tc>
              <w:tc>
                <w:tcPr>
                  <w:tcW w:w="1241" w:type="dxa"/>
                  <w:vMerge w:val="restart"/>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1061" w:type="dxa"/>
                  <w:vMerge w:val="continue"/>
                  <w:tcBorders>
                    <w:tl2br w:val="nil"/>
                    <w:tr2bl w:val="nil"/>
                  </w:tcBorders>
                  <w:vAlign w:val="center"/>
                </w:tcPr>
                <w:p>
                  <w:pPr>
                    <w:autoSpaceDE w:val="0"/>
                    <w:autoSpaceDN w:val="0"/>
                    <w:jc w:val="center"/>
                    <w:rPr>
                      <w:szCs w:val="21"/>
                    </w:rPr>
                  </w:pPr>
                </w:p>
              </w:tc>
              <w:tc>
                <w:tcPr>
                  <w:tcW w:w="627" w:type="dxa"/>
                  <w:vMerge w:val="continue"/>
                  <w:tcBorders>
                    <w:tl2br w:val="nil"/>
                    <w:tr2bl w:val="nil"/>
                  </w:tcBorders>
                  <w:vAlign w:val="center"/>
                </w:tcPr>
                <w:p>
                  <w:pPr>
                    <w:pStyle w:val="54"/>
                    <w:autoSpaceDE w:val="0"/>
                    <w:autoSpaceDN w:val="0"/>
                    <w:rPr>
                      <w:rFonts w:ascii="Times New Roman" w:hAnsi="Times New Roman"/>
                      <w:szCs w:val="21"/>
                    </w:rPr>
                  </w:pPr>
                </w:p>
              </w:tc>
              <w:tc>
                <w:tcPr>
                  <w:tcW w:w="1053" w:type="dxa"/>
                  <w:tcBorders>
                    <w:bottom w:val="single" w:color="auto" w:sz="4" w:space="0"/>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布袋除尘器收集灰</w:t>
                  </w:r>
                </w:p>
              </w:tc>
              <w:tc>
                <w:tcPr>
                  <w:tcW w:w="3960" w:type="dxa"/>
                  <w:vMerge w:val="continue"/>
                  <w:tcBorders>
                    <w:bottom w:val="single" w:color="auto" w:sz="4" w:space="0"/>
                    <w:tl2br w:val="nil"/>
                    <w:tr2bl w:val="nil"/>
                  </w:tcBorders>
                  <w:vAlign w:val="center"/>
                </w:tcPr>
                <w:p>
                  <w:pPr>
                    <w:pStyle w:val="54"/>
                    <w:autoSpaceDE w:val="0"/>
                    <w:autoSpaceDN w:val="0"/>
                    <w:rPr>
                      <w:rFonts w:ascii="Times New Roman" w:hAnsi="Times New Roman"/>
                      <w:szCs w:val="21"/>
                      <w:lang w:val="en-US"/>
                    </w:rPr>
                  </w:pPr>
                </w:p>
              </w:tc>
              <w:tc>
                <w:tcPr>
                  <w:tcW w:w="1241" w:type="dxa"/>
                  <w:vMerge w:val="continue"/>
                  <w:tcBorders>
                    <w:tl2br w:val="nil"/>
                    <w:tr2bl w:val="nil"/>
                  </w:tcBorders>
                  <w:vAlign w:val="center"/>
                </w:tcPr>
                <w:p>
                  <w:pPr>
                    <w:pStyle w:val="54"/>
                    <w:autoSpaceDE w:val="0"/>
                    <w:autoSpaceDN w:val="0"/>
                    <w:rPr>
                      <w:rFonts w:ascii="Times New Roman" w:hAnsi="Times New Roman"/>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061" w:type="dxa"/>
                  <w:vMerge w:val="continue"/>
                  <w:tcBorders>
                    <w:tl2br w:val="nil"/>
                    <w:tr2bl w:val="nil"/>
                  </w:tcBorders>
                  <w:vAlign w:val="center"/>
                </w:tcPr>
                <w:p>
                  <w:pPr>
                    <w:autoSpaceDE w:val="0"/>
                    <w:autoSpaceDN w:val="0"/>
                    <w:jc w:val="center"/>
                    <w:rPr>
                      <w:szCs w:val="21"/>
                    </w:rPr>
                  </w:pPr>
                </w:p>
              </w:tc>
              <w:tc>
                <w:tcPr>
                  <w:tcW w:w="627" w:type="dxa"/>
                  <w:vMerge w:val="continue"/>
                  <w:tcBorders>
                    <w:tl2br w:val="nil"/>
                    <w:tr2bl w:val="nil"/>
                  </w:tcBorders>
                  <w:vAlign w:val="center"/>
                </w:tcPr>
                <w:p>
                  <w:pPr>
                    <w:pStyle w:val="54"/>
                    <w:autoSpaceDE w:val="0"/>
                    <w:autoSpaceDN w:val="0"/>
                    <w:rPr>
                      <w:rFonts w:ascii="Times New Roman" w:hAnsi="Times New Roman"/>
                      <w:szCs w:val="21"/>
                    </w:rPr>
                  </w:pPr>
                </w:p>
              </w:tc>
              <w:tc>
                <w:tcPr>
                  <w:tcW w:w="1053" w:type="dxa"/>
                  <w:tcBorders>
                    <w:top w:val="single" w:color="auto" w:sz="4" w:space="0"/>
                    <w:bottom w:val="single" w:color="auto" w:sz="4" w:space="0"/>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预处理废物</w:t>
                  </w:r>
                </w:p>
              </w:tc>
              <w:tc>
                <w:tcPr>
                  <w:tcW w:w="3960" w:type="dxa"/>
                  <w:tcBorders>
                    <w:top w:val="single" w:color="auto" w:sz="4" w:space="0"/>
                    <w:bottom w:val="single" w:color="auto" w:sz="4" w:space="0"/>
                    <w:tl2br w:val="nil"/>
                    <w:tr2bl w:val="nil"/>
                  </w:tcBorders>
                  <w:vAlign w:val="center"/>
                </w:tcPr>
                <w:p>
                  <w:pPr>
                    <w:pStyle w:val="54"/>
                    <w:autoSpaceDE w:val="0"/>
                    <w:autoSpaceDN w:val="0"/>
                    <w:rPr>
                      <w:rFonts w:ascii="Times New Roman" w:hAnsi="Times New Roman"/>
                      <w:szCs w:val="21"/>
                      <w:lang w:val="en-US"/>
                    </w:rPr>
                  </w:pPr>
                  <w:r>
                    <w:rPr>
                      <w:rFonts w:ascii="Times New Roman" w:hAnsi="Times New Roman"/>
                      <w:szCs w:val="21"/>
                      <w:lang w:val="en-US"/>
                    </w:rPr>
                    <w:t>玉米皮</w:t>
                  </w:r>
                  <w:r>
                    <w:rPr>
                      <w:rFonts w:hint="eastAsia" w:ascii="Times New Roman" w:hAnsi="Times New Roman"/>
                      <w:szCs w:val="21"/>
                      <w:lang w:val="en-US"/>
                    </w:rPr>
                    <w:t>、</w:t>
                  </w:r>
                  <w:r>
                    <w:rPr>
                      <w:rFonts w:ascii="Times New Roman" w:hAnsi="Times New Roman"/>
                      <w:szCs w:val="21"/>
                      <w:lang w:val="en-US"/>
                    </w:rPr>
                    <w:t>玉米须</w:t>
                  </w:r>
                  <w:r>
                    <w:rPr>
                      <w:rFonts w:hint="eastAsia" w:ascii="Times New Roman" w:hAnsi="Times New Roman"/>
                      <w:szCs w:val="21"/>
                      <w:lang w:val="en-US"/>
                    </w:rPr>
                    <w:t>、颈尖和根部采用密闭包装袋收集外售作牲畜饲料；</w:t>
                  </w:r>
                </w:p>
              </w:tc>
              <w:tc>
                <w:tcPr>
                  <w:tcW w:w="1241" w:type="dxa"/>
                  <w:vMerge w:val="continue"/>
                  <w:tcBorders>
                    <w:tl2br w:val="nil"/>
                    <w:tr2bl w:val="nil"/>
                  </w:tcBorders>
                  <w:vAlign w:val="center"/>
                </w:tcPr>
                <w:p>
                  <w:pPr>
                    <w:pStyle w:val="54"/>
                    <w:autoSpaceDE w:val="0"/>
                    <w:autoSpaceDN w:val="0"/>
                    <w:rPr>
                      <w:rFonts w:ascii="Times New Roman" w:hAnsi="Times New Roman"/>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35" w:hRule="atLeast"/>
              </w:trPr>
              <w:tc>
                <w:tcPr>
                  <w:tcW w:w="1061" w:type="dxa"/>
                  <w:vMerge w:val="continue"/>
                  <w:tcBorders>
                    <w:tl2br w:val="nil"/>
                    <w:tr2bl w:val="nil"/>
                  </w:tcBorders>
                  <w:vAlign w:val="center"/>
                </w:tcPr>
                <w:p>
                  <w:pPr>
                    <w:autoSpaceDE w:val="0"/>
                    <w:autoSpaceDN w:val="0"/>
                    <w:jc w:val="center"/>
                    <w:rPr>
                      <w:szCs w:val="21"/>
                    </w:rPr>
                  </w:pPr>
                </w:p>
              </w:tc>
              <w:tc>
                <w:tcPr>
                  <w:tcW w:w="627" w:type="dxa"/>
                  <w:vMerge w:val="continue"/>
                  <w:tcBorders>
                    <w:tl2br w:val="nil"/>
                    <w:tr2bl w:val="nil"/>
                  </w:tcBorders>
                  <w:vAlign w:val="center"/>
                </w:tcPr>
                <w:p>
                  <w:pPr>
                    <w:pStyle w:val="54"/>
                    <w:autoSpaceDE w:val="0"/>
                    <w:autoSpaceDN w:val="0"/>
                    <w:rPr>
                      <w:rFonts w:ascii="Times New Roman" w:hAnsi="Times New Roman"/>
                      <w:szCs w:val="21"/>
                    </w:rPr>
                  </w:pPr>
                </w:p>
              </w:tc>
              <w:tc>
                <w:tcPr>
                  <w:tcW w:w="1053" w:type="dxa"/>
                  <w:tcBorders>
                    <w:top w:val="single" w:color="auto" w:sz="4" w:space="0"/>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废树脂</w:t>
                  </w:r>
                </w:p>
              </w:tc>
              <w:tc>
                <w:tcPr>
                  <w:tcW w:w="3960" w:type="dxa"/>
                  <w:tcBorders>
                    <w:top w:val="single" w:color="auto" w:sz="4" w:space="0"/>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由厂家更换后回收处理，不在厂区内进行储存。</w:t>
                  </w:r>
                </w:p>
              </w:tc>
              <w:tc>
                <w:tcPr>
                  <w:tcW w:w="1241" w:type="dxa"/>
                  <w:vMerge w:val="continue"/>
                  <w:tcBorders>
                    <w:tl2br w:val="nil"/>
                    <w:tr2bl w:val="nil"/>
                  </w:tcBorders>
                  <w:vAlign w:val="center"/>
                </w:tcPr>
                <w:p>
                  <w:pPr>
                    <w:pStyle w:val="54"/>
                    <w:autoSpaceDE w:val="0"/>
                    <w:autoSpaceDN w:val="0"/>
                    <w:rPr>
                      <w:rFonts w:ascii="Times New Roman" w:hAnsi="Times New Roman"/>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1061" w:type="dxa"/>
                  <w:vMerge w:val="continue"/>
                  <w:tcBorders>
                    <w:tl2br w:val="nil"/>
                    <w:tr2bl w:val="nil"/>
                  </w:tcBorders>
                  <w:vAlign w:val="center"/>
                </w:tcPr>
                <w:p>
                  <w:pPr>
                    <w:autoSpaceDE w:val="0"/>
                    <w:autoSpaceDN w:val="0"/>
                    <w:jc w:val="center"/>
                    <w:rPr>
                      <w:szCs w:val="21"/>
                    </w:rPr>
                  </w:pPr>
                </w:p>
              </w:tc>
              <w:tc>
                <w:tcPr>
                  <w:tcW w:w="627" w:type="dxa"/>
                  <w:vMerge w:val="continue"/>
                  <w:tcBorders>
                    <w:tl2br w:val="nil"/>
                    <w:tr2bl w:val="nil"/>
                  </w:tcBorders>
                  <w:vAlign w:val="center"/>
                </w:tcPr>
                <w:p>
                  <w:pPr>
                    <w:autoSpaceDE w:val="0"/>
                    <w:autoSpaceDN w:val="0"/>
                    <w:jc w:val="center"/>
                    <w:rPr>
                      <w:szCs w:val="21"/>
                    </w:rPr>
                  </w:pPr>
                </w:p>
              </w:tc>
              <w:tc>
                <w:tcPr>
                  <w:tcW w:w="1053" w:type="dxa"/>
                  <w:tcBorders>
                    <w:bottom w:val="single" w:color="auto" w:sz="4" w:space="0"/>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废布袋、</w:t>
                  </w:r>
                  <w:r>
                    <w:rPr>
                      <w:rFonts w:ascii="Times New Roman" w:hAnsi="Times New Roman"/>
                      <w:szCs w:val="21"/>
                    </w:rPr>
                    <w:t>生活垃圾</w:t>
                  </w:r>
                </w:p>
              </w:tc>
              <w:tc>
                <w:tcPr>
                  <w:tcW w:w="3960" w:type="dxa"/>
                  <w:tcBorders>
                    <w:bottom w:val="single" w:color="auto" w:sz="4" w:space="0"/>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定期交由环卫部门处理</w:t>
                  </w:r>
                  <w:r>
                    <w:rPr>
                      <w:rFonts w:hint="eastAsia" w:ascii="Times New Roman" w:hAnsi="Times New Roman"/>
                      <w:szCs w:val="21"/>
                    </w:rPr>
                    <w:t>。</w:t>
                  </w:r>
                </w:p>
              </w:tc>
              <w:tc>
                <w:tcPr>
                  <w:tcW w:w="1241" w:type="dxa"/>
                  <w:vMerge w:val="continue"/>
                  <w:tcBorders>
                    <w:tl2br w:val="nil"/>
                    <w:tr2bl w:val="nil"/>
                  </w:tcBorders>
                  <w:vAlign w:val="center"/>
                </w:tcPr>
                <w:p>
                  <w:pPr>
                    <w:autoSpaceDE w:val="0"/>
                    <w:autoSpaceDN w:val="0"/>
                    <w:jc w:val="center"/>
                    <w:rPr>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061" w:type="dxa"/>
                  <w:vMerge w:val="continue"/>
                  <w:tcBorders>
                    <w:tl2br w:val="nil"/>
                    <w:tr2bl w:val="nil"/>
                  </w:tcBorders>
                  <w:vAlign w:val="center"/>
                </w:tcPr>
                <w:p>
                  <w:pPr>
                    <w:autoSpaceDE w:val="0"/>
                    <w:autoSpaceDN w:val="0"/>
                    <w:jc w:val="center"/>
                    <w:rPr>
                      <w:szCs w:val="21"/>
                    </w:rPr>
                  </w:pPr>
                </w:p>
              </w:tc>
              <w:tc>
                <w:tcPr>
                  <w:tcW w:w="627" w:type="dxa"/>
                  <w:vMerge w:val="continue"/>
                  <w:tcBorders>
                    <w:tl2br w:val="nil"/>
                    <w:tr2bl w:val="nil"/>
                  </w:tcBorders>
                  <w:vAlign w:val="center"/>
                </w:tcPr>
                <w:p>
                  <w:pPr>
                    <w:autoSpaceDE w:val="0"/>
                    <w:autoSpaceDN w:val="0"/>
                    <w:jc w:val="center"/>
                    <w:rPr>
                      <w:szCs w:val="21"/>
                    </w:rPr>
                  </w:pPr>
                </w:p>
              </w:tc>
              <w:tc>
                <w:tcPr>
                  <w:tcW w:w="1053" w:type="dxa"/>
                  <w:tcBorders>
                    <w:top w:val="single" w:color="auto" w:sz="4" w:space="0"/>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废机油</w:t>
                  </w:r>
                </w:p>
              </w:tc>
              <w:tc>
                <w:tcPr>
                  <w:tcW w:w="3960" w:type="dxa"/>
                  <w:tcBorders>
                    <w:top w:val="single" w:color="auto" w:sz="4" w:space="0"/>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暂存于危废贮存点、委托资质单位处置。</w:t>
                  </w:r>
                </w:p>
              </w:tc>
              <w:tc>
                <w:tcPr>
                  <w:tcW w:w="1241" w:type="dxa"/>
                  <w:vMerge w:val="continue"/>
                  <w:tcBorders>
                    <w:tl2br w:val="nil"/>
                    <w:tr2bl w:val="nil"/>
                  </w:tcBorders>
                  <w:vAlign w:val="center"/>
                </w:tcPr>
                <w:p>
                  <w:pPr>
                    <w:autoSpaceDE w:val="0"/>
                    <w:autoSpaceDN w:val="0"/>
                    <w:jc w:val="center"/>
                    <w:rPr>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7942" w:type="dxa"/>
                  <w:gridSpan w:val="5"/>
                  <w:tcBorders>
                    <w:tl2br w:val="nil"/>
                    <w:tr2bl w:val="nil"/>
                  </w:tcBorders>
                  <w:vAlign w:val="center"/>
                </w:tcPr>
                <w:p>
                  <w:pPr>
                    <w:autoSpaceDE w:val="0"/>
                    <w:autoSpaceDN w:val="0"/>
                    <w:jc w:val="left"/>
                    <w:rPr>
                      <w:szCs w:val="21"/>
                    </w:rPr>
                  </w:pPr>
                  <w:r>
                    <w:t>注：厂区内不设置备用发电机组与大型维修设备，停电与设备发生故障时即停止生产</w:t>
                  </w:r>
                  <w:r>
                    <w:rPr>
                      <w:rFonts w:hint="eastAsia" w:cs="宋体"/>
                      <w:szCs w:val="21"/>
                    </w:rPr>
                    <w:t>，不在厂区设置食堂和宿舍。</w:t>
                  </w:r>
                </w:p>
              </w:tc>
            </w:tr>
          </w:tbl>
          <w:p>
            <w:pPr>
              <w:spacing w:line="360" w:lineRule="auto"/>
              <w:ind w:firstLine="480" w:firstLineChars="200"/>
              <w:rPr>
                <w:rFonts w:cs="宋体"/>
                <w:sz w:val="24"/>
              </w:rPr>
            </w:pPr>
            <w:r>
              <w:rPr>
                <w:rFonts w:hint="eastAsia" w:cs="宋体"/>
                <w:sz w:val="24"/>
              </w:rPr>
              <w:t>本项目产品为真空玉米，产品方案见下表。</w:t>
            </w:r>
          </w:p>
          <w:p>
            <w:pPr>
              <w:pStyle w:val="34"/>
              <w:adjustRightInd/>
              <w:spacing w:line="360" w:lineRule="auto"/>
              <w:jc w:val="center"/>
              <w:rPr>
                <w:bCs/>
                <w:color w:val="auto"/>
                <w:szCs w:val="32"/>
                <w:u w:val="single"/>
              </w:rPr>
            </w:pPr>
            <w:r>
              <w:rPr>
                <w:rFonts w:hint="eastAsia"/>
                <w:bCs/>
                <w:color w:val="auto"/>
                <w:szCs w:val="32"/>
                <w:u w:val="single"/>
              </w:rPr>
              <w:t>表2-2 本项目产品方案一览表</w:t>
            </w:r>
          </w:p>
          <w:tbl>
            <w:tblPr>
              <w:tblStyle w:val="27"/>
              <w:tblW w:w="7942"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522"/>
              <w:gridCol w:w="1444"/>
              <w:gridCol w:w="1020"/>
              <w:gridCol w:w="1792"/>
              <w:gridCol w:w="143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8" w:type="dxa"/>
                  <w:vAlign w:val="center"/>
                </w:tcPr>
                <w:p>
                  <w:pPr>
                    <w:jc w:val="center"/>
                    <w:rPr>
                      <w:szCs w:val="21"/>
                    </w:rPr>
                  </w:pPr>
                  <w:r>
                    <w:rPr>
                      <w:rFonts w:hint="eastAsia"/>
                      <w:szCs w:val="21"/>
                    </w:rPr>
                    <w:t>序号</w:t>
                  </w:r>
                </w:p>
              </w:tc>
              <w:tc>
                <w:tcPr>
                  <w:tcW w:w="1522" w:type="dxa"/>
                  <w:vAlign w:val="center"/>
                </w:tcPr>
                <w:p>
                  <w:pPr>
                    <w:jc w:val="center"/>
                    <w:rPr>
                      <w:szCs w:val="21"/>
                    </w:rPr>
                  </w:pPr>
                  <w:r>
                    <w:rPr>
                      <w:rFonts w:hint="eastAsia"/>
                      <w:szCs w:val="21"/>
                    </w:rPr>
                    <w:t>产品名称</w:t>
                  </w:r>
                </w:p>
              </w:tc>
              <w:tc>
                <w:tcPr>
                  <w:tcW w:w="1444" w:type="dxa"/>
                  <w:vAlign w:val="center"/>
                </w:tcPr>
                <w:p>
                  <w:pPr>
                    <w:jc w:val="center"/>
                    <w:rPr>
                      <w:szCs w:val="21"/>
                    </w:rPr>
                  </w:pPr>
                  <w:r>
                    <w:rPr>
                      <w:rFonts w:hint="eastAsia"/>
                    </w:rPr>
                    <w:t>产量</w:t>
                  </w:r>
                </w:p>
              </w:tc>
              <w:tc>
                <w:tcPr>
                  <w:tcW w:w="1020" w:type="dxa"/>
                  <w:tcBorders>
                    <w:right w:val="single" w:color="000000" w:sz="4" w:space="0"/>
                  </w:tcBorders>
                  <w:vAlign w:val="center"/>
                </w:tcPr>
                <w:p>
                  <w:pPr>
                    <w:jc w:val="center"/>
                  </w:pPr>
                  <w:r>
                    <w:rPr>
                      <w:rFonts w:hint="eastAsia"/>
                    </w:rPr>
                    <w:t>单位</w:t>
                  </w:r>
                </w:p>
              </w:tc>
              <w:tc>
                <w:tcPr>
                  <w:tcW w:w="1792" w:type="dxa"/>
                  <w:tcBorders>
                    <w:right w:val="single" w:color="000000" w:sz="4" w:space="0"/>
                  </w:tcBorders>
                  <w:vAlign w:val="center"/>
                </w:tcPr>
                <w:p>
                  <w:pPr>
                    <w:jc w:val="center"/>
                    <w:rPr>
                      <w:szCs w:val="21"/>
                    </w:rPr>
                  </w:pPr>
                  <w:r>
                    <w:t>产品</w:t>
                  </w:r>
                  <w:r>
                    <w:rPr>
                      <w:rFonts w:hint="eastAsia"/>
                    </w:rPr>
                    <w:t>规格</w:t>
                  </w:r>
                </w:p>
              </w:tc>
              <w:tc>
                <w:tcPr>
                  <w:tcW w:w="1436" w:type="dxa"/>
                  <w:vAlign w:val="center"/>
                </w:tcPr>
                <w:p>
                  <w:pPr>
                    <w:jc w:val="center"/>
                    <w:rPr>
                      <w:szCs w:val="21"/>
                    </w:rPr>
                  </w:pPr>
                  <w:r>
                    <w:rPr>
                      <w:rFonts w:hint="eastAsia"/>
                      <w:szCs w:val="21"/>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12" w:hRule="atLeast"/>
              </w:trPr>
              <w:tc>
                <w:tcPr>
                  <w:tcW w:w="728" w:type="dxa"/>
                  <w:vAlign w:val="center"/>
                </w:tcPr>
                <w:p>
                  <w:pPr>
                    <w:jc w:val="center"/>
                    <w:rPr>
                      <w:szCs w:val="21"/>
                    </w:rPr>
                  </w:pPr>
                  <w:r>
                    <w:rPr>
                      <w:rFonts w:hint="eastAsia"/>
                      <w:szCs w:val="21"/>
                    </w:rPr>
                    <w:t>1</w:t>
                  </w:r>
                </w:p>
              </w:tc>
              <w:tc>
                <w:tcPr>
                  <w:tcW w:w="1522" w:type="dxa"/>
                  <w:vAlign w:val="center"/>
                </w:tcPr>
                <w:p>
                  <w:pPr>
                    <w:jc w:val="center"/>
                    <w:rPr>
                      <w:szCs w:val="21"/>
                    </w:rPr>
                  </w:pPr>
                  <w:r>
                    <w:rPr>
                      <w:rFonts w:hint="eastAsia"/>
                      <w:szCs w:val="21"/>
                    </w:rPr>
                    <w:t>真空玉米</w:t>
                  </w:r>
                </w:p>
              </w:tc>
              <w:tc>
                <w:tcPr>
                  <w:tcW w:w="1444" w:type="dxa"/>
                  <w:vAlign w:val="center"/>
                </w:tcPr>
                <w:p>
                  <w:pPr>
                    <w:jc w:val="center"/>
                    <w:rPr>
                      <w:szCs w:val="21"/>
                    </w:rPr>
                  </w:pPr>
                  <w:r>
                    <w:rPr>
                      <w:rFonts w:hint="eastAsia" w:cs="宋体"/>
                      <w:kern w:val="0"/>
                      <w:szCs w:val="21"/>
                    </w:rPr>
                    <w:t>700万</w:t>
                  </w:r>
                </w:p>
              </w:tc>
              <w:tc>
                <w:tcPr>
                  <w:tcW w:w="1020" w:type="dxa"/>
                  <w:tcBorders>
                    <w:right w:val="single" w:color="000000" w:sz="4" w:space="0"/>
                  </w:tcBorders>
                  <w:vAlign w:val="center"/>
                </w:tcPr>
                <w:p>
                  <w:pPr>
                    <w:pStyle w:val="54"/>
                    <w:rPr>
                      <w:rFonts w:ascii="Times New Roman" w:hAnsi="Times New Roman"/>
                      <w:lang w:val="en-US"/>
                    </w:rPr>
                  </w:pPr>
                  <w:r>
                    <w:rPr>
                      <w:rFonts w:hint="eastAsia" w:ascii="Times New Roman" w:hAnsi="Times New Roman"/>
                      <w:lang w:val="en-US"/>
                    </w:rPr>
                    <w:t>棒</w:t>
                  </w:r>
                </w:p>
              </w:tc>
              <w:tc>
                <w:tcPr>
                  <w:tcW w:w="1792" w:type="dxa"/>
                  <w:tcBorders>
                    <w:right w:val="single" w:color="000000" w:sz="4" w:space="0"/>
                  </w:tcBorders>
                  <w:vAlign w:val="center"/>
                </w:tcPr>
                <w:p>
                  <w:pPr>
                    <w:pStyle w:val="54"/>
                    <w:rPr>
                      <w:rFonts w:ascii="Times New Roman" w:hAnsi="Times New Roman"/>
                      <w:color w:val="FF0000"/>
                      <w:szCs w:val="21"/>
                      <w:lang w:val="en-US"/>
                    </w:rPr>
                  </w:pPr>
                  <w:r>
                    <w:rPr>
                      <w:rFonts w:hint="eastAsia" w:ascii="Times New Roman" w:hAnsi="Times New Roman"/>
                      <w:lang w:val="en-US"/>
                    </w:rPr>
                    <w:t>250g/棒</w:t>
                  </w:r>
                </w:p>
              </w:tc>
              <w:tc>
                <w:tcPr>
                  <w:tcW w:w="1436" w:type="dxa"/>
                  <w:vAlign w:val="center"/>
                </w:tcPr>
                <w:p>
                  <w:pPr>
                    <w:jc w:val="center"/>
                    <w:rPr>
                      <w:color w:val="FF0000"/>
                      <w:szCs w:val="21"/>
                    </w:rPr>
                  </w:pPr>
                </w:p>
              </w:tc>
            </w:tr>
          </w:tbl>
          <w:p>
            <w:pPr>
              <w:spacing w:line="360" w:lineRule="auto"/>
              <w:ind w:firstLine="480" w:firstLineChars="200"/>
              <w:rPr>
                <w:rFonts w:cs="宋体"/>
                <w:sz w:val="24"/>
              </w:rPr>
            </w:pPr>
            <w:r>
              <w:rPr>
                <w:rFonts w:hint="eastAsia" w:cs="宋体"/>
                <w:sz w:val="24"/>
              </w:rPr>
              <w:t>本项目产品质量标准参照《真空包装熟制鲜食玉米》（DB13/T 1044-2009）执行，具体参数见下表。</w:t>
            </w:r>
          </w:p>
          <w:p>
            <w:pPr>
              <w:pStyle w:val="34"/>
              <w:adjustRightInd/>
              <w:spacing w:line="360" w:lineRule="auto"/>
              <w:jc w:val="center"/>
              <w:rPr>
                <w:bCs/>
                <w:color w:val="auto"/>
                <w:szCs w:val="32"/>
                <w:u w:val="single"/>
              </w:rPr>
            </w:pPr>
            <w:r>
              <w:rPr>
                <w:rFonts w:hint="eastAsia"/>
                <w:bCs/>
                <w:color w:val="auto"/>
                <w:szCs w:val="32"/>
                <w:u w:val="single"/>
              </w:rPr>
              <w:t>表2-3  产品质量标准</w:t>
            </w:r>
          </w:p>
          <w:tbl>
            <w:tblPr>
              <w:tblStyle w:val="27"/>
              <w:tblW w:w="7945"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97"/>
              <w:gridCol w:w="1391"/>
              <w:gridCol w:w="545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97" w:type="dxa"/>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r>
                    <w:rPr>
                      <w:rFonts w:hint="eastAsia" w:ascii="宋体" w:hAnsi="宋体" w:eastAsia="宋体" w:cs="宋体"/>
                      <w:bCs/>
                      <w:sz w:val="21"/>
                      <w:szCs w:val="21"/>
                      <w:u w:val="single"/>
                    </w:rPr>
                    <w:t>要求</w:t>
                  </w:r>
                </w:p>
              </w:tc>
              <w:tc>
                <w:tcPr>
                  <w:tcW w:w="1391" w:type="dxa"/>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r>
                    <w:rPr>
                      <w:rFonts w:hint="eastAsia" w:ascii="宋体" w:hAnsi="宋体" w:eastAsia="宋体" w:cs="宋体"/>
                      <w:bCs/>
                      <w:sz w:val="21"/>
                      <w:szCs w:val="21"/>
                      <w:u w:val="single"/>
                    </w:rPr>
                    <w:t>项目</w:t>
                  </w:r>
                </w:p>
              </w:tc>
              <w:tc>
                <w:tcPr>
                  <w:tcW w:w="5457" w:type="dxa"/>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r>
                    <w:rPr>
                      <w:rFonts w:hint="eastAsia" w:ascii="宋体" w:hAnsi="宋体" w:eastAsia="宋体" w:cs="宋体"/>
                      <w:bCs/>
                      <w:sz w:val="21"/>
                      <w:szCs w:val="21"/>
                      <w:u w:val="single"/>
                    </w:rPr>
                    <w:t>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97" w:type="dxa"/>
                  <w:vMerge w:val="restart"/>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r>
                    <w:rPr>
                      <w:rFonts w:hint="eastAsia" w:ascii="宋体" w:hAnsi="宋体" w:eastAsia="宋体" w:cs="宋体"/>
                      <w:bCs/>
                      <w:sz w:val="21"/>
                      <w:szCs w:val="21"/>
                      <w:u w:val="single"/>
                    </w:rPr>
                    <w:t>原辅材料</w:t>
                  </w:r>
                </w:p>
              </w:tc>
              <w:tc>
                <w:tcPr>
                  <w:tcW w:w="1391" w:type="dxa"/>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r>
                    <w:rPr>
                      <w:rFonts w:hint="eastAsia" w:ascii="宋体" w:hAnsi="宋体" w:eastAsia="宋体" w:cs="宋体"/>
                      <w:bCs/>
                      <w:sz w:val="21"/>
                      <w:szCs w:val="21"/>
                      <w:u w:val="single"/>
                    </w:rPr>
                    <w:t>鲜食玉米</w:t>
                  </w:r>
                </w:p>
              </w:tc>
              <w:tc>
                <w:tcPr>
                  <w:tcW w:w="5457" w:type="dxa"/>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r>
                    <w:rPr>
                      <w:rFonts w:hint="eastAsia" w:ascii="宋体" w:hAnsi="宋体" w:eastAsia="宋体" w:cs="宋体"/>
                      <w:bCs/>
                      <w:sz w:val="21"/>
                      <w:szCs w:val="21"/>
                      <w:u w:val="single"/>
                    </w:rPr>
                    <w:t>糯玉米应符合GB/T22326的规定，甜玉米应符合NY/T523的规定。卫生指标应符合GB2762和GB2763的规定。采摘后应在18h内加工完毕。</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97" w:type="dxa"/>
                  <w:vMerge w:val="continue"/>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p>
              </w:tc>
              <w:tc>
                <w:tcPr>
                  <w:tcW w:w="1391" w:type="dxa"/>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r>
                    <w:rPr>
                      <w:rFonts w:hint="eastAsia" w:ascii="宋体" w:hAnsi="宋体" w:eastAsia="宋体" w:cs="宋体"/>
                      <w:bCs/>
                      <w:sz w:val="21"/>
                      <w:szCs w:val="21"/>
                      <w:u w:val="single"/>
                    </w:rPr>
                    <w:t>加工用水</w:t>
                  </w:r>
                </w:p>
              </w:tc>
              <w:tc>
                <w:tcPr>
                  <w:tcW w:w="5457" w:type="dxa"/>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r>
                    <w:rPr>
                      <w:rFonts w:hint="eastAsia" w:ascii="宋体" w:hAnsi="宋体" w:eastAsia="宋体" w:cs="宋体"/>
                      <w:bCs/>
                      <w:sz w:val="21"/>
                      <w:szCs w:val="21"/>
                      <w:u w:val="single"/>
                    </w:rPr>
                    <w:t>应符合GB5749的规定。</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97" w:type="dxa"/>
                  <w:vMerge w:val="continue"/>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p>
              </w:tc>
              <w:tc>
                <w:tcPr>
                  <w:tcW w:w="1391" w:type="dxa"/>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r>
                    <w:rPr>
                      <w:rFonts w:hint="eastAsia" w:ascii="宋体" w:hAnsi="宋体" w:eastAsia="宋体" w:cs="宋体"/>
                      <w:bCs/>
                      <w:sz w:val="21"/>
                      <w:szCs w:val="21"/>
                      <w:u w:val="single"/>
                    </w:rPr>
                    <w:t>白砂糖</w:t>
                  </w:r>
                </w:p>
              </w:tc>
              <w:tc>
                <w:tcPr>
                  <w:tcW w:w="5457" w:type="dxa"/>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r>
                    <w:rPr>
                      <w:rFonts w:hint="eastAsia" w:ascii="宋体" w:hAnsi="宋体" w:eastAsia="宋体" w:cs="宋体"/>
                      <w:bCs/>
                      <w:sz w:val="21"/>
                      <w:szCs w:val="21"/>
                      <w:u w:val="single"/>
                    </w:rPr>
                    <w:t>应符合GB317的规定。</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97" w:type="dxa"/>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r>
                    <w:rPr>
                      <w:rFonts w:hint="eastAsia" w:ascii="宋体" w:hAnsi="宋体" w:eastAsia="宋体" w:cs="宋体"/>
                      <w:bCs/>
                      <w:sz w:val="21"/>
                      <w:szCs w:val="21"/>
                      <w:u w:val="single"/>
                    </w:rPr>
                    <w:t>包装</w:t>
                  </w:r>
                </w:p>
              </w:tc>
              <w:tc>
                <w:tcPr>
                  <w:tcW w:w="6848" w:type="dxa"/>
                  <w:gridSpan w:val="2"/>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r>
                    <w:rPr>
                      <w:rFonts w:hint="eastAsia" w:ascii="宋体" w:hAnsi="宋体" w:eastAsia="宋体" w:cs="宋体"/>
                      <w:bCs/>
                      <w:sz w:val="21"/>
                      <w:szCs w:val="21"/>
                      <w:u w:val="single"/>
                    </w:rPr>
                    <w:t>内包装应符合GB/T10004的规定。</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97" w:type="dxa"/>
                  <w:vMerge w:val="restart"/>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r>
                    <w:rPr>
                      <w:rFonts w:hint="eastAsia" w:ascii="宋体" w:hAnsi="宋体" w:eastAsia="宋体" w:cs="宋体"/>
                      <w:bCs/>
                      <w:sz w:val="21"/>
                      <w:szCs w:val="21"/>
                      <w:u w:val="single"/>
                    </w:rPr>
                    <w:t>感官要求</w:t>
                  </w:r>
                </w:p>
              </w:tc>
              <w:tc>
                <w:tcPr>
                  <w:tcW w:w="1391" w:type="dxa"/>
                  <w:tcBorders>
                    <w:tl2br w:val="nil"/>
                    <w:tr2bl w:val="nil"/>
                  </w:tcBorders>
                  <w:vAlign w:val="center"/>
                </w:tcPr>
                <w:p>
                  <w:pPr>
                    <w:jc w:val="center"/>
                    <w:rPr>
                      <w:rFonts w:ascii="宋体" w:hAnsi="宋体" w:eastAsia="宋体" w:cs="宋体"/>
                      <w:bCs/>
                      <w:szCs w:val="21"/>
                      <w:u w:val="single"/>
                    </w:rPr>
                  </w:pPr>
                  <w:r>
                    <w:rPr>
                      <w:rFonts w:hint="eastAsia"/>
                    </w:rPr>
                    <w:t>包装</w:t>
                  </w:r>
                </w:p>
              </w:tc>
              <w:tc>
                <w:tcPr>
                  <w:tcW w:w="5457" w:type="dxa"/>
                  <w:tcBorders>
                    <w:tl2br w:val="nil"/>
                    <w:tr2bl w:val="nil"/>
                  </w:tcBorders>
                  <w:vAlign w:val="center"/>
                </w:tcPr>
                <w:p>
                  <w:pPr>
                    <w:jc w:val="center"/>
                    <w:rPr>
                      <w:rFonts w:ascii="宋体" w:hAnsi="宋体" w:eastAsia="宋体" w:cs="宋体"/>
                      <w:bCs/>
                      <w:szCs w:val="21"/>
                      <w:u w:val="single"/>
                    </w:rPr>
                  </w:pPr>
                  <w:r>
                    <w:rPr>
                      <w:rFonts w:hint="eastAsia"/>
                    </w:rPr>
                    <w:t>包装完好、无破损、无胀袋</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97" w:type="dxa"/>
                  <w:vMerge w:val="continue"/>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p>
              </w:tc>
              <w:tc>
                <w:tcPr>
                  <w:tcW w:w="1391" w:type="dxa"/>
                  <w:tcBorders>
                    <w:tl2br w:val="nil"/>
                    <w:tr2bl w:val="nil"/>
                  </w:tcBorders>
                  <w:vAlign w:val="center"/>
                </w:tcPr>
                <w:p>
                  <w:pPr>
                    <w:jc w:val="center"/>
                    <w:rPr>
                      <w:rFonts w:ascii="宋体" w:hAnsi="宋体" w:eastAsia="宋体" w:cs="宋体"/>
                      <w:bCs/>
                      <w:szCs w:val="21"/>
                      <w:u w:val="single"/>
                    </w:rPr>
                  </w:pPr>
                  <w:r>
                    <w:rPr>
                      <w:rFonts w:hint="eastAsia"/>
                    </w:rPr>
                    <w:t>色泽</w:t>
                  </w:r>
                </w:p>
              </w:tc>
              <w:tc>
                <w:tcPr>
                  <w:tcW w:w="5457" w:type="dxa"/>
                  <w:tcBorders>
                    <w:tl2br w:val="nil"/>
                    <w:tr2bl w:val="nil"/>
                  </w:tcBorders>
                  <w:vAlign w:val="center"/>
                </w:tcPr>
                <w:p>
                  <w:pPr>
                    <w:jc w:val="center"/>
                  </w:pPr>
                  <w:r>
                    <w:rPr>
                      <w:rFonts w:hint="eastAsia"/>
                    </w:rPr>
                    <w:t>穗状:具有本品固有色泽，无腐烂</w:t>
                  </w:r>
                </w:p>
                <w:p>
                  <w:pPr>
                    <w:jc w:val="center"/>
                    <w:rPr>
                      <w:rFonts w:ascii="宋体" w:hAnsi="宋体" w:eastAsia="宋体" w:cs="宋体"/>
                      <w:bCs/>
                      <w:szCs w:val="21"/>
                      <w:u w:val="single"/>
                    </w:rPr>
                  </w:pPr>
                  <w:r>
                    <w:rPr>
                      <w:rFonts w:hint="eastAsia"/>
                    </w:rPr>
                    <w:t>粒状:具有本品固有色泽，无腐烂、霉变</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97" w:type="dxa"/>
                  <w:vMerge w:val="continue"/>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p>
              </w:tc>
              <w:tc>
                <w:tcPr>
                  <w:tcW w:w="1391" w:type="dxa"/>
                  <w:tcBorders>
                    <w:tl2br w:val="nil"/>
                    <w:tr2bl w:val="nil"/>
                  </w:tcBorders>
                  <w:vAlign w:val="center"/>
                </w:tcPr>
                <w:p>
                  <w:pPr>
                    <w:jc w:val="center"/>
                    <w:rPr>
                      <w:rFonts w:ascii="宋体" w:hAnsi="宋体" w:eastAsia="宋体" w:cs="宋体"/>
                      <w:bCs/>
                      <w:szCs w:val="21"/>
                      <w:u w:val="single"/>
                    </w:rPr>
                  </w:pPr>
                  <w:r>
                    <w:rPr>
                      <w:rFonts w:hint="eastAsia"/>
                    </w:rPr>
                    <w:t>组织形态</w:t>
                  </w:r>
                </w:p>
              </w:tc>
              <w:tc>
                <w:tcPr>
                  <w:tcW w:w="5457" w:type="dxa"/>
                  <w:tcBorders>
                    <w:tl2br w:val="nil"/>
                    <w:tr2bl w:val="nil"/>
                  </w:tcBorders>
                  <w:vAlign w:val="center"/>
                </w:tcPr>
                <w:p>
                  <w:pPr>
                    <w:jc w:val="center"/>
                  </w:pPr>
                  <w:r>
                    <w:rPr>
                      <w:rFonts w:hint="eastAsia"/>
                    </w:rPr>
                    <w:t>穗状:成熟度适宜，籽粒饱满、排列整齐，无明显秃尖、缺粒和畸形，无病虫害</w:t>
                  </w:r>
                </w:p>
                <w:p>
                  <w:pPr>
                    <w:jc w:val="center"/>
                  </w:pPr>
                  <w:r>
                    <w:rPr>
                      <w:rFonts w:hint="eastAsia"/>
                    </w:rPr>
                    <w:t>粒状:籽粒饱满、颗粒基本一致，成熟度适宜，无病虫害</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97" w:type="dxa"/>
                  <w:vMerge w:val="continue"/>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p>
              </w:tc>
              <w:tc>
                <w:tcPr>
                  <w:tcW w:w="1391" w:type="dxa"/>
                  <w:tcBorders>
                    <w:tl2br w:val="nil"/>
                    <w:tr2bl w:val="nil"/>
                  </w:tcBorders>
                  <w:vAlign w:val="center"/>
                </w:tcPr>
                <w:p>
                  <w:pPr>
                    <w:jc w:val="center"/>
                    <w:rPr>
                      <w:rFonts w:ascii="宋体" w:hAnsi="宋体" w:eastAsia="宋体" w:cs="宋体"/>
                      <w:bCs/>
                      <w:szCs w:val="21"/>
                      <w:u w:val="single"/>
                    </w:rPr>
                  </w:pPr>
                  <w:r>
                    <w:rPr>
                      <w:rFonts w:hint="eastAsia"/>
                    </w:rPr>
                    <w:t>滋味气味</w:t>
                  </w:r>
                </w:p>
              </w:tc>
              <w:tc>
                <w:tcPr>
                  <w:tcW w:w="5457" w:type="dxa"/>
                  <w:tcBorders>
                    <w:tl2br w:val="nil"/>
                    <w:tr2bl w:val="nil"/>
                  </w:tcBorders>
                  <w:vAlign w:val="center"/>
                </w:tcPr>
                <w:p>
                  <w:pPr>
                    <w:jc w:val="center"/>
                    <w:rPr>
                      <w:rFonts w:ascii="宋体" w:hAnsi="宋体" w:eastAsia="宋体" w:cs="宋体"/>
                      <w:bCs/>
                      <w:szCs w:val="21"/>
                      <w:u w:val="single"/>
                    </w:rPr>
                  </w:pPr>
                  <w:r>
                    <w:rPr>
                      <w:rFonts w:hint="eastAsia"/>
                    </w:rPr>
                    <w:t>具有本品固有滋味和气味，柔嫩可口，无异味</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97" w:type="dxa"/>
                  <w:vMerge w:val="continue"/>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p>
              </w:tc>
              <w:tc>
                <w:tcPr>
                  <w:tcW w:w="1391" w:type="dxa"/>
                  <w:tcBorders>
                    <w:tl2br w:val="nil"/>
                    <w:tr2bl w:val="nil"/>
                  </w:tcBorders>
                  <w:vAlign w:val="center"/>
                </w:tcPr>
                <w:p>
                  <w:pPr>
                    <w:jc w:val="center"/>
                    <w:rPr>
                      <w:rFonts w:ascii="宋体" w:hAnsi="宋体" w:eastAsia="宋体" w:cs="宋体"/>
                      <w:bCs/>
                      <w:szCs w:val="21"/>
                      <w:u w:val="single"/>
                    </w:rPr>
                  </w:pPr>
                  <w:r>
                    <w:rPr>
                      <w:rFonts w:hint="eastAsia"/>
                    </w:rPr>
                    <w:t>杂质</w:t>
                  </w:r>
                </w:p>
              </w:tc>
              <w:tc>
                <w:tcPr>
                  <w:tcW w:w="5457" w:type="dxa"/>
                  <w:tcBorders>
                    <w:tl2br w:val="nil"/>
                    <w:tr2bl w:val="nil"/>
                  </w:tcBorders>
                  <w:vAlign w:val="center"/>
                </w:tcPr>
                <w:p>
                  <w:pPr>
                    <w:jc w:val="center"/>
                    <w:rPr>
                      <w:rFonts w:ascii="宋体" w:hAnsi="宋体" w:eastAsia="宋体" w:cs="宋体"/>
                      <w:bCs/>
                      <w:szCs w:val="21"/>
                      <w:u w:val="single"/>
                    </w:rPr>
                  </w:pPr>
                  <w:r>
                    <w:rPr>
                      <w:rFonts w:hint="eastAsia"/>
                    </w:rPr>
                    <w:t>无肉眼可见外来杂质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97" w:type="dxa"/>
                  <w:vMerge w:val="restart"/>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r>
                    <w:rPr>
                      <w:rFonts w:hint="eastAsia" w:ascii="宋体" w:hAnsi="宋体" w:eastAsia="宋体" w:cs="宋体"/>
                      <w:bCs/>
                      <w:sz w:val="21"/>
                      <w:szCs w:val="21"/>
                      <w:u w:val="single"/>
                    </w:rPr>
                    <w:t>理化指标</w:t>
                  </w:r>
                </w:p>
              </w:tc>
              <w:tc>
                <w:tcPr>
                  <w:tcW w:w="1391" w:type="dxa"/>
                  <w:tcBorders>
                    <w:tl2br w:val="nil"/>
                    <w:tr2bl w:val="nil"/>
                  </w:tcBorders>
                  <w:vAlign w:val="center"/>
                </w:tcPr>
                <w:p>
                  <w:pPr>
                    <w:jc w:val="center"/>
                    <w:rPr>
                      <w:rFonts w:ascii="宋体" w:hAnsi="宋体" w:eastAsia="宋体" w:cs="宋体"/>
                      <w:bCs/>
                      <w:szCs w:val="21"/>
                      <w:u w:val="single"/>
                    </w:rPr>
                  </w:pPr>
                  <w:r>
                    <w:rPr>
                      <w:rFonts w:hint="eastAsia" w:ascii="宋体" w:hAnsi="宋体" w:eastAsia="宋体" w:cs="宋体"/>
                    </w:rPr>
                    <w:t>水分，%</w:t>
                  </w:r>
                </w:p>
              </w:tc>
              <w:tc>
                <w:tcPr>
                  <w:tcW w:w="5457" w:type="dxa"/>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r>
                    <w:rPr>
                      <w:rFonts w:hint="eastAsia" w:ascii="宋体" w:hAnsi="宋体" w:eastAsia="宋体" w:cs="宋体"/>
                      <w:bCs/>
                      <w:sz w:val="21"/>
                      <w:szCs w:val="21"/>
                      <w:u w:val="single"/>
                    </w:rPr>
                    <w:t>50~70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97" w:type="dxa"/>
                  <w:vMerge w:val="continue"/>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p>
              </w:tc>
              <w:tc>
                <w:tcPr>
                  <w:tcW w:w="1391" w:type="dxa"/>
                  <w:tcBorders>
                    <w:tl2br w:val="nil"/>
                    <w:tr2bl w:val="nil"/>
                  </w:tcBorders>
                  <w:vAlign w:val="center"/>
                </w:tcPr>
                <w:p>
                  <w:pPr>
                    <w:jc w:val="center"/>
                    <w:rPr>
                      <w:rFonts w:ascii="宋体" w:hAnsi="宋体" w:eastAsia="宋体" w:cs="宋体"/>
                      <w:bCs/>
                      <w:szCs w:val="21"/>
                      <w:u w:val="single"/>
                    </w:rPr>
                  </w:pPr>
                  <w:r>
                    <w:rPr>
                      <w:rFonts w:hint="eastAsia" w:ascii="宋体" w:hAnsi="宋体" w:eastAsia="宋体" w:cs="宋体"/>
                    </w:rPr>
                    <w:t>pH值</w:t>
                  </w:r>
                  <w:bookmarkStart w:id="41" w:name="_GoBack"/>
                  <w:bookmarkEnd w:id="41"/>
                </w:p>
              </w:tc>
              <w:tc>
                <w:tcPr>
                  <w:tcW w:w="5457" w:type="dxa"/>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r>
                    <w:rPr>
                      <w:rFonts w:hint="eastAsia" w:ascii="宋体" w:hAnsi="宋体" w:eastAsia="宋体" w:cs="宋体"/>
                      <w:bCs/>
                      <w:sz w:val="21"/>
                      <w:szCs w:val="21"/>
                      <w:u w:val="single"/>
                    </w:rPr>
                    <w:t>5~7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97" w:type="dxa"/>
                  <w:vMerge w:val="continue"/>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p>
              </w:tc>
              <w:tc>
                <w:tcPr>
                  <w:tcW w:w="1391" w:type="dxa"/>
                  <w:tcBorders>
                    <w:tl2br w:val="nil"/>
                    <w:tr2bl w:val="nil"/>
                  </w:tcBorders>
                  <w:vAlign w:val="center"/>
                </w:tcPr>
                <w:p>
                  <w:pPr>
                    <w:jc w:val="center"/>
                    <w:rPr>
                      <w:rFonts w:ascii="宋体" w:hAnsi="宋体" w:eastAsia="宋体" w:cs="宋体"/>
                      <w:bCs/>
                      <w:szCs w:val="21"/>
                      <w:u w:val="single"/>
                    </w:rPr>
                  </w:pPr>
                  <w:r>
                    <w:rPr>
                      <w:rFonts w:hint="eastAsia" w:ascii="宋体" w:hAnsi="宋体" w:eastAsia="宋体" w:cs="宋体"/>
                    </w:rPr>
                    <w:t>黄曲霉毒索B</w:t>
                  </w:r>
                  <w:r>
                    <w:rPr>
                      <w:rFonts w:hint="eastAsia" w:ascii="宋体" w:hAnsi="宋体" w:eastAsia="宋体" w:cs="宋体"/>
                      <w:vertAlign w:val="subscript"/>
                    </w:rPr>
                    <w:t>1</w:t>
                  </w:r>
                  <w:r>
                    <w:rPr>
                      <w:rFonts w:hint="eastAsia" w:ascii="宋体" w:hAnsi="宋体" w:eastAsia="宋体" w:cs="宋体"/>
                    </w:rPr>
                    <w:t>,</w:t>
                  </w:r>
                  <w:r>
                    <w:rPr>
                      <w:rFonts w:hint="eastAsia" w:ascii="宋体" w:hAnsi="宋体" w:cs="宋体"/>
                    </w:rPr>
                    <w:t>μ</w:t>
                  </w:r>
                  <w:r>
                    <w:rPr>
                      <w:rFonts w:hint="eastAsia" w:ascii="宋体" w:hAnsi="宋体" w:eastAsia="宋体" w:cs="宋体"/>
                    </w:rPr>
                    <w:t>g/kg≤</w:t>
                  </w:r>
                </w:p>
              </w:tc>
              <w:tc>
                <w:tcPr>
                  <w:tcW w:w="5457" w:type="dxa"/>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r>
                    <w:rPr>
                      <w:rFonts w:hint="eastAsia" w:ascii="宋体" w:hAnsi="宋体" w:eastAsia="宋体" w:cs="宋体"/>
                      <w:bCs/>
                      <w:sz w:val="21"/>
                      <w:szCs w:val="21"/>
                      <w:u w:val="single"/>
                    </w:rPr>
                    <w:t>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97" w:type="dxa"/>
                  <w:vMerge w:val="continue"/>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p>
              </w:tc>
              <w:tc>
                <w:tcPr>
                  <w:tcW w:w="6848" w:type="dxa"/>
                  <w:gridSpan w:val="2"/>
                  <w:tcBorders>
                    <w:tl2br w:val="nil"/>
                    <w:tr2bl w:val="nil"/>
                  </w:tcBorders>
                  <w:vAlign w:val="center"/>
                </w:tcPr>
                <w:p>
                  <w:pPr>
                    <w:pStyle w:val="24"/>
                    <w:widowControl w:val="0"/>
                    <w:spacing w:before="0" w:beforeAutospacing="0" w:after="0" w:afterAutospacing="0"/>
                    <w:rPr>
                      <w:rFonts w:ascii="宋体" w:hAnsi="宋体" w:eastAsia="宋体" w:cs="宋体"/>
                      <w:bCs/>
                      <w:sz w:val="21"/>
                      <w:szCs w:val="21"/>
                      <w:u w:val="single"/>
                    </w:rPr>
                  </w:pPr>
                  <w:r>
                    <w:rPr>
                      <w:rFonts w:hint="eastAsia" w:ascii="宋体" w:hAnsi="宋体" w:eastAsia="宋体" w:cs="宋体"/>
                      <w:b/>
                      <w:sz w:val="16"/>
                      <w:szCs w:val="16"/>
                      <w:u w:val="single"/>
                    </w:rPr>
                    <w:t>注:以上指标为可食部分的指标要求。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97" w:type="dxa"/>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r>
                    <w:rPr>
                      <w:rFonts w:hint="eastAsia" w:ascii="宋体" w:hAnsi="宋体" w:eastAsia="宋体" w:cs="宋体"/>
                      <w:bCs/>
                      <w:sz w:val="21"/>
                      <w:szCs w:val="21"/>
                      <w:u w:val="single"/>
                    </w:rPr>
                    <w:t>卫生指标</w:t>
                  </w:r>
                </w:p>
              </w:tc>
              <w:tc>
                <w:tcPr>
                  <w:tcW w:w="6848" w:type="dxa"/>
                  <w:gridSpan w:val="2"/>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r>
                    <w:rPr>
                      <w:rFonts w:hint="eastAsia" w:ascii="宋体" w:hAnsi="宋体" w:eastAsia="宋体" w:cs="宋体"/>
                      <w:bCs/>
                      <w:sz w:val="21"/>
                      <w:szCs w:val="21"/>
                      <w:u w:val="single"/>
                    </w:rPr>
                    <w:t>铅、总砷和微生物指标应符合GB11671的规定。</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97" w:type="dxa"/>
                  <w:vMerge w:val="restart"/>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r>
                    <w:rPr>
                      <w:rFonts w:hint="eastAsia" w:ascii="宋体" w:hAnsi="宋体" w:eastAsia="宋体" w:cs="宋体"/>
                      <w:bCs/>
                      <w:sz w:val="21"/>
                      <w:szCs w:val="21"/>
                      <w:u w:val="single"/>
                    </w:rPr>
                    <w:t>食品添加剂</w:t>
                  </w:r>
                </w:p>
              </w:tc>
              <w:tc>
                <w:tcPr>
                  <w:tcW w:w="6848" w:type="dxa"/>
                  <w:gridSpan w:val="2"/>
                  <w:tcBorders>
                    <w:tl2br w:val="nil"/>
                    <w:tr2bl w:val="nil"/>
                  </w:tcBorders>
                  <w:vAlign w:val="center"/>
                </w:tcPr>
                <w:p>
                  <w:pPr>
                    <w:jc w:val="center"/>
                    <w:rPr>
                      <w:rFonts w:ascii="宋体" w:hAnsi="宋体" w:eastAsia="宋体" w:cs="宋体"/>
                      <w:bCs/>
                      <w:szCs w:val="21"/>
                      <w:u w:val="single"/>
                    </w:rPr>
                  </w:pPr>
                  <w:r>
                    <w:rPr>
                      <w:rFonts w:hint="eastAsia" w:ascii="宋体" w:hAnsi="宋体" w:eastAsia="宋体" w:cs="宋体"/>
                      <w:u w:val="single"/>
                    </w:rPr>
                    <w:t>食品添加剂质量应符合相应的标准和有关规定。</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97" w:type="dxa"/>
                  <w:vMerge w:val="continue"/>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p>
              </w:tc>
              <w:tc>
                <w:tcPr>
                  <w:tcW w:w="6848" w:type="dxa"/>
                  <w:gridSpan w:val="2"/>
                  <w:tcBorders>
                    <w:tl2br w:val="nil"/>
                    <w:tr2bl w:val="nil"/>
                  </w:tcBorders>
                  <w:vAlign w:val="center"/>
                </w:tcPr>
                <w:p>
                  <w:pPr>
                    <w:jc w:val="center"/>
                    <w:rPr>
                      <w:rFonts w:ascii="宋体" w:hAnsi="宋体" w:eastAsia="宋体" w:cs="宋体"/>
                      <w:bCs/>
                      <w:szCs w:val="21"/>
                      <w:u w:val="single"/>
                    </w:rPr>
                  </w:pPr>
                  <w:r>
                    <w:rPr>
                      <w:rFonts w:hint="eastAsia" w:ascii="宋体" w:hAnsi="宋体" w:eastAsia="宋体" w:cs="宋体"/>
                      <w:u w:val="single"/>
                    </w:rPr>
                    <w:t>食品添加剂品种及其使用量应符合GB2760的规定。</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97" w:type="dxa"/>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r>
                    <w:rPr>
                      <w:rFonts w:hint="eastAsia" w:ascii="宋体" w:hAnsi="宋体" w:eastAsia="宋体" w:cs="宋体"/>
                      <w:bCs/>
                      <w:sz w:val="21"/>
                      <w:szCs w:val="21"/>
                      <w:u w:val="single"/>
                    </w:rPr>
                    <w:t>净含量允差</w:t>
                  </w:r>
                </w:p>
              </w:tc>
              <w:tc>
                <w:tcPr>
                  <w:tcW w:w="6848" w:type="dxa"/>
                  <w:gridSpan w:val="2"/>
                  <w:tcBorders>
                    <w:tl2br w:val="nil"/>
                    <w:tr2bl w:val="nil"/>
                  </w:tcBorders>
                  <w:vAlign w:val="center"/>
                </w:tcPr>
                <w:p>
                  <w:pPr>
                    <w:pStyle w:val="24"/>
                    <w:widowControl w:val="0"/>
                    <w:spacing w:before="0" w:beforeAutospacing="0" w:after="0" w:afterAutospacing="0"/>
                    <w:jc w:val="center"/>
                    <w:rPr>
                      <w:rFonts w:ascii="宋体" w:hAnsi="宋体" w:eastAsia="宋体" w:cs="宋体"/>
                      <w:bCs/>
                      <w:sz w:val="21"/>
                      <w:szCs w:val="21"/>
                      <w:u w:val="single"/>
                    </w:rPr>
                  </w:pPr>
                  <w:r>
                    <w:rPr>
                      <w:rFonts w:hint="eastAsia" w:ascii="宋体" w:hAnsi="宋体" w:eastAsia="宋体" w:cs="宋体"/>
                      <w:bCs/>
                      <w:sz w:val="21"/>
                      <w:szCs w:val="21"/>
                      <w:u w:val="single"/>
                    </w:rPr>
                    <w:t>定量包装产品净含量允差应符合《定量包装商品计量监督管理办法》的规定。</w:t>
                  </w:r>
                </w:p>
              </w:tc>
            </w:tr>
          </w:tbl>
          <w:p>
            <w:pPr>
              <w:pStyle w:val="24"/>
              <w:widowControl w:val="0"/>
              <w:spacing w:before="0" w:beforeAutospacing="0" w:after="0" w:afterAutospacing="0" w:line="360" w:lineRule="auto"/>
              <w:jc w:val="both"/>
              <w:rPr>
                <w:rFonts w:ascii="Times New Roman" w:hAnsi="Times New Roman"/>
                <w:b/>
                <w:szCs w:val="24"/>
              </w:rPr>
            </w:pPr>
            <w:r>
              <w:rPr>
                <w:rFonts w:hint="eastAsia" w:ascii="Times New Roman" w:hAnsi="Times New Roman"/>
                <w:b/>
                <w:szCs w:val="24"/>
              </w:rPr>
              <w:t>2.1.2主要原辅材料</w:t>
            </w:r>
          </w:p>
          <w:p>
            <w:pPr>
              <w:spacing w:line="360" w:lineRule="auto"/>
              <w:ind w:firstLine="480" w:firstLineChars="200"/>
              <w:rPr>
                <w:rFonts w:cs="宋体"/>
                <w:sz w:val="24"/>
              </w:rPr>
            </w:pPr>
            <w:r>
              <w:rPr>
                <w:rFonts w:hint="eastAsia" w:cs="宋体"/>
                <w:sz w:val="24"/>
              </w:rPr>
              <w:t>本项目所使用玉米来源为当地农户。原辅材料及燃料见下表。</w:t>
            </w:r>
          </w:p>
          <w:p>
            <w:pPr>
              <w:pStyle w:val="34"/>
              <w:adjustRightInd/>
              <w:spacing w:line="360" w:lineRule="auto"/>
              <w:jc w:val="center"/>
              <w:rPr>
                <w:bCs/>
                <w:color w:val="auto"/>
                <w:szCs w:val="32"/>
                <w:u w:val="single"/>
              </w:rPr>
            </w:pPr>
            <w:r>
              <w:rPr>
                <w:rFonts w:hint="eastAsia"/>
                <w:bCs/>
                <w:color w:val="auto"/>
                <w:szCs w:val="32"/>
                <w:u w:val="single"/>
              </w:rPr>
              <w:t>表2-4 本项目原辅材料及燃料一览表</w:t>
            </w:r>
          </w:p>
          <w:tbl>
            <w:tblPr>
              <w:tblStyle w:val="27"/>
              <w:tblW w:w="794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36"/>
              <w:gridCol w:w="1701"/>
              <w:gridCol w:w="899"/>
              <w:gridCol w:w="1295"/>
              <w:gridCol w:w="1511"/>
              <w:gridCol w:w="190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7" w:hRule="atLeast"/>
                <w:jc w:val="center"/>
              </w:trPr>
              <w:tc>
                <w:tcPr>
                  <w:tcW w:w="636" w:type="dxa"/>
                  <w:vAlign w:val="center"/>
                </w:tcPr>
                <w:p>
                  <w:pPr>
                    <w:jc w:val="center"/>
                    <w:rPr>
                      <w:szCs w:val="21"/>
                    </w:rPr>
                  </w:pPr>
                  <w:r>
                    <w:rPr>
                      <w:rFonts w:hint="eastAsia"/>
                      <w:szCs w:val="21"/>
                    </w:rPr>
                    <w:t>序号</w:t>
                  </w:r>
                </w:p>
              </w:tc>
              <w:tc>
                <w:tcPr>
                  <w:tcW w:w="1701" w:type="dxa"/>
                  <w:vAlign w:val="center"/>
                </w:tcPr>
                <w:p>
                  <w:pPr>
                    <w:jc w:val="center"/>
                    <w:rPr>
                      <w:szCs w:val="21"/>
                    </w:rPr>
                  </w:pPr>
                  <w:r>
                    <w:rPr>
                      <w:rFonts w:hint="eastAsia"/>
                      <w:szCs w:val="21"/>
                    </w:rPr>
                    <w:t>原辅料名称</w:t>
                  </w:r>
                </w:p>
              </w:tc>
              <w:tc>
                <w:tcPr>
                  <w:tcW w:w="899" w:type="dxa"/>
                  <w:vAlign w:val="center"/>
                </w:tcPr>
                <w:p>
                  <w:pPr>
                    <w:jc w:val="center"/>
                    <w:rPr>
                      <w:szCs w:val="21"/>
                    </w:rPr>
                  </w:pPr>
                  <w:r>
                    <w:rPr>
                      <w:rFonts w:hint="eastAsia"/>
                      <w:szCs w:val="21"/>
                    </w:rPr>
                    <w:t>单位</w:t>
                  </w:r>
                </w:p>
              </w:tc>
              <w:tc>
                <w:tcPr>
                  <w:tcW w:w="1295" w:type="dxa"/>
                  <w:vAlign w:val="center"/>
                </w:tcPr>
                <w:p>
                  <w:pPr>
                    <w:jc w:val="center"/>
                    <w:rPr>
                      <w:szCs w:val="21"/>
                    </w:rPr>
                  </w:pPr>
                  <w:r>
                    <w:rPr>
                      <w:rFonts w:hint="eastAsia"/>
                      <w:szCs w:val="21"/>
                    </w:rPr>
                    <w:t>年用量</w:t>
                  </w:r>
                </w:p>
              </w:tc>
              <w:tc>
                <w:tcPr>
                  <w:tcW w:w="1511" w:type="dxa"/>
                  <w:vAlign w:val="center"/>
                </w:tcPr>
                <w:p>
                  <w:pPr>
                    <w:jc w:val="center"/>
                    <w:rPr>
                      <w:szCs w:val="21"/>
                    </w:rPr>
                  </w:pPr>
                  <w:r>
                    <w:rPr>
                      <w:rFonts w:hint="eastAsia"/>
                      <w:szCs w:val="21"/>
                    </w:rPr>
                    <w:t>储存方式</w:t>
                  </w:r>
                </w:p>
              </w:tc>
              <w:tc>
                <w:tcPr>
                  <w:tcW w:w="1900" w:type="dxa"/>
                  <w:vAlign w:val="center"/>
                </w:tcPr>
                <w:p>
                  <w:pPr>
                    <w:jc w:val="center"/>
                    <w:rPr>
                      <w:szCs w:val="21"/>
                    </w:rPr>
                  </w:pPr>
                  <w:r>
                    <w:rPr>
                      <w:rFonts w:hint="eastAsia"/>
                      <w:szCs w:val="21"/>
                    </w:rPr>
                    <w:t>运输方式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36" w:type="dxa"/>
                  <w:vAlign w:val="center"/>
                </w:tcPr>
                <w:p>
                  <w:pPr>
                    <w:jc w:val="center"/>
                    <w:rPr>
                      <w:szCs w:val="21"/>
                    </w:rPr>
                  </w:pPr>
                  <w:r>
                    <w:rPr>
                      <w:rFonts w:hint="eastAsia"/>
                      <w:szCs w:val="21"/>
                    </w:rPr>
                    <w:t>1</w:t>
                  </w:r>
                </w:p>
              </w:tc>
              <w:tc>
                <w:tcPr>
                  <w:tcW w:w="1701" w:type="dxa"/>
                  <w:vAlign w:val="center"/>
                </w:tcPr>
                <w:p>
                  <w:pPr>
                    <w:jc w:val="center"/>
                    <w:rPr>
                      <w:szCs w:val="21"/>
                    </w:rPr>
                  </w:pPr>
                  <w:r>
                    <w:rPr>
                      <w:rFonts w:hint="eastAsia" w:ascii="宋体" w:hAnsi="宋体"/>
                    </w:rPr>
                    <w:t>糯玉米</w:t>
                  </w:r>
                </w:p>
              </w:tc>
              <w:tc>
                <w:tcPr>
                  <w:tcW w:w="899" w:type="dxa"/>
                  <w:vAlign w:val="center"/>
                </w:tcPr>
                <w:p>
                  <w:pPr>
                    <w:jc w:val="center"/>
                    <w:rPr>
                      <w:szCs w:val="21"/>
                    </w:rPr>
                  </w:pPr>
                  <w:r>
                    <w:rPr>
                      <w:rFonts w:hint="eastAsia" w:ascii="宋体" w:hAnsi="宋体"/>
                    </w:rPr>
                    <w:t>棒</w:t>
                  </w:r>
                </w:p>
              </w:tc>
              <w:tc>
                <w:tcPr>
                  <w:tcW w:w="1295" w:type="dxa"/>
                  <w:vAlign w:val="center"/>
                </w:tcPr>
                <w:p>
                  <w:pPr>
                    <w:jc w:val="center"/>
                    <w:rPr>
                      <w:szCs w:val="21"/>
                    </w:rPr>
                  </w:pPr>
                  <w:r>
                    <w:rPr>
                      <w:rFonts w:hint="eastAsia" w:ascii="宋体" w:hAnsi="宋体"/>
                    </w:rPr>
                    <w:t>700万</w:t>
                  </w:r>
                </w:p>
              </w:tc>
              <w:tc>
                <w:tcPr>
                  <w:tcW w:w="1511" w:type="dxa"/>
                  <w:vAlign w:val="center"/>
                </w:tcPr>
                <w:p>
                  <w:pPr>
                    <w:widowControl/>
                    <w:jc w:val="center"/>
                    <w:textAlignment w:val="center"/>
                    <w:rPr>
                      <w:szCs w:val="21"/>
                    </w:rPr>
                  </w:pPr>
                  <w:r>
                    <w:rPr>
                      <w:rFonts w:hint="eastAsia"/>
                      <w:szCs w:val="21"/>
                    </w:rPr>
                    <w:t>原料库</w:t>
                  </w:r>
                </w:p>
              </w:tc>
              <w:tc>
                <w:tcPr>
                  <w:tcW w:w="1900" w:type="dxa"/>
                  <w:vAlign w:val="center"/>
                </w:tcPr>
                <w:p>
                  <w:pPr>
                    <w:jc w:val="center"/>
                    <w:rPr>
                      <w:szCs w:val="21"/>
                    </w:rPr>
                  </w:pPr>
                  <w:r>
                    <w:rPr>
                      <w:rFonts w:hint="eastAsia"/>
                      <w:szCs w:val="21"/>
                      <w:u w:val="single"/>
                    </w:rPr>
                    <w:t>当地购买，汽运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vAlign w:val="center"/>
                </w:tcPr>
                <w:p>
                  <w:pPr>
                    <w:jc w:val="center"/>
                    <w:rPr>
                      <w:szCs w:val="21"/>
                    </w:rPr>
                  </w:pPr>
                  <w:r>
                    <w:rPr>
                      <w:rFonts w:hint="eastAsia"/>
                      <w:szCs w:val="21"/>
                    </w:rPr>
                    <w:t>2</w:t>
                  </w:r>
                </w:p>
              </w:tc>
              <w:tc>
                <w:tcPr>
                  <w:tcW w:w="1701" w:type="dxa"/>
                  <w:vAlign w:val="center"/>
                </w:tcPr>
                <w:p>
                  <w:pPr>
                    <w:jc w:val="center"/>
                    <w:rPr>
                      <w:szCs w:val="21"/>
                    </w:rPr>
                  </w:pPr>
                  <w:r>
                    <w:rPr>
                      <w:rFonts w:hint="eastAsia" w:ascii="宋体" w:hAnsi="宋体"/>
                      <w:szCs w:val="21"/>
                    </w:rPr>
                    <w:t>水</w:t>
                  </w:r>
                </w:p>
              </w:tc>
              <w:tc>
                <w:tcPr>
                  <w:tcW w:w="899" w:type="dxa"/>
                  <w:vAlign w:val="center"/>
                </w:tcPr>
                <w:p>
                  <w:pPr>
                    <w:jc w:val="center"/>
                    <w:rPr>
                      <w:szCs w:val="21"/>
                    </w:rPr>
                  </w:pPr>
                  <w:r>
                    <w:rPr>
                      <w:rFonts w:hint="eastAsia" w:ascii="宋体" w:hAnsi="宋体"/>
                    </w:rPr>
                    <w:t>吨</w:t>
                  </w:r>
                </w:p>
              </w:tc>
              <w:tc>
                <w:tcPr>
                  <w:tcW w:w="1295" w:type="dxa"/>
                  <w:vAlign w:val="center"/>
                </w:tcPr>
                <w:p>
                  <w:pPr>
                    <w:jc w:val="center"/>
                    <w:rPr>
                      <w:szCs w:val="21"/>
                    </w:rPr>
                  </w:pPr>
                  <w:r>
                    <w:rPr>
                      <w:rFonts w:hint="eastAsia" w:ascii="宋体" w:hAnsi="宋体"/>
                    </w:rPr>
                    <w:t>1567.67</w:t>
                  </w:r>
                </w:p>
              </w:tc>
              <w:tc>
                <w:tcPr>
                  <w:tcW w:w="1511" w:type="dxa"/>
                  <w:vAlign w:val="center"/>
                </w:tcPr>
                <w:p>
                  <w:pPr>
                    <w:widowControl/>
                    <w:jc w:val="center"/>
                    <w:textAlignment w:val="center"/>
                    <w:rPr>
                      <w:szCs w:val="21"/>
                    </w:rPr>
                  </w:pPr>
                  <w:r>
                    <w:rPr>
                      <w:rFonts w:hint="eastAsia"/>
                      <w:szCs w:val="21"/>
                    </w:rPr>
                    <w:t>-</w:t>
                  </w:r>
                </w:p>
              </w:tc>
              <w:tc>
                <w:tcPr>
                  <w:tcW w:w="1900" w:type="dxa"/>
                  <w:vAlign w:val="center"/>
                </w:tcPr>
                <w:p>
                  <w:pPr>
                    <w:jc w:val="center"/>
                    <w:rPr>
                      <w:szCs w:val="21"/>
                    </w:rPr>
                  </w:pPr>
                  <w:r>
                    <w:rPr>
                      <w:rFonts w:hint="eastAsia"/>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vAlign w:val="center"/>
                </w:tcPr>
                <w:p>
                  <w:pPr>
                    <w:jc w:val="center"/>
                    <w:rPr>
                      <w:szCs w:val="21"/>
                    </w:rPr>
                  </w:pPr>
                  <w:r>
                    <w:rPr>
                      <w:rFonts w:hint="eastAsia"/>
                      <w:szCs w:val="21"/>
                    </w:rPr>
                    <w:t>3</w:t>
                  </w:r>
                </w:p>
              </w:tc>
              <w:tc>
                <w:tcPr>
                  <w:tcW w:w="1701" w:type="dxa"/>
                  <w:vAlign w:val="center"/>
                </w:tcPr>
                <w:p>
                  <w:pPr>
                    <w:jc w:val="center"/>
                    <w:rPr>
                      <w:szCs w:val="21"/>
                    </w:rPr>
                  </w:pPr>
                  <w:r>
                    <w:rPr>
                      <w:rFonts w:hint="eastAsia" w:ascii="宋体" w:hAnsi="宋体"/>
                      <w:szCs w:val="21"/>
                    </w:rPr>
                    <w:t>生物质</w:t>
                  </w:r>
                </w:p>
              </w:tc>
              <w:tc>
                <w:tcPr>
                  <w:tcW w:w="899" w:type="dxa"/>
                  <w:vAlign w:val="center"/>
                </w:tcPr>
                <w:p>
                  <w:pPr>
                    <w:jc w:val="center"/>
                    <w:rPr>
                      <w:kern w:val="0"/>
                      <w:szCs w:val="20"/>
                    </w:rPr>
                  </w:pPr>
                  <w:r>
                    <w:rPr>
                      <w:rFonts w:hint="eastAsia"/>
                      <w:kern w:val="0"/>
                      <w:szCs w:val="20"/>
                    </w:rPr>
                    <w:t>吨</w:t>
                  </w:r>
                </w:p>
              </w:tc>
              <w:tc>
                <w:tcPr>
                  <w:tcW w:w="1295" w:type="dxa"/>
                  <w:vAlign w:val="center"/>
                </w:tcPr>
                <w:p>
                  <w:pPr>
                    <w:jc w:val="center"/>
                    <w:rPr>
                      <w:szCs w:val="21"/>
                    </w:rPr>
                  </w:pPr>
                  <w:r>
                    <w:rPr>
                      <w:rFonts w:hint="eastAsia" w:ascii="宋体" w:hAnsi="宋体"/>
                    </w:rPr>
                    <w:t>162</w:t>
                  </w:r>
                </w:p>
              </w:tc>
              <w:tc>
                <w:tcPr>
                  <w:tcW w:w="1511" w:type="dxa"/>
                  <w:vAlign w:val="center"/>
                </w:tcPr>
                <w:p>
                  <w:pPr>
                    <w:widowControl/>
                    <w:jc w:val="center"/>
                    <w:textAlignment w:val="center"/>
                    <w:rPr>
                      <w:szCs w:val="21"/>
                    </w:rPr>
                  </w:pPr>
                  <w:r>
                    <w:rPr>
                      <w:rFonts w:hint="eastAsia"/>
                      <w:szCs w:val="21"/>
                    </w:rPr>
                    <w:t>燃料暂存区</w:t>
                  </w:r>
                </w:p>
              </w:tc>
              <w:tc>
                <w:tcPr>
                  <w:tcW w:w="1900" w:type="dxa"/>
                  <w:vAlign w:val="center"/>
                </w:tcPr>
                <w:p>
                  <w:pPr>
                    <w:jc w:val="center"/>
                    <w:rPr>
                      <w:szCs w:val="21"/>
                    </w:rPr>
                  </w:pPr>
                  <w:r>
                    <w:rPr>
                      <w:rFonts w:hint="eastAsia"/>
                      <w:szCs w:val="21"/>
                      <w:u w:val="single"/>
                    </w:rPr>
                    <w:t>当地购买，汽运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vAlign w:val="center"/>
                </w:tcPr>
                <w:p>
                  <w:pPr>
                    <w:jc w:val="center"/>
                    <w:rPr>
                      <w:szCs w:val="21"/>
                    </w:rPr>
                  </w:pPr>
                  <w:r>
                    <w:rPr>
                      <w:rFonts w:hint="eastAsia"/>
                      <w:szCs w:val="21"/>
                    </w:rPr>
                    <w:t>4</w:t>
                  </w:r>
                </w:p>
              </w:tc>
              <w:tc>
                <w:tcPr>
                  <w:tcW w:w="1701" w:type="dxa"/>
                  <w:vAlign w:val="center"/>
                </w:tcPr>
                <w:p>
                  <w:pPr>
                    <w:jc w:val="center"/>
                    <w:rPr>
                      <w:szCs w:val="21"/>
                    </w:rPr>
                  </w:pPr>
                  <w:r>
                    <w:rPr>
                      <w:rFonts w:hint="eastAsia" w:ascii="宋体" w:hAnsi="宋体"/>
                      <w:szCs w:val="21"/>
                    </w:rPr>
                    <w:t>包装袋</w:t>
                  </w:r>
                </w:p>
              </w:tc>
              <w:tc>
                <w:tcPr>
                  <w:tcW w:w="899" w:type="dxa"/>
                  <w:vAlign w:val="center"/>
                </w:tcPr>
                <w:p>
                  <w:pPr>
                    <w:jc w:val="center"/>
                    <w:rPr>
                      <w:kern w:val="0"/>
                      <w:szCs w:val="20"/>
                    </w:rPr>
                  </w:pPr>
                  <w:r>
                    <w:rPr>
                      <w:rFonts w:hint="eastAsia" w:ascii="宋体" w:hAnsi="宋体"/>
                    </w:rPr>
                    <w:t>个</w:t>
                  </w:r>
                </w:p>
              </w:tc>
              <w:tc>
                <w:tcPr>
                  <w:tcW w:w="1295" w:type="dxa"/>
                  <w:vAlign w:val="center"/>
                </w:tcPr>
                <w:p>
                  <w:pPr>
                    <w:jc w:val="center"/>
                    <w:rPr>
                      <w:szCs w:val="21"/>
                    </w:rPr>
                  </w:pPr>
                  <w:r>
                    <w:rPr>
                      <w:rFonts w:hint="eastAsia" w:ascii="宋体" w:hAnsi="宋体"/>
                    </w:rPr>
                    <w:t>700万</w:t>
                  </w:r>
                </w:p>
              </w:tc>
              <w:tc>
                <w:tcPr>
                  <w:tcW w:w="1511" w:type="dxa"/>
                  <w:vAlign w:val="center"/>
                </w:tcPr>
                <w:p>
                  <w:pPr>
                    <w:widowControl/>
                    <w:jc w:val="center"/>
                    <w:textAlignment w:val="center"/>
                    <w:rPr>
                      <w:szCs w:val="21"/>
                    </w:rPr>
                  </w:pPr>
                  <w:r>
                    <w:rPr>
                      <w:rFonts w:hint="eastAsia"/>
                      <w:szCs w:val="21"/>
                    </w:rPr>
                    <w:t>仓库</w:t>
                  </w:r>
                </w:p>
              </w:tc>
              <w:tc>
                <w:tcPr>
                  <w:tcW w:w="1900" w:type="dxa"/>
                  <w:vAlign w:val="center"/>
                </w:tcPr>
                <w:p>
                  <w:pPr>
                    <w:jc w:val="center"/>
                    <w:rPr>
                      <w:szCs w:val="21"/>
                    </w:rPr>
                  </w:pPr>
                  <w:r>
                    <w:rPr>
                      <w:rFonts w:hint="eastAsia"/>
                      <w:szCs w:val="21"/>
                    </w:rPr>
                    <w:t>汽运</w:t>
                  </w:r>
                </w:p>
              </w:tc>
            </w:tr>
          </w:tbl>
          <w:p>
            <w:pPr>
              <w:jc w:val="center"/>
              <w:rPr>
                <w:b/>
                <w:szCs w:val="21"/>
                <w:u w:val="single"/>
              </w:rPr>
            </w:pPr>
          </w:p>
          <w:p>
            <w:pPr>
              <w:spacing w:line="360" w:lineRule="auto"/>
              <w:ind w:firstLine="480" w:firstLineChars="200"/>
              <w:rPr>
                <w:rFonts w:cs="宋体"/>
                <w:sz w:val="24"/>
              </w:rPr>
            </w:pPr>
            <w:r>
              <w:rPr>
                <w:rFonts w:hint="eastAsia" w:cs="宋体"/>
                <w:sz w:val="24"/>
              </w:rPr>
              <w:t>本项目所用原材料主要为生物质成型燃料，年用量为162t。生物质燃料属于可燃物质，由秸秆、稻草、</w:t>
            </w:r>
            <w:r>
              <w:fldChar w:fldCharType="begin"/>
            </w:r>
            <w:r>
              <w:instrText xml:space="preserve">HYPERLINK "https://baike.so.com/doc/5848216-6061054.html" \t "https://baike.so.com/doc/_blank" </w:instrText>
            </w:r>
            <w:r>
              <w:fldChar w:fldCharType="separate"/>
            </w:r>
            <w:r>
              <w:rPr>
                <w:rFonts w:hint="eastAsia" w:cs="宋体"/>
                <w:sz w:val="24"/>
              </w:rPr>
              <w:t>稻壳</w:t>
            </w:r>
            <w:r>
              <w:fldChar w:fldCharType="end"/>
            </w:r>
            <w:r>
              <w:rPr>
                <w:rFonts w:hint="eastAsia" w:cs="宋体"/>
                <w:sz w:val="24"/>
              </w:rPr>
              <w:t>、花生壳、</w:t>
            </w:r>
            <w:r>
              <w:fldChar w:fldCharType="begin"/>
            </w:r>
            <w:r>
              <w:instrText xml:space="preserve">HYPERLINK "https://baike.so.com/doc/6242565-6455960.html" \t "https://baike.so.com/doc/_blank" </w:instrText>
            </w:r>
            <w:r>
              <w:fldChar w:fldCharType="separate"/>
            </w:r>
            <w:r>
              <w:rPr>
                <w:rFonts w:hint="eastAsia" w:cs="宋体"/>
                <w:sz w:val="24"/>
              </w:rPr>
              <w:t>玉米芯</w:t>
            </w:r>
            <w:r>
              <w:fldChar w:fldCharType="end"/>
            </w:r>
            <w:r>
              <w:rPr>
                <w:rFonts w:hint="eastAsia" w:cs="宋体"/>
                <w:sz w:val="24"/>
              </w:rPr>
              <w:t>、油茶壳、</w:t>
            </w:r>
            <w:r>
              <w:fldChar w:fldCharType="begin"/>
            </w:r>
            <w:r>
              <w:instrText xml:space="preserve">HYPERLINK "https://baike.so.com/doc/3640142-3826286.html" \t "https://baike.so.com/doc/_blank" </w:instrText>
            </w:r>
            <w:r>
              <w:fldChar w:fldCharType="separate"/>
            </w:r>
            <w:r>
              <w:rPr>
                <w:rFonts w:hint="eastAsia" w:cs="宋体"/>
                <w:sz w:val="24"/>
              </w:rPr>
              <w:t>棉籽壳</w:t>
            </w:r>
            <w:r>
              <w:fldChar w:fldCharType="end"/>
            </w:r>
            <w:r>
              <w:rPr>
                <w:rFonts w:hint="eastAsia" w:cs="宋体"/>
                <w:sz w:val="24"/>
              </w:rPr>
              <w:t>等以及“三剩物”经过加工产生的块状环保新能源，由生物质燃料厂家定期运至企业燃料库内，密闭贮存，最大贮存量为6吨。</w:t>
            </w:r>
          </w:p>
          <w:p>
            <w:pPr>
              <w:spacing w:line="360" w:lineRule="auto"/>
              <w:ind w:firstLine="480" w:firstLineChars="200"/>
              <w:rPr>
                <w:rFonts w:ascii="宋体" w:hAnsi="宋体" w:eastAsia="宋体" w:cs="宋体"/>
                <w:sz w:val="24"/>
              </w:rPr>
            </w:pPr>
            <w:r>
              <w:rPr>
                <w:rFonts w:hint="eastAsia" w:ascii="宋体" w:hAnsi="宋体" w:eastAsia="宋体" w:cs="宋体"/>
                <w:sz w:val="24"/>
                <w:u w:val="single"/>
              </w:rPr>
              <w:t>生物质成分分析引用本地的其他燃生物质锅炉企业数据。《柳河县柳明佳园物业供热站生物质锅炉建设项目环境影响报告表》数据，见表2-5</w:t>
            </w:r>
            <w:r>
              <w:rPr>
                <w:rFonts w:hint="eastAsia" w:ascii="宋体" w:hAnsi="宋体" w:eastAsia="宋体" w:cs="宋体"/>
                <w:sz w:val="24"/>
              </w:rPr>
              <w:t>。</w:t>
            </w:r>
          </w:p>
          <w:p>
            <w:pPr>
              <w:pStyle w:val="34"/>
              <w:adjustRightInd/>
              <w:spacing w:line="360" w:lineRule="auto"/>
              <w:jc w:val="center"/>
              <w:rPr>
                <w:bCs/>
                <w:color w:val="auto"/>
                <w:szCs w:val="32"/>
                <w:u w:val="single"/>
              </w:rPr>
            </w:pPr>
            <w:r>
              <w:rPr>
                <w:rFonts w:hint="eastAsia"/>
                <w:bCs/>
                <w:color w:val="auto"/>
                <w:szCs w:val="32"/>
                <w:u w:val="single"/>
              </w:rPr>
              <w:t>表2-5  生物质燃料的成分分析表</w:t>
            </w:r>
          </w:p>
          <w:tbl>
            <w:tblPr>
              <w:tblStyle w:val="27"/>
              <w:tblW w:w="8418"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816"/>
              <w:gridCol w:w="2795"/>
              <w:gridCol w:w="280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816" w:type="dxa"/>
                  <w:vAlign w:val="center"/>
                </w:tcPr>
                <w:p>
                  <w:pPr>
                    <w:ind w:firstLine="420" w:firstLineChars="200"/>
                    <w:jc w:val="center"/>
                    <w:rPr>
                      <w:bCs/>
                      <w:iCs/>
                      <w:szCs w:val="21"/>
                      <w:u w:val="single"/>
                    </w:rPr>
                  </w:pPr>
                  <w:r>
                    <w:rPr>
                      <w:bCs/>
                      <w:iCs/>
                      <w:szCs w:val="21"/>
                      <w:u w:val="single"/>
                    </w:rPr>
                    <w:t>名    称</w:t>
                  </w:r>
                </w:p>
              </w:tc>
              <w:tc>
                <w:tcPr>
                  <w:tcW w:w="2795" w:type="dxa"/>
                  <w:vAlign w:val="center"/>
                </w:tcPr>
                <w:p>
                  <w:pPr>
                    <w:ind w:firstLine="420" w:firstLineChars="200"/>
                    <w:jc w:val="center"/>
                    <w:rPr>
                      <w:bCs/>
                      <w:iCs/>
                      <w:szCs w:val="21"/>
                      <w:u w:val="single"/>
                    </w:rPr>
                  </w:pPr>
                  <w:r>
                    <w:rPr>
                      <w:bCs/>
                      <w:iCs/>
                      <w:szCs w:val="21"/>
                      <w:u w:val="single"/>
                    </w:rPr>
                    <w:t>单 位</w:t>
                  </w:r>
                </w:p>
              </w:tc>
              <w:tc>
                <w:tcPr>
                  <w:tcW w:w="2807" w:type="dxa"/>
                  <w:vAlign w:val="center"/>
                </w:tcPr>
                <w:p>
                  <w:pPr>
                    <w:ind w:firstLine="420" w:firstLineChars="200"/>
                    <w:jc w:val="center"/>
                    <w:rPr>
                      <w:bCs/>
                      <w:iCs/>
                      <w:szCs w:val="21"/>
                      <w:u w:val="single"/>
                    </w:rPr>
                  </w:pPr>
                  <w:r>
                    <w:rPr>
                      <w:bCs/>
                      <w:iCs/>
                      <w:szCs w:val="21"/>
                      <w:u w:val="single"/>
                    </w:rPr>
                    <w:t>数  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816" w:type="dxa"/>
                  <w:vAlign w:val="center"/>
                </w:tcPr>
                <w:p>
                  <w:pPr>
                    <w:ind w:firstLine="420" w:firstLineChars="200"/>
                    <w:jc w:val="center"/>
                    <w:rPr>
                      <w:iCs/>
                      <w:szCs w:val="21"/>
                      <w:u w:val="single"/>
                    </w:rPr>
                  </w:pPr>
                  <w:r>
                    <w:rPr>
                      <w:iCs/>
                      <w:szCs w:val="21"/>
                      <w:u w:val="single"/>
                    </w:rPr>
                    <w:t>收到基碳Car</w:t>
                  </w:r>
                </w:p>
              </w:tc>
              <w:tc>
                <w:tcPr>
                  <w:tcW w:w="2795" w:type="dxa"/>
                  <w:vAlign w:val="center"/>
                </w:tcPr>
                <w:p>
                  <w:pPr>
                    <w:ind w:firstLine="420" w:firstLineChars="200"/>
                    <w:jc w:val="center"/>
                    <w:rPr>
                      <w:iCs/>
                      <w:szCs w:val="21"/>
                      <w:u w:val="single"/>
                    </w:rPr>
                  </w:pPr>
                  <w:r>
                    <w:rPr>
                      <w:iCs/>
                      <w:szCs w:val="21"/>
                      <w:u w:val="single"/>
                    </w:rPr>
                    <w:t>%</w:t>
                  </w:r>
                </w:p>
              </w:tc>
              <w:tc>
                <w:tcPr>
                  <w:tcW w:w="2807" w:type="dxa"/>
                  <w:vAlign w:val="center"/>
                </w:tcPr>
                <w:p>
                  <w:pPr>
                    <w:ind w:firstLine="420" w:firstLineChars="200"/>
                    <w:jc w:val="center"/>
                    <w:rPr>
                      <w:iCs/>
                      <w:szCs w:val="21"/>
                      <w:u w:val="single"/>
                    </w:rPr>
                  </w:pPr>
                  <w:r>
                    <w:rPr>
                      <w:iCs/>
                      <w:szCs w:val="21"/>
                      <w:u w:val="single"/>
                    </w:rPr>
                    <w:t>38.64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816" w:type="dxa"/>
                  <w:vAlign w:val="center"/>
                </w:tcPr>
                <w:p>
                  <w:pPr>
                    <w:ind w:firstLine="420" w:firstLineChars="200"/>
                    <w:jc w:val="center"/>
                    <w:rPr>
                      <w:iCs/>
                      <w:szCs w:val="21"/>
                      <w:u w:val="single"/>
                    </w:rPr>
                  </w:pPr>
                  <w:r>
                    <w:rPr>
                      <w:iCs/>
                      <w:szCs w:val="21"/>
                      <w:u w:val="single"/>
                    </w:rPr>
                    <w:t>收到基氢Har</w:t>
                  </w:r>
                </w:p>
              </w:tc>
              <w:tc>
                <w:tcPr>
                  <w:tcW w:w="2795" w:type="dxa"/>
                  <w:vAlign w:val="center"/>
                </w:tcPr>
                <w:p>
                  <w:pPr>
                    <w:ind w:firstLine="420" w:firstLineChars="200"/>
                    <w:jc w:val="center"/>
                    <w:rPr>
                      <w:iCs/>
                      <w:szCs w:val="21"/>
                      <w:u w:val="single"/>
                    </w:rPr>
                  </w:pPr>
                  <w:r>
                    <w:rPr>
                      <w:iCs/>
                      <w:szCs w:val="21"/>
                      <w:u w:val="single"/>
                    </w:rPr>
                    <w:t>%</w:t>
                  </w:r>
                </w:p>
              </w:tc>
              <w:tc>
                <w:tcPr>
                  <w:tcW w:w="2807" w:type="dxa"/>
                  <w:vAlign w:val="center"/>
                </w:tcPr>
                <w:p>
                  <w:pPr>
                    <w:ind w:firstLine="420" w:firstLineChars="200"/>
                    <w:jc w:val="center"/>
                    <w:rPr>
                      <w:iCs/>
                      <w:szCs w:val="21"/>
                      <w:u w:val="single"/>
                    </w:rPr>
                  </w:pPr>
                  <w:r>
                    <w:rPr>
                      <w:iCs/>
                      <w:szCs w:val="21"/>
                      <w:u w:val="single"/>
                    </w:rPr>
                    <w:t>6.08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816" w:type="dxa"/>
                  <w:vAlign w:val="center"/>
                </w:tcPr>
                <w:p>
                  <w:pPr>
                    <w:ind w:firstLine="420" w:firstLineChars="200"/>
                    <w:jc w:val="center"/>
                    <w:rPr>
                      <w:iCs/>
                      <w:szCs w:val="21"/>
                      <w:u w:val="single"/>
                    </w:rPr>
                  </w:pPr>
                  <w:r>
                    <w:rPr>
                      <w:iCs/>
                      <w:szCs w:val="21"/>
                      <w:u w:val="single"/>
                    </w:rPr>
                    <w:t>收到基氧Oar</w:t>
                  </w:r>
                </w:p>
              </w:tc>
              <w:tc>
                <w:tcPr>
                  <w:tcW w:w="2795" w:type="dxa"/>
                  <w:vAlign w:val="center"/>
                </w:tcPr>
                <w:p>
                  <w:pPr>
                    <w:ind w:firstLine="420" w:firstLineChars="200"/>
                    <w:jc w:val="center"/>
                    <w:rPr>
                      <w:iCs/>
                      <w:szCs w:val="21"/>
                      <w:u w:val="single"/>
                    </w:rPr>
                  </w:pPr>
                  <w:r>
                    <w:rPr>
                      <w:iCs/>
                      <w:szCs w:val="21"/>
                      <w:u w:val="single"/>
                    </w:rPr>
                    <w:t>%</w:t>
                  </w:r>
                </w:p>
              </w:tc>
              <w:tc>
                <w:tcPr>
                  <w:tcW w:w="2807" w:type="dxa"/>
                  <w:vAlign w:val="center"/>
                </w:tcPr>
                <w:p>
                  <w:pPr>
                    <w:ind w:firstLine="420" w:firstLineChars="200"/>
                    <w:jc w:val="center"/>
                    <w:rPr>
                      <w:iCs/>
                      <w:szCs w:val="21"/>
                      <w:u w:val="single"/>
                    </w:rPr>
                  </w:pPr>
                  <w:r>
                    <w:rPr>
                      <w:iCs/>
                      <w:szCs w:val="21"/>
                      <w:u w:val="single"/>
                    </w:rPr>
                    <w:t>38.2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816" w:type="dxa"/>
                  <w:vAlign w:val="center"/>
                </w:tcPr>
                <w:p>
                  <w:pPr>
                    <w:ind w:firstLine="420" w:firstLineChars="200"/>
                    <w:jc w:val="center"/>
                    <w:rPr>
                      <w:iCs/>
                      <w:szCs w:val="21"/>
                      <w:u w:val="single"/>
                    </w:rPr>
                  </w:pPr>
                  <w:r>
                    <w:rPr>
                      <w:iCs/>
                      <w:szCs w:val="21"/>
                      <w:u w:val="single"/>
                    </w:rPr>
                    <w:t>收到基氮Nar</w:t>
                  </w:r>
                </w:p>
              </w:tc>
              <w:tc>
                <w:tcPr>
                  <w:tcW w:w="2795" w:type="dxa"/>
                  <w:vAlign w:val="center"/>
                </w:tcPr>
                <w:p>
                  <w:pPr>
                    <w:ind w:firstLine="420" w:firstLineChars="200"/>
                    <w:jc w:val="center"/>
                    <w:rPr>
                      <w:iCs/>
                      <w:szCs w:val="21"/>
                      <w:u w:val="single"/>
                    </w:rPr>
                  </w:pPr>
                  <w:r>
                    <w:rPr>
                      <w:iCs/>
                      <w:szCs w:val="21"/>
                      <w:u w:val="single"/>
                    </w:rPr>
                    <w:t>%</w:t>
                  </w:r>
                </w:p>
              </w:tc>
              <w:tc>
                <w:tcPr>
                  <w:tcW w:w="2807" w:type="dxa"/>
                  <w:vAlign w:val="center"/>
                </w:tcPr>
                <w:p>
                  <w:pPr>
                    <w:ind w:firstLine="420" w:firstLineChars="200"/>
                    <w:jc w:val="center"/>
                    <w:rPr>
                      <w:iCs/>
                      <w:szCs w:val="21"/>
                      <w:u w:val="single"/>
                    </w:rPr>
                  </w:pPr>
                  <w:r>
                    <w:rPr>
                      <w:iCs/>
                      <w:szCs w:val="21"/>
                      <w:u w:val="single"/>
                    </w:rPr>
                    <w:t>0.87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816" w:type="dxa"/>
                  <w:vAlign w:val="center"/>
                </w:tcPr>
                <w:p>
                  <w:pPr>
                    <w:ind w:firstLine="420" w:firstLineChars="200"/>
                    <w:jc w:val="center"/>
                    <w:rPr>
                      <w:iCs/>
                      <w:szCs w:val="21"/>
                      <w:u w:val="single"/>
                    </w:rPr>
                  </w:pPr>
                  <w:r>
                    <w:rPr>
                      <w:iCs/>
                      <w:szCs w:val="21"/>
                      <w:u w:val="single"/>
                    </w:rPr>
                    <w:t>收到基全硫S</w:t>
                  </w:r>
                </w:p>
              </w:tc>
              <w:tc>
                <w:tcPr>
                  <w:tcW w:w="2795" w:type="dxa"/>
                  <w:vAlign w:val="center"/>
                </w:tcPr>
                <w:p>
                  <w:pPr>
                    <w:ind w:firstLine="420" w:firstLineChars="200"/>
                    <w:jc w:val="center"/>
                    <w:rPr>
                      <w:iCs/>
                      <w:szCs w:val="21"/>
                      <w:u w:val="single"/>
                    </w:rPr>
                  </w:pPr>
                  <w:r>
                    <w:rPr>
                      <w:iCs/>
                      <w:szCs w:val="21"/>
                      <w:u w:val="single"/>
                    </w:rPr>
                    <w:t>%</w:t>
                  </w:r>
                </w:p>
              </w:tc>
              <w:tc>
                <w:tcPr>
                  <w:tcW w:w="2807" w:type="dxa"/>
                  <w:vAlign w:val="center"/>
                </w:tcPr>
                <w:p>
                  <w:pPr>
                    <w:ind w:firstLine="420" w:firstLineChars="200"/>
                    <w:jc w:val="center"/>
                    <w:rPr>
                      <w:iCs/>
                      <w:szCs w:val="21"/>
                      <w:u w:val="single"/>
                    </w:rPr>
                  </w:pPr>
                  <w:r>
                    <w:rPr>
                      <w:iCs/>
                      <w:szCs w:val="21"/>
                      <w:u w:val="single"/>
                    </w:rPr>
                    <w:t>0.05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816" w:type="dxa"/>
                  <w:vAlign w:val="center"/>
                </w:tcPr>
                <w:p>
                  <w:pPr>
                    <w:ind w:firstLine="420" w:firstLineChars="200"/>
                    <w:jc w:val="center"/>
                    <w:rPr>
                      <w:iCs/>
                      <w:szCs w:val="21"/>
                      <w:u w:val="single"/>
                    </w:rPr>
                  </w:pPr>
                  <w:r>
                    <w:rPr>
                      <w:iCs/>
                      <w:szCs w:val="21"/>
                      <w:u w:val="single"/>
                    </w:rPr>
                    <w:t>收到基灰Aar</w:t>
                  </w:r>
                </w:p>
              </w:tc>
              <w:tc>
                <w:tcPr>
                  <w:tcW w:w="2795" w:type="dxa"/>
                  <w:vAlign w:val="center"/>
                </w:tcPr>
                <w:p>
                  <w:pPr>
                    <w:ind w:firstLine="420" w:firstLineChars="200"/>
                    <w:jc w:val="center"/>
                    <w:rPr>
                      <w:iCs/>
                      <w:szCs w:val="21"/>
                      <w:u w:val="single"/>
                    </w:rPr>
                  </w:pPr>
                  <w:r>
                    <w:rPr>
                      <w:iCs/>
                      <w:szCs w:val="21"/>
                      <w:u w:val="single"/>
                    </w:rPr>
                    <w:t>%</w:t>
                  </w:r>
                </w:p>
              </w:tc>
              <w:tc>
                <w:tcPr>
                  <w:tcW w:w="2807" w:type="dxa"/>
                  <w:vAlign w:val="center"/>
                </w:tcPr>
                <w:p>
                  <w:pPr>
                    <w:ind w:firstLine="420" w:firstLineChars="200"/>
                    <w:jc w:val="center"/>
                    <w:rPr>
                      <w:iCs/>
                      <w:szCs w:val="21"/>
                      <w:u w:val="single"/>
                    </w:rPr>
                  </w:pPr>
                  <w:r>
                    <w:rPr>
                      <w:iCs/>
                      <w:szCs w:val="21"/>
                      <w:u w:val="single"/>
                    </w:rPr>
                    <w:t>5.4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816" w:type="dxa"/>
                  <w:vAlign w:val="center"/>
                </w:tcPr>
                <w:p>
                  <w:pPr>
                    <w:ind w:firstLine="420" w:firstLineChars="200"/>
                    <w:jc w:val="center"/>
                    <w:rPr>
                      <w:iCs/>
                      <w:szCs w:val="21"/>
                      <w:u w:val="single"/>
                    </w:rPr>
                  </w:pPr>
                  <w:r>
                    <w:rPr>
                      <w:iCs/>
                      <w:szCs w:val="21"/>
                      <w:u w:val="single"/>
                    </w:rPr>
                    <w:t>收到基水分Mar</w:t>
                  </w:r>
                </w:p>
              </w:tc>
              <w:tc>
                <w:tcPr>
                  <w:tcW w:w="2795" w:type="dxa"/>
                  <w:vAlign w:val="center"/>
                </w:tcPr>
                <w:p>
                  <w:pPr>
                    <w:ind w:firstLine="420" w:firstLineChars="200"/>
                    <w:jc w:val="center"/>
                    <w:rPr>
                      <w:iCs/>
                      <w:szCs w:val="21"/>
                      <w:u w:val="single"/>
                    </w:rPr>
                  </w:pPr>
                  <w:r>
                    <w:rPr>
                      <w:iCs/>
                      <w:szCs w:val="21"/>
                      <w:u w:val="single"/>
                    </w:rPr>
                    <w:t>%</w:t>
                  </w:r>
                </w:p>
              </w:tc>
              <w:tc>
                <w:tcPr>
                  <w:tcW w:w="2807" w:type="dxa"/>
                  <w:vAlign w:val="center"/>
                </w:tcPr>
                <w:p>
                  <w:pPr>
                    <w:ind w:firstLine="420" w:firstLineChars="200"/>
                    <w:jc w:val="center"/>
                    <w:rPr>
                      <w:iCs/>
                      <w:szCs w:val="21"/>
                      <w:u w:val="single"/>
                    </w:rPr>
                  </w:pPr>
                  <w:r>
                    <w:rPr>
                      <w:iCs/>
                      <w:szCs w:val="21"/>
                      <w:u w:val="single"/>
                    </w:rPr>
                    <w:t>11.02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816" w:type="dxa"/>
                  <w:vAlign w:val="center"/>
                </w:tcPr>
                <w:p>
                  <w:pPr>
                    <w:ind w:firstLine="420" w:firstLineChars="200"/>
                    <w:jc w:val="center"/>
                    <w:rPr>
                      <w:iCs/>
                      <w:szCs w:val="21"/>
                      <w:u w:val="single"/>
                    </w:rPr>
                  </w:pPr>
                  <w:r>
                    <w:rPr>
                      <w:iCs/>
                      <w:szCs w:val="21"/>
                      <w:u w:val="single"/>
                    </w:rPr>
                    <w:t>空干基水分Mad</w:t>
                  </w:r>
                </w:p>
              </w:tc>
              <w:tc>
                <w:tcPr>
                  <w:tcW w:w="2795" w:type="dxa"/>
                  <w:vAlign w:val="center"/>
                </w:tcPr>
                <w:p>
                  <w:pPr>
                    <w:ind w:firstLine="420" w:firstLineChars="200"/>
                    <w:jc w:val="center"/>
                    <w:rPr>
                      <w:iCs/>
                      <w:szCs w:val="21"/>
                      <w:u w:val="single"/>
                    </w:rPr>
                  </w:pPr>
                  <w:r>
                    <w:rPr>
                      <w:iCs/>
                      <w:szCs w:val="21"/>
                      <w:u w:val="single"/>
                    </w:rPr>
                    <w:t>%</w:t>
                  </w:r>
                </w:p>
              </w:tc>
              <w:tc>
                <w:tcPr>
                  <w:tcW w:w="2807" w:type="dxa"/>
                  <w:vAlign w:val="center"/>
                </w:tcPr>
                <w:p>
                  <w:pPr>
                    <w:ind w:firstLine="420" w:firstLineChars="200"/>
                    <w:jc w:val="center"/>
                    <w:rPr>
                      <w:iCs/>
                      <w:szCs w:val="21"/>
                      <w:u w:val="single"/>
                    </w:rPr>
                  </w:pPr>
                  <w:r>
                    <w:rPr>
                      <w:iCs/>
                      <w:szCs w:val="21"/>
                      <w:u w:val="single"/>
                    </w:rPr>
                    <w:t>12.47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816" w:type="dxa"/>
                  <w:vAlign w:val="center"/>
                </w:tcPr>
                <w:p>
                  <w:pPr>
                    <w:ind w:firstLine="420" w:firstLineChars="200"/>
                    <w:jc w:val="center"/>
                    <w:rPr>
                      <w:iCs/>
                      <w:szCs w:val="21"/>
                      <w:u w:val="single"/>
                    </w:rPr>
                  </w:pPr>
                  <w:r>
                    <w:rPr>
                      <w:iCs/>
                      <w:szCs w:val="21"/>
                      <w:u w:val="single"/>
                    </w:rPr>
                    <w:t>收到基低位热 Qnet,ar</w:t>
                  </w:r>
                </w:p>
              </w:tc>
              <w:tc>
                <w:tcPr>
                  <w:tcW w:w="2795" w:type="dxa"/>
                  <w:vAlign w:val="center"/>
                </w:tcPr>
                <w:p>
                  <w:pPr>
                    <w:ind w:firstLine="420" w:firstLineChars="200"/>
                    <w:jc w:val="center"/>
                    <w:rPr>
                      <w:iCs/>
                      <w:szCs w:val="21"/>
                      <w:u w:val="single"/>
                    </w:rPr>
                  </w:pPr>
                  <w:r>
                    <w:rPr>
                      <w:iCs/>
                      <w:szCs w:val="21"/>
                      <w:u w:val="single"/>
                    </w:rPr>
                    <w:t>MJ/kg</w:t>
                  </w:r>
                </w:p>
              </w:tc>
              <w:tc>
                <w:tcPr>
                  <w:tcW w:w="2807" w:type="dxa"/>
                  <w:vAlign w:val="center"/>
                </w:tcPr>
                <w:p>
                  <w:pPr>
                    <w:ind w:firstLine="420" w:firstLineChars="200"/>
                    <w:jc w:val="center"/>
                    <w:rPr>
                      <w:iCs/>
                      <w:szCs w:val="21"/>
                      <w:u w:val="single"/>
                    </w:rPr>
                  </w:pPr>
                  <w:r>
                    <w:rPr>
                      <w:iCs/>
                      <w:szCs w:val="21"/>
                      <w:u w:val="single"/>
                    </w:rPr>
                    <w:t>13.78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816" w:type="dxa"/>
                  <w:vAlign w:val="center"/>
                </w:tcPr>
                <w:p>
                  <w:pPr>
                    <w:ind w:firstLine="420" w:firstLineChars="200"/>
                    <w:jc w:val="center"/>
                    <w:rPr>
                      <w:iCs/>
                      <w:szCs w:val="21"/>
                      <w:u w:val="single"/>
                    </w:rPr>
                  </w:pPr>
                  <w:r>
                    <w:rPr>
                      <w:iCs/>
                      <w:szCs w:val="21"/>
                      <w:u w:val="single"/>
                    </w:rPr>
                    <w:t>变形温度DT</w:t>
                  </w:r>
                </w:p>
              </w:tc>
              <w:tc>
                <w:tcPr>
                  <w:tcW w:w="2795" w:type="dxa"/>
                  <w:vAlign w:val="center"/>
                </w:tcPr>
                <w:p>
                  <w:pPr>
                    <w:ind w:firstLine="420" w:firstLineChars="200"/>
                    <w:jc w:val="center"/>
                    <w:rPr>
                      <w:iCs/>
                      <w:szCs w:val="21"/>
                      <w:u w:val="single"/>
                    </w:rPr>
                  </w:pPr>
                  <w:r>
                    <w:rPr>
                      <w:iCs/>
                      <w:szCs w:val="21"/>
                      <w:u w:val="single"/>
                    </w:rPr>
                    <w:t>℃</w:t>
                  </w:r>
                </w:p>
              </w:tc>
              <w:tc>
                <w:tcPr>
                  <w:tcW w:w="2807" w:type="dxa"/>
                  <w:vAlign w:val="center"/>
                </w:tcPr>
                <w:p>
                  <w:pPr>
                    <w:ind w:firstLine="420" w:firstLineChars="200"/>
                    <w:jc w:val="center"/>
                    <w:rPr>
                      <w:iCs/>
                      <w:szCs w:val="21"/>
                      <w:u w:val="single"/>
                    </w:rPr>
                  </w:pPr>
                  <w:r>
                    <w:rPr>
                      <w:iCs/>
                      <w:szCs w:val="21"/>
                      <w:u w:val="single"/>
                    </w:rPr>
                    <w:t>998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816" w:type="dxa"/>
                  <w:vAlign w:val="center"/>
                </w:tcPr>
                <w:p>
                  <w:pPr>
                    <w:ind w:firstLine="420" w:firstLineChars="200"/>
                    <w:jc w:val="center"/>
                    <w:rPr>
                      <w:iCs/>
                      <w:szCs w:val="21"/>
                      <w:u w:val="single"/>
                    </w:rPr>
                  </w:pPr>
                  <w:r>
                    <w:rPr>
                      <w:iCs/>
                      <w:szCs w:val="21"/>
                      <w:u w:val="single"/>
                    </w:rPr>
                    <w:t>软化温度ST</w:t>
                  </w:r>
                </w:p>
              </w:tc>
              <w:tc>
                <w:tcPr>
                  <w:tcW w:w="2795" w:type="dxa"/>
                  <w:vAlign w:val="center"/>
                </w:tcPr>
                <w:p>
                  <w:pPr>
                    <w:ind w:firstLine="420" w:firstLineChars="200"/>
                    <w:jc w:val="center"/>
                    <w:rPr>
                      <w:iCs/>
                      <w:szCs w:val="21"/>
                      <w:u w:val="single"/>
                    </w:rPr>
                  </w:pPr>
                  <w:r>
                    <w:rPr>
                      <w:iCs/>
                      <w:szCs w:val="21"/>
                      <w:u w:val="single"/>
                    </w:rPr>
                    <w:t>℃</w:t>
                  </w:r>
                </w:p>
              </w:tc>
              <w:tc>
                <w:tcPr>
                  <w:tcW w:w="2807" w:type="dxa"/>
                  <w:vAlign w:val="center"/>
                </w:tcPr>
                <w:p>
                  <w:pPr>
                    <w:ind w:firstLine="420" w:firstLineChars="200"/>
                    <w:jc w:val="center"/>
                    <w:rPr>
                      <w:iCs/>
                      <w:szCs w:val="21"/>
                      <w:u w:val="single"/>
                    </w:rPr>
                  </w:pPr>
                  <w:r>
                    <w:rPr>
                      <w:iCs/>
                      <w:szCs w:val="21"/>
                      <w:u w:val="single"/>
                    </w:rPr>
                    <w:t>1104</w:t>
                  </w:r>
                </w:p>
              </w:tc>
            </w:tr>
          </w:tbl>
          <w:p>
            <w:pPr>
              <w:pStyle w:val="24"/>
              <w:widowControl w:val="0"/>
              <w:spacing w:before="0" w:beforeAutospacing="0" w:after="0" w:afterAutospacing="0" w:line="360" w:lineRule="auto"/>
              <w:jc w:val="both"/>
              <w:rPr>
                <w:rFonts w:ascii="Times New Roman" w:hAnsi="Times New Roman"/>
                <w:b/>
                <w:szCs w:val="24"/>
              </w:rPr>
            </w:pPr>
            <w:r>
              <w:rPr>
                <w:rFonts w:hint="eastAsia" w:ascii="Times New Roman" w:hAnsi="Times New Roman"/>
                <w:b/>
                <w:szCs w:val="24"/>
              </w:rPr>
              <w:t>2.1.3主要生产设备</w:t>
            </w:r>
          </w:p>
          <w:p>
            <w:pPr>
              <w:spacing w:line="360" w:lineRule="auto"/>
              <w:ind w:firstLine="480" w:firstLineChars="200"/>
              <w:rPr>
                <w:szCs w:val="21"/>
              </w:rPr>
            </w:pPr>
            <w:r>
              <w:rPr>
                <w:rFonts w:hint="eastAsia"/>
                <w:sz w:val="24"/>
              </w:rPr>
              <w:t>本项目生产设备详见表2-6。</w:t>
            </w:r>
          </w:p>
          <w:p>
            <w:pPr>
              <w:pStyle w:val="34"/>
              <w:adjustRightInd/>
              <w:spacing w:line="360" w:lineRule="auto"/>
              <w:jc w:val="center"/>
              <w:rPr>
                <w:bCs/>
                <w:color w:val="auto"/>
                <w:szCs w:val="32"/>
                <w:u w:val="single"/>
              </w:rPr>
            </w:pPr>
            <w:r>
              <w:rPr>
                <w:rFonts w:hint="eastAsia"/>
                <w:bCs/>
                <w:color w:val="auto"/>
                <w:szCs w:val="32"/>
                <w:u w:val="single"/>
              </w:rPr>
              <w:t>表2-6   生产设备情况</w:t>
            </w:r>
          </w:p>
          <w:tbl>
            <w:tblPr>
              <w:tblStyle w:val="27"/>
              <w:tblW w:w="7940"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891"/>
              <w:gridCol w:w="2762"/>
              <w:gridCol w:w="1089"/>
              <w:gridCol w:w="219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1891" w:type="dxa"/>
                  <w:vAlign w:val="center"/>
                </w:tcPr>
                <w:p>
                  <w:pPr>
                    <w:widowControl/>
                    <w:snapToGrid w:val="0"/>
                    <w:jc w:val="center"/>
                    <w:rPr>
                      <w:rFonts w:ascii="宋体" w:hAnsi="宋体" w:cs="宋体"/>
                      <w:kern w:val="0"/>
                      <w:szCs w:val="21"/>
                    </w:rPr>
                  </w:pPr>
                  <w:bookmarkStart w:id="0" w:name="_Toc259783749"/>
                  <w:bookmarkStart w:id="1" w:name="_Toc306634262"/>
                  <w:r>
                    <w:rPr>
                      <w:rFonts w:hint="eastAsia" w:ascii="宋体" w:hAnsi="宋体" w:cs="宋体"/>
                      <w:kern w:val="0"/>
                      <w:szCs w:val="21"/>
                    </w:rPr>
                    <w:t>序号</w:t>
                  </w:r>
                </w:p>
              </w:tc>
              <w:tc>
                <w:tcPr>
                  <w:tcW w:w="2762" w:type="dxa"/>
                  <w:vAlign w:val="center"/>
                </w:tcPr>
                <w:p>
                  <w:pPr>
                    <w:widowControl/>
                    <w:snapToGrid w:val="0"/>
                    <w:jc w:val="center"/>
                    <w:rPr>
                      <w:rFonts w:ascii="宋体" w:hAnsi="宋体" w:cs="宋体"/>
                      <w:kern w:val="0"/>
                      <w:szCs w:val="21"/>
                    </w:rPr>
                  </w:pPr>
                  <w:r>
                    <w:rPr>
                      <w:rFonts w:hint="eastAsia" w:ascii="宋体" w:hAnsi="宋体" w:cs="宋体"/>
                      <w:kern w:val="0"/>
                      <w:szCs w:val="21"/>
                    </w:rPr>
                    <w:t>名称</w:t>
                  </w:r>
                </w:p>
              </w:tc>
              <w:tc>
                <w:tcPr>
                  <w:tcW w:w="1089" w:type="dxa"/>
                  <w:vAlign w:val="center"/>
                </w:tcPr>
                <w:p>
                  <w:pPr>
                    <w:widowControl/>
                    <w:snapToGrid w:val="0"/>
                    <w:jc w:val="center"/>
                    <w:rPr>
                      <w:rFonts w:ascii="宋体" w:hAnsi="宋体" w:cs="宋体"/>
                      <w:kern w:val="0"/>
                      <w:szCs w:val="21"/>
                    </w:rPr>
                  </w:pPr>
                  <w:r>
                    <w:rPr>
                      <w:rFonts w:hint="eastAsia" w:ascii="宋体" w:hAnsi="宋体" w:cs="宋体"/>
                      <w:kern w:val="0"/>
                      <w:szCs w:val="21"/>
                    </w:rPr>
                    <w:t>单位</w:t>
                  </w:r>
                </w:p>
              </w:tc>
              <w:tc>
                <w:tcPr>
                  <w:tcW w:w="2198" w:type="dxa"/>
                  <w:vAlign w:val="center"/>
                </w:tcPr>
                <w:p>
                  <w:pPr>
                    <w:widowControl/>
                    <w:snapToGrid w:val="0"/>
                    <w:jc w:val="center"/>
                    <w:rPr>
                      <w:rFonts w:ascii="宋体" w:hAnsi="宋体" w:cs="宋体"/>
                      <w:kern w:val="0"/>
                      <w:szCs w:val="21"/>
                    </w:rPr>
                  </w:pPr>
                  <w:r>
                    <w:rPr>
                      <w:rFonts w:hint="eastAsia" w:ascii="宋体" w:hAnsi="宋体" w:cs="宋体"/>
                      <w:kern w:val="0"/>
                      <w:szCs w:val="21"/>
                    </w:rPr>
                    <w:t>数量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91" w:type="dxa"/>
                  <w:vAlign w:val="center"/>
                </w:tcPr>
                <w:p>
                  <w:pPr>
                    <w:widowControl/>
                    <w:snapToGrid w:val="0"/>
                    <w:jc w:val="center"/>
                    <w:rPr>
                      <w:rFonts w:ascii="宋体" w:hAnsi="宋体" w:cs="宋体"/>
                      <w:iCs/>
                      <w:kern w:val="0"/>
                      <w:szCs w:val="21"/>
                    </w:rPr>
                  </w:pPr>
                  <w:r>
                    <w:rPr>
                      <w:rFonts w:hint="eastAsia" w:ascii="宋体" w:hAnsi="宋体" w:cs="宋体"/>
                      <w:iCs/>
                      <w:kern w:val="0"/>
                      <w:szCs w:val="21"/>
                    </w:rPr>
                    <w:t>1</w:t>
                  </w:r>
                </w:p>
              </w:tc>
              <w:tc>
                <w:tcPr>
                  <w:tcW w:w="2762" w:type="dxa"/>
                  <w:vAlign w:val="center"/>
                </w:tcPr>
                <w:p>
                  <w:pPr>
                    <w:jc w:val="center"/>
                    <w:textAlignment w:val="center"/>
                    <w:rPr>
                      <w:rFonts w:ascii="宋体" w:hAnsi="宋体" w:cs="宋体"/>
                      <w:iCs/>
                      <w:kern w:val="0"/>
                      <w:szCs w:val="21"/>
                    </w:rPr>
                  </w:pPr>
                  <w:r>
                    <w:rPr>
                      <w:rFonts w:hint="eastAsia" w:ascii="宋体" w:hAnsi="宋体" w:cs="宋体"/>
                      <w:kern w:val="0"/>
                      <w:szCs w:val="21"/>
                    </w:rPr>
                    <w:t>扒皮机</w:t>
                  </w:r>
                </w:p>
              </w:tc>
              <w:tc>
                <w:tcPr>
                  <w:tcW w:w="1089" w:type="dxa"/>
                  <w:vAlign w:val="center"/>
                </w:tcPr>
                <w:p>
                  <w:pPr>
                    <w:jc w:val="center"/>
                    <w:textAlignment w:val="center"/>
                    <w:rPr>
                      <w:rFonts w:ascii="宋体" w:hAnsi="宋体" w:cs="宋体"/>
                      <w:iCs/>
                      <w:kern w:val="0"/>
                      <w:szCs w:val="21"/>
                    </w:rPr>
                  </w:pPr>
                  <w:r>
                    <w:rPr>
                      <w:kern w:val="0"/>
                      <w:sz w:val="24"/>
                    </w:rPr>
                    <w:t>台</w:t>
                  </w:r>
                </w:p>
              </w:tc>
              <w:tc>
                <w:tcPr>
                  <w:tcW w:w="2198" w:type="dxa"/>
                  <w:vAlign w:val="center"/>
                </w:tcPr>
                <w:p>
                  <w:pPr>
                    <w:jc w:val="center"/>
                    <w:textAlignment w:val="center"/>
                    <w:rPr>
                      <w:rFonts w:ascii="宋体" w:hAnsi="宋体" w:cs="宋体"/>
                      <w:iCs/>
                      <w:kern w:val="0"/>
                      <w:szCs w:val="21"/>
                    </w:rPr>
                  </w:pPr>
                  <w:r>
                    <w:rPr>
                      <w:kern w:val="0"/>
                      <w:sz w:val="24"/>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91" w:type="dxa"/>
                  <w:vAlign w:val="center"/>
                </w:tcPr>
                <w:p>
                  <w:pPr>
                    <w:widowControl/>
                    <w:snapToGrid w:val="0"/>
                    <w:jc w:val="center"/>
                    <w:rPr>
                      <w:rFonts w:ascii="宋体" w:hAnsi="宋体" w:cs="宋体"/>
                      <w:kern w:val="0"/>
                      <w:szCs w:val="21"/>
                    </w:rPr>
                  </w:pPr>
                  <w:r>
                    <w:rPr>
                      <w:rFonts w:hint="eastAsia" w:ascii="宋体" w:hAnsi="宋体" w:cs="宋体"/>
                      <w:kern w:val="0"/>
                      <w:szCs w:val="21"/>
                    </w:rPr>
                    <w:t>2</w:t>
                  </w:r>
                </w:p>
              </w:tc>
              <w:tc>
                <w:tcPr>
                  <w:tcW w:w="2762" w:type="dxa"/>
                  <w:vAlign w:val="center"/>
                </w:tcPr>
                <w:p>
                  <w:pPr>
                    <w:jc w:val="center"/>
                    <w:textAlignment w:val="center"/>
                    <w:rPr>
                      <w:rFonts w:ascii="宋体" w:hAnsi="宋体" w:cs="宋体"/>
                      <w:kern w:val="0"/>
                      <w:szCs w:val="21"/>
                    </w:rPr>
                  </w:pPr>
                  <w:r>
                    <w:rPr>
                      <w:rFonts w:hint="eastAsia" w:ascii="宋体" w:hAnsi="宋体" w:cs="宋体"/>
                      <w:kern w:val="0"/>
                      <w:szCs w:val="21"/>
                    </w:rPr>
                    <w:t>切头机</w:t>
                  </w:r>
                </w:p>
              </w:tc>
              <w:tc>
                <w:tcPr>
                  <w:tcW w:w="1089" w:type="dxa"/>
                  <w:vAlign w:val="center"/>
                </w:tcPr>
                <w:p>
                  <w:pPr>
                    <w:jc w:val="center"/>
                    <w:textAlignment w:val="center"/>
                    <w:rPr>
                      <w:rFonts w:ascii="宋体" w:hAnsi="宋体" w:cs="宋体"/>
                      <w:kern w:val="0"/>
                      <w:szCs w:val="21"/>
                    </w:rPr>
                  </w:pPr>
                  <w:r>
                    <w:rPr>
                      <w:kern w:val="0"/>
                      <w:sz w:val="24"/>
                    </w:rPr>
                    <w:t>台</w:t>
                  </w:r>
                </w:p>
              </w:tc>
              <w:tc>
                <w:tcPr>
                  <w:tcW w:w="2198" w:type="dxa"/>
                  <w:vAlign w:val="center"/>
                </w:tcPr>
                <w:p>
                  <w:pPr>
                    <w:jc w:val="center"/>
                    <w:textAlignment w:val="center"/>
                    <w:rPr>
                      <w:rFonts w:ascii="宋体" w:hAnsi="宋体" w:cs="宋体"/>
                      <w:kern w:val="0"/>
                      <w:szCs w:val="21"/>
                    </w:rPr>
                  </w:pPr>
                  <w:r>
                    <w:rPr>
                      <w:kern w:val="0"/>
                      <w:sz w:val="24"/>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91" w:type="dxa"/>
                  <w:vAlign w:val="center"/>
                </w:tcPr>
                <w:p>
                  <w:pPr>
                    <w:widowControl/>
                    <w:snapToGrid w:val="0"/>
                    <w:jc w:val="center"/>
                    <w:rPr>
                      <w:rFonts w:ascii="宋体" w:hAnsi="宋体" w:cs="宋体"/>
                      <w:kern w:val="0"/>
                      <w:szCs w:val="21"/>
                    </w:rPr>
                  </w:pPr>
                  <w:r>
                    <w:rPr>
                      <w:rFonts w:hint="eastAsia" w:ascii="宋体" w:hAnsi="宋体" w:cs="宋体"/>
                      <w:kern w:val="0"/>
                      <w:szCs w:val="21"/>
                    </w:rPr>
                    <w:t>3</w:t>
                  </w:r>
                </w:p>
              </w:tc>
              <w:tc>
                <w:tcPr>
                  <w:tcW w:w="2762" w:type="dxa"/>
                  <w:vAlign w:val="center"/>
                </w:tcPr>
                <w:p>
                  <w:pPr>
                    <w:jc w:val="center"/>
                    <w:textAlignment w:val="center"/>
                    <w:rPr>
                      <w:rFonts w:ascii="宋体" w:hAnsi="宋体" w:cs="宋体"/>
                      <w:kern w:val="0"/>
                      <w:szCs w:val="21"/>
                    </w:rPr>
                  </w:pPr>
                  <w:r>
                    <w:rPr>
                      <w:rFonts w:hint="eastAsia" w:ascii="宋体" w:hAnsi="宋体" w:cs="宋体"/>
                      <w:kern w:val="0"/>
                      <w:szCs w:val="21"/>
                    </w:rPr>
                    <w:t>提升机</w:t>
                  </w:r>
                </w:p>
              </w:tc>
              <w:tc>
                <w:tcPr>
                  <w:tcW w:w="1089" w:type="dxa"/>
                  <w:vAlign w:val="center"/>
                </w:tcPr>
                <w:p>
                  <w:pPr>
                    <w:jc w:val="center"/>
                    <w:textAlignment w:val="center"/>
                    <w:rPr>
                      <w:rFonts w:ascii="宋体" w:hAnsi="宋体" w:cs="宋体"/>
                      <w:kern w:val="0"/>
                      <w:szCs w:val="21"/>
                    </w:rPr>
                  </w:pPr>
                  <w:r>
                    <w:rPr>
                      <w:kern w:val="0"/>
                      <w:sz w:val="24"/>
                    </w:rPr>
                    <w:t>台</w:t>
                  </w:r>
                </w:p>
              </w:tc>
              <w:tc>
                <w:tcPr>
                  <w:tcW w:w="2198" w:type="dxa"/>
                  <w:vAlign w:val="center"/>
                </w:tcPr>
                <w:p>
                  <w:pPr>
                    <w:jc w:val="center"/>
                    <w:textAlignment w:val="center"/>
                    <w:rPr>
                      <w:rFonts w:ascii="宋体" w:hAnsi="宋体" w:cs="宋体"/>
                      <w:kern w:val="0"/>
                      <w:szCs w:val="21"/>
                    </w:rPr>
                  </w:pPr>
                  <w:r>
                    <w:rPr>
                      <w:kern w:val="0"/>
                      <w:sz w:val="24"/>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91" w:type="dxa"/>
                  <w:vAlign w:val="center"/>
                </w:tcPr>
                <w:p>
                  <w:pPr>
                    <w:widowControl/>
                    <w:snapToGrid w:val="0"/>
                    <w:jc w:val="center"/>
                    <w:rPr>
                      <w:rFonts w:ascii="宋体" w:hAnsi="宋体" w:cs="宋体"/>
                      <w:kern w:val="0"/>
                      <w:szCs w:val="21"/>
                    </w:rPr>
                  </w:pPr>
                  <w:r>
                    <w:rPr>
                      <w:rFonts w:hint="eastAsia" w:ascii="宋体" w:hAnsi="宋体" w:cs="宋体"/>
                      <w:kern w:val="0"/>
                      <w:szCs w:val="21"/>
                    </w:rPr>
                    <w:t>4</w:t>
                  </w:r>
                </w:p>
              </w:tc>
              <w:tc>
                <w:tcPr>
                  <w:tcW w:w="2762" w:type="dxa"/>
                  <w:vAlign w:val="center"/>
                </w:tcPr>
                <w:p>
                  <w:pPr>
                    <w:jc w:val="center"/>
                    <w:textAlignment w:val="center"/>
                    <w:rPr>
                      <w:rFonts w:ascii="宋体" w:hAnsi="宋体" w:cs="宋体"/>
                      <w:kern w:val="0"/>
                      <w:szCs w:val="21"/>
                    </w:rPr>
                  </w:pPr>
                  <w:r>
                    <w:rPr>
                      <w:rFonts w:hint="eastAsia" w:ascii="宋体" w:hAnsi="宋体" w:cs="宋体"/>
                      <w:kern w:val="0"/>
                      <w:szCs w:val="21"/>
                    </w:rPr>
                    <w:t>滚杠清洗</w:t>
                  </w:r>
                </w:p>
              </w:tc>
              <w:tc>
                <w:tcPr>
                  <w:tcW w:w="1089" w:type="dxa"/>
                  <w:vAlign w:val="center"/>
                </w:tcPr>
                <w:p>
                  <w:pPr>
                    <w:jc w:val="center"/>
                    <w:textAlignment w:val="center"/>
                    <w:rPr>
                      <w:rFonts w:ascii="宋体" w:hAnsi="宋体" w:cs="宋体"/>
                      <w:kern w:val="0"/>
                      <w:szCs w:val="21"/>
                    </w:rPr>
                  </w:pPr>
                  <w:r>
                    <w:rPr>
                      <w:kern w:val="0"/>
                      <w:sz w:val="24"/>
                    </w:rPr>
                    <w:t>台</w:t>
                  </w:r>
                </w:p>
              </w:tc>
              <w:tc>
                <w:tcPr>
                  <w:tcW w:w="2198" w:type="dxa"/>
                  <w:vAlign w:val="center"/>
                </w:tcPr>
                <w:p>
                  <w:pPr>
                    <w:jc w:val="center"/>
                    <w:textAlignment w:val="center"/>
                    <w:rPr>
                      <w:rFonts w:ascii="宋体" w:hAnsi="宋体" w:cs="宋体"/>
                      <w:kern w:val="0"/>
                      <w:szCs w:val="21"/>
                    </w:rPr>
                  </w:pPr>
                  <w:r>
                    <w:rPr>
                      <w:kern w:val="0"/>
                      <w:sz w:val="24"/>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91" w:type="dxa"/>
                  <w:vAlign w:val="center"/>
                </w:tcPr>
                <w:p>
                  <w:pPr>
                    <w:widowControl/>
                    <w:snapToGrid w:val="0"/>
                    <w:jc w:val="center"/>
                    <w:rPr>
                      <w:rFonts w:ascii="宋体" w:hAnsi="宋体" w:cs="宋体"/>
                      <w:kern w:val="0"/>
                      <w:szCs w:val="21"/>
                    </w:rPr>
                  </w:pPr>
                  <w:r>
                    <w:rPr>
                      <w:rFonts w:hint="eastAsia" w:ascii="宋体" w:hAnsi="宋体" w:cs="宋体"/>
                      <w:kern w:val="0"/>
                      <w:szCs w:val="21"/>
                    </w:rPr>
                    <w:t>5</w:t>
                  </w:r>
                </w:p>
              </w:tc>
              <w:tc>
                <w:tcPr>
                  <w:tcW w:w="2762" w:type="dxa"/>
                  <w:vAlign w:val="center"/>
                </w:tcPr>
                <w:p>
                  <w:pPr>
                    <w:jc w:val="center"/>
                    <w:textAlignment w:val="center"/>
                    <w:rPr>
                      <w:rFonts w:ascii="宋体" w:hAnsi="宋体" w:cs="宋体"/>
                      <w:kern w:val="0"/>
                      <w:szCs w:val="21"/>
                    </w:rPr>
                  </w:pPr>
                  <w:r>
                    <w:rPr>
                      <w:rFonts w:hint="eastAsia" w:ascii="宋体" w:hAnsi="宋体" w:cs="宋体"/>
                      <w:kern w:val="0"/>
                      <w:szCs w:val="21"/>
                    </w:rPr>
                    <w:t>气泡清洗</w:t>
                  </w:r>
                </w:p>
              </w:tc>
              <w:tc>
                <w:tcPr>
                  <w:tcW w:w="1089" w:type="dxa"/>
                  <w:vAlign w:val="center"/>
                </w:tcPr>
                <w:p>
                  <w:pPr>
                    <w:jc w:val="center"/>
                    <w:textAlignment w:val="center"/>
                    <w:rPr>
                      <w:rFonts w:ascii="宋体" w:hAnsi="宋体" w:cs="宋体"/>
                      <w:kern w:val="0"/>
                      <w:szCs w:val="21"/>
                    </w:rPr>
                  </w:pPr>
                  <w:r>
                    <w:rPr>
                      <w:kern w:val="0"/>
                      <w:sz w:val="24"/>
                    </w:rPr>
                    <w:t>台</w:t>
                  </w:r>
                </w:p>
              </w:tc>
              <w:tc>
                <w:tcPr>
                  <w:tcW w:w="2198" w:type="dxa"/>
                  <w:vAlign w:val="center"/>
                </w:tcPr>
                <w:p>
                  <w:pPr>
                    <w:jc w:val="center"/>
                    <w:textAlignment w:val="center"/>
                    <w:rPr>
                      <w:rFonts w:ascii="宋体" w:hAnsi="宋体" w:cs="宋体"/>
                      <w:kern w:val="0"/>
                      <w:szCs w:val="21"/>
                    </w:rPr>
                  </w:pPr>
                  <w:r>
                    <w:rPr>
                      <w:kern w:val="0"/>
                      <w:sz w:val="24"/>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91" w:type="dxa"/>
                  <w:vAlign w:val="center"/>
                </w:tcPr>
                <w:p>
                  <w:pPr>
                    <w:widowControl/>
                    <w:snapToGrid w:val="0"/>
                    <w:jc w:val="center"/>
                    <w:rPr>
                      <w:rFonts w:ascii="宋体" w:hAnsi="宋体" w:cs="宋体"/>
                      <w:kern w:val="0"/>
                      <w:szCs w:val="21"/>
                    </w:rPr>
                  </w:pPr>
                  <w:r>
                    <w:rPr>
                      <w:rFonts w:hint="eastAsia" w:ascii="宋体" w:hAnsi="宋体" w:cs="宋体"/>
                      <w:kern w:val="0"/>
                      <w:szCs w:val="21"/>
                    </w:rPr>
                    <w:t>6</w:t>
                  </w:r>
                </w:p>
              </w:tc>
              <w:tc>
                <w:tcPr>
                  <w:tcW w:w="2762" w:type="dxa"/>
                  <w:vAlign w:val="center"/>
                </w:tcPr>
                <w:p>
                  <w:pPr>
                    <w:jc w:val="center"/>
                    <w:textAlignment w:val="center"/>
                    <w:rPr>
                      <w:rFonts w:ascii="宋体" w:hAnsi="宋体" w:cs="宋体"/>
                      <w:kern w:val="0"/>
                      <w:szCs w:val="21"/>
                    </w:rPr>
                  </w:pPr>
                  <w:r>
                    <w:rPr>
                      <w:rFonts w:hint="eastAsia" w:ascii="宋体" w:hAnsi="宋体" w:cs="宋体"/>
                      <w:kern w:val="0"/>
                      <w:szCs w:val="21"/>
                    </w:rPr>
                    <w:t>包装机</w:t>
                  </w:r>
                </w:p>
              </w:tc>
              <w:tc>
                <w:tcPr>
                  <w:tcW w:w="1089" w:type="dxa"/>
                  <w:vAlign w:val="center"/>
                </w:tcPr>
                <w:p>
                  <w:pPr>
                    <w:jc w:val="center"/>
                    <w:textAlignment w:val="center"/>
                    <w:rPr>
                      <w:rFonts w:ascii="宋体" w:hAnsi="宋体" w:cs="宋体"/>
                      <w:kern w:val="0"/>
                      <w:szCs w:val="21"/>
                    </w:rPr>
                  </w:pPr>
                  <w:r>
                    <w:rPr>
                      <w:kern w:val="0"/>
                      <w:sz w:val="24"/>
                    </w:rPr>
                    <w:t>台</w:t>
                  </w:r>
                </w:p>
              </w:tc>
              <w:tc>
                <w:tcPr>
                  <w:tcW w:w="2198" w:type="dxa"/>
                  <w:vAlign w:val="center"/>
                </w:tcPr>
                <w:p>
                  <w:pPr>
                    <w:jc w:val="center"/>
                    <w:textAlignment w:val="center"/>
                    <w:rPr>
                      <w:rFonts w:ascii="宋体" w:hAnsi="宋体" w:cs="宋体"/>
                      <w:kern w:val="0"/>
                      <w:szCs w:val="21"/>
                    </w:rPr>
                  </w:pPr>
                  <w:r>
                    <w:rPr>
                      <w:kern w:val="0"/>
                      <w:sz w:val="24"/>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1891" w:type="dxa"/>
                  <w:vAlign w:val="center"/>
                </w:tcPr>
                <w:p>
                  <w:pPr>
                    <w:widowControl/>
                    <w:snapToGrid w:val="0"/>
                    <w:jc w:val="center"/>
                    <w:rPr>
                      <w:rFonts w:ascii="宋体" w:hAnsi="宋体" w:cs="宋体"/>
                      <w:kern w:val="0"/>
                      <w:szCs w:val="21"/>
                    </w:rPr>
                  </w:pPr>
                  <w:r>
                    <w:rPr>
                      <w:rFonts w:hint="eastAsia" w:ascii="宋体" w:hAnsi="宋体" w:cs="宋体"/>
                      <w:kern w:val="0"/>
                      <w:szCs w:val="21"/>
                    </w:rPr>
                    <w:t>7</w:t>
                  </w:r>
                </w:p>
              </w:tc>
              <w:tc>
                <w:tcPr>
                  <w:tcW w:w="2762" w:type="dxa"/>
                  <w:vAlign w:val="center"/>
                </w:tcPr>
                <w:p>
                  <w:pPr>
                    <w:jc w:val="center"/>
                    <w:textAlignment w:val="center"/>
                    <w:rPr>
                      <w:rFonts w:ascii="宋体" w:hAnsi="宋体" w:cs="宋体"/>
                      <w:kern w:val="0"/>
                      <w:szCs w:val="21"/>
                    </w:rPr>
                  </w:pPr>
                  <w:r>
                    <w:rPr>
                      <w:rFonts w:hint="eastAsia" w:ascii="宋体" w:hAnsi="宋体" w:cs="宋体"/>
                      <w:kern w:val="0"/>
                      <w:szCs w:val="21"/>
                    </w:rPr>
                    <w:t>杀菌锅</w:t>
                  </w:r>
                </w:p>
              </w:tc>
              <w:tc>
                <w:tcPr>
                  <w:tcW w:w="1089" w:type="dxa"/>
                  <w:vAlign w:val="center"/>
                </w:tcPr>
                <w:p>
                  <w:pPr>
                    <w:jc w:val="center"/>
                    <w:textAlignment w:val="center"/>
                    <w:rPr>
                      <w:rFonts w:ascii="宋体" w:hAnsi="宋体" w:cs="宋体"/>
                      <w:kern w:val="0"/>
                      <w:szCs w:val="21"/>
                    </w:rPr>
                  </w:pPr>
                  <w:r>
                    <w:rPr>
                      <w:rFonts w:eastAsia="宋体"/>
                      <w:kern w:val="0"/>
                      <w:sz w:val="24"/>
                    </w:rPr>
                    <w:t>组</w:t>
                  </w:r>
                </w:p>
              </w:tc>
              <w:tc>
                <w:tcPr>
                  <w:tcW w:w="2198" w:type="dxa"/>
                  <w:vAlign w:val="center"/>
                </w:tcPr>
                <w:p>
                  <w:pPr>
                    <w:jc w:val="center"/>
                    <w:textAlignment w:val="center"/>
                    <w:rPr>
                      <w:rFonts w:ascii="宋体" w:hAnsi="宋体" w:cs="宋体"/>
                      <w:kern w:val="0"/>
                      <w:szCs w:val="21"/>
                    </w:rPr>
                  </w:pPr>
                  <w:r>
                    <w:rPr>
                      <w:kern w:val="0"/>
                      <w:sz w:val="24"/>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91" w:type="dxa"/>
                  <w:vAlign w:val="center"/>
                </w:tcPr>
                <w:p>
                  <w:pPr>
                    <w:widowControl/>
                    <w:snapToGrid w:val="0"/>
                    <w:jc w:val="center"/>
                    <w:rPr>
                      <w:rFonts w:ascii="宋体" w:hAnsi="宋体" w:cs="宋体"/>
                      <w:kern w:val="0"/>
                      <w:szCs w:val="21"/>
                    </w:rPr>
                  </w:pPr>
                  <w:r>
                    <w:rPr>
                      <w:rFonts w:hint="eastAsia" w:ascii="宋体" w:hAnsi="宋体" w:cs="宋体"/>
                      <w:kern w:val="0"/>
                      <w:szCs w:val="21"/>
                    </w:rPr>
                    <w:t>8</w:t>
                  </w:r>
                </w:p>
              </w:tc>
              <w:tc>
                <w:tcPr>
                  <w:tcW w:w="2762" w:type="dxa"/>
                  <w:vAlign w:val="center"/>
                </w:tcPr>
                <w:p>
                  <w:pPr>
                    <w:jc w:val="center"/>
                    <w:textAlignment w:val="center"/>
                    <w:rPr>
                      <w:rFonts w:ascii="宋体" w:hAnsi="宋体" w:cs="宋体"/>
                      <w:kern w:val="0"/>
                      <w:szCs w:val="21"/>
                    </w:rPr>
                  </w:pPr>
                  <w:r>
                    <w:rPr>
                      <w:rFonts w:hint="eastAsia" w:ascii="宋体" w:hAnsi="宋体" w:cs="宋体"/>
                      <w:kern w:val="0"/>
                      <w:szCs w:val="21"/>
                    </w:rPr>
                    <w:t>水箱</w:t>
                  </w:r>
                </w:p>
              </w:tc>
              <w:tc>
                <w:tcPr>
                  <w:tcW w:w="1089" w:type="dxa"/>
                  <w:vAlign w:val="center"/>
                </w:tcPr>
                <w:p>
                  <w:pPr>
                    <w:jc w:val="center"/>
                    <w:textAlignment w:val="center"/>
                    <w:rPr>
                      <w:rFonts w:ascii="宋体" w:hAnsi="宋体" w:cs="宋体"/>
                      <w:kern w:val="0"/>
                      <w:szCs w:val="21"/>
                    </w:rPr>
                  </w:pPr>
                  <w:r>
                    <w:rPr>
                      <w:kern w:val="0"/>
                      <w:sz w:val="24"/>
                    </w:rPr>
                    <w:t>个</w:t>
                  </w:r>
                </w:p>
              </w:tc>
              <w:tc>
                <w:tcPr>
                  <w:tcW w:w="2198" w:type="dxa"/>
                  <w:vAlign w:val="center"/>
                </w:tcPr>
                <w:p>
                  <w:pPr>
                    <w:jc w:val="center"/>
                    <w:textAlignment w:val="center"/>
                    <w:rPr>
                      <w:rFonts w:ascii="宋体" w:hAnsi="宋体" w:cs="宋体"/>
                      <w:kern w:val="0"/>
                      <w:szCs w:val="21"/>
                    </w:rPr>
                  </w:pPr>
                  <w:r>
                    <w:rPr>
                      <w:kern w:val="0"/>
                      <w:sz w:val="24"/>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91" w:type="dxa"/>
                  <w:vAlign w:val="center"/>
                </w:tcPr>
                <w:p>
                  <w:pPr>
                    <w:widowControl/>
                    <w:snapToGrid w:val="0"/>
                    <w:jc w:val="center"/>
                    <w:rPr>
                      <w:rFonts w:ascii="宋体" w:hAnsi="宋体" w:cs="宋体"/>
                      <w:kern w:val="0"/>
                      <w:szCs w:val="21"/>
                    </w:rPr>
                  </w:pPr>
                  <w:r>
                    <w:rPr>
                      <w:rFonts w:hint="eastAsia" w:ascii="宋体" w:hAnsi="宋体" w:cs="宋体"/>
                      <w:kern w:val="0"/>
                      <w:szCs w:val="21"/>
                    </w:rPr>
                    <w:t>9</w:t>
                  </w:r>
                </w:p>
              </w:tc>
              <w:tc>
                <w:tcPr>
                  <w:tcW w:w="2762" w:type="dxa"/>
                  <w:vAlign w:val="center"/>
                </w:tcPr>
                <w:p>
                  <w:pPr>
                    <w:jc w:val="center"/>
                    <w:textAlignment w:val="center"/>
                    <w:rPr>
                      <w:rFonts w:ascii="宋体" w:hAnsi="宋体" w:cs="宋体"/>
                      <w:szCs w:val="21"/>
                    </w:rPr>
                  </w:pPr>
                  <w:r>
                    <w:rPr>
                      <w:rFonts w:hint="eastAsia" w:ascii="宋体" w:hAnsi="宋体" w:cs="宋体"/>
                      <w:kern w:val="0"/>
                      <w:szCs w:val="21"/>
                    </w:rPr>
                    <w:t>空压罐</w:t>
                  </w:r>
                </w:p>
              </w:tc>
              <w:tc>
                <w:tcPr>
                  <w:tcW w:w="1089" w:type="dxa"/>
                  <w:vAlign w:val="center"/>
                </w:tcPr>
                <w:p>
                  <w:pPr>
                    <w:jc w:val="center"/>
                    <w:textAlignment w:val="center"/>
                    <w:rPr>
                      <w:rFonts w:ascii="宋体" w:hAnsi="宋体" w:cs="宋体"/>
                      <w:szCs w:val="21"/>
                    </w:rPr>
                  </w:pPr>
                  <w:r>
                    <w:rPr>
                      <w:kern w:val="0"/>
                      <w:sz w:val="24"/>
                    </w:rPr>
                    <w:t>台</w:t>
                  </w:r>
                </w:p>
              </w:tc>
              <w:tc>
                <w:tcPr>
                  <w:tcW w:w="2198" w:type="dxa"/>
                  <w:vAlign w:val="center"/>
                </w:tcPr>
                <w:p>
                  <w:pPr>
                    <w:jc w:val="center"/>
                    <w:textAlignment w:val="center"/>
                    <w:rPr>
                      <w:rFonts w:ascii="宋体" w:hAnsi="宋体" w:cs="宋体"/>
                      <w:kern w:val="0"/>
                      <w:szCs w:val="21"/>
                    </w:rPr>
                  </w:pPr>
                  <w:r>
                    <w:rPr>
                      <w:kern w:val="0"/>
                      <w:sz w:val="24"/>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91" w:type="dxa"/>
                  <w:vAlign w:val="center"/>
                </w:tcPr>
                <w:p>
                  <w:pPr>
                    <w:widowControl/>
                    <w:snapToGrid w:val="0"/>
                    <w:jc w:val="center"/>
                    <w:rPr>
                      <w:rFonts w:ascii="宋体" w:hAnsi="宋体" w:cs="宋体"/>
                      <w:kern w:val="0"/>
                      <w:szCs w:val="21"/>
                    </w:rPr>
                  </w:pPr>
                  <w:r>
                    <w:rPr>
                      <w:rFonts w:hint="eastAsia" w:ascii="宋体" w:hAnsi="宋体" w:cs="宋体"/>
                      <w:kern w:val="0"/>
                      <w:szCs w:val="21"/>
                    </w:rPr>
                    <w:t>10</w:t>
                  </w:r>
                </w:p>
              </w:tc>
              <w:tc>
                <w:tcPr>
                  <w:tcW w:w="2762" w:type="dxa"/>
                  <w:vAlign w:val="center"/>
                </w:tcPr>
                <w:p>
                  <w:pPr>
                    <w:jc w:val="center"/>
                    <w:textAlignment w:val="center"/>
                    <w:rPr>
                      <w:rFonts w:ascii="宋体" w:hAnsi="宋体" w:cs="宋体"/>
                      <w:szCs w:val="21"/>
                    </w:rPr>
                  </w:pPr>
                  <w:r>
                    <w:rPr>
                      <w:rFonts w:hint="eastAsia" w:ascii="宋体" w:hAnsi="宋体" w:cs="宋体"/>
                      <w:kern w:val="0"/>
                      <w:szCs w:val="21"/>
                    </w:rPr>
                    <w:t>风干机</w:t>
                  </w:r>
                </w:p>
              </w:tc>
              <w:tc>
                <w:tcPr>
                  <w:tcW w:w="1089" w:type="dxa"/>
                  <w:vAlign w:val="center"/>
                </w:tcPr>
                <w:p>
                  <w:pPr>
                    <w:jc w:val="center"/>
                    <w:textAlignment w:val="center"/>
                    <w:rPr>
                      <w:rFonts w:ascii="宋体" w:hAnsi="宋体" w:cs="宋体"/>
                      <w:szCs w:val="21"/>
                    </w:rPr>
                  </w:pPr>
                  <w:r>
                    <w:rPr>
                      <w:kern w:val="0"/>
                      <w:sz w:val="24"/>
                    </w:rPr>
                    <w:t>台</w:t>
                  </w:r>
                </w:p>
              </w:tc>
              <w:tc>
                <w:tcPr>
                  <w:tcW w:w="2198" w:type="dxa"/>
                  <w:vAlign w:val="center"/>
                </w:tcPr>
                <w:p>
                  <w:pPr>
                    <w:jc w:val="center"/>
                    <w:textAlignment w:val="center"/>
                    <w:rPr>
                      <w:rFonts w:ascii="宋体" w:hAnsi="宋体" w:cs="宋体"/>
                      <w:kern w:val="0"/>
                      <w:szCs w:val="21"/>
                    </w:rPr>
                  </w:pPr>
                  <w:r>
                    <w:rPr>
                      <w:kern w:val="0"/>
                      <w:sz w:val="24"/>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91" w:type="dxa"/>
                  <w:vAlign w:val="center"/>
                </w:tcPr>
                <w:p>
                  <w:pPr>
                    <w:widowControl/>
                    <w:snapToGrid w:val="0"/>
                    <w:jc w:val="center"/>
                    <w:rPr>
                      <w:rFonts w:ascii="宋体" w:hAnsi="宋体" w:cs="宋体"/>
                      <w:kern w:val="0"/>
                      <w:szCs w:val="21"/>
                    </w:rPr>
                  </w:pPr>
                  <w:r>
                    <w:rPr>
                      <w:rFonts w:hint="eastAsia" w:ascii="宋体" w:hAnsi="宋体" w:cs="宋体"/>
                      <w:kern w:val="0"/>
                      <w:szCs w:val="21"/>
                    </w:rPr>
                    <w:t>11</w:t>
                  </w:r>
                </w:p>
              </w:tc>
              <w:tc>
                <w:tcPr>
                  <w:tcW w:w="2762" w:type="dxa"/>
                  <w:vAlign w:val="center"/>
                </w:tcPr>
                <w:p>
                  <w:pPr>
                    <w:jc w:val="center"/>
                    <w:textAlignment w:val="center"/>
                    <w:rPr>
                      <w:rFonts w:ascii="宋体" w:hAnsi="宋体" w:cs="宋体"/>
                      <w:szCs w:val="21"/>
                    </w:rPr>
                  </w:pPr>
                  <w:r>
                    <w:rPr>
                      <w:rFonts w:hint="eastAsia" w:ascii="宋体" w:hAnsi="宋体" w:cs="宋体"/>
                      <w:kern w:val="0"/>
                      <w:szCs w:val="21"/>
                    </w:rPr>
                    <w:t>传送带输送机</w:t>
                  </w:r>
                </w:p>
              </w:tc>
              <w:tc>
                <w:tcPr>
                  <w:tcW w:w="1089" w:type="dxa"/>
                  <w:vAlign w:val="center"/>
                </w:tcPr>
                <w:p>
                  <w:pPr>
                    <w:jc w:val="center"/>
                    <w:textAlignment w:val="center"/>
                    <w:rPr>
                      <w:rFonts w:ascii="宋体" w:hAnsi="宋体" w:cs="宋体"/>
                      <w:szCs w:val="21"/>
                    </w:rPr>
                  </w:pPr>
                  <w:r>
                    <w:rPr>
                      <w:rFonts w:hint="eastAsia"/>
                      <w:kern w:val="0"/>
                      <w:sz w:val="24"/>
                    </w:rPr>
                    <w:t>台</w:t>
                  </w:r>
                </w:p>
              </w:tc>
              <w:tc>
                <w:tcPr>
                  <w:tcW w:w="2198" w:type="dxa"/>
                  <w:vAlign w:val="center"/>
                </w:tcPr>
                <w:p>
                  <w:pPr>
                    <w:jc w:val="center"/>
                    <w:textAlignment w:val="center"/>
                    <w:rPr>
                      <w:rFonts w:ascii="宋体" w:hAnsi="宋体" w:cs="宋体"/>
                      <w:kern w:val="0"/>
                      <w:szCs w:val="21"/>
                    </w:rPr>
                  </w:pPr>
                  <w:r>
                    <w:rPr>
                      <w:rFonts w:hint="eastAsia"/>
                      <w:kern w:val="0"/>
                      <w:sz w:val="24"/>
                    </w:rPr>
                    <w:t>1</w:t>
                  </w:r>
                </w:p>
              </w:tc>
            </w:tr>
            <w:bookmarkEnd w:id="0"/>
            <w:bookmarkEnd w:id="1"/>
          </w:tbl>
          <w:p>
            <w:pPr>
              <w:pStyle w:val="24"/>
              <w:widowControl w:val="0"/>
              <w:spacing w:before="0" w:beforeAutospacing="0" w:after="0" w:afterAutospacing="0" w:line="440" w:lineRule="exact"/>
              <w:jc w:val="both"/>
              <w:rPr>
                <w:rFonts w:ascii="Times New Roman" w:hAnsi="Times New Roman"/>
                <w:b/>
                <w:szCs w:val="24"/>
              </w:rPr>
            </w:pPr>
            <w:r>
              <w:rPr>
                <w:rFonts w:hint="eastAsia" w:ascii="Times New Roman" w:hAnsi="Times New Roman"/>
                <w:b/>
                <w:szCs w:val="24"/>
              </w:rPr>
              <w:t>2.1.4平面布局合理性</w:t>
            </w:r>
          </w:p>
          <w:p>
            <w:pPr>
              <w:spacing w:line="440" w:lineRule="exact"/>
              <w:ind w:firstLine="480" w:firstLineChars="200"/>
              <w:rPr>
                <w:sz w:val="24"/>
              </w:rPr>
            </w:pPr>
            <w:r>
              <w:rPr>
                <w:sz w:val="24"/>
              </w:rPr>
              <w:t>本项目位于</w:t>
            </w:r>
            <w:r>
              <w:rPr>
                <w:rFonts w:hint="eastAsia"/>
                <w:sz w:val="24"/>
              </w:rPr>
              <w:t>时家店乡中心校旧址</w:t>
            </w:r>
            <w:r>
              <w:rPr>
                <w:sz w:val="24"/>
              </w:rPr>
              <w:t>，</w:t>
            </w:r>
            <w:r>
              <w:rPr>
                <w:rFonts w:hint="eastAsia"/>
                <w:sz w:val="24"/>
              </w:rPr>
              <w:t>利用学校南侧原有办公室作为企业办公室，利用学校北侧原有教室和东侧仓库作为企业仓库，在院区西侧空地新建一个加工车间，车间西侧新建一座锅炉房。厂区总平面布置符合生产行业要求，满足生产工艺需求。本项目建成后厂区平面布局紧凑、功能分区明显，工艺流向顺畅，物流顺畅，交通运输方便快捷，既方便管理，节约投资，又节省用地。</w:t>
            </w:r>
          </w:p>
          <w:p>
            <w:pPr>
              <w:pStyle w:val="24"/>
              <w:widowControl w:val="0"/>
              <w:spacing w:before="0" w:beforeAutospacing="0" w:after="0" w:afterAutospacing="0" w:line="440" w:lineRule="exact"/>
              <w:ind w:firstLine="472" w:firstLineChars="197"/>
              <w:jc w:val="both"/>
              <w:rPr>
                <w:rFonts w:ascii="Times New Roman" w:hAnsi="Times New Roman"/>
                <w:bCs/>
                <w:szCs w:val="24"/>
              </w:rPr>
            </w:pPr>
            <w:r>
              <w:rPr>
                <w:rFonts w:hint="eastAsia" w:ascii="Times New Roman" w:hAnsi="Times New Roman"/>
                <w:szCs w:val="24"/>
              </w:rPr>
              <w:t>综上所述，从生产工艺需求和环境保护角度的分析，项目平面布置合理。本项目厂区总平面布置情况见附图3</w:t>
            </w:r>
            <w:r>
              <w:rPr>
                <w:rFonts w:hint="eastAsia" w:ascii="Times New Roman" w:hAnsi="Times New Roman"/>
                <w:bCs/>
                <w:szCs w:val="24"/>
              </w:rPr>
              <w:t>。</w:t>
            </w:r>
          </w:p>
          <w:p>
            <w:pPr>
              <w:pStyle w:val="24"/>
              <w:widowControl w:val="0"/>
              <w:spacing w:before="0" w:beforeAutospacing="0" w:after="0" w:afterAutospacing="0" w:line="440" w:lineRule="exact"/>
              <w:jc w:val="both"/>
              <w:rPr>
                <w:rFonts w:ascii="Times New Roman" w:hAnsi="Times New Roman"/>
                <w:b/>
                <w:szCs w:val="24"/>
              </w:rPr>
            </w:pPr>
            <w:r>
              <w:rPr>
                <w:rFonts w:hint="eastAsia" w:ascii="Times New Roman" w:hAnsi="Times New Roman"/>
                <w:b/>
                <w:szCs w:val="24"/>
              </w:rPr>
              <w:t>2.1.5</w:t>
            </w:r>
            <w:r>
              <w:rPr>
                <w:rFonts w:ascii="Times New Roman" w:hAnsi="Times New Roman"/>
                <w:b/>
                <w:szCs w:val="24"/>
              </w:rPr>
              <w:t>公用工程</w:t>
            </w:r>
          </w:p>
          <w:p>
            <w:pPr>
              <w:adjustRightInd w:val="0"/>
              <w:snapToGrid w:val="0"/>
              <w:spacing w:line="360" w:lineRule="auto"/>
              <w:ind w:firstLine="482" w:firstLineChars="200"/>
              <w:rPr>
                <w:b/>
                <w:bCs/>
                <w:sz w:val="24"/>
              </w:rPr>
            </w:pPr>
            <w:r>
              <w:rPr>
                <w:b/>
                <w:bCs/>
                <w:sz w:val="24"/>
              </w:rPr>
              <w:t>⑴给水</w:t>
            </w:r>
          </w:p>
          <w:p>
            <w:pPr>
              <w:spacing w:line="360" w:lineRule="auto"/>
              <w:ind w:firstLine="480" w:firstLineChars="200"/>
              <w:rPr>
                <w:sz w:val="24"/>
              </w:rPr>
            </w:pPr>
            <w:r>
              <w:rPr>
                <w:rFonts w:hint="eastAsia"/>
                <w:sz w:val="24"/>
              </w:rPr>
              <w:t>本项目用水主要为职工生活用水、生产用水及锅炉用水，由厂区内现有2座深水井供给（出水量4m</w:t>
            </w:r>
            <w:r>
              <w:rPr>
                <w:rFonts w:hint="eastAsia"/>
                <w:sz w:val="24"/>
                <w:vertAlign w:val="superscript"/>
              </w:rPr>
              <w:t>3</w:t>
            </w:r>
            <w:r>
              <w:rPr>
                <w:rFonts w:hint="eastAsia"/>
                <w:sz w:val="24"/>
              </w:rPr>
              <w:t>/h）。</w:t>
            </w:r>
          </w:p>
          <w:p>
            <w:pPr>
              <w:spacing w:line="360" w:lineRule="auto"/>
              <w:ind w:firstLine="482" w:firstLineChars="200"/>
              <w:rPr>
                <w:rFonts w:ascii="宋体" w:hAnsi="宋体" w:cs="宋体"/>
                <w:b/>
                <w:bCs/>
                <w:sz w:val="24"/>
              </w:rPr>
            </w:pPr>
            <w:r>
              <w:rPr>
                <w:rFonts w:hint="eastAsia" w:ascii="宋体" w:hAnsi="宋体" w:cs="宋体"/>
                <w:b/>
                <w:bCs/>
                <w:sz w:val="24"/>
              </w:rPr>
              <w:t>①生活用水</w:t>
            </w:r>
          </w:p>
          <w:p>
            <w:pPr>
              <w:spacing w:line="360" w:lineRule="auto"/>
              <w:ind w:firstLine="480" w:firstLineChars="200"/>
              <w:rPr>
                <w:rFonts w:ascii="宋体" w:hAnsi="宋体" w:cs="宋体"/>
                <w:sz w:val="24"/>
              </w:rPr>
            </w:pPr>
            <w:r>
              <w:rPr>
                <w:rFonts w:hint="eastAsia" w:ascii="宋体" w:hAnsi="宋体" w:cs="宋体"/>
                <w:sz w:val="24"/>
              </w:rPr>
              <w:t>企业劳动定员为5人，职工均为附近居民，不在厂区内食宿，职工生活用水量按20L/d•人计，则职工生活用水量为0.1t/d（5t/a）。</w:t>
            </w:r>
          </w:p>
          <w:p>
            <w:pPr>
              <w:spacing w:line="360" w:lineRule="auto"/>
              <w:ind w:firstLine="482" w:firstLineChars="200"/>
              <w:jc w:val="left"/>
              <w:rPr>
                <w:kern w:val="0"/>
                <w:sz w:val="24"/>
              </w:rPr>
            </w:pPr>
            <w:r>
              <w:rPr>
                <w:rFonts w:hint="eastAsia" w:ascii="宋体" w:hAnsi="宋体" w:cs="宋体"/>
                <w:b/>
                <w:bCs/>
                <w:sz w:val="24"/>
              </w:rPr>
              <w:t>②</w:t>
            </w:r>
            <w:r>
              <w:rPr>
                <w:rFonts w:hint="eastAsia"/>
                <w:b/>
                <w:bCs/>
                <w:kern w:val="0"/>
                <w:sz w:val="24"/>
              </w:rPr>
              <w:t>锅炉用水</w:t>
            </w:r>
          </w:p>
          <w:p>
            <w:pPr>
              <w:pStyle w:val="26"/>
              <w:spacing w:line="360" w:lineRule="auto"/>
              <w:ind w:firstLine="480" w:firstLineChars="200"/>
              <w:rPr>
                <w:color w:val="00B0F0"/>
              </w:rPr>
            </w:pPr>
            <w:r>
              <w:rPr>
                <w:rFonts w:hint="eastAsia" w:ascii="宋体" w:hAnsi="宋体" w:cs="宋体"/>
                <w:sz w:val="24"/>
                <w:szCs w:val="24"/>
              </w:rPr>
              <w:t>高温蒸煮灭菌用热由新建的</w:t>
            </w:r>
            <w:r>
              <w:rPr>
                <w:sz w:val="24"/>
                <w:szCs w:val="24"/>
              </w:rPr>
              <w:t>1台</w:t>
            </w:r>
            <w:r>
              <w:rPr>
                <w:rFonts w:hint="eastAsia"/>
                <w:sz w:val="24"/>
                <w:szCs w:val="24"/>
              </w:rPr>
              <w:t>2.5</w:t>
            </w:r>
            <w:r>
              <w:rPr>
                <w:sz w:val="24"/>
                <w:szCs w:val="24"/>
              </w:rPr>
              <w:t>t/h燃</w:t>
            </w:r>
            <w:r>
              <w:rPr>
                <w:rFonts w:hint="eastAsia"/>
                <w:sz w:val="24"/>
                <w:szCs w:val="24"/>
              </w:rPr>
              <w:t>生物质</w:t>
            </w:r>
            <w:r>
              <w:rPr>
                <w:sz w:val="24"/>
                <w:szCs w:val="24"/>
              </w:rPr>
              <w:t>锅炉</w:t>
            </w:r>
            <w:r>
              <w:rPr>
                <w:rFonts w:hint="eastAsia"/>
                <w:sz w:val="24"/>
                <w:szCs w:val="24"/>
              </w:rPr>
              <w:t>提供。</w:t>
            </w:r>
            <w:r>
              <w:rPr>
                <w:sz w:val="24"/>
                <w:szCs w:val="24"/>
              </w:rPr>
              <w:t>根据《排放源统计调查产排污核算方法和系数手册》，4430工业锅炉（热力生产和供应）产排污系数表-工业废水量和化学需氧量，工业废水（锅</w:t>
            </w:r>
            <w:r>
              <w:rPr>
                <w:rFonts w:hint="eastAsia"/>
                <w:sz w:val="24"/>
                <w:szCs w:val="24"/>
              </w:rPr>
              <w:t>外</w:t>
            </w:r>
            <w:r>
              <w:rPr>
                <w:sz w:val="24"/>
                <w:szCs w:val="24"/>
              </w:rPr>
              <w:t>水处理</w:t>
            </w:r>
            <w:r>
              <w:rPr>
                <w:rFonts w:hint="eastAsia"/>
                <w:sz w:val="24"/>
                <w:szCs w:val="24"/>
              </w:rPr>
              <w:t>，含锅炉排污水和软化处理排水</w:t>
            </w:r>
            <w:r>
              <w:rPr>
                <w:sz w:val="24"/>
                <w:szCs w:val="24"/>
              </w:rPr>
              <w:t>）产污系数为0.</w:t>
            </w:r>
            <w:r>
              <w:rPr>
                <w:rFonts w:hint="eastAsia"/>
                <w:sz w:val="24"/>
                <w:szCs w:val="24"/>
              </w:rPr>
              <w:t>356</w:t>
            </w:r>
            <w:r>
              <w:rPr>
                <w:sz w:val="24"/>
                <w:szCs w:val="24"/>
              </w:rPr>
              <w:t>t/t</w:t>
            </w:r>
            <w:r>
              <w:rPr>
                <w:rFonts w:hint="eastAsia"/>
                <w:sz w:val="24"/>
                <w:szCs w:val="24"/>
              </w:rPr>
              <w:t>-</w:t>
            </w:r>
            <w:r>
              <w:rPr>
                <w:sz w:val="24"/>
                <w:szCs w:val="24"/>
              </w:rPr>
              <w:t>原料，</w:t>
            </w:r>
            <w:r>
              <w:rPr>
                <w:rFonts w:hint="eastAsia"/>
                <w:sz w:val="24"/>
                <w:szCs w:val="24"/>
              </w:rPr>
              <w:t>生物质用量为162t/a，则排放的废水量为（1.1534t/d）57.67t/a，根据设备厂家提供材料，</w:t>
            </w:r>
            <w:r>
              <w:rPr>
                <w:sz w:val="24"/>
                <w:szCs w:val="24"/>
              </w:rPr>
              <w:t>本项目</w:t>
            </w:r>
            <w:r>
              <w:rPr>
                <w:rFonts w:hint="eastAsia" w:ascii="宋体" w:hAnsi="宋体" w:cs="宋体"/>
                <w:sz w:val="24"/>
                <w:szCs w:val="24"/>
              </w:rPr>
              <w:t>高温蒸煮灭菌</w:t>
            </w:r>
            <w:r>
              <w:rPr>
                <w:rFonts w:hint="eastAsia"/>
                <w:sz w:val="24"/>
                <w:szCs w:val="24"/>
              </w:rPr>
              <w:t>使用水</w:t>
            </w:r>
            <w:r>
              <w:rPr>
                <w:sz w:val="24"/>
                <w:szCs w:val="24"/>
              </w:rPr>
              <w:t>量</w:t>
            </w:r>
            <w:r>
              <w:rPr>
                <w:rFonts w:hint="eastAsia"/>
                <w:sz w:val="24"/>
                <w:szCs w:val="24"/>
              </w:rPr>
              <w:t>为0.8t/次</w:t>
            </w:r>
            <w:r>
              <w:rPr>
                <w:sz w:val="24"/>
                <w:szCs w:val="24"/>
              </w:rPr>
              <w:t>，</w:t>
            </w:r>
            <w:r>
              <w:rPr>
                <w:rFonts w:hint="eastAsia"/>
                <w:sz w:val="24"/>
                <w:szCs w:val="24"/>
              </w:rPr>
              <w:t>每天蒸煮24次，</w:t>
            </w:r>
            <w:r>
              <w:rPr>
                <w:sz w:val="24"/>
                <w:szCs w:val="24"/>
              </w:rPr>
              <w:t>故锅炉</w:t>
            </w:r>
            <w:r>
              <w:rPr>
                <w:rFonts w:hint="eastAsia"/>
                <w:sz w:val="24"/>
                <w:szCs w:val="24"/>
              </w:rPr>
              <w:t>总</w:t>
            </w:r>
            <w:r>
              <w:rPr>
                <w:sz w:val="24"/>
                <w:szCs w:val="24"/>
              </w:rPr>
              <w:t>水量</w:t>
            </w:r>
            <w:r>
              <w:rPr>
                <w:rFonts w:hint="eastAsia"/>
                <w:sz w:val="24"/>
                <w:szCs w:val="24"/>
              </w:rPr>
              <w:t>（生产用水量+锅炉污水排放量）</w:t>
            </w:r>
            <w:r>
              <w:rPr>
                <w:sz w:val="24"/>
                <w:szCs w:val="24"/>
              </w:rPr>
              <w:t>为</w:t>
            </w:r>
            <w:r>
              <w:rPr>
                <w:rFonts w:hint="eastAsia"/>
                <w:sz w:val="24"/>
                <w:szCs w:val="24"/>
              </w:rPr>
              <w:t>20.3534t/d（1017.67t/a）。</w:t>
            </w:r>
          </w:p>
          <w:p>
            <w:pPr>
              <w:spacing w:line="360" w:lineRule="auto"/>
              <w:ind w:firstLine="482" w:firstLineChars="200"/>
              <w:rPr>
                <w:rFonts w:ascii="宋体" w:hAnsi="宋体" w:cs="宋体"/>
                <w:b/>
                <w:bCs/>
                <w:sz w:val="24"/>
              </w:rPr>
            </w:pPr>
            <w:r>
              <w:rPr>
                <w:rFonts w:hint="eastAsia"/>
                <w:b/>
                <w:bCs/>
                <w:kern w:val="0"/>
                <w:sz w:val="24"/>
              </w:rPr>
              <w:t>③</w:t>
            </w:r>
            <w:r>
              <w:rPr>
                <w:rFonts w:hint="eastAsia" w:ascii="宋体" w:hAnsi="宋体" w:cs="宋体"/>
                <w:b/>
                <w:bCs/>
                <w:sz w:val="24"/>
              </w:rPr>
              <w:t>生产用水</w:t>
            </w:r>
          </w:p>
          <w:p>
            <w:pPr>
              <w:spacing w:line="360" w:lineRule="auto"/>
              <w:ind w:firstLine="480" w:firstLineChars="200"/>
              <w:rPr>
                <w:rFonts w:ascii="宋体" w:hAnsi="宋体" w:cs="宋体"/>
                <w:sz w:val="24"/>
              </w:rPr>
            </w:pPr>
            <w:r>
              <w:rPr>
                <w:rFonts w:hint="eastAsia" w:ascii="宋体" w:hAnsi="宋体" w:cs="宋体"/>
                <w:sz w:val="24"/>
              </w:rPr>
              <w:t>根据设备厂家提供材料，清洗玉米用水5t/d（250t/a）；本项目生产车间每天工作结束后都需要清洁，车间地面清洁用水量为1t/d（50t/a）；本项目玉米蒸锅每年仅生产前及停产后进行清洗两次清洗设备清洗用水为1m³/次（2t/a）。</w:t>
            </w:r>
          </w:p>
          <w:p>
            <w:pPr>
              <w:pStyle w:val="7"/>
              <w:spacing w:line="360" w:lineRule="auto"/>
              <w:ind w:firstLine="480" w:firstLineChars="200"/>
              <w:jc w:val="both"/>
              <w:rPr>
                <w:rFonts w:ascii="宋体" w:hAnsi="宋体" w:cs="宋体"/>
                <w:kern w:val="0"/>
                <w:sz w:val="24"/>
              </w:rPr>
            </w:pPr>
            <w:r>
              <w:rPr>
                <w:rFonts w:hint="eastAsia" w:ascii="宋体" w:hAnsi="宋体" w:cs="宋体"/>
                <w:kern w:val="0"/>
                <w:sz w:val="24"/>
              </w:rPr>
              <w:t>根据企业提供的资料，</w:t>
            </w:r>
            <w:r>
              <w:rPr>
                <w:rFonts w:hint="eastAsia" w:ascii="宋体" w:hAnsi="宋体" w:cs="宋体"/>
                <w:kern w:val="0"/>
                <w:sz w:val="24"/>
                <w:u w:val="single"/>
              </w:rPr>
              <w:t>玉米</w:t>
            </w:r>
            <w:r>
              <w:rPr>
                <w:rFonts w:hint="eastAsia" w:ascii="宋体" w:hAnsi="宋体" w:cs="宋体"/>
                <w:sz w:val="24"/>
                <w:u w:val="single"/>
              </w:rPr>
              <w:t>高温蒸煮灭菌</w:t>
            </w:r>
            <w:r>
              <w:rPr>
                <w:rFonts w:hint="eastAsia" w:ascii="宋体" w:hAnsi="宋体" w:cs="宋体"/>
                <w:kern w:val="0"/>
                <w:sz w:val="24"/>
                <w:u w:val="single"/>
              </w:rPr>
              <w:t>废水是在玉米真空包装后再蒸煮，蒸煮灭菌水不接触玉米，循环使用，不外排，过程中会损失部分蒸汽。</w:t>
            </w:r>
            <w:r>
              <w:rPr>
                <w:rFonts w:hint="eastAsia" w:ascii="宋体" w:hAnsi="宋体" w:cs="宋体"/>
                <w:kern w:val="0"/>
                <w:sz w:val="24"/>
              </w:rPr>
              <w:t>蒸锅容积为2m³，两台蒸锅一次蒸煮用水量为4t，损失量为1t/次，根据设备厂家提供材料，每日蒸煮次数为24次，则循环水量为3t，锅炉蒸汽直接喷入蒸锅内，蒸汽液化为锅内补充一定量的水，蒸汽用量为0.8t/次，则蒸锅内补充水量为4.8t/d（240t/a），蒸煮用水量为7.8t/d（243t/a）不外排。蒸煮后不产生冷凝废水。</w:t>
            </w:r>
          </w:p>
          <w:p>
            <w:pPr>
              <w:spacing w:line="360" w:lineRule="auto"/>
              <w:ind w:firstLine="480" w:firstLineChars="200"/>
              <w:jc w:val="left"/>
              <w:rPr>
                <w:rFonts w:ascii="宋体" w:hAnsi="宋体" w:cs="宋体"/>
                <w:sz w:val="24"/>
              </w:rPr>
            </w:pPr>
            <w:r>
              <w:rPr>
                <w:rFonts w:hint="eastAsia" w:ascii="宋体" w:hAnsi="宋体" w:cs="宋体"/>
                <w:sz w:val="24"/>
              </w:rPr>
              <w:t>所以企业总用水量为34.705t/d（1540.25t/a）。</w:t>
            </w:r>
          </w:p>
          <w:p>
            <w:pPr>
              <w:spacing w:line="360" w:lineRule="auto"/>
              <w:ind w:firstLine="482" w:firstLineChars="200"/>
              <w:rPr>
                <w:rFonts w:ascii="宋体" w:hAnsi="宋体" w:cs="宋体"/>
                <w:b/>
                <w:bCs/>
                <w:sz w:val="24"/>
              </w:rPr>
            </w:pPr>
            <w:r>
              <w:rPr>
                <w:rFonts w:hint="eastAsia" w:ascii="宋体" w:hAnsi="宋体" w:cs="宋体"/>
                <w:b/>
                <w:bCs/>
                <w:sz w:val="24"/>
              </w:rPr>
              <w:fldChar w:fldCharType="begin"/>
            </w:r>
            <w:r>
              <w:rPr>
                <w:rFonts w:hint="eastAsia" w:ascii="宋体" w:hAnsi="宋体" w:cs="宋体"/>
                <w:b/>
                <w:bCs/>
                <w:sz w:val="24"/>
              </w:rPr>
              <w:instrText xml:space="preserve"> = 2 \* GB2 </w:instrText>
            </w:r>
            <w:r>
              <w:rPr>
                <w:rFonts w:hint="eastAsia" w:ascii="宋体" w:hAnsi="宋体" w:cs="宋体"/>
                <w:b/>
                <w:bCs/>
                <w:sz w:val="24"/>
              </w:rPr>
              <w:fldChar w:fldCharType="separate"/>
            </w:r>
            <w:r>
              <w:rPr>
                <w:rFonts w:hint="eastAsia" w:ascii="宋体" w:hAnsi="宋体" w:cs="宋体"/>
                <w:b/>
                <w:bCs/>
                <w:sz w:val="24"/>
              </w:rPr>
              <w:t>⑵</w:t>
            </w:r>
            <w:r>
              <w:rPr>
                <w:rFonts w:hint="eastAsia" w:ascii="宋体" w:hAnsi="宋体" w:cs="宋体"/>
                <w:b/>
                <w:bCs/>
                <w:sz w:val="24"/>
              </w:rPr>
              <w:fldChar w:fldCharType="end"/>
            </w:r>
            <w:r>
              <w:rPr>
                <w:rFonts w:hint="eastAsia" w:ascii="宋体" w:hAnsi="宋体" w:cs="宋体"/>
                <w:b/>
                <w:bCs/>
                <w:sz w:val="24"/>
              </w:rPr>
              <w:t>排水</w:t>
            </w:r>
          </w:p>
          <w:p>
            <w:pPr>
              <w:pStyle w:val="7"/>
              <w:spacing w:line="360" w:lineRule="auto"/>
              <w:ind w:firstLine="480" w:firstLineChars="200"/>
              <w:jc w:val="left"/>
              <w:rPr>
                <w:rFonts w:ascii="宋体" w:hAnsi="宋体" w:cs="宋体"/>
                <w:kern w:val="0"/>
                <w:sz w:val="24"/>
              </w:rPr>
            </w:pPr>
            <w:r>
              <w:rPr>
                <w:rFonts w:hint="eastAsia" w:ascii="宋体" w:hAnsi="宋体" w:cs="宋体"/>
                <w:kern w:val="0"/>
                <w:sz w:val="24"/>
              </w:rPr>
              <w:t xml:space="preserve">项目所产生污水主要为生活污水、生产废水、锅炉废水。 </w:t>
            </w:r>
          </w:p>
          <w:p>
            <w:pPr>
              <w:pStyle w:val="7"/>
              <w:spacing w:line="360" w:lineRule="auto"/>
              <w:ind w:firstLine="482" w:firstLineChars="200"/>
              <w:jc w:val="left"/>
              <w:rPr>
                <w:rFonts w:ascii="宋体" w:hAnsi="宋体" w:cs="宋体"/>
                <w:b/>
                <w:bCs/>
                <w:kern w:val="0"/>
                <w:sz w:val="24"/>
              </w:rPr>
            </w:pPr>
            <w:r>
              <w:rPr>
                <w:rFonts w:hint="eastAsia" w:ascii="宋体" w:hAnsi="宋体" w:cs="宋体"/>
                <w:b/>
                <w:bCs/>
                <w:kern w:val="0"/>
                <w:sz w:val="24"/>
              </w:rPr>
              <w:t>①生活污水</w:t>
            </w:r>
          </w:p>
          <w:p>
            <w:pPr>
              <w:pStyle w:val="7"/>
              <w:spacing w:line="360" w:lineRule="auto"/>
              <w:ind w:firstLine="480" w:firstLineChars="200"/>
              <w:jc w:val="left"/>
              <w:rPr>
                <w:rFonts w:ascii="宋体" w:hAnsi="宋体" w:cs="宋体"/>
                <w:kern w:val="0"/>
                <w:sz w:val="24"/>
              </w:rPr>
            </w:pPr>
            <w:r>
              <w:rPr>
                <w:rFonts w:hint="eastAsia" w:ascii="宋体" w:hAnsi="宋体" w:cs="宋体"/>
                <w:kern w:val="0"/>
                <w:sz w:val="24"/>
              </w:rPr>
              <w:t xml:space="preserve">生活污水产生量按用水量80%计算，则新增生活污水产生量为0.08 t/d（4 t/a）。生活用水排入防渗旱厕，定期清掏做农肥。 </w:t>
            </w:r>
          </w:p>
          <w:p>
            <w:pPr>
              <w:pStyle w:val="7"/>
              <w:spacing w:line="360" w:lineRule="auto"/>
              <w:ind w:firstLine="482" w:firstLineChars="200"/>
              <w:jc w:val="left"/>
              <w:rPr>
                <w:rFonts w:ascii="宋体" w:hAnsi="宋体" w:cs="宋体"/>
                <w:b/>
                <w:bCs/>
                <w:kern w:val="0"/>
                <w:sz w:val="24"/>
              </w:rPr>
            </w:pPr>
            <w:r>
              <w:rPr>
                <w:rFonts w:hint="eastAsia"/>
                <w:b/>
                <w:bCs/>
                <w:kern w:val="0"/>
                <w:sz w:val="24"/>
              </w:rPr>
              <w:t>②</w:t>
            </w:r>
            <w:r>
              <w:rPr>
                <w:rFonts w:hint="eastAsia" w:ascii="宋体" w:hAnsi="宋体" w:cs="宋体"/>
                <w:b/>
                <w:bCs/>
                <w:kern w:val="0"/>
                <w:sz w:val="24"/>
              </w:rPr>
              <w:t>锅炉废水</w:t>
            </w:r>
          </w:p>
          <w:p>
            <w:pPr>
              <w:pStyle w:val="7"/>
              <w:spacing w:line="360" w:lineRule="auto"/>
              <w:ind w:firstLine="480" w:firstLineChars="200"/>
              <w:jc w:val="left"/>
              <w:rPr>
                <w:kern w:val="0"/>
                <w:sz w:val="24"/>
              </w:rPr>
            </w:pPr>
            <w:r>
              <w:rPr>
                <w:rFonts w:hint="eastAsia" w:ascii="宋体" w:hAnsi="宋体" w:cs="宋体"/>
                <w:sz w:val="24"/>
              </w:rPr>
              <w:t>项目设置有1台2.5t/h燃生物质锅炉，根据《排放源统计调查产排污核算方法和系数手册》，4430工业锅炉（热力生产和供应）产排污系数表-工业废水量和化学需氧量，工业废水（锅外水处理，含锅炉排污水和软化处理排水）产污系数为0.356t/t-原料，生物质用量为162t/a，则排放的废水量为1.1534t/d（57.67t/a）。本项目锅炉为蒸汽炉，蒸汽不回收，锅炉水不外排，</w:t>
            </w:r>
            <w:r>
              <w:rPr>
                <w:rFonts w:hint="eastAsia" w:ascii="宋体" w:hAnsi="宋体" w:cs="宋体"/>
                <w:kern w:val="0"/>
                <w:sz w:val="24"/>
              </w:rPr>
              <w:t>锅炉废水为纯水制备废水，纯水制备废水属于清洁下水，回用于厂区洒水降尘及灰渣调湿。</w:t>
            </w:r>
          </w:p>
          <w:p>
            <w:pPr>
              <w:pStyle w:val="7"/>
              <w:spacing w:line="360" w:lineRule="auto"/>
              <w:ind w:firstLine="482" w:firstLineChars="200"/>
              <w:jc w:val="both"/>
              <w:rPr>
                <w:rFonts w:ascii="宋体" w:hAnsi="宋体" w:cs="宋体"/>
                <w:b/>
                <w:bCs/>
                <w:kern w:val="0"/>
                <w:sz w:val="24"/>
              </w:rPr>
            </w:pPr>
            <w:r>
              <w:rPr>
                <w:rFonts w:hint="eastAsia" w:ascii="宋体" w:hAnsi="宋体" w:cs="宋体"/>
                <w:b/>
                <w:bCs/>
                <w:kern w:val="0"/>
                <w:sz w:val="24"/>
              </w:rPr>
              <w:t>③生产废水</w:t>
            </w:r>
          </w:p>
          <w:p>
            <w:pPr>
              <w:pStyle w:val="7"/>
              <w:spacing w:line="360" w:lineRule="auto"/>
              <w:ind w:firstLine="480" w:firstLineChars="200"/>
              <w:jc w:val="both"/>
              <w:rPr>
                <w:rFonts w:ascii="宋体" w:hAnsi="宋体" w:cs="宋体"/>
                <w:iCs/>
                <w:kern w:val="0"/>
                <w:sz w:val="24"/>
              </w:rPr>
            </w:pPr>
            <w:r>
              <w:rPr>
                <w:rFonts w:hint="eastAsia" w:ascii="宋体" w:hAnsi="宋体" w:cs="宋体"/>
                <w:kern w:val="0"/>
                <w:sz w:val="24"/>
              </w:rPr>
              <w:t>玉米清洗废水产生量按用水量的80%计算，则生产废水量约为4 t/d（200 t/a），设备清洗废水及玉米清洗废水</w:t>
            </w:r>
            <w:r>
              <w:rPr>
                <w:rFonts w:hint="eastAsia" w:ascii="宋体" w:hAnsi="宋体" w:cs="宋体"/>
                <w:iCs/>
                <w:kern w:val="0"/>
                <w:sz w:val="24"/>
              </w:rPr>
              <w:t>外运养殖场。</w:t>
            </w:r>
          </w:p>
          <w:p>
            <w:pPr>
              <w:pStyle w:val="7"/>
              <w:spacing w:line="360" w:lineRule="auto"/>
              <w:ind w:firstLine="480" w:firstLineChars="200"/>
              <w:jc w:val="both"/>
              <w:rPr>
                <w:rFonts w:ascii="宋体" w:hAnsi="宋体" w:cs="宋体"/>
                <w:kern w:val="0"/>
                <w:sz w:val="24"/>
              </w:rPr>
            </w:pPr>
            <w:r>
              <w:rPr>
                <w:rFonts w:hint="eastAsia" w:ascii="宋体" w:hAnsi="宋体" w:cs="宋体"/>
                <w:kern w:val="0"/>
                <w:sz w:val="24"/>
              </w:rPr>
              <w:t>设备清洗废水按照用水量的80%计算，则清洗设备排水为1.6t/a。</w:t>
            </w:r>
            <w:r>
              <w:rPr>
                <w:rFonts w:hint="eastAsia" w:ascii="宋体" w:hAnsi="宋体" w:cs="宋体"/>
                <w:iCs/>
                <w:kern w:val="0"/>
                <w:sz w:val="24"/>
              </w:rPr>
              <w:t>地面清洁</w:t>
            </w:r>
            <w:r>
              <w:rPr>
                <w:rFonts w:hint="eastAsia" w:ascii="宋体" w:hAnsi="宋体" w:cs="宋体"/>
                <w:kern w:val="0"/>
                <w:sz w:val="24"/>
              </w:rPr>
              <w:t>水全部消耗，消耗量为</w:t>
            </w:r>
            <w:r>
              <w:rPr>
                <w:rFonts w:hint="eastAsia" w:ascii="宋体" w:hAnsi="宋体" w:cs="宋体"/>
                <w:sz w:val="24"/>
              </w:rPr>
              <w:t>1t/d（50t/a）</w:t>
            </w:r>
            <w:r>
              <w:rPr>
                <w:rFonts w:hint="eastAsia" w:ascii="宋体" w:hAnsi="宋体" w:cs="宋体"/>
                <w:kern w:val="0"/>
                <w:sz w:val="24"/>
              </w:rPr>
              <w:t>。 蒸煮用水循环使用，每次蒸煮之后补充，不外排。</w:t>
            </w:r>
          </w:p>
          <w:p>
            <w:pPr>
              <w:pStyle w:val="7"/>
              <w:spacing w:line="360" w:lineRule="auto"/>
              <w:ind w:firstLine="480" w:firstLineChars="200"/>
              <w:jc w:val="both"/>
              <w:rPr>
                <w:rFonts w:ascii="宋体" w:hAnsi="宋体" w:cs="宋体"/>
                <w:kern w:val="0"/>
                <w:sz w:val="24"/>
              </w:rPr>
            </w:pPr>
            <w:r>
              <w:rPr>
                <w:rFonts w:hint="eastAsia" w:ascii="宋体" w:hAnsi="宋体" w:cs="宋体"/>
                <w:kern w:val="0"/>
                <w:sz w:val="24"/>
              </w:rPr>
              <w:t>柳河县时家店乡肉鸡养殖场位于通化市柳河县时家店乡，距离本项目1500m，总占地面积63340m</w:t>
            </w:r>
            <w:r>
              <w:rPr>
                <w:rFonts w:hint="eastAsia" w:ascii="宋体" w:hAnsi="宋体" w:cs="宋体"/>
                <w:kern w:val="0"/>
                <w:sz w:val="24"/>
                <w:vertAlign w:val="superscript"/>
              </w:rPr>
              <w:t>2</w:t>
            </w:r>
            <w:r>
              <w:rPr>
                <w:rFonts w:hint="eastAsia" w:ascii="宋体" w:hAnsi="宋体" w:cs="宋体"/>
                <w:kern w:val="0"/>
                <w:sz w:val="24"/>
              </w:rPr>
              <w:t xml:space="preserve">，年饲养肉鸡6批，年出栏160万只，根据环评资料，鸡饮用水0.5L/头.d，则鸡的饮用水量为133.3t/d。本项目产生的设备清洗及玉米蒸煮消毒废水外售该养殖场用于肉鸡调制饲料，协议见附件。 </w:t>
            </w:r>
          </w:p>
          <w:p>
            <w:pPr>
              <w:pStyle w:val="7"/>
              <w:spacing w:line="360" w:lineRule="auto"/>
              <w:ind w:firstLine="480" w:firstLineChars="200"/>
              <w:jc w:val="left"/>
              <w:rPr>
                <w:kern w:val="0"/>
                <w:sz w:val="24"/>
              </w:rPr>
            </w:pPr>
            <w:r>
              <w:rPr>
                <w:rFonts w:hint="eastAsia"/>
                <w:kern w:val="0"/>
                <w:sz w:val="24"/>
              </w:rPr>
              <w:t>废水排放情况详见下表。</w:t>
            </w:r>
          </w:p>
          <w:p>
            <w:pPr>
              <w:pStyle w:val="34"/>
              <w:adjustRightInd/>
              <w:spacing w:line="360" w:lineRule="auto"/>
              <w:jc w:val="center"/>
              <w:rPr>
                <w:rFonts w:ascii="Times New Roman" w:hAnsi="Times New Roman" w:cs="Times New Roman"/>
                <w:color w:val="auto"/>
                <w:kern w:val="0"/>
              </w:rPr>
            </w:pPr>
            <w:r>
              <w:rPr>
                <w:rFonts w:hint="eastAsia"/>
                <w:bCs/>
                <w:color w:val="auto"/>
                <w:szCs w:val="32"/>
                <w:u w:val="single"/>
              </w:rPr>
              <w:t>表2-7  给排水情况一览表</w:t>
            </w:r>
          </w:p>
          <w:tbl>
            <w:tblPr>
              <w:tblStyle w:val="27"/>
              <w:tblW w:w="7945"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90"/>
              <w:gridCol w:w="1383"/>
              <w:gridCol w:w="603"/>
              <w:gridCol w:w="678"/>
              <w:gridCol w:w="788"/>
              <w:gridCol w:w="767"/>
              <w:gridCol w:w="945"/>
              <w:gridCol w:w="229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90" w:type="dxa"/>
                  <w:vMerge w:val="restart"/>
                  <w:tcBorders>
                    <w:tl2br w:val="nil"/>
                    <w:tr2bl w:val="nil"/>
                  </w:tcBorders>
                  <w:vAlign w:val="center"/>
                </w:tcPr>
                <w:p>
                  <w:pPr>
                    <w:jc w:val="center"/>
                    <w:rPr>
                      <w:color w:val="000000"/>
                      <w:szCs w:val="21"/>
                    </w:rPr>
                  </w:pPr>
                  <w:r>
                    <w:rPr>
                      <w:color w:val="000000"/>
                      <w:szCs w:val="21"/>
                    </w:rPr>
                    <w:t>序号</w:t>
                  </w:r>
                </w:p>
              </w:tc>
              <w:tc>
                <w:tcPr>
                  <w:tcW w:w="1383" w:type="dxa"/>
                  <w:vMerge w:val="restart"/>
                  <w:tcBorders>
                    <w:tl2br w:val="nil"/>
                    <w:tr2bl w:val="nil"/>
                  </w:tcBorders>
                  <w:vAlign w:val="center"/>
                </w:tcPr>
                <w:p>
                  <w:pPr>
                    <w:jc w:val="center"/>
                    <w:rPr>
                      <w:color w:val="000000"/>
                      <w:szCs w:val="21"/>
                    </w:rPr>
                  </w:pPr>
                  <w:r>
                    <w:rPr>
                      <w:rFonts w:hint="eastAsia"/>
                      <w:color w:val="000000"/>
                      <w:szCs w:val="21"/>
                    </w:rPr>
                    <w:t>项目</w:t>
                  </w:r>
                </w:p>
              </w:tc>
              <w:tc>
                <w:tcPr>
                  <w:tcW w:w="1281" w:type="dxa"/>
                  <w:gridSpan w:val="2"/>
                  <w:tcBorders>
                    <w:tl2br w:val="nil"/>
                    <w:tr2bl w:val="nil"/>
                  </w:tcBorders>
                  <w:vAlign w:val="center"/>
                </w:tcPr>
                <w:p>
                  <w:pPr>
                    <w:widowControl/>
                    <w:jc w:val="center"/>
                    <w:textAlignment w:val="center"/>
                    <w:rPr>
                      <w:color w:val="000000"/>
                      <w:kern w:val="0"/>
                      <w:szCs w:val="21"/>
                    </w:rPr>
                  </w:pPr>
                  <w:r>
                    <w:rPr>
                      <w:color w:val="000000"/>
                      <w:kern w:val="0"/>
                      <w:szCs w:val="21"/>
                    </w:rPr>
                    <w:t>用水量</w:t>
                  </w:r>
                </w:p>
              </w:tc>
              <w:tc>
                <w:tcPr>
                  <w:tcW w:w="788" w:type="dxa"/>
                  <w:vMerge w:val="restart"/>
                  <w:tcBorders>
                    <w:tl2br w:val="nil"/>
                    <w:tr2bl w:val="nil"/>
                  </w:tcBorders>
                  <w:vAlign w:val="center"/>
                </w:tcPr>
                <w:p>
                  <w:pPr>
                    <w:widowControl/>
                    <w:jc w:val="center"/>
                    <w:textAlignment w:val="bottom"/>
                    <w:rPr>
                      <w:color w:val="000000"/>
                      <w:szCs w:val="21"/>
                    </w:rPr>
                  </w:pPr>
                  <w:r>
                    <w:rPr>
                      <w:color w:val="000000"/>
                      <w:kern w:val="0"/>
                      <w:szCs w:val="21"/>
                    </w:rPr>
                    <w:t>排水系数</w:t>
                  </w:r>
                </w:p>
              </w:tc>
              <w:tc>
                <w:tcPr>
                  <w:tcW w:w="1712" w:type="dxa"/>
                  <w:gridSpan w:val="2"/>
                  <w:tcBorders>
                    <w:tl2br w:val="nil"/>
                    <w:tr2bl w:val="nil"/>
                  </w:tcBorders>
                  <w:vAlign w:val="center"/>
                </w:tcPr>
                <w:p>
                  <w:pPr>
                    <w:widowControl/>
                    <w:jc w:val="center"/>
                    <w:textAlignment w:val="bottom"/>
                    <w:rPr>
                      <w:color w:val="000000"/>
                      <w:kern w:val="0"/>
                      <w:szCs w:val="21"/>
                    </w:rPr>
                  </w:pPr>
                  <w:r>
                    <w:rPr>
                      <w:rFonts w:hint="eastAsia"/>
                      <w:color w:val="000000"/>
                      <w:kern w:val="0"/>
                      <w:szCs w:val="21"/>
                    </w:rPr>
                    <w:t>污水产生量</w:t>
                  </w:r>
                </w:p>
              </w:tc>
              <w:tc>
                <w:tcPr>
                  <w:tcW w:w="2291" w:type="dxa"/>
                  <w:vMerge w:val="restart"/>
                  <w:tcBorders>
                    <w:tl2br w:val="nil"/>
                    <w:tr2bl w:val="nil"/>
                  </w:tcBorders>
                  <w:vAlign w:val="center"/>
                </w:tcPr>
                <w:p>
                  <w:pPr>
                    <w:widowControl/>
                    <w:jc w:val="center"/>
                    <w:textAlignment w:val="bottom"/>
                    <w:rPr>
                      <w:color w:val="000000"/>
                      <w:kern w:val="0"/>
                      <w:szCs w:val="21"/>
                    </w:rPr>
                  </w:pPr>
                  <w:r>
                    <w:rPr>
                      <w:rFonts w:hint="eastAsia"/>
                      <w:color w:val="000000"/>
                      <w:kern w:val="0"/>
                      <w:szCs w:val="21"/>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90" w:type="dxa"/>
                  <w:vMerge w:val="continue"/>
                  <w:tcBorders>
                    <w:tl2br w:val="nil"/>
                    <w:tr2bl w:val="nil"/>
                  </w:tcBorders>
                  <w:vAlign w:val="center"/>
                </w:tcPr>
                <w:p>
                  <w:pPr>
                    <w:jc w:val="center"/>
                    <w:rPr>
                      <w:color w:val="000000"/>
                      <w:szCs w:val="21"/>
                    </w:rPr>
                  </w:pPr>
                </w:p>
              </w:tc>
              <w:tc>
                <w:tcPr>
                  <w:tcW w:w="1383" w:type="dxa"/>
                  <w:vMerge w:val="continue"/>
                  <w:tcBorders>
                    <w:tl2br w:val="nil"/>
                    <w:tr2bl w:val="nil"/>
                  </w:tcBorders>
                  <w:vAlign w:val="center"/>
                </w:tcPr>
                <w:p>
                  <w:pPr>
                    <w:jc w:val="center"/>
                    <w:rPr>
                      <w:color w:val="000000"/>
                      <w:szCs w:val="21"/>
                    </w:rPr>
                  </w:pPr>
                </w:p>
              </w:tc>
              <w:tc>
                <w:tcPr>
                  <w:tcW w:w="603" w:type="dxa"/>
                  <w:tcBorders>
                    <w:tl2br w:val="nil"/>
                    <w:tr2bl w:val="nil"/>
                  </w:tcBorders>
                  <w:vAlign w:val="center"/>
                </w:tcPr>
                <w:p>
                  <w:pPr>
                    <w:widowControl/>
                    <w:jc w:val="center"/>
                    <w:textAlignment w:val="center"/>
                    <w:rPr>
                      <w:color w:val="000000"/>
                      <w:szCs w:val="21"/>
                    </w:rPr>
                  </w:pPr>
                  <w:r>
                    <w:rPr>
                      <w:rFonts w:hint="eastAsia"/>
                      <w:color w:val="000000"/>
                      <w:kern w:val="0"/>
                      <w:szCs w:val="21"/>
                    </w:rPr>
                    <w:t>日t</w:t>
                  </w:r>
                  <w:r>
                    <w:rPr>
                      <w:color w:val="000000"/>
                      <w:kern w:val="0"/>
                      <w:szCs w:val="21"/>
                    </w:rPr>
                    <w:t>/d</w:t>
                  </w:r>
                </w:p>
              </w:tc>
              <w:tc>
                <w:tcPr>
                  <w:tcW w:w="678" w:type="dxa"/>
                  <w:tcBorders>
                    <w:tl2br w:val="nil"/>
                    <w:tr2bl w:val="nil"/>
                  </w:tcBorders>
                  <w:vAlign w:val="center"/>
                </w:tcPr>
                <w:p>
                  <w:pPr>
                    <w:widowControl/>
                    <w:jc w:val="center"/>
                    <w:textAlignment w:val="center"/>
                    <w:rPr>
                      <w:color w:val="000000"/>
                      <w:szCs w:val="21"/>
                    </w:rPr>
                  </w:pPr>
                  <w:r>
                    <w:rPr>
                      <w:rFonts w:hint="eastAsia"/>
                      <w:color w:val="000000"/>
                      <w:kern w:val="0"/>
                      <w:szCs w:val="21"/>
                    </w:rPr>
                    <w:t>年t</w:t>
                  </w:r>
                  <w:r>
                    <w:rPr>
                      <w:color w:val="000000"/>
                      <w:kern w:val="0"/>
                      <w:szCs w:val="21"/>
                    </w:rPr>
                    <w:t>/a</w:t>
                  </w:r>
                </w:p>
              </w:tc>
              <w:tc>
                <w:tcPr>
                  <w:tcW w:w="788" w:type="dxa"/>
                  <w:vMerge w:val="continue"/>
                  <w:tcBorders>
                    <w:tl2br w:val="nil"/>
                    <w:tr2bl w:val="nil"/>
                  </w:tcBorders>
                  <w:vAlign w:val="center"/>
                </w:tcPr>
                <w:p>
                  <w:pPr>
                    <w:widowControl/>
                    <w:jc w:val="center"/>
                    <w:textAlignment w:val="bottom"/>
                    <w:rPr>
                      <w:color w:val="000000"/>
                      <w:szCs w:val="21"/>
                    </w:rPr>
                  </w:pPr>
                </w:p>
              </w:tc>
              <w:tc>
                <w:tcPr>
                  <w:tcW w:w="767" w:type="dxa"/>
                  <w:tcBorders>
                    <w:tl2br w:val="nil"/>
                    <w:tr2bl w:val="nil"/>
                  </w:tcBorders>
                  <w:vAlign w:val="center"/>
                </w:tcPr>
                <w:p>
                  <w:pPr>
                    <w:widowControl/>
                    <w:jc w:val="center"/>
                    <w:textAlignment w:val="center"/>
                    <w:rPr>
                      <w:color w:val="000000"/>
                      <w:szCs w:val="21"/>
                    </w:rPr>
                  </w:pPr>
                  <w:r>
                    <w:rPr>
                      <w:rFonts w:hint="eastAsia"/>
                      <w:color w:val="000000"/>
                      <w:kern w:val="0"/>
                      <w:szCs w:val="21"/>
                    </w:rPr>
                    <w:t>日t</w:t>
                  </w:r>
                  <w:r>
                    <w:rPr>
                      <w:color w:val="000000"/>
                      <w:kern w:val="0"/>
                      <w:szCs w:val="21"/>
                    </w:rPr>
                    <w:t>/d</w:t>
                  </w:r>
                </w:p>
              </w:tc>
              <w:tc>
                <w:tcPr>
                  <w:tcW w:w="945" w:type="dxa"/>
                  <w:tcBorders>
                    <w:tl2br w:val="nil"/>
                    <w:tr2bl w:val="nil"/>
                  </w:tcBorders>
                  <w:vAlign w:val="center"/>
                </w:tcPr>
                <w:p>
                  <w:pPr>
                    <w:widowControl/>
                    <w:jc w:val="center"/>
                    <w:textAlignment w:val="center"/>
                    <w:rPr>
                      <w:color w:val="000000"/>
                      <w:szCs w:val="21"/>
                    </w:rPr>
                  </w:pPr>
                  <w:r>
                    <w:rPr>
                      <w:rFonts w:hint="eastAsia"/>
                      <w:color w:val="000000"/>
                      <w:kern w:val="0"/>
                      <w:szCs w:val="21"/>
                    </w:rPr>
                    <w:t>年t</w:t>
                  </w:r>
                  <w:r>
                    <w:rPr>
                      <w:color w:val="000000"/>
                      <w:kern w:val="0"/>
                      <w:szCs w:val="21"/>
                    </w:rPr>
                    <w:t>/a</w:t>
                  </w:r>
                </w:p>
              </w:tc>
              <w:tc>
                <w:tcPr>
                  <w:tcW w:w="2291" w:type="dxa"/>
                  <w:vMerge w:val="continue"/>
                  <w:tcBorders>
                    <w:tl2br w:val="nil"/>
                    <w:tr2bl w:val="nil"/>
                  </w:tcBorders>
                  <w:vAlign w:val="center"/>
                </w:tcPr>
                <w:p>
                  <w:pPr>
                    <w:widowControl/>
                    <w:jc w:val="center"/>
                    <w:textAlignment w:val="center"/>
                    <w:rPr>
                      <w:color w:val="000000"/>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90" w:type="dxa"/>
                  <w:tcBorders>
                    <w:tl2br w:val="nil"/>
                    <w:tr2bl w:val="nil"/>
                  </w:tcBorders>
                  <w:vAlign w:val="center"/>
                </w:tcPr>
                <w:p>
                  <w:pPr>
                    <w:jc w:val="center"/>
                    <w:rPr>
                      <w:color w:val="000000"/>
                      <w:szCs w:val="21"/>
                    </w:rPr>
                  </w:pPr>
                  <w:r>
                    <w:rPr>
                      <w:color w:val="000000"/>
                      <w:szCs w:val="21"/>
                    </w:rPr>
                    <w:t>1</w:t>
                  </w:r>
                </w:p>
              </w:tc>
              <w:tc>
                <w:tcPr>
                  <w:tcW w:w="1383" w:type="dxa"/>
                  <w:tcBorders>
                    <w:tl2br w:val="nil"/>
                    <w:tr2bl w:val="nil"/>
                  </w:tcBorders>
                  <w:vAlign w:val="center"/>
                </w:tcPr>
                <w:p>
                  <w:pPr>
                    <w:widowControl/>
                    <w:jc w:val="center"/>
                    <w:textAlignment w:val="center"/>
                    <w:rPr>
                      <w:color w:val="000000"/>
                      <w:szCs w:val="21"/>
                    </w:rPr>
                  </w:pPr>
                  <w:r>
                    <w:rPr>
                      <w:color w:val="000000"/>
                      <w:kern w:val="0"/>
                      <w:szCs w:val="21"/>
                    </w:rPr>
                    <w:t>生活用水</w:t>
                  </w:r>
                </w:p>
              </w:tc>
              <w:tc>
                <w:tcPr>
                  <w:tcW w:w="603" w:type="dxa"/>
                  <w:tcBorders>
                    <w:tl2br w:val="nil"/>
                    <w:tr2bl w:val="nil"/>
                  </w:tcBorders>
                  <w:vAlign w:val="center"/>
                </w:tcPr>
                <w:p>
                  <w:pPr>
                    <w:widowControl/>
                    <w:jc w:val="center"/>
                    <w:textAlignment w:val="center"/>
                    <w:rPr>
                      <w:color w:val="000000"/>
                      <w:szCs w:val="21"/>
                    </w:rPr>
                  </w:pPr>
                  <w:r>
                    <w:rPr>
                      <w:rFonts w:hint="eastAsia"/>
                      <w:color w:val="000000"/>
                      <w:kern w:val="0"/>
                      <w:szCs w:val="21"/>
                    </w:rPr>
                    <w:t>0.1</w:t>
                  </w:r>
                </w:p>
              </w:tc>
              <w:tc>
                <w:tcPr>
                  <w:tcW w:w="678" w:type="dxa"/>
                  <w:tcBorders>
                    <w:tl2br w:val="nil"/>
                    <w:tr2bl w:val="nil"/>
                  </w:tcBorders>
                  <w:vAlign w:val="center"/>
                </w:tcPr>
                <w:p>
                  <w:pPr>
                    <w:widowControl/>
                    <w:jc w:val="center"/>
                    <w:textAlignment w:val="center"/>
                    <w:rPr>
                      <w:color w:val="000000"/>
                      <w:szCs w:val="21"/>
                    </w:rPr>
                  </w:pPr>
                  <w:r>
                    <w:rPr>
                      <w:rFonts w:hint="eastAsia"/>
                      <w:color w:val="000000"/>
                      <w:kern w:val="0"/>
                      <w:szCs w:val="21"/>
                    </w:rPr>
                    <w:t>5</w:t>
                  </w:r>
                </w:p>
              </w:tc>
              <w:tc>
                <w:tcPr>
                  <w:tcW w:w="788" w:type="dxa"/>
                  <w:tcBorders>
                    <w:tl2br w:val="nil"/>
                    <w:tr2bl w:val="nil"/>
                  </w:tcBorders>
                  <w:vAlign w:val="center"/>
                </w:tcPr>
                <w:p>
                  <w:pPr>
                    <w:widowControl/>
                    <w:jc w:val="center"/>
                    <w:textAlignment w:val="bottom"/>
                    <w:rPr>
                      <w:color w:val="000000"/>
                      <w:szCs w:val="21"/>
                    </w:rPr>
                  </w:pPr>
                  <w:r>
                    <w:rPr>
                      <w:rFonts w:hint="eastAsia"/>
                      <w:color w:val="000000"/>
                      <w:kern w:val="0"/>
                      <w:szCs w:val="21"/>
                    </w:rPr>
                    <w:t>0.8</w:t>
                  </w:r>
                </w:p>
              </w:tc>
              <w:tc>
                <w:tcPr>
                  <w:tcW w:w="767" w:type="dxa"/>
                  <w:tcBorders>
                    <w:tl2br w:val="nil"/>
                    <w:tr2bl w:val="nil"/>
                  </w:tcBorders>
                  <w:vAlign w:val="center"/>
                </w:tcPr>
                <w:p>
                  <w:pPr>
                    <w:widowControl/>
                    <w:jc w:val="center"/>
                    <w:textAlignment w:val="bottom"/>
                    <w:rPr>
                      <w:color w:val="000000"/>
                      <w:szCs w:val="21"/>
                    </w:rPr>
                  </w:pPr>
                  <w:r>
                    <w:rPr>
                      <w:rFonts w:hint="eastAsia"/>
                      <w:color w:val="000000"/>
                      <w:kern w:val="0"/>
                      <w:szCs w:val="21"/>
                    </w:rPr>
                    <w:t>0.08</w:t>
                  </w:r>
                </w:p>
              </w:tc>
              <w:tc>
                <w:tcPr>
                  <w:tcW w:w="945" w:type="dxa"/>
                  <w:tcBorders>
                    <w:tl2br w:val="nil"/>
                    <w:tr2bl w:val="nil"/>
                  </w:tcBorders>
                  <w:vAlign w:val="center"/>
                </w:tcPr>
                <w:p>
                  <w:pPr>
                    <w:widowControl/>
                    <w:jc w:val="center"/>
                    <w:textAlignment w:val="bottom"/>
                    <w:rPr>
                      <w:color w:val="000000"/>
                      <w:szCs w:val="21"/>
                    </w:rPr>
                  </w:pPr>
                  <w:r>
                    <w:rPr>
                      <w:rFonts w:hint="eastAsia"/>
                      <w:color w:val="000000"/>
                      <w:kern w:val="0"/>
                      <w:szCs w:val="21"/>
                    </w:rPr>
                    <w:t>4</w:t>
                  </w:r>
                </w:p>
              </w:tc>
              <w:tc>
                <w:tcPr>
                  <w:tcW w:w="2291" w:type="dxa"/>
                  <w:tcBorders>
                    <w:tl2br w:val="nil"/>
                    <w:tr2bl w:val="nil"/>
                  </w:tcBorders>
                  <w:vAlign w:val="center"/>
                </w:tcPr>
                <w:p>
                  <w:pPr>
                    <w:widowControl/>
                    <w:jc w:val="center"/>
                    <w:textAlignment w:val="bottom"/>
                    <w:rPr>
                      <w:color w:val="000000"/>
                      <w:kern w:val="0"/>
                      <w:szCs w:val="21"/>
                    </w:rPr>
                  </w:pPr>
                  <w:r>
                    <w:rPr>
                      <w:rFonts w:hint="eastAsia"/>
                      <w:color w:val="000000"/>
                      <w:kern w:val="0"/>
                      <w:szCs w:val="21"/>
                    </w:rPr>
                    <w:t>排污防渗旱厕</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90" w:type="dxa"/>
                  <w:tcBorders>
                    <w:tl2br w:val="nil"/>
                    <w:tr2bl w:val="nil"/>
                  </w:tcBorders>
                  <w:vAlign w:val="center"/>
                </w:tcPr>
                <w:p>
                  <w:pPr>
                    <w:jc w:val="center"/>
                    <w:rPr>
                      <w:color w:val="000000"/>
                      <w:szCs w:val="21"/>
                    </w:rPr>
                  </w:pPr>
                  <w:r>
                    <w:rPr>
                      <w:color w:val="000000"/>
                      <w:szCs w:val="21"/>
                    </w:rPr>
                    <w:t>2</w:t>
                  </w:r>
                </w:p>
              </w:tc>
              <w:tc>
                <w:tcPr>
                  <w:tcW w:w="1383" w:type="dxa"/>
                  <w:tcBorders>
                    <w:tl2br w:val="nil"/>
                    <w:tr2bl w:val="nil"/>
                  </w:tcBorders>
                  <w:vAlign w:val="center"/>
                </w:tcPr>
                <w:p>
                  <w:pPr>
                    <w:widowControl/>
                    <w:jc w:val="center"/>
                    <w:textAlignment w:val="center"/>
                    <w:rPr>
                      <w:color w:val="000000"/>
                      <w:szCs w:val="21"/>
                    </w:rPr>
                  </w:pPr>
                  <w:r>
                    <w:rPr>
                      <w:rFonts w:hint="eastAsia"/>
                      <w:iCs/>
                      <w:kern w:val="0"/>
                      <w:szCs w:val="21"/>
                    </w:rPr>
                    <w:t>地面清洁</w:t>
                  </w:r>
                </w:p>
              </w:tc>
              <w:tc>
                <w:tcPr>
                  <w:tcW w:w="603" w:type="dxa"/>
                  <w:tcBorders>
                    <w:tl2br w:val="nil"/>
                    <w:tr2bl w:val="nil"/>
                  </w:tcBorders>
                  <w:vAlign w:val="center"/>
                </w:tcPr>
                <w:p>
                  <w:pPr>
                    <w:widowControl/>
                    <w:jc w:val="center"/>
                    <w:textAlignment w:val="center"/>
                    <w:rPr>
                      <w:color w:val="000000"/>
                      <w:szCs w:val="21"/>
                    </w:rPr>
                  </w:pPr>
                  <w:r>
                    <w:rPr>
                      <w:rFonts w:hint="eastAsia"/>
                      <w:color w:val="000000"/>
                      <w:kern w:val="0"/>
                      <w:szCs w:val="21"/>
                    </w:rPr>
                    <w:t>1</w:t>
                  </w:r>
                </w:p>
              </w:tc>
              <w:tc>
                <w:tcPr>
                  <w:tcW w:w="678" w:type="dxa"/>
                  <w:tcBorders>
                    <w:tl2br w:val="nil"/>
                    <w:tr2bl w:val="nil"/>
                  </w:tcBorders>
                  <w:vAlign w:val="center"/>
                </w:tcPr>
                <w:p>
                  <w:pPr>
                    <w:widowControl/>
                    <w:jc w:val="center"/>
                    <w:textAlignment w:val="center"/>
                    <w:rPr>
                      <w:color w:val="000000"/>
                      <w:szCs w:val="21"/>
                    </w:rPr>
                  </w:pPr>
                  <w:r>
                    <w:rPr>
                      <w:rFonts w:hint="eastAsia"/>
                      <w:color w:val="000000"/>
                      <w:kern w:val="0"/>
                      <w:szCs w:val="21"/>
                    </w:rPr>
                    <w:t>50</w:t>
                  </w:r>
                </w:p>
              </w:tc>
              <w:tc>
                <w:tcPr>
                  <w:tcW w:w="788" w:type="dxa"/>
                  <w:tcBorders>
                    <w:tl2br w:val="nil"/>
                    <w:tr2bl w:val="nil"/>
                  </w:tcBorders>
                  <w:vAlign w:val="center"/>
                </w:tcPr>
                <w:p>
                  <w:pPr>
                    <w:widowControl/>
                    <w:jc w:val="center"/>
                    <w:textAlignment w:val="bottom"/>
                    <w:rPr>
                      <w:color w:val="000000"/>
                      <w:szCs w:val="21"/>
                    </w:rPr>
                  </w:pPr>
                  <w:r>
                    <w:rPr>
                      <w:rFonts w:hint="eastAsia"/>
                      <w:color w:val="000000"/>
                      <w:kern w:val="0"/>
                      <w:szCs w:val="21"/>
                    </w:rPr>
                    <w:t>-</w:t>
                  </w:r>
                </w:p>
              </w:tc>
              <w:tc>
                <w:tcPr>
                  <w:tcW w:w="767" w:type="dxa"/>
                  <w:tcBorders>
                    <w:tl2br w:val="nil"/>
                    <w:tr2bl w:val="nil"/>
                  </w:tcBorders>
                  <w:vAlign w:val="center"/>
                </w:tcPr>
                <w:p>
                  <w:pPr>
                    <w:widowControl/>
                    <w:jc w:val="center"/>
                    <w:textAlignment w:val="bottom"/>
                    <w:rPr>
                      <w:color w:val="000000"/>
                      <w:szCs w:val="21"/>
                    </w:rPr>
                  </w:pPr>
                  <w:r>
                    <w:rPr>
                      <w:rFonts w:hint="eastAsia"/>
                      <w:color w:val="000000"/>
                      <w:kern w:val="0"/>
                      <w:szCs w:val="21"/>
                    </w:rPr>
                    <w:t>-</w:t>
                  </w:r>
                </w:p>
              </w:tc>
              <w:tc>
                <w:tcPr>
                  <w:tcW w:w="945" w:type="dxa"/>
                  <w:tcBorders>
                    <w:tl2br w:val="nil"/>
                    <w:tr2bl w:val="nil"/>
                  </w:tcBorders>
                  <w:vAlign w:val="center"/>
                </w:tcPr>
                <w:p>
                  <w:pPr>
                    <w:widowControl/>
                    <w:jc w:val="center"/>
                    <w:textAlignment w:val="bottom"/>
                    <w:rPr>
                      <w:color w:val="000000"/>
                      <w:szCs w:val="21"/>
                    </w:rPr>
                  </w:pPr>
                  <w:r>
                    <w:rPr>
                      <w:rFonts w:hint="eastAsia"/>
                      <w:color w:val="000000"/>
                      <w:kern w:val="0"/>
                      <w:szCs w:val="21"/>
                    </w:rPr>
                    <w:t>-</w:t>
                  </w:r>
                </w:p>
              </w:tc>
              <w:tc>
                <w:tcPr>
                  <w:tcW w:w="2291" w:type="dxa"/>
                  <w:tcBorders>
                    <w:tl2br w:val="nil"/>
                    <w:tr2bl w:val="nil"/>
                  </w:tcBorders>
                  <w:vAlign w:val="center"/>
                </w:tcPr>
                <w:p>
                  <w:pPr>
                    <w:widowControl/>
                    <w:jc w:val="center"/>
                    <w:textAlignment w:val="bottom"/>
                    <w:rPr>
                      <w:color w:val="000000"/>
                      <w:kern w:val="0"/>
                      <w:szCs w:val="21"/>
                    </w:rPr>
                  </w:pPr>
                  <w:r>
                    <w:rPr>
                      <w:rFonts w:hint="eastAsia"/>
                      <w:color w:val="000000"/>
                      <w:kern w:val="0"/>
                      <w:szCs w:val="21"/>
                    </w:rPr>
                    <w:t>全部消耗</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90" w:type="dxa"/>
                  <w:tcBorders>
                    <w:tl2br w:val="nil"/>
                    <w:tr2bl w:val="nil"/>
                  </w:tcBorders>
                  <w:vAlign w:val="center"/>
                </w:tcPr>
                <w:p>
                  <w:pPr>
                    <w:jc w:val="center"/>
                    <w:rPr>
                      <w:color w:val="000000"/>
                      <w:szCs w:val="21"/>
                    </w:rPr>
                  </w:pPr>
                  <w:r>
                    <w:rPr>
                      <w:color w:val="000000"/>
                      <w:szCs w:val="21"/>
                    </w:rPr>
                    <w:t>3</w:t>
                  </w:r>
                </w:p>
              </w:tc>
              <w:tc>
                <w:tcPr>
                  <w:tcW w:w="1383" w:type="dxa"/>
                  <w:tcBorders>
                    <w:tl2br w:val="nil"/>
                    <w:tr2bl w:val="nil"/>
                  </w:tcBorders>
                  <w:vAlign w:val="center"/>
                </w:tcPr>
                <w:p>
                  <w:pPr>
                    <w:widowControl/>
                    <w:jc w:val="center"/>
                    <w:textAlignment w:val="center"/>
                    <w:rPr>
                      <w:szCs w:val="21"/>
                    </w:rPr>
                  </w:pPr>
                  <w:r>
                    <w:rPr>
                      <w:kern w:val="0"/>
                      <w:szCs w:val="21"/>
                    </w:rPr>
                    <w:t>浸泡</w:t>
                  </w:r>
                  <w:r>
                    <w:rPr>
                      <w:rFonts w:hint="eastAsia"/>
                      <w:kern w:val="0"/>
                      <w:szCs w:val="21"/>
                    </w:rPr>
                    <w:t>清洗玉米</w:t>
                  </w:r>
                </w:p>
              </w:tc>
              <w:tc>
                <w:tcPr>
                  <w:tcW w:w="603" w:type="dxa"/>
                  <w:tcBorders>
                    <w:tl2br w:val="nil"/>
                    <w:tr2bl w:val="nil"/>
                  </w:tcBorders>
                  <w:vAlign w:val="center"/>
                </w:tcPr>
                <w:p>
                  <w:pPr>
                    <w:widowControl/>
                    <w:jc w:val="center"/>
                    <w:textAlignment w:val="center"/>
                    <w:rPr>
                      <w:szCs w:val="21"/>
                    </w:rPr>
                  </w:pPr>
                  <w:r>
                    <w:rPr>
                      <w:rFonts w:hint="eastAsia"/>
                      <w:kern w:val="0"/>
                      <w:szCs w:val="21"/>
                    </w:rPr>
                    <w:t>5</w:t>
                  </w:r>
                </w:p>
              </w:tc>
              <w:tc>
                <w:tcPr>
                  <w:tcW w:w="678" w:type="dxa"/>
                  <w:tcBorders>
                    <w:tl2br w:val="nil"/>
                    <w:tr2bl w:val="nil"/>
                  </w:tcBorders>
                  <w:vAlign w:val="center"/>
                </w:tcPr>
                <w:p>
                  <w:pPr>
                    <w:widowControl/>
                    <w:jc w:val="center"/>
                    <w:textAlignment w:val="center"/>
                    <w:rPr>
                      <w:szCs w:val="21"/>
                    </w:rPr>
                  </w:pPr>
                  <w:r>
                    <w:rPr>
                      <w:rFonts w:hint="eastAsia"/>
                      <w:kern w:val="0"/>
                      <w:szCs w:val="21"/>
                    </w:rPr>
                    <w:t>250</w:t>
                  </w:r>
                </w:p>
              </w:tc>
              <w:tc>
                <w:tcPr>
                  <w:tcW w:w="788" w:type="dxa"/>
                  <w:tcBorders>
                    <w:tl2br w:val="nil"/>
                    <w:tr2bl w:val="nil"/>
                  </w:tcBorders>
                  <w:vAlign w:val="center"/>
                </w:tcPr>
                <w:p>
                  <w:pPr>
                    <w:widowControl/>
                    <w:jc w:val="center"/>
                    <w:textAlignment w:val="bottom"/>
                    <w:rPr>
                      <w:szCs w:val="21"/>
                    </w:rPr>
                  </w:pPr>
                  <w:r>
                    <w:rPr>
                      <w:kern w:val="0"/>
                      <w:szCs w:val="21"/>
                    </w:rPr>
                    <w:t>0.8</w:t>
                  </w:r>
                </w:p>
              </w:tc>
              <w:tc>
                <w:tcPr>
                  <w:tcW w:w="767" w:type="dxa"/>
                  <w:tcBorders>
                    <w:tl2br w:val="nil"/>
                    <w:tr2bl w:val="nil"/>
                  </w:tcBorders>
                  <w:vAlign w:val="center"/>
                </w:tcPr>
                <w:p>
                  <w:pPr>
                    <w:widowControl/>
                    <w:jc w:val="center"/>
                    <w:textAlignment w:val="bottom"/>
                    <w:rPr>
                      <w:szCs w:val="21"/>
                    </w:rPr>
                  </w:pPr>
                  <w:r>
                    <w:rPr>
                      <w:rFonts w:hint="eastAsia"/>
                      <w:kern w:val="0"/>
                      <w:szCs w:val="21"/>
                    </w:rPr>
                    <w:t>4</w:t>
                  </w:r>
                </w:p>
              </w:tc>
              <w:tc>
                <w:tcPr>
                  <w:tcW w:w="945" w:type="dxa"/>
                  <w:tcBorders>
                    <w:tl2br w:val="nil"/>
                    <w:tr2bl w:val="nil"/>
                  </w:tcBorders>
                  <w:vAlign w:val="center"/>
                </w:tcPr>
                <w:p>
                  <w:pPr>
                    <w:widowControl/>
                    <w:jc w:val="center"/>
                    <w:textAlignment w:val="bottom"/>
                    <w:rPr>
                      <w:szCs w:val="21"/>
                    </w:rPr>
                  </w:pPr>
                  <w:r>
                    <w:rPr>
                      <w:rFonts w:hint="eastAsia"/>
                      <w:kern w:val="0"/>
                      <w:szCs w:val="21"/>
                    </w:rPr>
                    <w:t>200</w:t>
                  </w:r>
                </w:p>
              </w:tc>
              <w:tc>
                <w:tcPr>
                  <w:tcW w:w="2291" w:type="dxa"/>
                  <w:vMerge w:val="restart"/>
                  <w:tcBorders>
                    <w:tl2br w:val="nil"/>
                    <w:tr2bl w:val="nil"/>
                  </w:tcBorders>
                  <w:vAlign w:val="center"/>
                </w:tcPr>
                <w:p>
                  <w:pPr>
                    <w:widowControl/>
                    <w:jc w:val="center"/>
                    <w:textAlignment w:val="bottom"/>
                    <w:rPr>
                      <w:color w:val="000000"/>
                      <w:kern w:val="0"/>
                      <w:szCs w:val="21"/>
                    </w:rPr>
                  </w:pPr>
                  <w:r>
                    <w:rPr>
                      <w:rFonts w:hint="eastAsia"/>
                      <w:color w:val="000000"/>
                      <w:kern w:val="0"/>
                      <w:szCs w:val="21"/>
                    </w:rPr>
                    <w:t>外运养鸡场调制饲料及饮用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90" w:type="dxa"/>
                  <w:tcBorders>
                    <w:tl2br w:val="nil"/>
                    <w:tr2bl w:val="nil"/>
                  </w:tcBorders>
                  <w:vAlign w:val="center"/>
                </w:tcPr>
                <w:p>
                  <w:pPr>
                    <w:jc w:val="center"/>
                    <w:rPr>
                      <w:color w:val="000000"/>
                      <w:szCs w:val="21"/>
                    </w:rPr>
                  </w:pPr>
                  <w:r>
                    <w:rPr>
                      <w:color w:val="000000"/>
                      <w:szCs w:val="21"/>
                    </w:rPr>
                    <w:t>4</w:t>
                  </w:r>
                </w:p>
              </w:tc>
              <w:tc>
                <w:tcPr>
                  <w:tcW w:w="1383" w:type="dxa"/>
                  <w:tcBorders>
                    <w:tl2br w:val="nil"/>
                    <w:tr2bl w:val="nil"/>
                  </w:tcBorders>
                  <w:vAlign w:val="center"/>
                </w:tcPr>
                <w:p>
                  <w:pPr>
                    <w:widowControl/>
                    <w:jc w:val="center"/>
                    <w:textAlignment w:val="center"/>
                    <w:rPr>
                      <w:kern w:val="0"/>
                      <w:szCs w:val="21"/>
                    </w:rPr>
                  </w:pPr>
                  <w:r>
                    <w:rPr>
                      <w:rFonts w:hint="eastAsia"/>
                      <w:kern w:val="0"/>
                      <w:szCs w:val="21"/>
                    </w:rPr>
                    <w:t>设备清洗</w:t>
                  </w:r>
                </w:p>
              </w:tc>
              <w:tc>
                <w:tcPr>
                  <w:tcW w:w="603" w:type="dxa"/>
                  <w:tcBorders>
                    <w:tl2br w:val="nil"/>
                    <w:tr2bl w:val="nil"/>
                  </w:tcBorders>
                  <w:vAlign w:val="center"/>
                </w:tcPr>
                <w:p>
                  <w:pPr>
                    <w:widowControl/>
                    <w:jc w:val="center"/>
                    <w:textAlignment w:val="center"/>
                    <w:rPr>
                      <w:kern w:val="0"/>
                      <w:szCs w:val="21"/>
                    </w:rPr>
                  </w:pPr>
                  <w:r>
                    <w:rPr>
                      <w:rFonts w:hint="eastAsia"/>
                      <w:kern w:val="0"/>
                      <w:szCs w:val="21"/>
                    </w:rPr>
                    <w:t>1</w:t>
                  </w:r>
                </w:p>
              </w:tc>
              <w:tc>
                <w:tcPr>
                  <w:tcW w:w="678" w:type="dxa"/>
                  <w:tcBorders>
                    <w:tl2br w:val="nil"/>
                    <w:tr2bl w:val="nil"/>
                  </w:tcBorders>
                  <w:vAlign w:val="center"/>
                </w:tcPr>
                <w:p>
                  <w:pPr>
                    <w:widowControl/>
                    <w:jc w:val="center"/>
                    <w:textAlignment w:val="center"/>
                    <w:rPr>
                      <w:kern w:val="0"/>
                      <w:szCs w:val="21"/>
                    </w:rPr>
                  </w:pPr>
                  <w:r>
                    <w:rPr>
                      <w:rFonts w:hint="eastAsia"/>
                      <w:kern w:val="0"/>
                      <w:szCs w:val="21"/>
                    </w:rPr>
                    <w:t>2</w:t>
                  </w:r>
                </w:p>
              </w:tc>
              <w:tc>
                <w:tcPr>
                  <w:tcW w:w="788" w:type="dxa"/>
                  <w:tcBorders>
                    <w:tl2br w:val="nil"/>
                    <w:tr2bl w:val="nil"/>
                  </w:tcBorders>
                  <w:vAlign w:val="center"/>
                </w:tcPr>
                <w:p>
                  <w:pPr>
                    <w:widowControl/>
                    <w:jc w:val="center"/>
                    <w:textAlignment w:val="bottom"/>
                    <w:rPr>
                      <w:kern w:val="0"/>
                      <w:szCs w:val="21"/>
                    </w:rPr>
                  </w:pPr>
                  <w:r>
                    <w:rPr>
                      <w:rFonts w:hint="eastAsia"/>
                      <w:kern w:val="0"/>
                      <w:szCs w:val="21"/>
                    </w:rPr>
                    <w:t>0.8</w:t>
                  </w:r>
                </w:p>
              </w:tc>
              <w:tc>
                <w:tcPr>
                  <w:tcW w:w="767" w:type="dxa"/>
                  <w:tcBorders>
                    <w:tl2br w:val="nil"/>
                    <w:tr2bl w:val="nil"/>
                  </w:tcBorders>
                  <w:vAlign w:val="center"/>
                </w:tcPr>
                <w:p>
                  <w:pPr>
                    <w:widowControl/>
                    <w:jc w:val="center"/>
                    <w:textAlignment w:val="bottom"/>
                    <w:rPr>
                      <w:kern w:val="0"/>
                      <w:szCs w:val="21"/>
                    </w:rPr>
                  </w:pPr>
                  <w:r>
                    <w:rPr>
                      <w:rFonts w:hint="eastAsia"/>
                      <w:kern w:val="0"/>
                      <w:szCs w:val="21"/>
                    </w:rPr>
                    <w:t>0.8</w:t>
                  </w:r>
                </w:p>
              </w:tc>
              <w:tc>
                <w:tcPr>
                  <w:tcW w:w="945" w:type="dxa"/>
                  <w:tcBorders>
                    <w:tl2br w:val="nil"/>
                    <w:tr2bl w:val="nil"/>
                  </w:tcBorders>
                  <w:vAlign w:val="center"/>
                </w:tcPr>
                <w:p>
                  <w:pPr>
                    <w:widowControl/>
                    <w:jc w:val="center"/>
                    <w:textAlignment w:val="bottom"/>
                    <w:rPr>
                      <w:kern w:val="0"/>
                      <w:szCs w:val="21"/>
                    </w:rPr>
                  </w:pPr>
                  <w:r>
                    <w:rPr>
                      <w:rFonts w:hint="eastAsia"/>
                      <w:kern w:val="0"/>
                      <w:szCs w:val="21"/>
                    </w:rPr>
                    <w:t>1.6</w:t>
                  </w:r>
                </w:p>
              </w:tc>
              <w:tc>
                <w:tcPr>
                  <w:tcW w:w="2291" w:type="dxa"/>
                  <w:vMerge w:val="continue"/>
                  <w:tcBorders>
                    <w:tl2br w:val="nil"/>
                    <w:tr2bl w:val="nil"/>
                  </w:tcBorders>
                  <w:vAlign w:val="center"/>
                </w:tcPr>
                <w:p>
                  <w:pPr>
                    <w:widowControl/>
                    <w:jc w:val="center"/>
                    <w:textAlignment w:val="bottom"/>
                    <w:rPr>
                      <w:color w:val="000000"/>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90" w:type="dxa"/>
                  <w:tcBorders>
                    <w:tl2br w:val="nil"/>
                    <w:tr2bl w:val="nil"/>
                  </w:tcBorders>
                  <w:vAlign w:val="center"/>
                </w:tcPr>
                <w:p>
                  <w:pPr>
                    <w:jc w:val="center"/>
                    <w:rPr>
                      <w:color w:val="000000"/>
                      <w:szCs w:val="21"/>
                    </w:rPr>
                  </w:pPr>
                </w:p>
              </w:tc>
              <w:tc>
                <w:tcPr>
                  <w:tcW w:w="1383" w:type="dxa"/>
                  <w:tcBorders>
                    <w:tl2br w:val="nil"/>
                    <w:tr2bl w:val="nil"/>
                  </w:tcBorders>
                  <w:vAlign w:val="center"/>
                </w:tcPr>
                <w:p>
                  <w:pPr>
                    <w:widowControl/>
                    <w:jc w:val="center"/>
                    <w:textAlignment w:val="center"/>
                    <w:rPr>
                      <w:szCs w:val="21"/>
                    </w:rPr>
                  </w:pPr>
                  <w:r>
                    <w:rPr>
                      <w:rFonts w:hint="eastAsia"/>
                      <w:szCs w:val="21"/>
                    </w:rPr>
                    <w:t>高温蒸煮灭菌</w:t>
                  </w:r>
                </w:p>
              </w:tc>
              <w:tc>
                <w:tcPr>
                  <w:tcW w:w="603" w:type="dxa"/>
                  <w:tcBorders>
                    <w:tl2br w:val="nil"/>
                    <w:tr2bl w:val="nil"/>
                  </w:tcBorders>
                  <w:vAlign w:val="center"/>
                </w:tcPr>
                <w:p>
                  <w:pPr>
                    <w:widowControl/>
                    <w:jc w:val="center"/>
                    <w:textAlignment w:val="center"/>
                    <w:rPr>
                      <w:kern w:val="0"/>
                      <w:szCs w:val="21"/>
                    </w:rPr>
                  </w:pPr>
                  <w:r>
                    <w:rPr>
                      <w:rFonts w:hint="eastAsia"/>
                      <w:kern w:val="0"/>
                      <w:szCs w:val="21"/>
                    </w:rPr>
                    <w:t>7.8</w:t>
                  </w:r>
                </w:p>
              </w:tc>
              <w:tc>
                <w:tcPr>
                  <w:tcW w:w="678" w:type="dxa"/>
                  <w:tcBorders>
                    <w:tl2br w:val="nil"/>
                    <w:tr2bl w:val="nil"/>
                  </w:tcBorders>
                  <w:vAlign w:val="center"/>
                </w:tcPr>
                <w:p>
                  <w:pPr>
                    <w:widowControl/>
                    <w:jc w:val="center"/>
                    <w:textAlignment w:val="center"/>
                    <w:rPr>
                      <w:kern w:val="0"/>
                      <w:szCs w:val="21"/>
                    </w:rPr>
                  </w:pPr>
                  <w:r>
                    <w:rPr>
                      <w:rFonts w:hint="eastAsia"/>
                      <w:kern w:val="0"/>
                      <w:szCs w:val="21"/>
                    </w:rPr>
                    <w:t>243</w:t>
                  </w:r>
                </w:p>
              </w:tc>
              <w:tc>
                <w:tcPr>
                  <w:tcW w:w="788" w:type="dxa"/>
                  <w:tcBorders>
                    <w:tl2br w:val="nil"/>
                    <w:tr2bl w:val="nil"/>
                  </w:tcBorders>
                  <w:vAlign w:val="center"/>
                </w:tcPr>
                <w:p>
                  <w:pPr>
                    <w:widowControl/>
                    <w:jc w:val="center"/>
                    <w:textAlignment w:val="bottom"/>
                    <w:rPr>
                      <w:kern w:val="0"/>
                      <w:szCs w:val="21"/>
                    </w:rPr>
                  </w:pPr>
                  <w:r>
                    <w:rPr>
                      <w:rFonts w:hint="eastAsia"/>
                      <w:kern w:val="0"/>
                      <w:szCs w:val="21"/>
                    </w:rPr>
                    <w:t>-</w:t>
                  </w:r>
                </w:p>
              </w:tc>
              <w:tc>
                <w:tcPr>
                  <w:tcW w:w="767" w:type="dxa"/>
                  <w:tcBorders>
                    <w:tl2br w:val="nil"/>
                    <w:tr2bl w:val="nil"/>
                  </w:tcBorders>
                  <w:vAlign w:val="center"/>
                </w:tcPr>
                <w:p>
                  <w:pPr>
                    <w:widowControl/>
                    <w:jc w:val="center"/>
                    <w:textAlignment w:val="bottom"/>
                    <w:rPr>
                      <w:kern w:val="0"/>
                      <w:szCs w:val="21"/>
                    </w:rPr>
                  </w:pPr>
                  <w:r>
                    <w:rPr>
                      <w:rFonts w:hint="eastAsia"/>
                      <w:kern w:val="0"/>
                      <w:szCs w:val="21"/>
                    </w:rPr>
                    <w:t>-</w:t>
                  </w:r>
                </w:p>
              </w:tc>
              <w:tc>
                <w:tcPr>
                  <w:tcW w:w="945" w:type="dxa"/>
                  <w:tcBorders>
                    <w:tl2br w:val="nil"/>
                    <w:tr2bl w:val="nil"/>
                  </w:tcBorders>
                  <w:vAlign w:val="center"/>
                </w:tcPr>
                <w:p>
                  <w:pPr>
                    <w:widowControl/>
                    <w:jc w:val="center"/>
                    <w:textAlignment w:val="bottom"/>
                    <w:rPr>
                      <w:kern w:val="0"/>
                      <w:szCs w:val="21"/>
                    </w:rPr>
                  </w:pPr>
                  <w:r>
                    <w:rPr>
                      <w:rFonts w:hint="eastAsia"/>
                      <w:kern w:val="0"/>
                      <w:szCs w:val="21"/>
                    </w:rPr>
                    <w:t>-</w:t>
                  </w:r>
                </w:p>
              </w:tc>
              <w:tc>
                <w:tcPr>
                  <w:tcW w:w="2291" w:type="dxa"/>
                  <w:tcBorders>
                    <w:tl2br w:val="nil"/>
                    <w:tr2bl w:val="nil"/>
                  </w:tcBorders>
                  <w:vAlign w:val="center"/>
                </w:tcPr>
                <w:p>
                  <w:pPr>
                    <w:widowControl/>
                    <w:jc w:val="center"/>
                    <w:textAlignment w:val="bottom"/>
                    <w:rPr>
                      <w:color w:val="000000"/>
                      <w:kern w:val="0"/>
                      <w:szCs w:val="21"/>
                    </w:rPr>
                  </w:pPr>
                  <w:r>
                    <w:rPr>
                      <w:rFonts w:hint="eastAsia"/>
                      <w:color w:val="000000"/>
                      <w:kern w:val="0"/>
                      <w:szCs w:val="21"/>
                    </w:rPr>
                    <w:t>循环使用，不外排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90" w:type="dxa"/>
                  <w:tcBorders>
                    <w:tl2br w:val="nil"/>
                    <w:tr2bl w:val="nil"/>
                  </w:tcBorders>
                  <w:vAlign w:val="center"/>
                </w:tcPr>
                <w:p>
                  <w:pPr>
                    <w:jc w:val="center"/>
                    <w:rPr>
                      <w:color w:val="000000"/>
                      <w:szCs w:val="21"/>
                    </w:rPr>
                  </w:pPr>
                  <w:r>
                    <w:rPr>
                      <w:color w:val="000000"/>
                      <w:szCs w:val="21"/>
                    </w:rPr>
                    <w:t>5</w:t>
                  </w:r>
                </w:p>
              </w:tc>
              <w:tc>
                <w:tcPr>
                  <w:tcW w:w="1383" w:type="dxa"/>
                  <w:tcBorders>
                    <w:tl2br w:val="nil"/>
                    <w:tr2bl w:val="nil"/>
                  </w:tcBorders>
                  <w:vAlign w:val="center"/>
                </w:tcPr>
                <w:p>
                  <w:pPr>
                    <w:widowControl/>
                    <w:jc w:val="center"/>
                    <w:textAlignment w:val="center"/>
                    <w:rPr>
                      <w:szCs w:val="21"/>
                    </w:rPr>
                  </w:pPr>
                  <w:r>
                    <w:rPr>
                      <w:rFonts w:hint="eastAsia"/>
                      <w:szCs w:val="21"/>
                    </w:rPr>
                    <w:t>锅炉用水（蒸汽）</w:t>
                  </w:r>
                </w:p>
              </w:tc>
              <w:tc>
                <w:tcPr>
                  <w:tcW w:w="603" w:type="dxa"/>
                  <w:tcBorders>
                    <w:tl2br w:val="nil"/>
                    <w:tr2bl w:val="nil"/>
                  </w:tcBorders>
                  <w:vAlign w:val="center"/>
                </w:tcPr>
                <w:p>
                  <w:pPr>
                    <w:widowControl/>
                    <w:jc w:val="center"/>
                    <w:textAlignment w:val="center"/>
                    <w:rPr>
                      <w:szCs w:val="21"/>
                    </w:rPr>
                  </w:pPr>
                  <w:r>
                    <w:rPr>
                      <w:rFonts w:hint="eastAsia"/>
                      <w:kern w:val="0"/>
                      <w:szCs w:val="21"/>
                    </w:rPr>
                    <w:t>20.3534</w:t>
                  </w:r>
                </w:p>
              </w:tc>
              <w:tc>
                <w:tcPr>
                  <w:tcW w:w="678" w:type="dxa"/>
                  <w:tcBorders>
                    <w:tl2br w:val="nil"/>
                    <w:tr2bl w:val="nil"/>
                  </w:tcBorders>
                  <w:vAlign w:val="center"/>
                </w:tcPr>
                <w:p>
                  <w:pPr>
                    <w:widowControl/>
                    <w:jc w:val="center"/>
                    <w:textAlignment w:val="center"/>
                    <w:rPr>
                      <w:szCs w:val="21"/>
                    </w:rPr>
                  </w:pPr>
                  <w:r>
                    <w:rPr>
                      <w:rFonts w:hint="eastAsia"/>
                      <w:kern w:val="0"/>
                      <w:szCs w:val="21"/>
                    </w:rPr>
                    <w:t>1017.67</w:t>
                  </w:r>
                </w:p>
              </w:tc>
              <w:tc>
                <w:tcPr>
                  <w:tcW w:w="788" w:type="dxa"/>
                  <w:tcBorders>
                    <w:tl2br w:val="nil"/>
                    <w:tr2bl w:val="nil"/>
                  </w:tcBorders>
                  <w:vAlign w:val="center"/>
                </w:tcPr>
                <w:p>
                  <w:pPr>
                    <w:widowControl/>
                    <w:jc w:val="center"/>
                    <w:textAlignment w:val="bottom"/>
                    <w:rPr>
                      <w:szCs w:val="21"/>
                    </w:rPr>
                  </w:pPr>
                  <w:r>
                    <w:rPr>
                      <w:rFonts w:hint="eastAsia"/>
                      <w:kern w:val="0"/>
                      <w:szCs w:val="21"/>
                    </w:rPr>
                    <w:t>-</w:t>
                  </w:r>
                </w:p>
              </w:tc>
              <w:tc>
                <w:tcPr>
                  <w:tcW w:w="767" w:type="dxa"/>
                  <w:tcBorders>
                    <w:tl2br w:val="nil"/>
                    <w:tr2bl w:val="nil"/>
                  </w:tcBorders>
                  <w:vAlign w:val="center"/>
                </w:tcPr>
                <w:p>
                  <w:pPr>
                    <w:widowControl/>
                    <w:jc w:val="center"/>
                    <w:textAlignment w:val="bottom"/>
                    <w:rPr>
                      <w:kern w:val="0"/>
                      <w:szCs w:val="21"/>
                    </w:rPr>
                  </w:pPr>
                  <w:r>
                    <w:rPr>
                      <w:rFonts w:hint="eastAsia"/>
                      <w:kern w:val="0"/>
                      <w:szCs w:val="21"/>
                    </w:rPr>
                    <w:t>1.1534</w:t>
                  </w:r>
                </w:p>
              </w:tc>
              <w:tc>
                <w:tcPr>
                  <w:tcW w:w="945" w:type="dxa"/>
                  <w:tcBorders>
                    <w:tl2br w:val="nil"/>
                    <w:tr2bl w:val="nil"/>
                  </w:tcBorders>
                  <w:vAlign w:val="center"/>
                </w:tcPr>
                <w:p>
                  <w:pPr>
                    <w:widowControl/>
                    <w:jc w:val="center"/>
                    <w:textAlignment w:val="bottom"/>
                    <w:rPr>
                      <w:kern w:val="0"/>
                      <w:szCs w:val="21"/>
                    </w:rPr>
                  </w:pPr>
                  <w:r>
                    <w:rPr>
                      <w:rFonts w:hint="eastAsia"/>
                      <w:kern w:val="0"/>
                      <w:szCs w:val="21"/>
                    </w:rPr>
                    <w:t>57.67</w:t>
                  </w:r>
                </w:p>
              </w:tc>
              <w:tc>
                <w:tcPr>
                  <w:tcW w:w="2291" w:type="dxa"/>
                  <w:tcBorders>
                    <w:tl2br w:val="nil"/>
                    <w:tr2bl w:val="nil"/>
                  </w:tcBorders>
                  <w:vAlign w:val="center"/>
                </w:tcPr>
                <w:p>
                  <w:pPr>
                    <w:widowControl/>
                    <w:jc w:val="center"/>
                    <w:textAlignment w:val="bottom"/>
                    <w:rPr>
                      <w:color w:val="000000"/>
                      <w:kern w:val="0"/>
                      <w:szCs w:val="21"/>
                    </w:rPr>
                  </w:pPr>
                  <w:r>
                    <w:rPr>
                      <w:rFonts w:hint="eastAsia"/>
                      <w:color w:val="000000"/>
                      <w:kern w:val="0"/>
                      <w:szCs w:val="21"/>
                    </w:rPr>
                    <w:t>锅炉污水回用于厂区洒水降尘及灰渣调湿</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90" w:type="dxa"/>
                  <w:tcBorders>
                    <w:tl2br w:val="nil"/>
                    <w:tr2bl w:val="nil"/>
                  </w:tcBorders>
                  <w:vAlign w:val="center"/>
                </w:tcPr>
                <w:p>
                  <w:pPr>
                    <w:jc w:val="center"/>
                    <w:rPr>
                      <w:color w:val="000000"/>
                      <w:szCs w:val="21"/>
                    </w:rPr>
                  </w:pPr>
                </w:p>
              </w:tc>
              <w:tc>
                <w:tcPr>
                  <w:tcW w:w="1383" w:type="dxa"/>
                  <w:tcBorders>
                    <w:tl2br w:val="nil"/>
                    <w:tr2bl w:val="nil"/>
                  </w:tcBorders>
                  <w:vAlign w:val="center"/>
                </w:tcPr>
                <w:p>
                  <w:pPr>
                    <w:widowControl/>
                    <w:jc w:val="center"/>
                    <w:textAlignment w:val="center"/>
                    <w:rPr>
                      <w:color w:val="000000"/>
                      <w:szCs w:val="21"/>
                    </w:rPr>
                  </w:pPr>
                  <w:r>
                    <w:rPr>
                      <w:color w:val="000000"/>
                      <w:kern w:val="0"/>
                      <w:szCs w:val="21"/>
                    </w:rPr>
                    <w:t>合计</w:t>
                  </w:r>
                </w:p>
              </w:tc>
              <w:tc>
                <w:tcPr>
                  <w:tcW w:w="603" w:type="dxa"/>
                  <w:tcBorders>
                    <w:tl2br w:val="nil"/>
                    <w:tr2bl w:val="nil"/>
                  </w:tcBorders>
                  <w:vAlign w:val="center"/>
                </w:tcPr>
                <w:p>
                  <w:pPr>
                    <w:widowControl/>
                    <w:jc w:val="center"/>
                    <w:textAlignment w:val="center"/>
                    <w:rPr>
                      <w:color w:val="000000"/>
                      <w:szCs w:val="21"/>
                    </w:rPr>
                  </w:pPr>
                  <w:r>
                    <w:rPr>
                      <w:rFonts w:hint="eastAsia"/>
                      <w:color w:val="000000"/>
                      <w:kern w:val="0"/>
                      <w:szCs w:val="21"/>
                    </w:rPr>
                    <w:t>35.2534</w:t>
                  </w:r>
                </w:p>
              </w:tc>
              <w:tc>
                <w:tcPr>
                  <w:tcW w:w="678" w:type="dxa"/>
                  <w:tcBorders>
                    <w:tl2br w:val="nil"/>
                    <w:tr2bl w:val="nil"/>
                  </w:tcBorders>
                  <w:vAlign w:val="center"/>
                </w:tcPr>
                <w:p>
                  <w:pPr>
                    <w:widowControl/>
                    <w:jc w:val="center"/>
                    <w:textAlignment w:val="center"/>
                    <w:rPr>
                      <w:color w:val="000000"/>
                      <w:szCs w:val="21"/>
                    </w:rPr>
                  </w:pPr>
                  <w:r>
                    <w:rPr>
                      <w:rFonts w:hint="eastAsia"/>
                      <w:color w:val="000000"/>
                      <w:kern w:val="0"/>
                      <w:szCs w:val="21"/>
                    </w:rPr>
                    <w:t>1567.67</w:t>
                  </w:r>
                </w:p>
              </w:tc>
              <w:tc>
                <w:tcPr>
                  <w:tcW w:w="788" w:type="dxa"/>
                  <w:tcBorders>
                    <w:tl2br w:val="nil"/>
                    <w:tr2bl w:val="nil"/>
                  </w:tcBorders>
                  <w:vAlign w:val="center"/>
                </w:tcPr>
                <w:p>
                  <w:pPr>
                    <w:jc w:val="center"/>
                    <w:rPr>
                      <w:color w:val="000000"/>
                      <w:szCs w:val="21"/>
                    </w:rPr>
                  </w:pPr>
                  <w:r>
                    <w:rPr>
                      <w:rFonts w:hint="eastAsia"/>
                      <w:color w:val="000000"/>
                      <w:szCs w:val="21"/>
                    </w:rPr>
                    <w:t>/</w:t>
                  </w:r>
                </w:p>
              </w:tc>
              <w:tc>
                <w:tcPr>
                  <w:tcW w:w="767" w:type="dxa"/>
                  <w:tcBorders>
                    <w:tl2br w:val="nil"/>
                    <w:tr2bl w:val="nil"/>
                  </w:tcBorders>
                  <w:vAlign w:val="center"/>
                </w:tcPr>
                <w:p>
                  <w:pPr>
                    <w:widowControl/>
                    <w:jc w:val="center"/>
                    <w:textAlignment w:val="bottom"/>
                  </w:pPr>
                  <w:r>
                    <w:rPr>
                      <w:rFonts w:hint="eastAsia"/>
                      <w:color w:val="000000"/>
                      <w:kern w:val="0"/>
                      <w:szCs w:val="21"/>
                    </w:rPr>
                    <w:t>6.0334</w:t>
                  </w:r>
                </w:p>
              </w:tc>
              <w:tc>
                <w:tcPr>
                  <w:tcW w:w="945" w:type="dxa"/>
                  <w:tcBorders>
                    <w:tl2br w:val="nil"/>
                    <w:tr2bl w:val="nil"/>
                  </w:tcBorders>
                  <w:vAlign w:val="center"/>
                </w:tcPr>
                <w:p>
                  <w:pPr>
                    <w:widowControl/>
                    <w:jc w:val="center"/>
                    <w:textAlignment w:val="bottom"/>
                    <w:rPr>
                      <w:color w:val="000000"/>
                      <w:kern w:val="0"/>
                      <w:szCs w:val="21"/>
                    </w:rPr>
                  </w:pPr>
                  <w:r>
                    <w:rPr>
                      <w:rFonts w:hint="eastAsia"/>
                      <w:color w:val="000000"/>
                      <w:kern w:val="0"/>
                      <w:szCs w:val="21"/>
                    </w:rPr>
                    <w:t>263.27</w:t>
                  </w:r>
                </w:p>
              </w:tc>
              <w:tc>
                <w:tcPr>
                  <w:tcW w:w="2291" w:type="dxa"/>
                  <w:tcBorders>
                    <w:tl2br w:val="nil"/>
                    <w:tr2bl w:val="nil"/>
                  </w:tcBorders>
                  <w:vAlign w:val="center"/>
                </w:tcPr>
                <w:p>
                  <w:pPr>
                    <w:widowControl/>
                    <w:jc w:val="center"/>
                    <w:textAlignment w:val="bottom"/>
                    <w:rPr>
                      <w:color w:val="000000"/>
                      <w:kern w:val="0"/>
                      <w:szCs w:val="21"/>
                    </w:rPr>
                  </w:pPr>
                </w:p>
              </w:tc>
            </w:tr>
          </w:tbl>
          <w:p>
            <w:pPr>
              <w:spacing w:line="360" w:lineRule="auto"/>
              <w:ind w:firstLine="480" w:firstLineChars="200"/>
              <w:rPr>
                <w:i/>
                <w:iCs/>
                <w:sz w:val="24"/>
                <w:u w:val="single"/>
              </w:rPr>
            </w:pPr>
            <w:r>
              <w:rPr>
                <w:rFonts w:hint="eastAsia"/>
                <w:kern w:val="0"/>
                <w:sz w:val="24"/>
              </w:rPr>
              <w:t>生活污水排入防渗旱厕，定期清掏做农肥。</w:t>
            </w:r>
            <w:r>
              <w:rPr>
                <w:rFonts w:hint="eastAsia"/>
                <w:iCs/>
                <w:kern w:val="0"/>
                <w:sz w:val="24"/>
              </w:rPr>
              <w:t>地面清洁废水全部消耗，高温灭菌废水循环利用不外排，设备清洗废水、浸泡和冲洗废水排入自建沉淀池，定期外运养殖场。</w:t>
            </w:r>
            <w:r>
              <w:rPr>
                <w:rFonts w:hint="eastAsia"/>
                <w:kern w:val="0"/>
                <w:sz w:val="24"/>
              </w:rPr>
              <w:t>锅炉排水用于园区降尘及灰渣调湿。</w:t>
            </w:r>
          </w:p>
          <w:p>
            <w:pPr>
              <w:pStyle w:val="7"/>
              <w:spacing w:line="360" w:lineRule="auto"/>
              <w:ind w:firstLine="480" w:firstLineChars="200"/>
              <w:jc w:val="left"/>
              <w:rPr>
                <w:kern w:val="0"/>
                <w:sz w:val="24"/>
              </w:rPr>
            </w:pPr>
            <w:r>
              <w:rPr>
                <w:kern w:val="0"/>
                <w:sz w:val="24"/>
              </w:rPr>
              <w:t>本项目给排水平衡图详见图1</w:t>
            </w:r>
            <w:r>
              <w:rPr>
                <w:rFonts w:hint="eastAsia"/>
                <w:kern w:val="0"/>
                <w:sz w:val="24"/>
              </w:rPr>
              <w:t>。</w:t>
            </w:r>
          </w:p>
          <w:p>
            <w:pPr>
              <w:pStyle w:val="26"/>
              <w:spacing w:before="0" w:after="0"/>
              <w:ind w:right="0" w:firstLine="0" w:firstLineChars="0"/>
              <w:jc w:val="center"/>
              <w:rPr>
                <w:sz w:val="24"/>
                <w:szCs w:val="24"/>
              </w:rPr>
            </w:pPr>
            <w:r>
              <w:rPr>
                <w:rFonts w:hint="eastAsia" w:ascii="Times New Roman" w:hAnsi="Times New Roman" w:eastAsia="宋体" w:cs="Times New Roman"/>
                <w:kern w:val="0"/>
                <w:sz w:val="24"/>
                <w:szCs w:val="24"/>
                <w:lang w:val="en-US" w:eastAsia="zh-CN" w:bidi="ar-SA"/>
              </w:rPr>
              <w:pict>
                <v:shape id="_x0000_i1025" o:spt="75" type="#_x0000_t75" style="height:309.65pt;width:309.25pt;" fillcolor="#FFFFFF" filled="f" o:preferrelative="t" stroked="f" coordsize="21600,21600">
                  <v:path/>
                  <v:fill on="f" color2="#FFFFFF" focussize="0,0"/>
                  <v:stroke on="f"/>
                  <v:imagedata r:id="rId6" cropleft="5845f" croptop="3784f" cropright="2076f" cropbottom="1888f" gain="65536f" blacklevel="0f" gamma="0" o:title=""/>
                  <o:lock v:ext="edit" position="f" selection="f" grouping="f" rotation="f" cropping="f" text="f" aspectratio="t"/>
                  <w10:wrap type="none"/>
                  <w10:anchorlock/>
                </v:shape>
              </w:pict>
            </w:r>
          </w:p>
          <w:p>
            <w:pPr>
              <w:spacing w:line="360" w:lineRule="auto"/>
              <w:jc w:val="center"/>
              <w:rPr>
                <w:b/>
                <w:szCs w:val="21"/>
              </w:rPr>
            </w:pPr>
            <w:r>
              <w:rPr>
                <w:rFonts w:hint="eastAsia"/>
                <w:b/>
                <w:szCs w:val="21"/>
              </w:rPr>
              <w:t>图1  项目水平衡图 单位t/d</w:t>
            </w:r>
          </w:p>
          <w:p>
            <w:pPr>
              <w:adjustRightInd w:val="0"/>
              <w:snapToGrid w:val="0"/>
              <w:spacing w:line="360" w:lineRule="auto"/>
              <w:ind w:firstLine="480" w:firstLineChars="200"/>
              <w:rPr>
                <w:sz w:val="24"/>
              </w:rPr>
            </w:pPr>
            <w:r>
              <w:rPr>
                <w:rFonts w:hint="eastAsia"/>
                <w:sz w:val="24"/>
              </w:rPr>
              <w:t>⑶</w:t>
            </w:r>
            <w:r>
              <w:rPr>
                <w:sz w:val="24"/>
              </w:rPr>
              <w:t>供电</w:t>
            </w:r>
            <w:r>
              <w:rPr>
                <w:rFonts w:hint="eastAsia"/>
                <w:sz w:val="24"/>
              </w:rPr>
              <w:t>：本次项目供电由区域供电部门统一供给，能够满足其用电要求。</w:t>
            </w:r>
          </w:p>
          <w:p>
            <w:pPr>
              <w:spacing w:line="360" w:lineRule="auto"/>
              <w:ind w:firstLine="480" w:firstLineChars="200"/>
              <w:rPr>
                <w:sz w:val="24"/>
              </w:rPr>
            </w:pPr>
            <w:r>
              <w:rPr>
                <w:rFonts w:hint="eastAsia"/>
                <w:sz w:val="24"/>
              </w:rPr>
              <w:t>⑷</w:t>
            </w:r>
            <w:r>
              <w:rPr>
                <w:sz w:val="24"/>
              </w:rPr>
              <w:t>供热：</w:t>
            </w:r>
            <w:r>
              <w:rPr>
                <w:rFonts w:hint="eastAsia"/>
                <w:sz w:val="24"/>
              </w:rPr>
              <w:t>本项目冬季不生产，生产用蒸汽由2.5t生物质锅炉提供，年燃生物质量为162t。</w:t>
            </w:r>
          </w:p>
          <w:p>
            <w:pPr>
              <w:tabs>
                <w:tab w:val="left" w:pos="642"/>
              </w:tabs>
              <w:spacing w:line="360" w:lineRule="auto"/>
              <w:rPr>
                <w:b/>
                <w:bCs/>
                <w:sz w:val="24"/>
              </w:rPr>
            </w:pPr>
            <w:r>
              <w:rPr>
                <w:rFonts w:hint="eastAsia"/>
                <w:b/>
                <w:bCs/>
                <w:sz w:val="24"/>
              </w:rPr>
              <w:t>2.1.6劳动定员及工作制度</w:t>
            </w:r>
          </w:p>
          <w:p>
            <w:pPr>
              <w:pStyle w:val="34"/>
              <w:adjustRightInd/>
              <w:spacing w:line="360" w:lineRule="auto"/>
              <w:ind w:firstLine="480" w:firstLineChars="200"/>
              <w:rPr>
                <w:b w:val="0"/>
                <w:bCs/>
                <w:color w:val="auto"/>
                <w:kern w:val="0"/>
              </w:rPr>
            </w:pPr>
            <w:r>
              <w:rPr>
                <w:rFonts w:hint="eastAsia"/>
                <w:b w:val="0"/>
                <w:bCs/>
                <w:color w:val="auto"/>
                <w:kern w:val="0"/>
              </w:rPr>
              <w:t>本项目劳动定员人数为5人，职工均为附近居民，不在厂区内生活，年工作50天（每年8月1日左右到9月19日左右），每天工作时间为6:00-18:00，共12小时。</w:t>
            </w:r>
          </w:p>
          <w:p>
            <w:pPr>
              <w:pStyle w:val="34"/>
              <w:adjustRightInd/>
              <w:spacing w:line="360" w:lineRule="auto"/>
              <w:jc w:val="center"/>
              <w:rPr>
                <w:rFonts w:ascii="Times New Roman" w:hAnsi="Times New Roman"/>
                <w:color w:val="auto"/>
              </w:rPr>
            </w:pPr>
          </w:p>
          <w:p>
            <w:pPr>
              <w:pStyle w:val="34"/>
              <w:adjustRightInd/>
              <w:spacing w:line="360" w:lineRule="auto"/>
              <w:jc w:val="center"/>
              <w:rPr>
                <w:rFonts w:ascii="Times New Roman" w:hAnsi="Times New Roman"/>
                <w:color w:val="auto"/>
              </w:rPr>
            </w:pPr>
          </w:p>
          <w:p>
            <w:pPr>
              <w:pStyle w:val="34"/>
              <w:adjustRightInd/>
              <w:spacing w:line="360" w:lineRule="auto"/>
              <w:jc w:val="center"/>
              <w:rPr>
                <w:rFonts w:ascii="Times New Roman" w:hAnsi="Times New Roman"/>
                <w:color w:val="auto"/>
              </w:rPr>
            </w:pPr>
          </w:p>
          <w:p>
            <w:pPr>
              <w:pStyle w:val="34"/>
              <w:adjustRightInd/>
              <w:spacing w:line="360" w:lineRule="auto"/>
              <w:jc w:val="center"/>
              <w:rPr>
                <w:rFonts w:ascii="Times New Roman" w:hAnsi="Times New Roman"/>
                <w:color w:val="auto"/>
              </w:rPr>
            </w:pPr>
          </w:p>
          <w:p>
            <w:pPr>
              <w:pStyle w:val="34"/>
              <w:adjustRightInd/>
              <w:spacing w:line="360" w:lineRule="auto"/>
              <w:jc w:val="center"/>
              <w:rPr>
                <w:rFonts w:ascii="Times New Roman" w:hAnsi="Times New Roman"/>
                <w:color w:val="auto"/>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70" w:hRule="atLeast"/>
          <w:jc w:val="center"/>
        </w:trPr>
        <w:tc>
          <w:tcPr>
            <w:tcW w:w="823" w:type="dxa"/>
            <w:vAlign w:val="center"/>
          </w:tcPr>
          <w:p>
            <w:pPr>
              <w:pStyle w:val="24"/>
              <w:adjustRightInd w:val="0"/>
              <w:snapToGrid w:val="0"/>
              <w:spacing w:before="0" w:beforeAutospacing="0" w:after="0" w:afterAutospacing="0"/>
              <w:jc w:val="center"/>
              <w:rPr>
                <w:rFonts w:ascii="Times New Roman" w:hAnsi="Times New Roman" w:cs="宋体"/>
                <w:sz w:val="21"/>
                <w:szCs w:val="21"/>
              </w:rPr>
            </w:pPr>
            <w:r>
              <w:rPr>
                <w:rFonts w:hint="eastAsia" w:ascii="Times New Roman" w:hAnsi="Times New Roman" w:cs="宋体"/>
                <w:szCs w:val="24"/>
              </w:rPr>
              <w:t>工艺流程和产排污环节</w:t>
            </w:r>
          </w:p>
        </w:tc>
        <w:tc>
          <w:tcPr>
            <w:tcW w:w="8161" w:type="dxa"/>
            <w:vAlign w:val="top"/>
          </w:tcPr>
          <w:p>
            <w:pPr>
              <w:adjustRightInd w:val="0"/>
              <w:snapToGrid w:val="0"/>
              <w:spacing w:line="360" w:lineRule="auto"/>
              <w:rPr>
                <w:rFonts w:cs="宋体"/>
                <w:b/>
                <w:szCs w:val="21"/>
              </w:rPr>
            </w:pPr>
            <w:r>
              <w:rPr>
                <w:rFonts w:hint="eastAsia" w:cs="宋体"/>
                <w:b/>
                <w:sz w:val="24"/>
              </w:rPr>
              <w:t>2.2工艺流程和产排污环节</w:t>
            </w:r>
          </w:p>
          <w:p>
            <w:pPr>
              <w:autoSpaceDN w:val="0"/>
              <w:spacing w:line="360" w:lineRule="auto"/>
              <w:ind w:firstLine="482" w:firstLineChars="200"/>
              <w:textAlignment w:val="bottom"/>
              <w:rPr>
                <w:b/>
                <w:sz w:val="24"/>
              </w:rPr>
            </w:pPr>
            <w:r>
              <w:rPr>
                <w:rFonts w:hint="eastAsia" w:ascii="宋体" w:hAnsi="宋体" w:cs="宋体"/>
                <w:b/>
                <w:sz w:val="24"/>
              </w:rPr>
              <w:t>2.2.1</w:t>
            </w:r>
            <w:r>
              <w:rPr>
                <w:rFonts w:hint="eastAsia"/>
                <w:b/>
                <w:sz w:val="24"/>
              </w:rPr>
              <w:t>真空玉米</w:t>
            </w:r>
            <w:r>
              <w:rPr>
                <w:b/>
                <w:sz w:val="24"/>
              </w:rPr>
              <w:t>工艺流程及排污</w:t>
            </w:r>
            <w:r>
              <w:rPr>
                <w:rFonts w:hint="eastAsia"/>
                <w:b/>
                <w:sz w:val="24"/>
              </w:rPr>
              <w:t>节点</w:t>
            </w:r>
          </w:p>
          <w:p>
            <w:pPr>
              <w:widowControl/>
              <w:snapToGrid w:val="0"/>
              <w:spacing w:line="360" w:lineRule="auto"/>
              <w:jc w:val="center"/>
              <w:outlineLvl w:val="0"/>
              <w:rPr>
                <w:b/>
                <w:sz w:val="24"/>
              </w:rPr>
            </w:pPr>
            <w:r>
              <w:rPr>
                <w:rFonts w:hint="eastAsia" w:ascii="Times New Roman" w:hAnsi="Times New Roman" w:eastAsia="宋体" w:cs="Times New Roman"/>
                <w:b/>
                <w:kern w:val="2"/>
                <w:sz w:val="24"/>
                <w:szCs w:val="24"/>
                <w:lang w:val="en-US" w:eastAsia="zh-CN" w:bidi="ar-SA"/>
              </w:rPr>
              <w:pict>
                <v:shape id="_x0000_i1029" o:spt="75" type="#_x0000_t75" style="height:104.95pt;width:394.7pt;" fillcolor="#FFFFFF" filled="f" o:preferrelative="t" stroked="f" coordsize="21600,21600">
                  <v:path/>
                  <v:fill on="f" color2="#FFFFFF" focussize="0,0"/>
                  <v:stroke on="f"/>
                  <v:imagedata r:id="rId7" cropleft="2724f" croptop="2620f" cropright="2254f" cropbottom="3504f" gain="65536f" blacklevel="0f" gamma="0" o:title=""/>
                  <o:lock v:ext="edit" position="f" selection="f" grouping="f" rotation="f" cropping="f" text="f" aspectratio="t"/>
                  <w10:wrap type="none"/>
                  <w10:anchorlock/>
                </v:shape>
              </w:pict>
            </w:r>
          </w:p>
          <w:p>
            <w:pPr>
              <w:widowControl/>
              <w:snapToGrid w:val="0"/>
              <w:spacing w:line="360" w:lineRule="auto"/>
              <w:jc w:val="center"/>
              <w:outlineLvl w:val="0"/>
              <w:rPr>
                <w:b/>
                <w:sz w:val="24"/>
              </w:rPr>
            </w:pPr>
            <w:r>
              <w:rPr>
                <w:b/>
                <w:sz w:val="24"/>
              </w:rPr>
              <w:t>图</w:t>
            </w:r>
            <w:r>
              <w:rPr>
                <w:rFonts w:hint="eastAsia"/>
                <w:b/>
                <w:sz w:val="24"/>
              </w:rPr>
              <w:t xml:space="preserve">2 </w:t>
            </w:r>
            <w:r>
              <w:rPr>
                <w:b/>
                <w:sz w:val="24"/>
              </w:rPr>
              <w:t xml:space="preserve"> </w:t>
            </w:r>
            <w:r>
              <w:rPr>
                <w:rFonts w:hint="eastAsia"/>
                <w:b/>
                <w:sz w:val="24"/>
              </w:rPr>
              <w:t>真空玉米生产工</w:t>
            </w:r>
            <w:r>
              <w:rPr>
                <w:b/>
                <w:sz w:val="24"/>
              </w:rPr>
              <w:t>艺流程及</w:t>
            </w:r>
            <w:r>
              <w:rPr>
                <w:rFonts w:hint="eastAsia"/>
                <w:b/>
                <w:sz w:val="24"/>
              </w:rPr>
              <w:t>排污节点示意图</w:t>
            </w:r>
          </w:p>
          <w:p>
            <w:pPr>
              <w:snapToGrid w:val="0"/>
              <w:spacing w:line="360" w:lineRule="auto"/>
              <w:ind w:firstLine="480"/>
              <w:jc w:val="left"/>
              <w:outlineLvl w:val="0"/>
              <w:rPr>
                <w:sz w:val="24"/>
              </w:rPr>
            </w:pPr>
            <w:r>
              <w:rPr>
                <w:sz w:val="24"/>
              </w:rPr>
              <w:t>工艺简述：</w:t>
            </w:r>
          </w:p>
          <w:p>
            <w:pPr>
              <w:snapToGrid w:val="0"/>
              <w:spacing w:line="360" w:lineRule="auto"/>
              <w:ind w:firstLine="480"/>
              <w:jc w:val="left"/>
              <w:outlineLvl w:val="0"/>
              <w:rPr>
                <w:sz w:val="24"/>
              </w:rPr>
            </w:pPr>
            <w:r>
              <w:rPr>
                <w:rFonts w:hint="eastAsia" w:ascii="宋体" w:hAnsi="宋体" w:cs="宋体"/>
                <w:sz w:val="24"/>
              </w:rPr>
              <w:t>⑴</w:t>
            </w:r>
            <w:r>
              <w:rPr>
                <w:rFonts w:hint="eastAsia"/>
                <w:sz w:val="24"/>
              </w:rPr>
              <w:t>扒皮、切头</w:t>
            </w:r>
          </w:p>
          <w:p>
            <w:pPr>
              <w:snapToGrid w:val="0"/>
              <w:spacing w:line="360" w:lineRule="auto"/>
              <w:ind w:firstLine="480"/>
              <w:jc w:val="left"/>
              <w:outlineLvl w:val="0"/>
              <w:rPr>
                <w:sz w:val="24"/>
              </w:rPr>
            </w:pPr>
            <w:r>
              <w:rPr>
                <w:rFonts w:hint="eastAsia"/>
                <w:sz w:val="24"/>
              </w:rPr>
              <w:t>选取成熟度适宜的新鲜玉米穗，采后立即进厂剔除有病虫害、机械损伤的玉米穗，然后送入扒皮机剥去苞叶和穗丝，扒皮后的玉米送入切头机切掉玉米头。本项目选取的玉米是新鲜的湿玉米，含水量一般在在70%~73%左右，而非干玉米，在剥叶去丝、切头去尾、分等过程中不会产生粉尘。此工序会产生噪声、预处理固体废物（苞叶、穗丝、不合格产品、玉米头）。</w:t>
            </w:r>
          </w:p>
          <w:p>
            <w:pPr>
              <w:snapToGrid w:val="0"/>
              <w:spacing w:line="360" w:lineRule="auto"/>
              <w:ind w:firstLine="480"/>
              <w:jc w:val="left"/>
              <w:outlineLvl w:val="0"/>
              <w:rPr>
                <w:sz w:val="24"/>
              </w:rPr>
            </w:pPr>
            <w:r>
              <w:rPr>
                <w:rFonts w:hint="eastAsia" w:ascii="宋体" w:hAnsi="宋体" w:cs="宋体"/>
                <w:sz w:val="24"/>
              </w:rPr>
              <w:t>⑵</w:t>
            </w:r>
            <w:r>
              <w:rPr>
                <w:rFonts w:hint="eastAsia"/>
                <w:sz w:val="24"/>
              </w:rPr>
              <w:t>浸泡清洗</w:t>
            </w:r>
          </w:p>
          <w:p>
            <w:pPr>
              <w:snapToGrid w:val="0"/>
              <w:spacing w:line="360" w:lineRule="auto"/>
              <w:ind w:firstLine="480"/>
              <w:jc w:val="left"/>
              <w:outlineLvl w:val="0"/>
              <w:rPr>
                <w:sz w:val="24"/>
              </w:rPr>
            </w:pPr>
            <w:r>
              <w:rPr>
                <w:rFonts w:hint="eastAsia"/>
                <w:sz w:val="24"/>
              </w:rPr>
              <w:t>将合格的玉米穗送入玉米清洗机中清洗，去除鲜穗上的穗丝，清洗后进行真空包装。浸泡清洗工序会产生清洗废水、噪声。</w:t>
            </w:r>
          </w:p>
          <w:p>
            <w:pPr>
              <w:snapToGrid w:val="0"/>
              <w:spacing w:line="360" w:lineRule="auto"/>
              <w:ind w:firstLine="480"/>
              <w:jc w:val="left"/>
              <w:outlineLvl w:val="0"/>
              <w:rPr>
                <w:sz w:val="24"/>
              </w:rPr>
            </w:pPr>
            <w:r>
              <w:rPr>
                <w:rFonts w:hint="eastAsia" w:ascii="宋体" w:hAnsi="宋体" w:cs="宋体"/>
                <w:sz w:val="24"/>
              </w:rPr>
              <w:t>⑶</w:t>
            </w:r>
            <w:r>
              <w:rPr>
                <w:rFonts w:hint="eastAsia"/>
                <w:sz w:val="24"/>
              </w:rPr>
              <w:t>真空包装</w:t>
            </w:r>
          </w:p>
          <w:p>
            <w:pPr>
              <w:snapToGrid w:val="0"/>
              <w:spacing w:line="360" w:lineRule="auto"/>
              <w:ind w:firstLine="480"/>
              <w:jc w:val="left"/>
              <w:outlineLvl w:val="0"/>
              <w:rPr>
                <w:sz w:val="24"/>
              </w:rPr>
            </w:pPr>
            <w:r>
              <w:rPr>
                <w:rFonts w:hint="eastAsia"/>
                <w:sz w:val="24"/>
              </w:rPr>
              <w:t>沥干水分的玉米，进入真空包装机自动包装。此工序会产生噪声。</w:t>
            </w:r>
          </w:p>
          <w:p>
            <w:pPr>
              <w:pStyle w:val="15"/>
              <w:ind w:firstLine="480" w:firstLineChars="200"/>
              <w:rPr>
                <w:sz w:val="24"/>
              </w:rPr>
            </w:pPr>
            <w:r>
              <w:rPr>
                <w:rFonts w:hint="eastAsia"/>
                <w:sz w:val="24"/>
              </w:rPr>
              <w:t>⑷高温灭菌</w:t>
            </w:r>
          </w:p>
          <w:p>
            <w:pPr>
              <w:pStyle w:val="15"/>
              <w:ind w:firstLine="480" w:firstLineChars="200"/>
              <w:rPr>
                <w:sz w:val="24"/>
              </w:rPr>
            </w:pPr>
            <w:r>
              <w:rPr>
                <w:rFonts w:hint="eastAsia"/>
                <w:sz w:val="24"/>
              </w:rPr>
              <w:t>真空包装后的玉米经输送机传送到杀菌锅进行高温蒸煮灭菌，杀菌锅内温度由低温升至121℃，恒温保持23分钟，方可将真空包装袋内的细菌杀死，达到延长保质期的目的。包装袋内的水分在加热时会膨胀，为防止破裂杀菌锅内压力要保持稳定。本项目利用生物质锅炉提供的蒸汽进行高温灭菌。杀菌锅内的水循环使用。</w:t>
            </w:r>
          </w:p>
          <w:p>
            <w:pPr>
              <w:pStyle w:val="15"/>
              <w:ind w:firstLine="480" w:firstLineChars="200"/>
              <w:rPr>
                <w:sz w:val="24"/>
              </w:rPr>
            </w:pPr>
            <w:r>
              <w:rPr>
                <w:rFonts w:hint="eastAsia" w:ascii="宋体" w:hAnsi="宋体" w:cs="宋体"/>
                <w:sz w:val="24"/>
              </w:rPr>
              <w:t>⑸</w:t>
            </w:r>
            <w:r>
              <w:rPr>
                <w:rFonts w:hint="eastAsia"/>
                <w:sz w:val="24"/>
              </w:rPr>
              <w:t>冷却、风干入库</w:t>
            </w:r>
          </w:p>
          <w:p>
            <w:pPr>
              <w:pStyle w:val="15"/>
              <w:ind w:firstLine="480" w:firstLineChars="200"/>
              <w:rPr>
                <w:sz w:val="24"/>
              </w:rPr>
            </w:pPr>
            <w:r>
              <w:rPr>
                <w:rFonts w:hint="eastAsia"/>
                <w:sz w:val="24"/>
              </w:rPr>
              <w:t>经过高温灭菌后的玉米包装上带有水汽，需要进入风干机内进行风干冷却，用以去除玉米包装袋表面水滴，冷却风干后入库存放。经过本工艺的产品，可以常温存放。</w:t>
            </w:r>
          </w:p>
          <w:p>
            <w:pPr>
              <w:spacing w:line="360" w:lineRule="auto"/>
              <w:ind w:firstLine="482" w:firstLineChars="200"/>
              <w:rPr>
                <w:b/>
                <w:bCs/>
                <w:sz w:val="24"/>
              </w:rPr>
            </w:pPr>
            <w:r>
              <w:rPr>
                <w:rFonts w:hint="eastAsia" w:ascii="宋体" w:hAnsi="宋体" w:cs="宋体"/>
                <w:b/>
                <w:bCs/>
                <w:sz w:val="24"/>
              </w:rPr>
              <w:t>2.2.2生物质</w:t>
            </w:r>
            <w:r>
              <w:rPr>
                <w:rFonts w:hint="eastAsia"/>
                <w:b/>
                <w:bCs/>
                <w:sz w:val="24"/>
              </w:rPr>
              <w:t>蒸汽锅炉</w:t>
            </w:r>
            <w:r>
              <w:rPr>
                <w:b/>
                <w:bCs/>
                <w:sz w:val="24"/>
              </w:rPr>
              <w:t>工艺流程及排污</w:t>
            </w:r>
            <w:r>
              <w:rPr>
                <w:rFonts w:hint="eastAsia"/>
                <w:b/>
                <w:bCs/>
                <w:sz w:val="24"/>
              </w:rPr>
              <w:t>节点</w:t>
            </w:r>
          </w:p>
          <w:p>
            <w:pPr>
              <w:spacing w:beforeLines="100" w:line="360" w:lineRule="auto"/>
              <w:jc w:val="center"/>
              <w:rPr>
                <w:sz w:val="24"/>
              </w:rPr>
            </w:pPr>
            <w:r>
              <w:rPr>
                <w:rFonts w:hint="eastAsia" w:ascii="Times New Roman" w:hAnsi="Times New Roman" w:eastAsia="宋体" w:cs="Times New Roman"/>
                <w:kern w:val="2"/>
                <w:sz w:val="24"/>
                <w:szCs w:val="24"/>
                <w:lang w:val="en-US" w:eastAsia="zh-CN" w:bidi="ar-SA"/>
              </w:rPr>
              <w:pict>
                <v:shape id="_x0000_i1030" o:spt="75" type="#_x0000_t75" style="height:160pt;width:336.4pt;" fillcolor="#FFFFFF" filled="f" o:preferrelative="t" stroked="f" coordsize="21600,21600">
                  <v:path/>
                  <v:fill on="f" color2="#FFFFFF" focussize="0,0"/>
                  <v:stroke on="f"/>
                  <v:imagedata r:id="rId8" cropleft="3357f" croptop="7983f" cropright="3378f" cropbottom="5974f" gain="65536f" blacklevel="0f" gamma="0" o:title=""/>
                  <o:lock v:ext="edit" position="f" selection="f" grouping="f" rotation="f" cropping="f" text="f" aspectratio="t"/>
                  <w10:wrap type="none"/>
                  <w10:anchorlock/>
                </v:shape>
              </w:pict>
            </w:r>
          </w:p>
          <w:p>
            <w:pPr>
              <w:spacing w:line="360" w:lineRule="auto"/>
              <w:jc w:val="center"/>
              <w:rPr>
                <w:sz w:val="24"/>
              </w:rPr>
            </w:pPr>
            <w:r>
              <w:rPr>
                <w:b/>
                <w:sz w:val="24"/>
              </w:rPr>
              <w:t>图</w:t>
            </w:r>
            <w:r>
              <w:rPr>
                <w:rFonts w:hint="eastAsia"/>
                <w:b/>
                <w:sz w:val="24"/>
              </w:rPr>
              <w:t xml:space="preserve">3 </w:t>
            </w:r>
            <w:r>
              <w:rPr>
                <w:b/>
                <w:sz w:val="24"/>
              </w:rPr>
              <w:t xml:space="preserve"> </w:t>
            </w:r>
            <w:r>
              <w:rPr>
                <w:rFonts w:hint="eastAsia"/>
                <w:b/>
                <w:sz w:val="24"/>
              </w:rPr>
              <w:t>生物质蒸汽锅炉</w:t>
            </w:r>
            <w:r>
              <w:rPr>
                <w:b/>
                <w:sz w:val="24"/>
              </w:rPr>
              <w:t>工艺流程及</w:t>
            </w:r>
            <w:r>
              <w:rPr>
                <w:rFonts w:hint="eastAsia"/>
                <w:b/>
                <w:sz w:val="24"/>
              </w:rPr>
              <w:t>排污节点示意图</w:t>
            </w:r>
          </w:p>
          <w:p>
            <w:pPr>
              <w:jc w:val="center"/>
              <w:rPr>
                <w:b/>
                <w:bCs/>
                <w:szCs w:val="21"/>
                <w:highlight w:val="yellow"/>
                <w:u w:val="single"/>
              </w:rPr>
            </w:pPr>
          </w:p>
          <w:p>
            <w:pPr>
              <w:widowControl/>
              <w:spacing w:line="360" w:lineRule="auto"/>
              <w:ind w:firstLine="480" w:firstLineChars="200"/>
              <w:rPr>
                <w:rFonts w:ascii="宋体" w:hAnsi="宋体" w:cs="宋体"/>
                <w:sz w:val="24"/>
              </w:rPr>
            </w:pPr>
            <w:r>
              <w:rPr>
                <w:rFonts w:hint="eastAsia" w:ascii="宋体" w:hAnsi="宋体" w:cs="宋体"/>
                <w:color w:val="000000"/>
                <w:kern w:val="0"/>
                <w:sz w:val="24"/>
              </w:rPr>
              <w:t>本项目燃料为外购的</w:t>
            </w:r>
            <w:r>
              <w:rPr>
                <w:rFonts w:hint="eastAsia" w:ascii="宋体" w:hAnsi="宋体" w:cs="宋体"/>
                <w:kern w:val="0"/>
                <w:sz w:val="24"/>
              </w:rPr>
              <w:t>生物质，将生物质投加到锅炉中，锅炉给水经软水器处理后经补水泵供给锅炉，通过燃烧生物质为生产供热蒸汽，锅炉烟气经布袋除尘器处理后（除尘效率按99%</w:t>
            </w:r>
            <w:r>
              <w:rPr>
                <w:rFonts w:hint="eastAsia" w:ascii="宋体" w:hAnsi="宋体" w:cs="宋体"/>
                <w:color w:val="000000"/>
                <w:kern w:val="0"/>
                <w:sz w:val="24"/>
              </w:rPr>
              <w:t>计）由30m高烟囱排放。锅炉灰渣和除尘器回收的粉尘集中收集，外售综合利用。</w:t>
            </w:r>
            <w:r>
              <w:rPr>
                <w:rFonts w:hint="eastAsia"/>
                <w:sz w:val="24"/>
              </w:rPr>
              <w:t>废树脂由厂家更换后回收处理，不在厂区内进行储存</w:t>
            </w:r>
            <w:r>
              <w:rPr>
                <w:rFonts w:hint="eastAsia" w:ascii="宋体" w:hAnsi="宋体" w:cs="宋体"/>
                <w:color w:val="000000"/>
                <w:kern w:val="0"/>
                <w:sz w:val="24"/>
              </w:rPr>
              <w:t>。维修产生的废机油暂存于危废间内，委托有资质的单位进行处置。</w:t>
            </w:r>
          </w:p>
          <w:p>
            <w:pPr>
              <w:pStyle w:val="9"/>
              <w:ind w:left="0" w:leftChars="0" w:firstLine="0" w:firstLineChars="0"/>
              <w:jc w:val="cente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94" w:hRule="atLeast"/>
          <w:jc w:val="center"/>
        </w:trPr>
        <w:tc>
          <w:tcPr>
            <w:tcW w:w="823" w:type="dxa"/>
            <w:vAlign w:val="center"/>
          </w:tcPr>
          <w:p>
            <w:pPr>
              <w:pStyle w:val="24"/>
              <w:adjustRightInd w:val="0"/>
              <w:snapToGrid w:val="0"/>
              <w:spacing w:before="0" w:beforeAutospacing="0" w:after="0" w:afterAutospacing="0"/>
              <w:jc w:val="center"/>
              <w:rPr>
                <w:rFonts w:ascii="Times New Roman" w:hAnsi="Times New Roman" w:cs="宋体"/>
                <w:sz w:val="21"/>
                <w:szCs w:val="21"/>
              </w:rPr>
            </w:pPr>
            <w:r>
              <w:rPr>
                <w:rFonts w:hint="eastAsia" w:ascii="Times New Roman" w:hAnsi="Times New Roman" w:cs="宋体"/>
                <w:bCs/>
                <w:kern w:val="2"/>
                <w:szCs w:val="24"/>
              </w:rPr>
              <w:t>与项目有关的原有环境污染问题</w:t>
            </w:r>
          </w:p>
        </w:tc>
        <w:tc>
          <w:tcPr>
            <w:tcW w:w="8161" w:type="dxa"/>
            <w:vAlign w:val="top"/>
          </w:tcPr>
          <w:p>
            <w:pPr>
              <w:spacing w:line="360" w:lineRule="auto"/>
              <w:ind w:firstLine="480" w:firstLineChars="200"/>
              <w:rPr>
                <w:sz w:val="24"/>
              </w:rPr>
            </w:pPr>
            <w:r>
              <w:rPr>
                <w:rFonts w:hint="eastAsia"/>
                <w:sz w:val="24"/>
              </w:rPr>
              <w:t>本项目为新建项目，利用时家店中心校现有建筑物进行改造，原学校已停止办学。在厂内新建一座生产车间，新建一座锅炉房，办公室仓库利用原有建筑，故无与本项目有关的原有污染情况及主要环境问题。</w:t>
            </w:r>
          </w:p>
          <w:p>
            <w:pPr>
              <w:adjustRightInd w:val="0"/>
              <w:snapToGrid w:val="0"/>
              <w:spacing w:line="360" w:lineRule="auto"/>
              <w:rPr>
                <w:bCs/>
                <w:szCs w:val="21"/>
              </w:rPr>
            </w:pPr>
          </w:p>
          <w:p>
            <w:pPr>
              <w:adjustRightInd w:val="0"/>
              <w:snapToGrid w:val="0"/>
              <w:spacing w:line="360" w:lineRule="auto"/>
              <w:rPr>
                <w:bCs/>
                <w:szCs w:val="21"/>
              </w:rPr>
            </w:pPr>
          </w:p>
          <w:p>
            <w:pPr>
              <w:adjustRightInd w:val="0"/>
              <w:snapToGrid w:val="0"/>
              <w:spacing w:line="360" w:lineRule="auto"/>
              <w:rPr>
                <w:bCs/>
                <w:szCs w:val="21"/>
              </w:rPr>
            </w:pPr>
          </w:p>
          <w:p>
            <w:pPr>
              <w:adjustRightInd w:val="0"/>
              <w:snapToGrid w:val="0"/>
              <w:spacing w:line="360" w:lineRule="auto"/>
              <w:rPr>
                <w:bCs/>
                <w:szCs w:val="21"/>
              </w:rPr>
            </w:pPr>
          </w:p>
          <w:p>
            <w:pPr>
              <w:adjustRightInd w:val="0"/>
              <w:snapToGrid w:val="0"/>
              <w:spacing w:line="360" w:lineRule="auto"/>
              <w:rPr>
                <w:bCs/>
                <w:szCs w:val="21"/>
              </w:rPr>
            </w:pPr>
          </w:p>
          <w:p>
            <w:pPr>
              <w:adjustRightInd w:val="0"/>
              <w:snapToGrid w:val="0"/>
              <w:spacing w:line="360" w:lineRule="auto"/>
              <w:rPr>
                <w:bCs/>
                <w:szCs w:val="21"/>
              </w:rPr>
            </w:pPr>
          </w:p>
          <w:p>
            <w:pPr>
              <w:adjustRightInd w:val="0"/>
              <w:snapToGrid w:val="0"/>
              <w:spacing w:line="360" w:lineRule="auto"/>
              <w:rPr>
                <w:bCs/>
                <w:szCs w:val="21"/>
              </w:rPr>
            </w:pPr>
          </w:p>
          <w:p>
            <w:pPr>
              <w:adjustRightInd w:val="0"/>
              <w:snapToGrid w:val="0"/>
              <w:spacing w:line="360" w:lineRule="auto"/>
              <w:rPr>
                <w:bCs/>
                <w:szCs w:val="21"/>
              </w:rPr>
            </w:pPr>
          </w:p>
          <w:p>
            <w:pPr>
              <w:adjustRightInd w:val="0"/>
              <w:snapToGrid w:val="0"/>
              <w:spacing w:line="360" w:lineRule="auto"/>
              <w:rPr>
                <w:bCs/>
                <w:szCs w:val="21"/>
              </w:rPr>
            </w:pPr>
          </w:p>
          <w:p>
            <w:pPr>
              <w:adjustRightInd w:val="0"/>
              <w:snapToGrid w:val="0"/>
              <w:spacing w:line="360" w:lineRule="auto"/>
              <w:rPr>
                <w:bCs/>
                <w:szCs w:val="21"/>
              </w:rPr>
            </w:pPr>
          </w:p>
          <w:p>
            <w:pPr>
              <w:adjustRightInd w:val="0"/>
              <w:snapToGrid w:val="0"/>
              <w:spacing w:line="360" w:lineRule="auto"/>
              <w:rPr>
                <w:bCs/>
                <w:szCs w:val="21"/>
              </w:rPr>
            </w:pPr>
          </w:p>
          <w:p>
            <w:pPr>
              <w:adjustRightInd w:val="0"/>
              <w:snapToGrid w:val="0"/>
              <w:spacing w:line="360" w:lineRule="auto"/>
              <w:rPr>
                <w:bCs/>
                <w:szCs w:val="21"/>
              </w:rPr>
            </w:pPr>
          </w:p>
          <w:p>
            <w:pPr>
              <w:adjustRightInd w:val="0"/>
              <w:snapToGrid w:val="0"/>
              <w:spacing w:line="360" w:lineRule="auto"/>
              <w:rPr>
                <w:bCs/>
                <w:szCs w:val="21"/>
              </w:rPr>
            </w:pPr>
          </w:p>
          <w:p>
            <w:pPr>
              <w:adjustRightInd w:val="0"/>
              <w:snapToGrid w:val="0"/>
              <w:spacing w:line="360" w:lineRule="auto"/>
              <w:rPr>
                <w:bCs/>
                <w:szCs w:val="21"/>
              </w:rPr>
            </w:pPr>
          </w:p>
          <w:p>
            <w:pPr>
              <w:adjustRightInd w:val="0"/>
              <w:snapToGrid w:val="0"/>
              <w:spacing w:line="360" w:lineRule="auto"/>
              <w:rPr>
                <w:bCs/>
                <w:szCs w:val="21"/>
              </w:rPr>
            </w:pPr>
          </w:p>
        </w:tc>
      </w:tr>
    </w:tbl>
    <w:p>
      <w:pPr>
        <w:pStyle w:val="24"/>
        <w:jc w:val="center"/>
        <w:rPr>
          <w:rFonts w:ascii="Times New Roman" w:hAnsi="Times New Roman"/>
          <w:snapToGrid w:val="0"/>
          <w:sz w:val="36"/>
          <w:szCs w:val="36"/>
        </w:rPr>
        <w:sectPr>
          <w:pgSz w:w="11906" w:h="16838"/>
          <w:pgMar w:top="1134" w:right="1361" w:bottom="1134" w:left="1361" w:header="851" w:footer="851" w:gutter="0"/>
          <w:cols w:space="720" w:num="1"/>
          <w:docGrid w:linePitch="312" w:charSpace="0"/>
        </w:sectPr>
      </w:pPr>
    </w:p>
    <w:p>
      <w:pPr>
        <w:pStyle w:val="24"/>
        <w:adjustRightInd w:val="0"/>
        <w:snapToGrid w:val="0"/>
        <w:spacing w:before="0" w:beforeAutospacing="0" w:after="0" w:afterAutospacing="0" w:line="14" w:lineRule="auto"/>
        <w:jc w:val="center"/>
        <w:outlineLvl w:val="0"/>
        <w:rPr>
          <w:rFonts w:ascii="Times New Roman" w:hAnsi="Times New Roman"/>
          <w:snapToGrid w:val="0"/>
          <w:sz w:val="30"/>
          <w:szCs w:val="30"/>
        </w:rPr>
      </w:pPr>
    </w:p>
    <w:p>
      <w:pPr>
        <w:pStyle w:val="24"/>
        <w:spacing w:before="0" w:beforeAutospacing="0" w:after="0" w:afterAutospacing="0"/>
        <w:jc w:val="center"/>
        <w:outlineLvl w:val="0"/>
        <w:rPr>
          <w:rFonts w:ascii="Times New Roman" w:hAnsi="Times New Roman"/>
          <w:b/>
          <w:bCs/>
          <w:snapToGrid w:val="0"/>
          <w:sz w:val="28"/>
          <w:szCs w:val="28"/>
        </w:rPr>
      </w:pPr>
      <w:r>
        <w:rPr>
          <w:rFonts w:hint="eastAsia" w:ascii="Times New Roman" w:hAnsi="Times New Roman"/>
          <w:b/>
          <w:bCs/>
          <w:snapToGrid w:val="0"/>
          <w:sz w:val="28"/>
          <w:szCs w:val="28"/>
        </w:rPr>
        <w:t>三、区域环境质量现状、环境保护目标及评价标准</w:t>
      </w:r>
    </w:p>
    <w:tbl>
      <w:tblPr>
        <w:tblStyle w:val="27"/>
        <w:tblW w:w="899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00"/>
        <w:gridCol w:w="819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006" w:hRule="atLeast"/>
          <w:jc w:val="center"/>
        </w:trPr>
        <w:tc>
          <w:tcPr>
            <w:tcW w:w="800" w:type="dxa"/>
            <w:vAlign w:val="center"/>
          </w:tcPr>
          <w:p>
            <w:pPr>
              <w:adjustRightInd w:val="0"/>
              <w:snapToGrid w:val="0"/>
              <w:jc w:val="center"/>
              <w:rPr>
                <w:rFonts w:cs="宋体"/>
                <w:kern w:val="0"/>
                <w:sz w:val="24"/>
              </w:rPr>
            </w:pPr>
            <w:r>
              <w:rPr>
                <w:rFonts w:hint="eastAsia" w:cs="宋体"/>
                <w:kern w:val="0"/>
                <w:sz w:val="24"/>
              </w:rPr>
              <w:t>区域</w:t>
            </w:r>
          </w:p>
          <w:p>
            <w:pPr>
              <w:adjustRightInd w:val="0"/>
              <w:snapToGrid w:val="0"/>
              <w:jc w:val="center"/>
              <w:rPr>
                <w:rFonts w:cs="宋体"/>
                <w:kern w:val="0"/>
                <w:sz w:val="24"/>
              </w:rPr>
            </w:pPr>
            <w:r>
              <w:rPr>
                <w:rFonts w:hint="eastAsia" w:cs="宋体"/>
                <w:kern w:val="0"/>
                <w:sz w:val="24"/>
              </w:rPr>
              <w:t>环境</w:t>
            </w:r>
          </w:p>
          <w:p>
            <w:pPr>
              <w:adjustRightInd w:val="0"/>
              <w:snapToGrid w:val="0"/>
              <w:jc w:val="center"/>
              <w:rPr>
                <w:rFonts w:cs="宋体"/>
                <w:kern w:val="0"/>
                <w:sz w:val="24"/>
              </w:rPr>
            </w:pPr>
            <w:r>
              <w:rPr>
                <w:rFonts w:hint="eastAsia" w:cs="宋体"/>
                <w:kern w:val="0"/>
                <w:sz w:val="24"/>
              </w:rPr>
              <w:t>质量</w:t>
            </w:r>
          </w:p>
          <w:p>
            <w:pPr>
              <w:adjustRightInd w:val="0"/>
              <w:snapToGrid w:val="0"/>
              <w:jc w:val="center"/>
              <w:rPr>
                <w:rFonts w:cs="宋体"/>
                <w:kern w:val="0"/>
                <w:szCs w:val="21"/>
              </w:rPr>
            </w:pPr>
            <w:r>
              <w:rPr>
                <w:rFonts w:hint="eastAsia" w:cs="宋体"/>
                <w:kern w:val="0"/>
                <w:sz w:val="24"/>
              </w:rPr>
              <w:t>现状</w:t>
            </w:r>
          </w:p>
        </w:tc>
        <w:tc>
          <w:tcPr>
            <w:tcW w:w="8190" w:type="dxa"/>
            <w:vAlign w:val="top"/>
          </w:tcPr>
          <w:p>
            <w:pPr>
              <w:spacing w:line="360" w:lineRule="auto"/>
              <w:jc w:val="left"/>
              <w:rPr>
                <w:b/>
                <w:bCs/>
                <w:szCs w:val="21"/>
              </w:rPr>
            </w:pPr>
            <w:r>
              <w:rPr>
                <w:rFonts w:hint="eastAsia"/>
                <w:b/>
                <w:bCs/>
                <w:sz w:val="24"/>
              </w:rPr>
              <w:t>3.1区域环境质量现状</w:t>
            </w:r>
          </w:p>
          <w:p>
            <w:pPr>
              <w:spacing w:line="360" w:lineRule="auto"/>
              <w:jc w:val="left"/>
              <w:rPr>
                <w:b/>
                <w:bCs/>
                <w:sz w:val="24"/>
              </w:rPr>
            </w:pPr>
            <w:r>
              <w:rPr>
                <w:rFonts w:hint="eastAsia"/>
                <w:b/>
                <w:bCs/>
                <w:sz w:val="24"/>
              </w:rPr>
              <w:t>3.1.1</w:t>
            </w:r>
            <w:r>
              <w:rPr>
                <w:b/>
                <w:bCs/>
                <w:sz w:val="24"/>
              </w:rPr>
              <w:t>地表水质量现状调查与评价</w:t>
            </w:r>
          </w:p>
          <w:p>
            <w:pPr>
              <w:pStyle w:val="2"/>
              <w:spacing w:before="0" w:after="0" w:line="360" w:lineRule="auto"/>
              <w:ind w:right="0" w:firstLine="480" w:firstLineChars="200"/>
              <w:rPr>
                <w:sz w:val="24"/>
                <w:highlight w:val="yellow"/>
              </w:rPr>
            </w:pPr>
            <w:r>
              <w:rPr>
                <w:sz w:val="24"/>
                <w:szCs w:val="24"/>
              </w:rPr>
              <w:t>根据</w:t>
            </w:r>
            <w:r>
              <w:rPr>
                <w:rFonts w:hint="eastAsia"/>
                <w:sz w:val="24"/>
                <w:szCs w:val="24"/>
              </w:rPr>
              <w:t>《建设项目环境影响报告表编制技术指南（污染影响类）（试行）》要求，</w:t>
            </w:r>
            <w:r>
              <w:rPr>
                <w:rFonts w:hint="eastAsia" w:ascii="宋体" w:hAnsi="宋体" w:cs="宋体"/>
                <w:sz w:val="24"/>
              </w:rPr>
              <w:t>本项目地表水质量现状数据，采用通化市生态环境局柳河县分局发布的柳河县2025年环境简报年报数据。</w:t>
            </w:r>
            <w:r>
              <w:rPr>
                <w:rFonts w:hint="eastAsia"/>
                <w:sz w:val="24"/>
                <w:szCs w:val="24"/>
              </w:rPr>
              <w:t>本项目位于柳河县时家店中心校，附近地表水为时家店水库及时家店河，上游水体为三统河，汇入口位于和平水库坝址断面与河口屯断面之间。</w:t>
            </w:r>
          </w:p>
          <w:p>
            <w:pPr>
              <w:pStyle w:val="73"/>
              <w:ind w:firstLine="0" w:firstLineChars="0"/>
              <w:jc w:val="center"/>
              <w:rPr>
                <w:rFonts w:ascii="宋体" w:hAnsi="宋体" w:cs="宋体"/>
                <w:b/>
                <w:bCs/>
                <w:color w:val="000000"/>
                <w:u w:val="single"/>
              </w:rPr>
            </w:pPr>
            <w:r>
              <w:rPr>
                <w:rFonts w:hint="eastAsia" w:ascii="宋体" w:hAnsi="宋体" w:cs="宋体"/>
                <w:b/>
                <w:bCs/>
                <w:color w:val="000000"/>
                <w:u w:val="single"/>
              </w:rPr>
              <w:t>表3-1柳河县2025年环境简报年报水库水质统计表（节选）</w:t>
            </w:r>
          </w:p>
          <w:tbl>
            <w:tblPr>
              <w:tblStyle w:val="27"/>
              <w:tblW w:w="7968"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63"/>
              <w:gridCol w:w="993"/>
              <w:gridCol w:w="994"/>
              <w:gridCol w:w="994"/>
              <w:gridCol w:w="994"/>
              <w:gridCol w:w="1010"/>
              <w:gridCol w:w="1010"/>
              <w:gridCol w:w="101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63" w:type="dxa"/>
                  <w:tcBorders>
                    <w:tl2br w:val="nil"/>
                    <w:tr2bl w:val="nil"/>
                  </w:tcBorders>
                  <w:vAlign w:val="center"/>
                </w:tcPr>
                <w:p>
                  <w:pPr>
                    <w:pStyle w:val="73"/>
                    <w:spacing w:line="240" w:lineRule="auto"/>
                    <w:ind w:firstLine="0" w:firstLineChars="0"/>
                    <w:jc w:val="center"/>
                    <w:rPr>
                      <w:rFonts w:ascii="宋体" w:hAnsi="宋体" w:cs="宋体"/>
                      <w:color w:val="000000"/>
                      <w:sz w:val="21"/>
                      <w:szCs w:val="21"/>
                      <w:u w:val="single"/>
                    </w:rPr>
                  </w:pPr>
                  <w:r>
                    <w:rPr>
                      <w:rFonts w:hint="eastAsia" w:ascii="宋体" w:hAnsi="宋体" w:cs="宋体"/>
                      <w:color w:val="000000"/>
                      <w:sz w:val="21"/>
                      <w:szCs w:val="21"/>
                      <w:u w:val="single"/>
                    </w:rPr>
                    <w:t>名称</w:t>
                  </w:r>
                </w:p>
              </w:tc>
              <w:tc>
                <w:tcPr>
                  <w:tcW w:w="993" w:type="dxa"/>
                  <w:tcBorders>
                    <w:tl2br w:val="nil"/>
                    <w:tr2bl w:val="nil"/>
                  </w:tcBorders>
                  <w:vAlign w:val="center"/>
                </w:tcPr>
                <w:p>
                  <w:pPr>
                    <w:pStyle w:val="73"/>
                    <w:spacing w:line="240" w:lineRule="auto"/>
                    <w:ind w:firstLine="0" w:firstLineChars="0"/>
                    <w:jc w:val="center"/>
                    <w:rPr>
                      <w:rFonts w:ascii="宋体" w:hAnsi="宋体" w:cs="宋体"/>
                      <w:color w:val="000000"/>
                      <w:sz w:val="21"/>
                      <w:szCs w:val="21"/>
                      <w:u w:val="single"/>
                    </w:rPr>
                  </w:pPr>
                  <w:r>
                    <w:rPr>
                      <w:rFonts w:hint="eastAsia" w:ascii="宋体" w:hAnsi="宋体" w:cs="宋体"/>
                      <w:color w:val="000000"/>
                      <w:sz w:val="21"/>
                      <w:szCs w:val="21"/>
                      <w:u w:val="single"/>
                    </w:rPr>
                    <w:t>年份</w:t>
                  </w:r>
                </w:p>
              </w:tc>
              <w:tc>
                <w:tcPr>
                  <w:tcW w:w="994" w:type="dxa"/>
                  <w:tcBorders>
                    <w:tl2br w:val="nil"/>
                    <w:tr2bl w:val="nil"/>
                  </w:tcBorders>
                  <w:vAlign w:val="center"/>
                </w:tcPr>
                <w:p>
                  <w:pPr>
                    <w:pStyle w:val="73"/>
                    <w:spacing w:line="240" w:lineRule="auto"/>
                    <w:ind w:firstLine="0" w:firstLineChars="0"/>
                    <w:jc w:val="center"/>
                    <w:rPr>
                      <w:rFonts w:ascii="宋体" w:hAnsi="宋体" w:cs="宋体"/>
                      <w:color w:val="000000"/>
                      <w:sz w:val="21"/>
                      <w:szCs w:val="21"/>
                      <w:u w:val="single"/>
                    </w:rPr>
                  </w:pPr>
                  <w:r>
                    <w:rPr>
                      <w:rFonts w:hint="eastAsia" w:ascii="宋体" w:hAnsi="宋体" w:cs="宋体"/>
                      <w:color w:val="000000"/>
                      <w:sz w:val="21"/>
                      <w:szCs w:val="21"/>
                      <w:u w:val="single"/>
                    </w:rPr>
                    <w:t>DO</w:t>
                  </w:r>
                </w:p>
              </w:tc>
              <w:tc>
                <w:tcPr>
                  <w:tcW w:w="994" w:type="dxa"/>
                  <w:tcBorders>
                    <w:tl2br w:val="nil"/>
                    <w:tr2bl w:val="nil"/>
                  </w:tcBorders>
                  <w:vAlign w:val="center"/>
                </w:tcPr>
                <w:p>
                  <w:pPr>
                    <w:pStyle w:val="73"/>
                    <w:spacing w:line="240" w:lineRule="auto"/>
                    <w:ind w:firstLine="0" w:firstLineChars="0"/>
                    <w:jc w:val="center"/>
                    <w:rPr>
                      <w:rFonts w:ascii="宋体" w:hAnsi="宋体" w:cs="宋体"/>
                      <w:color w:val="000000"/>
                      <w:sz w:val="21"/>
                      <w:szCs w:val="21"/>
                      <w:u w:val="single"/>
                    </w:rPr>
                  </w:pPr>
                  <w:r>
                    <w:rPr>
                      <w:rFonts w:hint="eastAsia" w:ascii="宋体" w:hAnsi="宋体" w:cs="宋体"/>
                      <w:color w:val="000000"/>
                      <w:sz w:val="21"/>
                      <w:szCs w:val="21"/>
                      <w:u w:val="single"/>
                    </w:rPr>
                    <w:t>COD</w:t>
                  </w:r>
                  <w:r>
                    <w:rPr>
                      <w:rFonts w:hint="eastAsia" w:ascii="宋体" w:hAnsi="宋体" w:cs="宋体"/>
                      <w:color w:val="000000"/>
                      <w:sz w:val="21"/>
                      <w:szCs w:val="21"/>
                      <w:u w:val="single"/>
                      <w:vertAlign w:val="subscript"/>
                    </w:rPr>
                    <w:t>Mn</w:t>
                  </w:r>
                </w:p>
              </w:tc>
              <w:tc>
                <w:tcPr>
                  <w:tcW w:w="994" w:type="dxa"/>
                  <w:tcBorders>
                    <w:tl2br w:val="nil"/>
                    <w:tr2bl w:val="nil"/>
                  </w:tcBorders>
                  <w:vAlign w:val="center"/>
                </w:tcPr>
                <w:p>
                  <w:pPr>
                    <w:pStyle w:val="73"/>
                    <w:spacing w:line="240" w:lineRule="auto"/>
                    <w:ind w:firstLine="0" w:firstLineChars="0"/>
                    <w:jc w:val="center"/>
                    <w:rPr>
                      <w:rFonts w:ascii="宋体" w:hAnsi="宋体" w:cs="宋体"/>
                      <w:color w:val="000000"/>
                      <w:sz w:val="21"/>
                      <w:szCs w:val="21"/>
                      <w:u w:val="single"/>
                    </w:rPr>
                  </w:pPr>
                  <w:r>
                    <w:rPr>
                      <w:rFonts w:hint="eastAsia" w:ascii="宋体" w:hAnsi="宋体" w:cs="宋体"/>
                      <w:color w:val="000000"/>
                      <w:sz w:val="21"/>
                      <w:szCs w:val="21"/>
                      <w:u w:val="single"/>
                    </w:rPr>
                    <w:t>BOD</w:t>
                  </w:r>
                  <w:r>
                    <w:rPr>
                      <w:rFonts w:hint="eastAsia" w:ascii="宋体" w:hAnsi="宋体" w:cs="宋体"/>
                      <w:color w:val="000000"/>
                      <w:sz w:val="21"/>
                      <w:szCs w:val="21"/>
                      <w:u w:val="single"/>
                      <w:vertAlign w:val="subscript"/>
                    </w:rPr>
                    <w:t>5</w:t>
                  </w:r>
                </w:p>
              </w:tc>
              <w:tc>
                <w:tcPr>
                  <w:tcW w:w="1010" w:type="dxa"/>
                  <w:tcBorders>
                    <w:tl2br w:val="nil"/>
                    <w:tr2bl w:val="nil"/>
                  </w:tcBorders>
                  <w:vAlign w:val="center"/>
                </w:tcPr>
                <w:p>
                  <w:pPr>
                    <w:pStyle w:val="73"/>
                    <w:spacing w:line="240" w:lineRule="auto"/>
                    <w:ind w:firstLine="0" w:firstLineChars="0"/>
                    <w:jc w:val="center"/>
                    <w:rPr>
                      <w:rFonts w:ascii="宋体" w:hAnsi="宋体" w:cs="宋体"/>
                      <w:color w:val="000000"/>
                      <w:sz w:val="21"/>
                      <w:szCs w:val="21"/>
                      <w:u w:val="single"/>
                    </w:rPr>
                  </w:pPr>
                  <w:r>
                    <w:rPr>
                      <w:rFonts w:hint="eastAsia" w:ascii="宋体" w:hAnsi="宋体" w:cs="宋体"/>
                      <w:color w:val="000000"/>
                      <w:sz w:val="21"/>
                      <w:szCs w:val="21"/>
                      <w:u w:val="single"/>
                    </w:rPr>
                    <w:t>NH</w:t>
                  </w:r>
                  <w:r>
                    <w:rPr>
                      <w:rFonts w:hint="eastAsia" w:ascii="宋体" w:hAnsi="宋体" w:cs="宋体"/>
                      <w:color w:val="000000"/>
                      <w:sz w:val="21"/>
                      <w:szCs w:val="21"/>
                      <w:u w:val="single"/>
                      <w:vertAlign w:val="subscript"/>
                    </w:rPr>
                    <w:t>3</w:t>
                  </w:r>
                  <w:r>
                    <w:rPr>
                      <w:rFonts w:hint="eastAsia" w:ascii="宋体" w:hAnsi="宋体" w:cs="宋体"/>
                      <w:color w:val="000000"/>
                      <w:sz w:val="21"/>
                      <w:szCs w:val="21"/>
                      <w:u w:val="single"/>
                    </w:rPr>
                    <w:t>-N</w:t>
                  </w:r>
                </w:p>
              </w:tc>
              <w:tc>
                <w:tcPr>
                  <w:tcW w:w="1010" w:type="dxa"/>
                  <w:tcBorders>
                    <w:tl2br w:val="nil"/>
                    <w:tr2bl w:val="nil"/>
                  </w:tcBorders>
                  <w:vAlign w:val="center"/>
                </w:tcPr>
                <w:p>
                  <w:pPr>
                    <w:pStyle w:val="73"/>
                    <w:spacing w:line="240" w:lineRule="auto"/>
                    <w:ind w:firstLine="0" w:firstLineChars="0"/>
                    <w:jc w:val="center"/>
                    <w:rPr>
                      <w:rFonts w:ascii="宋体" w:hAnsi="宋体" w:cs="宋体"/>
                      <w:color w:val="000000"/>
                      <w:sz w:val="21"/>
                      <w:szCs w:val="21"/>
                      <w:u w:val="single"/>
                    </w:rPr>
                  </w:pPr>
                  <w:r>
                    <w:rPr>
                      <w:rFonts w:hint="eastAsia" w:ascii="宋体" w:hAnsi="宋体" w:cs="宋体"/>
                      <w:color w:val="000000"/>
                      <w:sz w:val="21"/>
                      <w:szCs w:val="21"/>
                      <w:u w:val="single"/>
                    </w:rPr>
                    <w:t>总磷</w:t>
                  </w:r>
                </w:p>
              </w:tc>
              <w:tc>
                <w:tcPr>
                  <w:tcW w:w="1010" w:type="dxa"/>
                  <w:tcBorders>
                    <w:tl2br w:val="nil"/>
                    <w:tr2bl w:val="nil"/>
                  </w:tcBorders>
                  <w:vAlign w:val="center"/>
                </w:tcPr>
                <w:p>
                  <w:pPr>
                    <w:pStyle w:val="73"/>
                    <w:spacing w:line="240" w:lineRule="auto"/>
                    <w:ind w:firstLine="0" w:firstLineChars="0"/>
                    <w:jc w:val="center"/>
                    <w:rPr>
                      <w:rFonts w:ascii="宋体" w:hAnsi="宋体" w:cs="宋体"/>
                      <w:color w:val="000000"/>
                      <w:sz w:val="21"/>
                      <w:szCs w:val="21"/>
                      <w:u w:val="single"/>
                    </w:rPr>
                  </w:pPr>
                  <w:r>
                    <w:rPr>
                      <w:rFonts w:hint="eastAsia" w:ascii="宋体" w:hAnsi="宋体" w:cs="宋体"/>
                      <w:color w:val="000000"/>
                      <w:sz w:val="21"/>
                      <w:szCs w:val="21"/>
                      <w:u w:val="single"/>
                    </w:rPr>
                    <w:t>总氮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63" w:type="dxa"/>
                  <w:tcBorders>
                    <w:tl2br w:val="nil"/>
                    <w:tr2bl w:val="nil"/>
                  </w:tcBorders>
                  <w:vAlign w:val="center"/>
                </w:tcPr>
                <w:p>
                  <w:pPr>
                    <w:pStyle w:val="73"/>
                    <w:spacing w:line="240" w:lineRule="auto"/>
                    <w:ind w:firstLine="0" w:firstLineChars="0"/>
                    <w:jc w:val="center"/>
                    <w:rPr>
                      <w:rFonts w:ascii="宋体" w:hAnsi="宋体" w:cs="宋体"/>
                      <w:color w:val="000000"/>
                      <w:sz w:val="21"/>
                      <w:szCs w:val="21"/>
                      <w:u w:val="single"/>
                    </w:rPr>
                  </w:pPr>
                  <w:r>
                    <w:rPr>
                      <w:rFonts w:hint="eastAsia" w:ascii="宋体" w:hAnsi="宋体" w:cs="宋体"/>
                      <w:color w:val="000000"/>
                      <w:sz w:val="21"/>
                      <w:szCs w:val="21"/>
                      <w:u w:val="single"/>
                    </w:rPr>
                    <w:t>时家店水库</w:t>
                  </w:r>
                </w:p>
              </w:tc>
              <w:tc>
                <w:tcPr>
                  <w:tcW w:w="993" w:type="dxa"/>
                  <w:tcBorders>
                    <w:tl2br w:val="nil"/>
                    <w:tr2bl w:val="nil"/>
                  </w:tcBorders>
                  <w:vAlign w:val="center"/>
                </w:tcPr>
                <w:p>
                  <w:pPr>
                    <w:pStyle w:val="73"/>
                    <w:spacing w:line="240" w:lineRule="auto"/>
                    <w:ind w:firstLine="0" w:firstLineChars="0"/>
                    <w:jc w:val="center"/>
                    <w:rPr>
                      <w:rFonts w:ascii="宋体" w:hAnsi="宋体" w:cs="宋体"/>
                      <w:color w:val="000000"/>
                      <w:sz w:val="21"/>
                      <w:szCs w:val="21"/>
                      <w:u w:val="single"/>
                    </w:rPr>
                  </w:pPr>
                  <w:r>
                    <w:rPr>
                      <w:rFonts w:hint="eastAsia" w:ascii="宋体" w:hAnsi="宋体" w:cs="宋体"/>
                      <w:color w:val="000000"/>
                      <w:sz w:val="21"/>
                      <w:szCs w:val="21"/>
                      <w:u w:val="single"/>
                    </w:rPr>
                    <w:t>2025</w:t>
                  </w:r>
                </w:p>
              </w:tc>
              <w:tc>
                <w:tcPr>
                  <w:tcW w:w="994" w:type="dxa"/>
                  <w:tcBorders>
                    <w:tl2br w:val="nil"/>
                    <w:tr2bl w:val="nil"/>
                  </w:tcBorders>
                  <w:vAlign w:val="center"/>
                </w:tcPr>
                <w:p>
                  <w:pPr>
                    <w:pStyle w:val="73"/>
                    <w:spacing w:line="240" w:lineRule="auto"/>
                    <w:ind w:firstLine="0" w:firstLineChars="0"/>
                    <w:jc w:val="center"/>
                    <w:rPr>
                      <w:rFonts w:ascii="宋体" w:hAnsi="宋体" w:cs="宋体"/>
                      <w:color w:val="000000"/>
                      <w:sz w:val="21"/>
                      <w:szCs w:val="21"/>
                      <w:u w:val="single"/>
                    </w:rPr>
                  </w:pPr>
                  <w:r>
                    <w:rPr>
                      <w:rFonts w:hint="eastAsia" w:ascii="宋体" w:hAnsi="宋体" w:cs="宋体"/>
                      <w:color w:val="000000"/>
                      <w:sz w:val="21"/>
                      <w:szCs w:val="21"/>
                      <w:u w:val="single"/>
                    </w:rPr>
                    <w:t>7.3</w:t>
                  </w:r>
                </w:p>
              </w:tc>
              <w:tc>
                <w:tcPr>
                  <w:tcW w:w="994" w:type="dxa"/>
                  <w:tcBorders>
                    <w:tl2br w:val="nil"/>
                    <w:tr2bl w:val="nil"/>
                  </w:tcBorders>
                  <w:vAlign w:val="center"/>
                </w:tcPr>
                <w:p>
                  <w:pPr>
                    <w:pStyle w:val="73"/>
                    <w:spacing w:line="240" w:lineRule="auto"/>
                    <w:ind w:firstLine="0" w:firstLineChars="0"/>
                    <w:jc w:val="center"/>
                    <w:rPr>
                      <w:rFonts w:ascii="宋体" w:hAnsi="宋体" w:cs="宋体"/>
                      <w:color w:val="000000"/>
                      <w:sz w:val="21"/>
                      <w:szCs w:val="21"/>
                      <w:u w:val="single"/>
                    </w:rPr>
                  </w:pPr>
                  <w:r>
                    <w:rPr>
                      <w:rFonts w:hint="eastAsia" w:ascii="宋体" w:hAnsi="宋体" w:cs="宋体"/>
                      <w:color w:val="000000"/>
                      <w:sz w:val="21"/>
                      <w:szCs w:val="21"/>
                      <w:u w:val="single"/>
                    </w:rPr>
                    <w:t>5.05</w:t>
                  </w:r>
                </w:p>
              </w:tc>
              <w:tc>
                <w:tcPr>
                  <w:tcW w:w="994" w:type="dxa"/>
                  <w:tcBorders>
                    <w:tl2br w:val="nil"/>
                    <w:tr2bl w:val="nil"/>
                  </w:tcBorders>
                  <w:vAlign w:val="center"/>
                </w:tcPr>
                <w:p>
                  <w:pPr>
                    <w:pStyle w:val="73"/>
                    <w:spacing w:line="240" w:lineRule="auto"/>
                    <w:ind w:firstLine="0" w:firstLineChars="0"/>
                    <w:jc w:val="center"/>
                    <w:rPr>
                      <w:rFonts w:ascii="宋体" w:hAnsi="宋体" w:cs="宋体"/>
                      <w:color w:val="000000"/>
                      <w:sz w:val="21"/>
                      <w:szCs w:val="21"/>
                      <w:u w:val="single"/>
                    </w:rPr>
                  </w:pPr>
                  <w:r>
                    <w:rPr>
                      <w:rFonts w:hint="eastAsia" w:ascii="宋体" w:hAnsi="宋体" w:cs="宋体"/>
                      <w:color w:val="000000"/>
                      <w:sz w:val="21"/>
                      <w:szCs w:val="21"/>
                      <w:u w:val="single"/>
                    </w:rPr>
                    <w:t>3.46</w:t>
                  </w:r>
                </w:p>
              </w:tc>
              <w:tc>
                <w:tcPr>
                  <w:tcW w:w="1010" w:type="dxa"/>
                  <w:tcBorders>
                    <w:tl2br w:val="nil"/>
                    <w:tr2bl w:val="nil"/>
                  </w:tcBorders>
                  <w:vAlign w:val="center"/>
                </w:tcPr>
                <w:p>
                  <w:pPr>
                    <w:pStyle w:val="73"/>
                    <w:spacing w:line="240" w:lineRule="auto"/>
                    <w:ind w:firstLine="0" w:firstLineChars="0"/>
                    <w:jc w:val="center"/>
                    <w:rPr>
                      <w:rFonts w:ascii="宋体" w:hAnsi="宋体" w:cs="宋体"/>
                      <w:color w:val="000000"/>
                      <w:sz w:val="21"/>
                      <w:szCs w:val="21"/>
                      <w:u w:val="single"/>
                    </w:rPr>
                  </w:pPr>
                  <w:r>
                    <w:rPr>
                      <w:rFonts w:hint="eastAsia" w:ascii="宋体" w:hAnsi="宋体" w:cs="宋体"/>
                      <w:color w:val="000000"/>
                      <w:sz w:val="21"/>
                      <w:szCs w:val="21"/>
                      <w:u w:val="single"/>
                    </w:rPr>
                    <w:t>0.265</w:t>
                  </w:r>
                </w:p>
              </w:tc>
              <w:tc>
                <w:tcPr>
                  <w:tcW w:w="1010" w:type="dxa"/>
                  <w:tcBorders>
                    <w:tl2br w:val="nil"/>
                    <w:tr2bl w:val="nil"/>
                  </w:tcBorders>
                  <w:vAlign w:val="center"/>
                </w:tcPr>
                <w:p>
                  <w:pPr>
                    <w:pStyle w:val="73"/>
                    <w:spacing w:line="240" w:lineRule="auto"/>
                    <w:ind w:firstLine="0" w:firstLineChars="0"/>
                    <w:jc w:val="center"/>
                    <w:rPr>
                      <w:rFonts w:ascii="宋体" w:hAnsi="宋体" w:cs="宋体"/>
                      <w:color w:val="000000"/>
                      <w:sz w:val="21"/>
                      <w:szCs w:val="21"/>
                      <w:u w:val="single"/>
                    </w:rPr>
                  </w:pPr>
                  <w:r>
                    <w:rPr>
                      <w:rFonts w:hint="eastAsia" w:ascii="宋体" w:hAnsi="宋体" w:cs="宋体"/>
                      <w:color w:val="000000"/>
                      <w:sz w:val="21"/>
                      <w:szCs w:val="21"/>
                      <w:u w:val="single"/>
                    </w:rPr>
                    <w:t>0.109</w:t>
                  </w:r>
                </w:p>
              </w:tc>
              <w:tc>
                <w:tcPr>
                  <w:tcW w:w="1010" w:type="dxa"/>
                  <w:tcBorders>
                    <w:tl2br w:val="nil"/>
                    <w:tr2bl w:val="nil"/>
                  </w:tcBorders>
                  <w:vAlign w:val="center"/>
                </w:tcPr>
                <w:p>
                  <w:pPr>
                    <w:pStyle w:val="73"/>
                    <w:spacing w:line="240" w:lineRule="auto"/>
                    <w:ind w:firstLine="0" w:firstLineChars="0"/>
                    <w:jc w:val="center"/>
                    <w:rPr>
                      <w:rFonts w:ascii="宋体" w:hAnsi="宋体" w:cs="宋体"/>
                      <w:color w:val="000000"/>
                      <w:sz w:val="21"/>
                      <w:szCs w:val="21"/>
                      <w:u w:val="single"/>
                    </w:rPr>
                  </w:pPr>
                  <w:r>
                    <w:rPr>
                      <w:rFonts w:hint="eastAsia" w:ascii="宋体" w:hAnsi="宋体" w:cs="宋体"/>
                      <w:color w:val="000000"/>
                      <w:sz w:val="21"/>
                      <w:szCs w:val="21"/>
                      <w:u w:val="single"/>
                    </w:rPr>
                    <w:t>0.975</w:t>
                  </w:r>
                </w:p>
              </w:tc>
            </w:tr>
          </w:tbl>
          <w:p>
            <w:pPr>
              <w:pStyle w:val="2"/>
              <w:spacing w:before="0" w:after="0" w:line="360" w:lineRule="auto"/>
              <w:ind w:right="0" w:firstLine="480" w:firstLineChars="200"/>
              <w:rPr>
                <w:sz w:val="24"/>
                <w:szCs w:val="24"/>
              </w:rPr>
            </w:pPr>
            <w:r>
              <w:rPr>
                <w:rFonts w:hint="eastAsia" w:ascii="宋体" w:hAnsi="宋体" w:cs="宋体"/>
                <w:sz w:val="24"/>
                <w:szCs w:val="24"/>
              </w:rPr>
              <w:t>根据《柳河县2025年环境简报年报》的结论，</w:t>
            </w:r>
            <w:r>
              <w:rPr>
                <w:rFonts w:hint="eastAsia"/>
                <w:sz w:val="24"/>
                <w:szCs w:val="24"/>
              </w:rPr>
              <w:t>时家店水库主要用于农田灌溉。污染指数为总磷，总磷年均值为0.109mg/L，超过地表水环境质量Ⅲ类标准1.18倍，时家店水库质类别为</w:t>
            </w:r>
            <w:r>
              <w:rPr>
                <w:rFonts w:hint="eastAsia" w:ascii="宋体" w:hAnsi="宋体" w:cs="宋体"/>
                <w:sz w:val="24"/>
                <w:szCs w:val="24"/>
              </w:rPr>
              <w:t>Ⅴ</w:t>
            </w:r>
            <w:r>
              <w:rPr>
                <w:rFonts w:hint="eastAsia"/>
                <w:sz w:val="24"/>
                <w:szCs w:val="24"/>
              </w:rPr>
              <w:t>类水体，水质状况一般。</w:t>
            </w:r>
          </w:p>
          <w:p>
            <w:pPr>
              <w:pStyle w:val="2"/>
              <w:spacing w:before="0" w:after="0" w:line="360" w:lineRule="auto"/>
              <w:ind w:right="0" w:firstLine="480" w:firstLineChars="200"/>
              <w:rPr>
                <w:color w:val="FF0000"/>
                <w:sz w:val="24"/>
                <w:szCs w:val="24"/>
              </w:rPr>
            </w:pPr>
            <w:r>
              <w:rPr>
                <w:rFonts w:hint="eastAsia"/>
                <w:sz w:val="24"/>
                <w:szCs w:val="24"/>
              </w:rPr>
              <w:t>根据《吉林省地表水功能区》（DB22/388-2004），时家店河汇入三统河断面水体功能为农业用水、渔业用水，为Ⅲ类水体。时家店河及时家店水库未规定水体类别及功能，且本项目废水不外排，不会加重水体污染。</w:t>
            </w:r>
          </w:p>
          <w:p>
            <w:pPr>
              <w:pStyle w:val="3"/>
              <w:spacing w:before="0" w:after="0" w:line="360" w:lineRule="auto"/>
              <w:ind w:left="0" w:firstLine="0"/>
              <w:rPr>
                <w:rFonts w:eastAsia="宋体"/>
                <w:color w:val="auto"/>
                <w:sz w:val="24"/>
                <w:szCs w:val="24"/>
              </w:rPr>
            </w:pPr>
            <w:r>
              <w:rPr>
                <w:rFonts w:hint="eastAsia" w:eastAsia="宋体"/>
                <w:color w:val="auto"/>
                <w:sz w:val="24"/>
                <w:szCs w:val="24"/>
              </w:rPr>
              <w:t>3.1.2</w:t>
            </w:r>
            <w:r>
              <w:rPr>
                <w:rFonts w:eastAsia="宋体"/>
                <w:color w:val="auto"/>
                <w:sz w:val="24"/>
                <w:szCs w:val="24"/>
              </w:rPr>
              <w:t>环境空气质量现状调查与评价</w:t>
            </w:r>
          </w:p>
          <w:p>
            <w:pPr>
              <w:spacing w:line="360" w:lineRule="auto"/>
              <w:ind w:firstLine="482" w:firstLineChars="200"/>
              <w:jc w:val="left"/>
              <w:rPr>
                <w:b/>
                <w:sz w:val="24"/>
              </w:rPr>
            </w:pPr>
            <w:bookmarkStart w:id="2" w:name="1、项目所在区域空气质量达标区判定"/>
            <w:bookmarkEnd w:id="2"/>
            <w:r>
              <w:rPr>
                <w:rFonts w:hint="eastAsia" w:ascii="宋体" w:hAnsi="宋体" w:cs="宋体"/>
                <w:b/>
                <w:sz w:val="24"/>
              </w:rPr>
              <w:t>⑴</w:t>
            </w:r>
            <w:r>
              <w:rPr>
                <w:b/>
                <w:sz w:val="24"/>
              </w:rPr>
              <w:t>项目所在区域空气质量达标区判定</w:t>
            </w:r>
          </w:p>
          <w:p>
            <w:pPr>
              <w:spacing w:line="360" w:lineRule="auto"/>
              <w:ind w:firstLine="480" w:firstLineChars="200"/>
              <w:rPr>
                <w:rFonts w:ascii="宋体" w:hAnsi="宋体" w:cs="宋体"/>
                <w:sz w:val="24"/>
                <w:u w:val="single"/>
              </w:rPr>
            </w:pPr>
            <w:r>
              <w:rPr>
                <w:kern w:val="0"/>
                <w:sz w:val="24"/>
              </w:rPr>
              <w:t>根据</w:t>
            </w:r>
            <w:r>
              <w:rPr>
                <w:rFonts w:hint="eastAsia"/>
                <w:kern w:val="0"/>
                <w:sz w:val="24"/>
              </w:rPr>
              <w:t>《建设项目环境影响报告表编制技术指南（污染影响类）（试行）》要求，</w:t>
            </w:r>
            <w:r>
              <w:rPr>
                <w:sz w:val="24"/>
                <w:u w:val="single"/>
              </w:rPr>
              <w:t>环境空气质量现状</w:t>
            </w:r>
            <w:r>
              <w:rPr>
                <w:rFonts w:hint="eastAsia"/>
                <w:sz w:val="24"/>
                <w:u w:val="single"/>
              </w:rPr>
              <w:t>引用</w:t>
            </w:r>
            <w:r>
              <w:rPr>
                <w:rFonts w:hint="eastAsia" w:ascii="宋体" w:hAnsi="宋体" w:cs="宋体"/>
                <w:sz w:val="24"/>
                <w:u w:val="single"/>
              </w:rPr>
              <w:t>通化市生态环境局柳河县分局发布的柳河县2025年环境年报数据：</w:t>
            </w:r>
          </w:p>
          <w:p>
            <w:pPr>
              <w:adjustRightInd w:val="0"/>
              <w:snapToGrid w:val="0"/>
              <w:spacing w:line="360" w:lineRule="auto"/>
              <w:jc w:val="center"/>
              <w:rPr>
                <w:u w:val="single"/>
              </w:rPr>
            </w:pPr>
            <w:r>
              <w:rPr>
                <w:rFonts w:hint="eastAsia" w:ascii="宋体" w:hAnsi="宋体" w:cs="宋体"/>
                <w:b/>
                <w:sz w:val="24"/>
                <w:szCs w:val="21"/>
                <w:u w:val="single"/>
              </w:rPr>
              <w:t>表3-2  大气污染物年度平均浓度</w:t>
            </w:r>
            <w:r>
              <w:rPr>
                <w:rFonts w:hint="eastAsia" w:ascii="宋体" w:hAnsi="宋体" w:cs="宋体"/>
                <w:b/>
                <w:bCs/>
                <w:sz w:val="24"/>
                <w:u w:val="single"/>
              </w:rPr>
              <w:t>（节选）</w:t>
            </w:r>
            <w:r>
              <w:rPr>
                <w:rFonts w:hint="eastAsia" w:ascii="宋体" w:hAnsi="宋体" w:cs="宋体"/>
                <w:b/>
                <w:sz w:val="24"/>
                <w:szCs w:val="21"/>
                <w:u w:val="single"/>
              </w:rPr>
              <w:t xml:space="preserve">   单位（μg/m</w:t>
            </w:r>
            <w:r>
              <w:rPr>
                <w:rFonts w:hint="eastAsia" w:ascii="宋体" w:hAnsi="宋体" w:cs="宋体"/>
                <w:b/>
                <w:sz w:val="24"/>
                <w:szCs w:val="21"/>
                <w:u w:val="single"/>
                <w:vertAlign w:val="superscript"/>
              </w:rPr>
              <w:t>3</w:t>
            </w:r>
            <w:r>
              <w:rPr>
                <w:rFonts w:hint="eastAsia" w:ascii="宋体" w:hAnsi="宋体" w:cs="宋体"/>
                <w:b/>
                <w:sz w:val="24"/>
                <w:szCs w:val="21"/>
                <w:u w:val="single"/>
              </w:rPr>
              <w:t>）</w:t>
            </w:r>
          </w:p>
          <w:tbl>
            <w:tblPr>
              <w:tblStyle w:val="27"/>
              <w:tblW w:w="79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762"/>
              <w:gridCol w:w="996"/>
              <w:gridCol w:w="996"/>
              <w:gridCol w:w="995"/>
              <w:gridCol w:w="996"/>
              <w:gridCol w:w="996"/>
              <w:gridCol w:w="9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Align w:val="center"/>
                </w:tcPr>
                <w:p>
                  <w:pPr>
                    <w:adjustRightInd w:val="0"/>
                    <w:snapToGrid w:val="0"/>
                    <w:jc w:val="center"/>
                    <w:rPr>
                      <w:rFonts w:ascii="宋体" w:hAnsi="宋体" w:cs="宋体"/>
                      <w:bCs/>
                      <w:szCs w:val="21"/>
                      <w:u w:val="single"/>
                    </w:rPr>
                  </w:pPr>
                  <w:r>
                    <w:rPr>
                      <w:rFonts w:hint="eastAsia" w:ascii="宋体" w:hAnsi="宋体" w:cs="宋体"/>
                      <w:bCs/>
                      <w:szCs w:val="21"/>
                      <w:u w:val="single"/>
                    </w:rPr>
                    <w:t>名称</w:t>
                  </w:r>
                </w:p>
              </w:tc>
              <w:tc>
                <w:tcPr>
                  <w:tcW w:w="762" w:type="dxa"/>
                  <w:vAlign w:val="center"/>
                </w:tcPr>
                <w:p>
                  <w:pPr>
                    <w:adjustRightInd w:val="0"/>
                    <w:snapToGrid w:val="0"/>
                    <w:jc w:val="center"/>
                    <w:rPr>
                      <w:rFonts w:ascii="宋体" w:hAnsi="宋体" w:cs="宋体"/>
                      <w:bCs/>
                      <w:szCs w:val="21"/>
                      <w:u w:val="single"/>
                    </w:rPr>
                  </w:pPr>
                  <w:r>
                    <w:rPr>
                      <w:rFonts w:hint="eastAsia" w:ascii="宋体" w:hAnsi="宋体" w:cs="宋体"/>
                      <w:bCs/>
                      <w:szCs w:val="21"/>
                      <w:u w:val="single"/>
                    </w:rPr>
                    <w:t>年份</w:t>
                  </w:r>
                </w:p>
              </w:tc>
              <w:tc>
                <w:tcPr>
                  <w:tcW w:w="996" w:type="dxa"/>
                  <w:vAlign w:val="center"/>
                </w:tcPr>
                <w:p>
                  <w:pPr>
                    <w:adjustRightInd w:val="0"/>
                    <w:snapToGrid w:val="0"/>
                    <w:jc w:val="center"/>
                    <w:rPr>
                      <w:rFonts w:ascii="宋体" w:hAnsi="宋体" w:cs="宋体"/>
                      <w:bCs/>
                      <w:szCs w:val="21"/>
                      <w:u w:val="single"/>
                    </w:rPr>
                  </w:pPr>
                  <w:r>
                    <w:rPr>
                      <w:rFonts w:hint="eastAsia" w:ascii="宋体" w:hAnsi="宋体" w:cs="宋体"/>
                      <w:bCs/>
                      <w:szCs w:val="21"/>
                      <w:u w:val="single"/>
                    </w:rPr>
                    <w:t>SO</w:t>
                  </w:r>
                  <w:r>
                    <w:rPr>
                      <w:rFonts w:hint="eastAsia" w:ascii="宋体" w:hAnsi="宋体" w:cs="宋体"/>
                      <w:bCs/>
                      <w:szCs w:val="21"/>
                      <w:u w:val="single"/>
                      <w:vertAlign w:val="subscript"/>
                    </w:rPr>
                    <w:t>2</w:t>
                  </w:r>
                </w:p>
              </w:tc>
              <w:tc>
                <w:tcPr>
                  <w:tcW w:w="996" w:type="dxa"/>
                  <w:vAlign w:val="center"/>
                </w:tcPr>
                <w:p>
                  <w:pPr>
                    <w:adjustRightInd w:val="0"/>
                    <w:snapToGrid w:val="0"/>
                    <w:jc w:val="center"/>
                    <w:rPr>
                      <w:rFonts w:ascii="宋体" w:hAnsi="宋体" w:cs="宋体"/>
                      <w:bCs/>
                      <w:szCs w:val="21"/>
                      <w:u w:val="single"/>
                    </w:rPr>
                  </w:pPr>
                  <w:r>
                    <w:rPr>
                      <w:rFonts w:hint="eastAsia" w:ascii="宋体" w:hAnsi="宋体" w:cs="宋体"/>
                      <w:bCs/>
                      <w:szCs w:val="21"/>
                      <w:u w:val="single"/>
                    </w:rPr>
                    <w:t>NO</w:t>
                  </w:r>
                  <w:r>
                    <w:rPr>
                      <w:rFonts w:hint="eastAsia" w:ascii="宋体" w:hAnsi="宋体" w:cs="宋体"/>
                      <w:bCs/>
                      <w:szCs w:val="21"/>
                      <w:u w:val="single"/>
                      <w:vertAlign w:val="subscript"/>
                    </w:rPr>
                    <w:t>2</w:t>
                  </w:r>
                </w:p>
              </w:tc>
              <w:tc>
                <w:tcPr>
                  <w:tcW w:w="995" w:type="dxa"/>
                  <w:vAlign w:val="center"/>
                </w:tcPr>
                <w:p>
                  <w:pPr>
                    <w:adjustRightInd w:val="0"/>
                    <w:snapToGrid w:val="0"/>
                    <w:jc w:val="center"/>
                    <w:rPr>
                      <w:rFonts w:ascii="宋体" w:hAnsi="宋体" w:cs="宋体"/>
                      <w:bCs/>
                      <w:szCs w:val="21"/>
                      <w:u w:val="single"/>
                    </w:rPr>
                  </w:pPr>
                  <w:r>
                    <w:rPr>
                      <w:rFonts w:hint="eastAsia" w:ascii="宋体" w:hAnsi="宋体" w:cs="宋体"/>
                      <w:bCs/>
                      <w:szCs w:val="21"/>
                      <w:u w:val="single"/>
                    </w:rPr>
                    <w:t>CO</w:t>
                  </w:r>
                </w:p>
              </w:tc>
              <w:tc>
                <w:tcPr>
                  <w:tcW w:w="996" w:type="dxa"/>
                  <w:vAlign w:val="center"/>
                </w:tcPr>
                <w:p>
                  <w:pPr>
                    <w:adjustRightInd w:val="0"/>
                    <w:snapToGrid w:val="0"/>
                    <w:jc w:val="center"/>
                    <w:rPr>
                      <w:rFonts w:ascii="宋体" w:hAnsi="宋体" w:cs="宋体"/>
                      <w:bCs/>
                      <w:szCs w:val="21"/>
                      <w:u w:val="single"/>
                    </w:rPr>
                  </w:pPr>
                  <w:r>
                    <w:rPr>
                      <w:rFonts w:hint="eastAsia" w:ascii="宋体" w:hAnsi="宋体" w:cs="宋体"/>
                      <w:bCs/>
                      <w:szCs w:val="21"/>
                      <w:u w:val="single"/>
                    </w:rPr>
                    <w:t>PM</w:t>
                  </w:r>
                  <w:r>
                    <w:rPr>
                      <w:rFonts w:hint="eastAsia" w:ascii="宋体" w:hAnsi="宋体" w:cs="宋体"/>
                      <w:bCs/>
                      <w:szCs w:val="21"/>
                      <w:u w:val="single"/>
                      <w:vertAlign w:val="subscript"/>
                    </w:rPr>
                    <w:t>10</w:t>
                  </w:r>
                </w:p>
              </w:tc>
              <w:tc>
                <w:tcPr>
                  <w:tcW w:w="996" w:type="dxa"/>
                  <w:vAlign w:val="center"/>
                </w:tcPr>
                <w:p>
                  <w:pPr>
                    <w:adjustRightInd w:val="0"/>
                    <w:snapToGrid w:val="0"/>
                    <w:jc w:val="center"/>
                    <w:rPr>
                      <w:rFonts w:ascii="宋体" w:hAnsi="宋体" w:cs="宋体"/>
                      <w:bCs/>
                      <w:szCs w:val="21"/>
                      <w:u w:val="single"/>
                    </w:rPr>
                  </w:pPr>
                  <w:r>
                    <w:rPr>
                      <w:rFonts w:hint="eastAsia" w:ascii="宋体" w:hAnsi="宋体" w:cs="宋体"/>
                      <w:bCs/>
                      <w:szCs w:val="21"/>
                      <w:u w:val="single"/>
                    </w:rPr>
                    <w:t>PM</w:t>
                  </w:r>
                  <w:r>
                    <w:rPr>
                      <w:rFonts w:hint="eastAsia" w:ascii="宋体" w:hAnsi="宋体" w:cs="宋体"/>
                      <w:bCs/>
                      <w:szCs w:val="21"/>
                      <w:u w:val="single"/>
                      <w:vertAlign w:val="subscript"/>
                    </w:rPr>
                    <w:t>2.5</w:t>
                  </w:r>
                </w:p>
              </w:tc>
              <w:tc>
                <w:tcPr>
                  <w:tcW w:w="996" w:type="dxa"/>
                  <w:vAlign w:val="center"/>
                </w:tcPr>
                <w:p>
                  <w:pPr>
                    <w:adjustRightInd w:val="0"/>
                    <w:snapToGrid w:val="0"/>
                    <w:jc w:val="center"/>
                    <w:rPr>
                      <w:rFonts w:ascii="宋体" w:hAnsi="宋体" w:cs="宋体"/>
                      <w:bCs/>
                      <w:szCs w:val="21"/>
                      <w:u w:val="single"/>
                    </w:rPr>
                  </w:pPr>
                  <w:r>
                    <w:rPr>
                      <w:rFonts w:hint="eastAsia" w:ascii="宋体" w:hAnsi="宋体" w:cs="宋体"/>
                      <w:bCs/>
                      <w:szCs w:val="21"/>
                      <w:u w:val="single"/>
                    </w:rPr>
                    <w:t>O</w:t>
                  </w:r>
                  <w:r>
                    <w:rPr>
                      <w:rFonts w:hint="eastAsia" w:ascii="宋体" w:hAnsi="宋体" w:cs="宋体"/>
                      <w:bCs/>
                      <w:szCs w:val="21"/>
                      <w:u w:val="single"/>
                      <w:vertAlign w:val="subscript"/>
                    </w:rPr>
                    <w:t>3</w:t>
                  </w:r>
                  <w:r>
                    <w:rPr>
                      <w:rFonts w:hint="eastAsia" w:ascii="宋体" w:hAnsi="宋体" w:cs="宋体"/>
                      <w:bCs/>
                      <w:szCs w:val="21"/>
                      <w:u w:val="single"/>
                    </w:rPr>
                    <w:t>-8h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Align w:val="center"/>
                </w:tcPr>
                <w:p>
                  <w:pPr>
                    <w:adjustRightInd w:val="0"/>
                    <w:snapToGrid w:val="0"/>
                    <w:jc w:val="center"/>
                    <w:rPr>
                      <w:rFonts w:ascii="宋体" w:hAnsi="宋体" w:cs="宋体"/>
                      <w:bCs/>
                      <w:szCs w:val="21"/>
                      <w:u w:val="single"/>
                    </w:rPr>
                  </w:pPr>
                  <w:r>
                    <w:rPr>
                      <w:rFonts w:hint="eastAsia" w:ascii="宋体" w:hAnsi="宋体" w:cs="宋体"/>
                      <w:bCs/>
                      <w:szCs w:val="21"/>
                      <w:u w:val="single"/>
                    </w:rPr>
                    <w:t>年均浓度</w:t>
                  </w:r>
                </w:p>
              </w:tc>
              <w:tc>
                <w:tcPr>
                  <w:tcW w:w="762" w:type="dxa"/>
                  <w:vMerge w:val="restart"/>
                  <w:vAlign w:val="center"/>
                </w:tcPr>
                <w:p>
                  <w:pPr>
                    <w:adjustRightInd w:val="0"/>
                    <w:snapToGrid w:val="0"/>
                    <w:jc w:val="center"/>
                    <w:rPr>
                      <w:rFonts w:ascii="宋体" w:hAnsi="宋体" w:cs="宋体"/>
                      <w:bCs/>
                      <w:szCs w:val="21"/>
                      <w:u w:val="single"/>
                    </w:rPr>
                  </w:pPr>
                  <w:r>
                    <w:rPr>
                      <w:rFonts w:hint="eastAsia" w:ascii="宋体" w:hAnsi="宋体" w:cs="宋体"/>
                      <w:bCs/>
                      <w:szCs w:val="21"/>
                      <w:u w:val="single"/>
                    </w:rPr>
                    <w:t>2025</w:t>
                  </w:r>
                </w:p>
              </w:tc>
              <w:tc>
                <w:tcPr>
                  <w:tcW w:w="996" w:type="dxa"/>
                  <w:vAlign w:val="center"/>
                </w:tcPr>
                <w:p>
                  <w:pPr>
                    <w:adjustRightInd w:val="0"/>
                    <w:snapToGrid w:val="0"/>
                    <w:jc w:val="center"/>
                    <w:rPr>
                      <w:rFonts w:ascii="宋体" w:hAnsi="宋体" w:cs="宋体"/>
                      <w:bCs/>
                      <w:szCs w:val="21"/>
                      <w:u w:val="single"/>
                    </w:rPr>
                  </w:pPr>
                  <w:r>
                    <w:rPr>
                      <w:rFonts w:hint="eastAsia" w:ascii="宋体" w:hAnsi="宋体" w:cs="宋体"/>
                      <w:bCs/>
                      <w:szCs w:val="21"/>
                      <w:u w:val="single"/>
                    </w:rPr>
                    <w:t>9</w:t>
                  </w:r>
                </w:p>
              </w:tc>
              <w:tc>
                <w:tcPr>
                  <w:tcW w:w="996" w:type="dxa"/>
                  <w:vAlign w:val="center"/>
                </w:tcPr>
                <w:p>
                  <w:pPr>
                    <w:adjustRightInd w:val="0"/>
                    <w:snapToGrid w:val="0"/>
                    <w:jc w:val="center"/>
                    <w:rPr>
                      <w:rFonts w:ascii="宋体" w:hAnsi="宋体" w:cs="宋体"/>
                      <w:bCs/>
                      <w:szCs w:val="21"/>
                      <w:u w:val="single"/>
                    </w:rPr>
                  </w:pPr>
                  <w:r>
                    <w:rPr>
                      <w:rFonts w:hint="eastAsia" w:ascii="宋体" w:hAnsi="宋体" w:cs="宋体"/>
                      <w:bCs/>
                      <w:szCs w:val="21"/>
                      <w:u w:val="single"/>
                    </w:rPr>
                    <w:t>13</w:t>
                  </w:r>
                </w:p>
              </w:tc>
              <w:tc>
                <w:tcPr>
                  <w:tcW w:w="995" w:type="dxa"/>
                  <w:vAlign w:val="center"/>
                </w:tcPr>
                <w:p>
                  <w:pPr>
                    <w:adjustRightInd w:val="0"/>
                    <w:snapToGrid w:val="0"/>
                    <w:jc w:val="center"/>
                    <w:rPr>
                      <w:rFonts w:ascii="宋体" w:hAnsi="宋体" w:cs="宋体"/>
                      <w:bCs/>
                      <w:szCs w:val="21"/>
                      <w:u w:val="single"/>
                    </w:rPr>
                  </w:pPr>
                  <w:r>
                    <w:rPr>
                      <w:rFonts w:hint="eastAsia" w:ascii="宋体" w:hAnsi="宋体" w:cs="宋体"/>
                      <w:bCs/>
                      <w:szCs w:val="21"/>
                      <w:u w:val="single"/>
                    </w:rPr>
                    <w:t>1.0</w:t>
                  </w:r>
                </w:p>
              </w:tc>
              <w:tc>
                <w:tcPr>
                  <w:tcW w:w="996" w:type="dxa"/>
                  <w:vAlign w:val="center"/>
                </w:tcPr>
                <w:p>
                  <w:pPr>
                    <w:adjustRightInd w:val="0"/>
                    <w:snapToGrid w:val="0"/>
                    <w:jc w:val="center"/>
                    <w:rPr>
                      <w:rFonts w:ascii="宋体" w:hAnsi="宋体" w:cs="宋体"/>
                      <w:bCs/>
                      <w:szCs w:val="21"/>
                      <w:u w:val="single"/>
                    </w:rPr>
                  </w:pPr>
                  <w:r>
                    <w:rPr>
                      <w:rFonts w:hint="eastAsia" w:ascii="宋体" w:hAnsi="宋体" w:cs="宋体"/>
                      <w:bCs/>
                      <w:szCs w:val="21"/>
                      <w:u w:val="single"/>
                    </w:rPr>
                    <w:t>36</w:t>
                  </w:r>
                </w:p>
              </w:tc>
              <w:tc>
                <w:tcPr>
                  <w:tcW w:w="996" w:type="dxa"/>
                  <w:vAlign w:val="center"/>
                </w:tcPr>
                <w:p>
                  <w:pPr>
                    <w:adjustRightInd w:val="0"/>
                    <w:snapToGrid w:val="0"/>
                    <w:jc w:val="center"/>
                    <w:rPr>
                      <w:rFonts w:ascii="宋体" w:hAnsi="宋体" w:cs="宋体"/>
                      <w:bCs/>
                      <w:szCs w:val="21"/>
                      <w:u w:val="single"/>
                    </w:rPr>
                  </w:pPr>
                  <w:r>
                    <w:rPr>
                      <w:rFonts w:hint="eastAsia" w:ascii="宋体" w:hAnsi="宋体" w:cs="宋体"/>
                      <w:bCs/>
                      <w:szCs w:val="21"/>
                      <w:u w:val="single"/>
                    </w:rPr>
                    <w:t>20</w:t>
                  </w:r>
                </w:p>
              </w:tc>
              <w:tc>
                <w:tcPr>
                  <w:tcW w:w="996" w:type="dxa"/>
                  <w:vAlign w:val="center"/>
                </w:tcPr>
                <w:p>
                  <w:pPr>
                    <w:adjustRightInd w:val="0"/>
                    <w:snapToGrid w:val="0"/>
                    <w:jc w:val="center"/>
                    <w:rPr>
                      <w:rFonts w:ascii="宋体" w:hAnsi="宋体" w:cs="宋体"/>
                      <w:bCs/>
                      <w:szCs w:val="21"/>
                      <w:u w:val="single"/>
                    </w:rPr>
                  </w:pPr>
                  <w:r>
                    <w:rPr>
                      <w:rFonts w:hint="eastAsia" w:ascii="宋体" w:hAnsi="宋体" w:cs="宋体"/>
                      <w:bCs/>
                      <w:szCs w:val="21"/>
                      <w:u w:val="single"/>
                    </w:rPr>
                    <w:t>113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Align w:val="center"/>
                </w:tcPr>
                <w:p>
                  <w:pPr>
                    <w:adjustRightInd w:val="0"/>
                    <w:snapToGrid w:val="0"/>
                    <w:jc w:val="center"/>
                    <w:rPr>
                      <w:rFonts w:ascii="宋体" w:hAnsi="宋体" w:cs="宋体"/>
                      <w:bCs/>
                      <w:szCs w:val="21"/>
                      <w:u w:val="single"/>
                    </w:rPr>
                  </w:pPr>
                  <w:r>
                    <w:rPr>
                      <w:rFonts w:hint="eastAsia" w:ascii="宋体" w:hAnsi="宋体" w:cs="宋体"/>
                      <w:bCs/>
                      <w:szCs w:val="21"/>
                      <w:u w:val="single"/>
                    </w:rPr>
                    <w:t>标准（过渡阶段）</w:t>
                  </w:r>
                </w:p>
              </w:tc>
              <w:tc>
                <w:tcPr>
                  <w:tcW w:w="762" w:type="dxa"/>
                  <w:vMerge w:val="continue"/>
                  <w:vAlign w:val="center"/>
                </w:tcPr>
                <w:p>
                  <w:pPr>
                    <w:adjustRightInd w:val="0"/>
                    <w:snapToGrid w:val="0"/>
                    <w:jc w:val="center"/>
                    <w:rPr>
                      <w:rFonts w:ascii="宋体" w:hAnsi="宋体" w:cs="宋体"/>
                      <w:bCs/>
                      <w:szCs w:val="21"/>
                      <w:u w:val="single"/>
                    </w:rPr>
                  </w:pPr>
                </w:p>
              </w:tc>
              <w:tc>
                <w:tcPr>
                  <w:tcW w:w="996" w:type="dxa"/>
                  <w:vAlign w:val="center"/>
                </w:tcPr>
                <w:p>
                  <w:pPr>
                    <w:adjustRightInd w:val="0"/>
                    <w:snapToGrid w:val="0"/>
                    <w:jc w:val="center"/>
                    <w:rPr>
                      <w:rFonts w:ascii="宋体" w:hAnsi="宋体" w:cs="宋体"/>
                      <w:bCs/>
                      <w:szCs w:val="21"/>
                      <w:u w:val="single"/>
                    </w:rPr>
                  </w:pPr>
                  <w:r>
                    <w:rPr>
                      <w:rFonts w:hint="eastAsia" w:ascii="宋体" w:hAnsi="宋体" w:cs="宋体"/>
                      <w:bCs/>
                      <w:szCs w:val="21"/>
                      <w:u w:val="single"/>
                    </w:rPr>
                    <w:t>60</w:t>
                  </w:r>
                </w:p>
              </w:tc>
              <w:tc>
                <w:tcPr>
                  <w:tcW w:w="996" w:type="dxa"/>
                  <w:vAlign w:val="center"/>
                </w:tcPr>
                <w:p>
                  <w:pPr>
                    <w:adjustRightInd w:val="0"/>
                    <w:snapToGrid w:val="0"/>
                    <w:jc w:val="center"/>
                    <w:rPr>
                      <w:rFonts w:ascii="宋体" w:hAnsi="宋体" w:cs="宋体"/>
                      <w:bCs/>
                      <w:szCs w:val="21"/>
                      <w:u w:val="single"/>
                    </w:rPr>
                  </w:pPr>
                  <w:r>
                    <w:rPr>
                      <w:rFonts w:hint="eastAsia" w:ascii="宋体" w:hAnsi="宋体" w:cs="宋体"/>
                      <w:bCs/>
                      <w:szCs w:val="21"/>
                      <w:u w:val="single"/>
                    </w:rPr>
                    <w:t>40</w:t>
                  </w:r>
                </w:p>
              </w:tc>
              <w:tc>
                <w:tcPr>
                  <w:tcW w:w="995" w:type="dxa"/>
                  <w:vAlign w:val="center"/>
                </w:tcPr>
                <w:p>
                  <w:pPr>
                    <w:adjustRightInd w:val="0"/>
                    <w:snapToGrid w:val="0"/>
                    <w:jc w:val="center"/>
                    <w:rPr>
                      <w:rFonts w:ascii="宋体" w:hAnsi="宋体" w:cs="宋体"/>
                      <w:bCs/>
                      <w:szCs w:val="21"/>
                      <w:u w:val="single"/>
                    </w:rPr>
                  </w:pPr>
                  <w:r>
                    <w:rPr>
                      <w:rFonts w:hint="eastAsia" w:ascii="宋体" w:hAnsi="宋体" w:cs="宋体"/>
                      <w:bCs/>
                      <w:szCs w:val="21"/>
                      <w:u w:val="single"/>
                    </w:rPr>
                    <w:t>4</w:t>
                  </w:r>
                </w:p>
              </w:tc>
              <w:tc>
                <w:tcPr>
                  <w:tcW w:w="996" w:type="dxa"/>
                  <w:vAlign w:val="center"/>
                </w:tcPr>
                <w:p>
                  <w:pPr>
                    <w:adjustRightInd w:val="0"/>
                    <w:snapToGrid w:val="0"/>
                    <w:jc w:val="center"/>
                    <w:rPr>
                      <w:rFonts w:ascii="宋体" w:hAnsi="宋体" w:cs="宋体"/>
                      <w:bCs/>
                      <w:szCs w:val="21"/>
                      <w:u w:val="single"/>
                    </w:rPr>
                  </w:pPr>
                  <w:r>
                    <w:rPr>
                      <w:rFonts w:hint="eastAsia" w:ascii="宋体" w:hAnsi="宋体" w:cs="宋体"/>
                      <w:bCs/>
                      <w:szCs w:val="21"/>
                      <w:u w:val="single"/>
                    </w:rPr>
                    <w:t>60</w:t>
                  </w:r>
                </w:p>
              </w:tc>
              <w:tc>
                <w:tcPr>
                  <w:tcW w:w="996" w:type="dxa"/>
                  <w:vAlign w:val="center"/>
                </w:tcPr>
                <w:p>
                  <w:pPr>
                    <w:adjustRightInd w:val="0"/>
                    <w:snapToGrid w:val="0"/>
                    <w:jc w:val="center"/>
                    <w:rPr>
                      <w:rFonts w:ascii="宋体" w:hAnsi="宋体" w:cs="宋体"/>
                      <w:bCs/>
                      <w:szCs w:val="21"/>
                      <w:u w:val="single"/>
                    </w:rPr>
                  </w:pPr>
                  <w:r>
                    <w:rPr>
                      <w:rFonts w:hint="eastAsia" w:ascii="宋体" w:hAnsi="宋体" w:cs="宋体"/>
                      <w:bCs/>
                      <w:szCs w:val="21"/>
                      <w:u w:val="single"/>
                    </w:rPr>
                    <w:t>30</w:t>
                  </w:r>
                </w:p>
              </w:tc>
              <w:tc>
                <w:tcPr>
                  <w:tcW w:w="996" w:type="dxa"/>
                  <w:vAlign w:val="center"/>
                </w:tcPr>
                <w:p>
                  <w:pPr>
                    <w:adjustRightInd w:val="0"/>
                    <w:snapToGrid w:val="0"/>
                    <w:jc w:val="center"/>
                    <w:rPr>
                      <w:rFonts w:ascii="宋体" w:hAnsi="宋体" w:cs="宋体"/>
                      <w:bCs/>
                      <w:szCs w:val="21"/>
                      <w:u w:val="single"/>
                    </w:rPr>
                  </w:pPr>
                  <w:r>
                    <w:rPr>
                      <w:rFonts w:hint="eastAsia" w:ascii="宋体" w:hAnsi="宋体" w:cs="宋体"/>
                      <w:bCs/>
                      <w:szCs w:val="21"/>
                      <w:u w:val="single"/>
                    </w:rPr>
                    <w:t>160</w:t>
                  </w:r>
                </w:p>
              </w:tc>
            </w:tr>
          </w:tbl>
          <w:p>
            <w:pPr>
              <w:spacing w:line="360" w:lineRule="auto"/>
              <w:ind w:firstLine="480" w:firstLineChars="200"/>
              <w:rPr>
                <w:sz w:val="24"/>
              </w:rPr>
            </w:pPr>
            <w:r>
              <w:rPr>
                <w:rFonts w:hint="eastAsia"/>
                <w:sz w:val="24"/>
              </w:rPr>
              <w:t>由表3-2可知，柳河县2025年达到环境空气质量二级标准，空气质量良好。</w:t>
            </w:r>
          </w:p>
          <w:p>
            <w:pPr>
              <w:spacing w:line="360" w:lineRule="auto"/>
              <w:ind w:firstLine="482" w:firstLineChars="200"/>
              <w:rPr>
                <w:b/>
                <w:bCs/>
                <w:sz w:val="24"/>
              </w:rPr>
            </w:pPr>
            <w:r>
              <w:rPr>
                <w:rFonts w:hint="eastAsia" w:ascii="宋体" w:hAnsi="宋体" w:cs="宋体"/>
                <w:b/>
                <w:bCs/>
                <w:sz w:val="24"/>
              </w:rPr>
              <w:t>⑵</w:t>
            </w:r>
            <w:r>
              <w:rPr>
                <w:rFonts w:hint="eastAsia"/>
                <w:b/>
                <w:bCs/>
                <w:sz w:val="24"/>
              </w:rPr>
              <w:t>其他污染物</w:t>
            </w:r>
          </w:p>
          <w:p>
            <w:pPr>
              <w:spacing w:line="360" w:lineRule="auto"/>
              <w:ind w:firstLine="480" w:firstLineChars="200"/>
              <w:rPr>
                <w:sz w:val="24"/>
              </w:rPr>
            </w:pPr>
            <w:r>
              <w:rPr>
                <w:sz w:val="24"/>
              </w:rPr>
              <w:t>本次环境空气</w:t>
            </w:r>
            <w:r>
              <w:rPr>
                <w:rFonts w:hint="eastAsia"/>
                <w:sz w:val="24"/>
              </w:rPr>
              <w:t>补测的</w:t>
            </w:r>
            <w:r>
              <w:rPr>
                <w:rFonts w:hint="eastAsia" w:cs="宋体"/>
                <w:sz w:val="24"/>
              </w:rPr>
              <w:t>TSP、NO</w:t>
            </w:r>
            <w:r>
              <w:rPr>
                <w:rFonts w:hint="eastAsia" w:cs="宋体"/>
                <w:sz w:val="24"/>
                <w:vertAlign w:val="subscript"/>
              </w:rPr>
              <w:t>x</w:t>
            </w:r>
            <w:r>
              <w:rPr>
                <w:rFonts w:hint="eastAsia"/>
                <w:sz w:val="24"/>
              </w:rPr>
              <w:t>数据，由吉林省睿全检测技术有限公司于2026年2月4日-2月6日进行检测。</w:t>
            </w:r>
          </w:p>
          <w:p>
            <w:pPr>
              <w:spacing w:line="360" w:lineRule="auto"/>
              <w:ind w:firstLine="480" w:firstLineChars="200"/>
              <w:rPr>
                <w:b/>
                <w:sz w:val="24"/>
              </w:rPr>
            </w:pPr>
            <w:r>
              <w:rPr>
                <w:rFonts w:hint="eastAsia" w:cs="宋体"/>
                <w:sz w:val="24"/>
              </w:rPr>
              <w:t>①</w:t>
            </w:r>
            <w:r>
              <w:rPr>
                <w:rFonts w:hint="eastAsia"/>
                <w:sz w:val="24"/>
              </w:rPr>
              <w:t>监测点位布设</w:t>
            </w:r>
          </w:p>
          <w:p>
            <w:pPr>
              <w:spacing w:line="360" w:lineRule="auto"/>
              <w:ind w:firstLine="480"/>
              <w:rPr>
                <w:b/>
                <w:bCs/>
                <w:sz w:val="24"/>
                <w:lang w:val="zh-CN"/>
              </w:rPr>
            </w:pPr>
            <w:r>
              <w:rPr>
                <w:sz w:val="24"/>
              </w:rPr>
              <w:t>根据本项目环境空气评价级别与范围，在评价区域内共设置</w:t>
            </w:r>
            <w:r>
              <w:rPr>
                <w:rFonts w:hint="eastAsia"/>
                <w:sz w:val="24"/>
              </w:rPr>
              <w:t>1</w:t>
            </w:r>
            <w:r>
              <w:rPr>
                <w:sz w:val="24"/>
              </w:rPr>
              <w:t>个大气监测点位，环境空气质量现状监测布点详见表</w:t>
            </w:r>
            <w:r>
              <w:rPr>
                <w:rFonts w:hint="eastAsia"/>
                <w:sz w:val="24"/>
              </w:rPr>
              <w:t>3-3</w:t>
            </w:r>
            <w:r>
              <w:rPr>
                <w:sz w:val="24"/>
              </w:rPr>
              <w:t>和附图</w:t>
            </w:r>
            <w:r>
              <w:rPr>
                <w:rFonts w:hint="eastAsia"/>
                <w:sz w:val="24"/>
              </w:rPr>
              <w:t>3</w:t>
            </w:r>
            <w:r>
              <w:rPr>
                <w:sz w:val="24"/>
              </w:rPr>
              <w:t>。</w:t>
            </w:r>
          </w:p>
          <w:p>
            <w:pPr>
              <w:adjustRightInd w:val="0"/>
              <w:snapToGrid w:val="0"/>
              <w:spacing w:line="360" w:lineRule="auto"/>
              <w:jc w:val="center"/>
              <w:rPr>
                <w:rFonts w:ascii="宋体" w:hAnsi="宋体" w:cs="宋体"/>
                <w:b/>
                <w:sz w:val="24"/>
                <w:szCs w:val="21"/>
                <w:u w:val="single"/>
                <w:lang w:val="zh-CN"/>
              </w:rPr>
            </w:pPr>
            <w:r>
              <w:rPr>
                <w:rFonts w:ascii="宋体" w:hAnsi="宋体" w:cs="宋体"/>
                <w:b/>
                <w:sz w:val="24"/>
                <w:szCs w:val="21"/>
                <w:u w:val="single"/>
                <w:lang w:val="zh-CN"/>
              </w:rPr>
              <w:t>表</w:t>
            </w:r>
            <w:r>
              <w:rPr>
                <w:rFonts w:hint="eastAsia" w:ascii="宋体" w:hAnsi="宋体" w:cs="宋体"/>
                <w:b/>
                <w:sz w:val="24"/>
                <w:szCs w:val="21"/>
                <w:u w:val="single"/>
              </w:rPr>
              <w:t>3-3</w:t>
            </w:r>
            <w:r>
              <w:rPr>
                <w:rFonts w:ascii="宋体" w:hAnsi="宋体" w:cs="宋体"/>
                <w:b/>
                <w:sz w:val="24"/>
                <w:szCs w:val="21"/>
                <w:u w:val="single"/>
              </w:rPr>
              <w:t xml:space="preserve">  </w:t>
            </w:r>
            <w:r>
              <w:rPr>
                <w:rFonts w:ascii="宋体" w:hAnsi="宋体" w:cs="宋体"/>
                <w:b/>
                <w:sz w:val="24"/>
                <w:szCs w:val="21"/>
                <w:u w:val="single"/>
                <w:lang w:val="zh-CN"/>
              </w:rPr>
              <w:t>环境空气质量监测点布设情况表</w:t>
            </w:r>
          </w:p>
          <w:tbl>
            <w:tblPr>
              <w:tblStyle w:val="27"/>
              <w:tblW w:w="797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6" w:space="0"/>
              </w:tblBorders>
              <w:tblLayout w:type="fixed"/>
              <w:tblCellMar>
                <w:top w:w="0" w:type="dxa"/>
                <w:left w:w="108" w:type="dxa"/>
                <w:bottom w:w="0" w:type="dxa"/>
                <w:right w:w="108" w:type="dxa"/>
              </w:tblCellMar>
            </w:tblPr>
            <w:tblGrid>
              <w:gridCol w:w="3347"/>
              <w:gridCol w:w="4625"/>
            </w:tblGrid>
            <w:tr>
              <w:tblPrEx>
                <w:tblBorders>
                  <w:top w:val="single" w:color="auto" w:sz="12" w:space="0"/>
                  <w:left w:val="none" w:color="auto" w:sz="0" w:space="0"/>
                  <w:bottom w:val="single" w:color="auto" w:sz="12" w:space="0"/>
                  <w:right w:val="none" w:color="auto" w:sz="0" w:space="0"/>
                  <w:insideH w:val="single" w:color="auto" w:sz="4" w:space="0"/>
                  <w:insideV w:val="single" w:color="auto" w:sz="6" w:space="0"/>
                </w:tblBorders>
                <w:tblCellMar>
                  <w:top w:w="0" w:type="dxa"/>
                  <w:left w:w="108" w:type="dxa"/>
                  <w:bottom w:w="0" w:type="dxa"/>
                  <w:right w:w="108" w:type="dxa"/>
                </w:tblCellMar>
              </w:tblPrEx>
              <w:trPr>
                <w:trHeight w:val="227" w:hRule="atLeast"/>
                <w:jc w:val="center"/>
              </w:trPr>
              <w:tc>
                <w:tcPr>
                  <w:tcW w:w="3347" w:type="dxa"/>
                  <w:vAlign w:val="center"/>
                </w:tcPr>
                <w:p>
                  <w:pPr>
                    <w:autoSpaceDE w:val="0"/>
                    <w:autoSpaceDN w:val="0"/>
                    <w:adjustRightInd w:val="0"/>
                    <w:jc w:val="center"/>
                    <w:rPr>
                      <w:szCs w:val="21"/>
                      <w:lang w:val="zh-CN"/>
                    </w:rPr>
                  </w:pPr>
                  <w:r>
                    <w:rPr>
                      <w:szCs w:val="21"/>
                      <w:lang w:val="zh-CN"/>
                    </w:rPr>
                    <w:t>测点名称</w:t>
                  </w:r>
                </w:p>
              </w:tc>
              <w:tc>
                <w:tcPr>
                  <w:tcW w:w="4625" w:type="dxa"/>
                  <w:vAlign w:val="center"/>
                </w:tcPr>
                <w:p>
                  <w:pPr>
                    <w:pStyle w:val="54"/>
                    <w:tabs>
                      <w:tab w:val="left" w:pos="2860"/>
                    </w:tabs>
                    <w:autoSpaceDE w:val="0"/>
                    <w:autoSpaceDN w:val="0"/>
                    <w:rPr>
                      <w:rFonts w:ascii="Times New Roman" w:hAnsi="Times New Roman" w:cs="Times New Roman"/>
                      <w:szCs w:val="21"/>
                      <w:lang w:val="en-US"/>
                    </w:rPr>
                  </w:pPr>
                  <w:r>
                    <w:rPr>
                      <w:rFonts w:ascii="Times New Roman" w:hAnsi="Times New Roman" w:cs="Times New Roman"/>
                      <w:szCs w:val="21"/>
                    </w:rPr>
                    <w:t>监测目的</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6" w:space="0"/>
                </w:tblBorders>
                <w:tblCellMar>
                  <w:top w:w="0" w:type="dxa"/>
                  <w:left w:w="108" w:type="dxa"/>
                  <w:bottom w:w="0" w:type="dxa"/>
                  <w:right w:w="108" w:type="dxa"/>
                </w:tblCellMar>
              </w:tblPrEx>
              <w:trPr>
                <w:trHeight w:val="227" w:hRule="atLeast"/>
                <w:jc w:val="center"/>
              </w:trPr>
              <w:tc>
                <w:tcPr>
                  <w:tcW w:w="3347" w:type="dxa"/>
                  <w:vAlign w:val="center"/>
                </w:tcPr>
                <w:p>
                  <w:pPr>
                    <w:autoSpaceDE w:val="0"/>
                    <w:autoSpaceDN w:val="0"/>
                    <w:adjustRightInd w:val="0"/>
                    <w:jc w:val="center"/>
                    <w:rPr>
                      <w:szCs w:val="21"/>
                    </w:rPr>
                  </w:pPr>
                  <w:r>
                    <w:rPr>
                      <w:rFonts w:hint="eastAsia"/>
                      <w:szCs w:val="21"/>
                    </w:rPr>
                    <w:t>项目下风向500m</w:t>
                  </w:r>
                </w:p>
              </w:tc>
              <w:tc>
                <w:tcPr>
                  <w:tcW w:w="4625" w:type="dxa"/>
                  <w:vAlign w:val="center"/>
                </w:tcPr>
                <w:p>
                  <w:pPr>
                    <w:pStyle w:val="54"/>
                    <w:tabs>
                      <w:tab w:val="left" w:pos="2860"/>
                    </w:tabs>
                    <w:autoSpaceDE w:val="0"/>
                    <w:autoSpaceDN w:val="0"/>
                    <w:rPr>
                      <w:rFonts w:ascii="Times New Roman" w:hAnsi="Times New Roman" w:cs="Times New Roman"/>
                      <w:szCs w:val="21"/>
                      <w:lang w:val="en-US"/>
                    </w:rPr>
                  </w:pPr>
                  <w:r>
                    <w:rPr>
                      <w:rFonts w:ascii="Times New Roman" w:hAnsi="Times New Roman" w:cs="Times New Roman"/>
                      <w:szCs w:val="21"/>
                    </w:rPr>
                    <w:t>了解项目</w:t>
                  </w:r>
                  <w:r>
                    <w:rPr>
                      <w:rFonts w:hint="eastAsia" w:ascii="Times New Roman" w:hAnsi="Times New Roman" w:cs="Times New Roman"/>
                      <w:szCs w:val="21"/>
                      <w:lang w:val="en-US"/>
                    </w:rPr>
                    <w:t>下风向</w:t>
                  </w:r>
                  <w:r>
                    <w:rPr>
                      <w:rFonts w:ascii="Times New Roman" w:hAnsi="Times New Roman" w:cs="Times New Roman"/>
                      <w:szCs w:val="21"/>
                    </w:rPr>
                    <w:t>的空气质量现状</w:t>
                  </w:r>
                </w:p>
              </w:tc>
            </w:tr>
          </w:tbl>
          <w:p>
            <w:pPr>
              <w:spacing w:line="360" w:lineRule="auto"/>
              <w:ind w:firstLine="480"/>
              <w:rPr>
                <w:sz w:val="24"/>
              </w:rPr>
            </w:pPr>
            <w:r>
              <w:rPr>
                <w:snapToGrid w:val="0"/>
                <w:spacing w:val="-6"/>
                <w:kern w:val="21"/>
                <w:sz w:val="24"/>
              </w:rPr>
              <w:fldChar w:fldCharType="begin"/>
            </w:r>
            <w:r>
              <w:rPr>
                <w:snapToGrid w:val="0"/>
                <w:spacing w:val="-6"/>
                <w:kern w:val="21"/>
                <w:sz w:val="24"/>
              </w:rPr>
              <w:instrText xml:space="preserve"> = 2 \* GB3 \* MERGEFORMAT </w:instrText>
            </w:r>
            <w:r>
              <w:rPr>
                <w:snapToGrid w:val="0"/>
                <w:spacing w:val="-6"/>
                <w:kern w:val="21"/>
                <w:sz w:val="24"/>
              </w:rPr>
              <w:fldChar w:fldCharType="separate"/>
            </w:r>
            <w:r>
              <w:rPr>
                <w:rFonts w:hint="eastAsia" w:cs="宋体"/>
                <w:snapToGrid w:val="0"/>
                <w:spacing w:val="-6"/>
                <w:kern w:val="21"/>
                <w:sz w:val="24"/>
              </w:rPr>
              <w:t>②</w:t>
            </w:r>
            <w:r>
              <w:rPr>
                <w:snapToGrid w:val="0"/>
                <w:spacing w:val="-6"/>
                <w:kern w:val="21"/>
                <w:sz w:val="24"/>
              </w:rPr>
              <w:fldChar w:fldCharType="end"/>
            </w:r>
            <w:r>
              <w:rPr>
                <w:sz w:val="24"/>
              </w:rPr>
              <w:t>监测项目</w:t>
            </w:r>
          </w:p>
          <w:p>
            <w:pPr>
              <w:spacing w:line="360" w:lineRule="auto"/>
              <w:ind w:firstLine="480"/>
              <w:rPr>
                <w:sz w:val="24"/>
                <w:vertAlign w:val="subscript"/>
              </w:rPr>
            </w:pPr>
            <w:r>
              <w:rPr>
                <w:rFonts w:hint="eastAsia" w:cs="宋体"/>
                <w:sz w:val="24"/>
              </w:rPr>
              <w:t>NO</w:t>
            </w:r>
            <w:r>
              <w:rPr>
                <w:rFonts w:hint="eastAsia" w:cs="宋体"/>
                <w:sz w:val="24"/>
                <w:vertAlign w:val="subscript"/>
              </w:rPr>
              <w:t>x</w:t>
            </w:r>
            <w:r>
              <w:rPr>
                <w:rFonts w:hint="eastAsia" w:cs="宋体"/>
                <w:sz w:val="24"/>
              </w:rPr>
              <w:t>监测</w:t>
            </w:r>
            <w:r>
              <w:rPr>
                <w:rFonts w:hint="eastAsia"/>
                <w:sz w:val="24"/>
              </w:rPr>
              <w:t>日均值及</w:t>
            </w:r>
            <w:r>
              <w:rPr>
                <w:rFonts w:hint="eastAsia" w:cs="宋体"/>
                <w:sz w:val="24"/>
              </w:rPr>
              <w:t>小时值，TSP</w:t>
            </w:r>
            <w:r>
              <w:rPr>
                <w:rFonts w:hint="eastAsia"/>
                <w:sz w:val="24"/>
              </w:rPr>
              <w:t>监测日均值。</w:t>
            </w:r>
          </w:p>
          <w:p>
            <w:pPr>
              <w:spacing w:line="360" w:lineRule="auto"/>
              <w:ind w:firstLine="480"/>
              <w:rPr>
                <w:sz w:val="24"/>
              </w:rPr>
            </w:pPr>
            <w:r>
              <w:rPr>
                <w:snapToGrid w:val="0"/>
                <w:spacing w:val="-6"/>
                <w:kern w:val="21"/>
                <w:sz w:val="24"/>
              </w:rPr>
              <w:fldChar w:fldCharType="begin"/>
            </w:r>
            <w:r>
              <w:rPr>
                <w:snapToGrid w:val="0"/>
                <w:spacing w:val="-6"/>
                <w:kern w:val="21"/>
                <w:sz w:val="24"/>
              </w:rPr>
              <w:instrText xml:space="preserve"> = 3 \* GB3 \* MERGEFORMAT </w:instrText>
            </w:r>
            <w:r>
              <w:rPr>
                <w:snapToGrid w:val="0"/>
                <w:spacing w:val="-6"/>
                <w:kern w:val="21"/>
                <w:sz w:val="24"/>
              </w:rPr>
              <w:fldChar w:fldCharType="separate"/>
            </w:r>
            <w:r>
              <w:rPr>
                <w:rFonts w:hint="eastAsia" w:cs="宋体"/>
                <w:sz w:val="24"/>
              </w:rPr>
              <w:t>③</w:t>
            </w:r>
            <w:r>
              <w:rPr>
                <w:snapToGrid w:val="0"/>
                <w:spacing w:val="-6"/>
                <w:kern w:val="21"/>
                <w:sz w:val="24"/>
              </w:rPr>
              <w:fldChar w:fldCharType="end"/>
            </w:r>
            <w:r>
              <w:rPr>
                <w:sz w:val="24"/>
              </w:rPr>
              <w:t>监测时间</w:t>
            </w:r>
          </w:p>
          <w:p>
            <w:pPr>
              <w:spacing w:line="360" w:lineRule="auto"/>
              <w:ind w:firstLine="480"/>
              <w:rPr>
                <w:sz w:val="24"/>
              </w:rPr>
            </w:pPr>
            <w:r>
              <w:rPr>
                <w:sz w:val="24"/>
              </w:rPr>
              <w:t>202</w:t>
            </w:r>
            <w:r>
              <w:rPr>
                <w:rFonts w:hint="eastAsia"/>
                <w:sz w:val="24"/>
              </w:rPr>
              <w:t>6</w:t>
            </w:r>
            <w:r>
              <w:rPr>
                <w:sz w:val="24"/>
              </w:rPr>
              <w:t>年</w:t>
            </w:r>
            <w:r>
              <w:rPr>
                <w:rFonts w:hint="eastAsia"/>
                <w:sz w:val="24"/>
              </w:rPr>
              <w:t>2</w:t>
            </w:r>
            <w:r>
              <w:rPr>
                <w:sz w:val="24"/>
              </w:rPr>
              <w:t>月</w:t>
            </w:r>
            <w:r>
              <w:rPr>
                <w:rFonts w:hint="eastAsia"/>
                <w:sz w:val="24"/>
              </w:rPr>
              <w:t>4</w:t>
            </w:r>
            <w:r>
              <w:rPr>
                <w:sz w:val="24"/>
              </w:rPr>
              <w:t>日—</w:t>
            </w:r>
            <w:r>
              <w:rPr>
                <w:rFonts w:hint="eastAsia"/>
                <w:sz w:val="24"/>
              </w:rPr>
              <w:t>6</w:t>
            </w:r>
            <w:r>
              <w:rPr>
                <w:sz w:val="24"/>
              </w:rPr>
              <w:t>日</w:t>
            </w:r>
            <w:r>
              <w:rPr>
                <w:rFonts w:hint="eastAsia"/>
                <w:sz w:val="24"/>
              </w:rPr>
              <w:t>；</w:t>
            </w:r>
          </w:p>
          <w:p>
            <w:pPr>
              <w:spacing w:line="360" w:lineRule="auto"/>
              <w:ind w:firstLine="480"/>
              <w:rPr>
                <w:sz w:val="24"/>
              </w:rPr>
            </w:pPr>
            <w:r>
              <w:rPr>
                <w:snapToGrid w:val="0"/>
                <w:spacing w:val="-6"/>
                <w:kern w:val="21"/>
                <w:sz w:val="24"/>
              </w:rPr>
              <w:fldChar w:fldCharType="begin"/>
            </w:r>
            <w:r>
              <w:rPr>
                <w:snapToGrid w:val="0"/>
                <w:spacing w:val="-6"/>
                <w:kern w:val="21"/>
                <w:sz w:val="24"/>
              </w:rPr>
              <w:instrText xml:space="preserve"> = 4 \* GB3 \* MERGEFORMAT </w:instrText>
            </w:r>
            <w:r>
              <w:rPr>
                <w:snapToGrid w:val="0"/>
                <w:spacing w:val="-6"/>
                <w:kern w:val="21"/>
                <w:sz w:val="24"/>
              </w:rPr>
              <w:fldChar w:fldCharType="separate"/>
            </w:r>
            <w:r>
              <w:rPr>
                <w:rFonts w:hint="eastAsia" w:cs="宋体"/>
                <w:sz w:val="24"/>
              </w:rPr>
              <w:t>④</w:t>
            </w:r>
            <w:r>
              <w:rPr>
                <w:snapToGrid w:val="0"/>
                <w:spacing w:val="-6"/>
                <w:kern w:val="21"/>
                <w:sz w:val="24"/>
              </w:rPr>
              <w:fldChar w:fldCharType="end"/>
            </w:r>
            <w:r>
              <w:rPr>
                <w:sz w:val="24"/>
              </w:rPr>
              <w:t>监测单位</w:t>
            </w:r>
          </w:p>
          <w:p>
            <w:pPr>
              <w:spacing w:line="360" w:lineRule="auto"/>
              <w:ind w:firstLine="480"/>
              <w:rPr>
                <w:sz w:val="24"/>
              </w:rPr>
            </w:pPr>
            <w:r>
              <w:rPr>
                <w:rFonts w:hint="eastAsia" w:cs="宋体"/>
                <w:sz w:val="24"/>
              </w:rPr>
              <w:t>TSP、NO</w:t>
            </w:r>
            <w:r>
              <w:rPr>
                <w:rFonts w:hint="eastAsia" w:cs="宋体"/>
                <w:sz w:val="24"/>
                <w:vertAlign w:val="subscript"/>
              </w:rPr>
              <w:t>x</w:t>
            </w:r>
            <w:r>
              <w:rPr>
                <w:sz w:val="24"/>
              </w:rPr>
              <w:t>由</w:t>
            </w:r>
            <w:r>
              <w:rPr>
                <w:rFonts w:hint="eastAsia"/>
                <w:sz w:val="24"/>
              </w:rPr>
              <w:t>吉林省睿全检测技术有限公司</w:t>
            </w:r>
            <w:r>
              <w:rPr>
                <w:sz w:val="24"/>
              </w:rPr>
              <w:t>进行监测。</w:t>
            </w:r>
          </w:p>
          <w:p>
            <w:pPr>
              <w:spacing w:line="360" w:lineRule="auto"/>
              <w:ind w:firstLine="480"/>
              <w:rPr>
                <w:sz w:val="24"/>
              </w:rPr>
            </w:pPr>
            <w:bookmarkStart w:id="3" w:name="_Toc148059923"/>
            <w:bookmarkStart w:id="4" w:name="_Toc150497063"/>
            <w:bookmarkStart w:id="5" w:name="_Toc149816834"/>
            <w:bookmarkStart w:id="6" w:name="_Toc164237333"/>
            <w:bookmarkStart w:id="7" w:name="_Toc150937107"/>
            <w:bookmarkStart w:id="8" w:name="_Toc188028803"/>
            <w:bookmarkStart w:id="9" w:name="_Toc191715993"/>
            <w:bookmarkStart w:id="10" w:name="_Toc128466415"/>
            <w:bookmarkStart w:id="11" w:name="_Toc210708381"/>
            <w:bookmarkStart w:id="12" w:name="_Toc213638382"/>
            <w:bookmarkStart w:id="13" w:name="_Toc134605968"/>
            <w:bookmarkStart w:id="14" w:name="_Toc189471658"/>
            <w:bookmarkStart w:id="15" w:name="_Toc128468750"/>
            <w:bookmarkStart w:id="16" w:name="_Toc188775583"/>
            <w:bookmarkStart w:id="17" w:name="_Toc133648376"/>
            <w:bookmarkStart w:id="18" w:name="_Toc128559912"/>
            <w:bookmarkStart w:id="19" w:name="_Toc208649201"/>
            <w:bookmarkStart w:id="20" w:name="_Toc129155980"/>
            <w:bookmarkStart w:id="21" w:name="_Toc173202347"/>
            <w:bookmarkStart w:id="22" w:name="_Toc150496754"/>
            <w:bookmarkStart w:id="23" w:name="_Toc150503346"/>
            <w:bookmarkStart w:id="24" w:name="_Toc149805373"/>
            <w:bookmarkStart w:id="25" w:name="_Toc167334204"/>
            <w:bookmarkStart w:id="26" w:name="_Toc164063170"/>
            <w:bookmarkStart w:id="27" w:name="_Toc136959296"/>
            <w:bookmarkStart w:id="28" w:name="_Toc163878443"/>
            <w:bookmarkStart w:id="29" w:name="_Toc149385760"/>
            <w:r>
              <w:rPr>
                <w:snapToGrid w:val="0"/>
                <w:spacing w:val="-16"/>
                <w:kern w:val="21"/>
                <w:sz w:val="24"/>
              </w:rPr>
              <w:fldChar w:fldCharType="begin"/>
            </w:r>
            <w:r>
              <w:rPr>
                <w:snapToGrid w:val="0"/>
                <w:spacing w:val="-16"/>
                <w:kern w:val="21"/>
                <w:sz w:val="24"/>
              </w:rPr>
              <w:instrText xml:space="preserve"> = 5 \* GB3 \* MERGEFORMAT </w:instrText>
            </w:r>
            <w:r>
              <w:rPr>
                <w:snapToGrid w:val="0"/>
                <w:spacing w:val="-16"/>
                <w:kern w:val="21"/>
                <w:sz w:val="24"/>
              </w:rPr>
              <w:fldChar w:fldCharType="separate"/>
            </w:r>
            <w:r>
              <w:rPr>
                <w:rFonts w:hint="eastAsia" w:cs="宋体"/>
                <w:sz w:val="24"/>
              </w:rPr>
              <w:t>⑤</w:t>
            </w:r>
            <w:r>
              <w:rPr>
                <w:snapToGrid w:val="0"/>
                <w:spacing w:val="-16"/>
                <w:kern w:val="21"/>
                <w:sz w:val="24"/>
              </w:rPr>
              <w:fldChar w:fldCharType="end"/>
            </w:r>
            <w:r>
              <w:rPr>
                <w:sz w:val="24"/>
              </w:rPr>
              <w:t>评价方法</w:t>
            </w:r>
          </w:p>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Pr>
              <w:spacing w:line="360" w:lineRule="auto"/>
              <w:ind w:firstLine="480"/>
              <w:rPr>
                <w:sz w:val="24"/>
              </w:rPr>
            </w:pPr>
            <w:r>
              <w:rPr>
                <w:rFonts w:ascii="Times New Roman" w:hAnsi="Times New Roman" w:eastAsia="宋体" w:cs="Times New Roman"/>
                <w:kern w:val="2"/>
                <w:sz w:val="24"/>
                <w:szCs w:val="24"/>
                <w:lang w:val="en-US" w:eastAsia="zh-CN" w:bidi="ar-SA"/>
              </w:rPr>
              <w:pict>
                <v:shape id="对象 61" o:spid="_x0000_s1031" o:spt="75" type="#_x0000_t75" style="position:absolute;left:0pt;margin-left:173.95pt;margin-top:17.85pt;height:1pt;width:1.75pt;z-index:251659264;mso-width-relative:page;mso-height-relative:page;" fillcolor="#FFFFFF" filled="f" o:preferrelative="t" stroked="f" coordsize="21600,21600">
                  <v:path/>
                  <v:fill on="f" color2="#FFFFFF" focussize="0,0"/>
                  <v:stroke on="f"/>
                  <v:imagedata r:id="rId9" gain="65536f" blacklevel="0f" gamma="0" o:title=""/>
                  <o:lock v:ext="edit" position="f" selection="f" grouping="f" rotation="f" cropping="f" text="f" aspectratio="t"/>
                </v:shape>
              </w:pict>
            </w:r>
            <w:r>
              <w:rPr>
                <w:sz w:val="24"/>
              </w:rPr>
              <w:t>评价方法采用占标率法，计算公式为：</w:t>
            </w:r>
          </w:p>
          <w:p>
            <w:pPr>
              <w:spacing w:line="360" w:lineRule="auto"/>
              <w:ind w:firstLine="480"/>
              <w:jc w:val="center"/>
              <w:rPr>
                <w:sz w:val="24"/>
              </w:rPr>
            </w:pPr>
            <w:r>
              <w:rPr>
                <w:rFonts w:ascii="Times New Roman" w:hAnsi="Times New Roman" w:eastAsia="宋体" w:cs="Times New Roman"/>
                <w:kern w:val="2"/>
                <w:position w:val="-30"/>
                <w:sz w:val="24"/>
                <w:szCs w:val="24"/>
                <w:lang w:val="en-US" w:eastAsia="zh-CN" w:bidi="ar-SA"/>
              </w:rPr>
              <w:object>
                <v:shape id="_x0000_i1032" o:spt="75" type="#_x0000_t75" style="height:34pt;width:78pt;" o:ole="t" fillcolor="#FFFFFF" filled="f" o:preferrelative="t" stroked="f" coordsize="21600,21600">
                  <v:path/>
                  <v:fill on="f" color2="#FFFFFF" focussize="0,0"/>
                  <v:stroke on="f"/>
                  <v:imagedata r:id="rId11" gain="65536f" blacklevel="0f" gamma="0" o:title=""/>
                  <o:lock v:ext="edit" position="f" selection="f" grouping="f" rotation="f" cropping="f" text="f" aspectratio="t"/>
                  <w10:wrap type="none"/>
                  <w10:anchorlock/>
                </v:shape>
                <o:OLEObject Type="Embed" ProgID="" ShapeID="_x0000_i1032" DrawAspect="Content" ObjectID="_1468075725" r:id="rId10">
                  <o:LockedField>false</o:LockedField>
                </o:OLEObject>
              </w:object>
            </w:r>
          </w:p>
          <w:p>
            <w:pPr>
              <w:spacing w:line="440" w:lineRule="exact"/>
              <w:ind w:firstLine="482"/>
              <w:rPr>
                <w:sz w:val="24"/>
              </w:rPr>
            </w:pPr>
            <w:r>
              <w:rPr>
                <w:sz w:val="24"/>
              </w:rPr>
              <w:t>式中：</w:t>
            </w:r>
            <w:r>
              <w:rPr>
                <w:i/>
                <w:iCs/>
                <w:sz w:val="24"/>
              </w:rPr>
              <w:t>P</w:t>
            </w:r>
            <w:r>
              <w:rPr>
                <w:sz w:val="24"/>
                <w:vertAlign w:val="subscript"/>
              </w:rPr>
              <w:t>i</w:t>
            </w:r>
            <w:r>
              <w:rPr>
                <w:sz w:val="24"/>
              </w:rPr>
              <w:t>——第i个污染物的最大地面浓度占标率，%；</w:t>
            </w:r>
          </w:p>
          <w:p>
            <w:pPr>
              <w:spacing w:line="440" w:lineRule="exact"/>
              <w:ind w:firstLine="482"/>
              <w:rPr>
                <w:sz w:val="24"/>
              </w:rPr>
            </w:pPr>
            <w:r>
              <w:rPr>
                <w:sz w:val="24"/>
              </w:rPr>
              <w:t xml:space="preserve">      </w:t>
            </w:r>
            <w:r>
              <w:rPr>
                <w:i/>
                <w:iCs/>
                <w:sz w:val="24"/>
              </w:rPr>
              <w:t>C</w:t>
            </w:r>
            <w:r>
              <w:rPr>
                <w:sz w:val="24"/>
                <w:vertAlign w:val="subscript"/>
              </w:rPr>
              <w:t>i</w:t>
            </w:r>
            <w:r>
              <w:rPr>
                <w:sz w:val="24"/>
              </w:rPr>
              <w:t>——i评价因子监测浓度，mg/m</w:t>
            </w:r>
            <w:r>
              <w:rPr>
                <w:sz w:val="24"/>
                <w:vertAlign w:val="superscript"/>
              </w:rPr>
              <w:t>3</w:t>
            </w:r>
            <w:r>
              <w:rPr>
                <w:sz w:val="24"/>
              </w:rPr>
              <w:t>；</w:t>
            </w:r>
          </w:p>
          <w:p>
            <w:pPr>
              <w:spacing w:line="440" w:lineRule="exact"/>
              <w:ind w:firstLine="482"/>
              <w:rPr>
                <w:sz w:val="24"/>
              </w:rPr>
            </w:pPr>
            <w:r>
              <w:rPr>
                <w:sz w:val="24"/>
              </w:rPr>
              <w:t xml:space="preserve">      </w:t>
            </w:r>
            <w:r>
              <w:rPr>
                <w:i/>
                <w:iCs/>
                <w:sz w:val="24"/>
              </w:rPr>
              <w:t>C</w:t>
            </w:r>
            <w:r>
              <w:rPr>
                <w:sz w:val="24"/>
                <w:vertAlign w:val="subscript"/>
              </w:rPr>
              <w:t>oi</w:t>
            </w:r>
            <w:r>
              <w:rPr>
                <w:sz w:val="24"/>
              </w:rPr>
              <w:t>——i评价因子标准值，mg/m</w:t>
            </w:r>
            <w:r>
              <w:rPr>
                <w:sz w:val="24"/>
                <w:vertAlign w:val="superscript"/>
              </w:rPr>
              <w:t>3</w:t>
            </w:r>
            <w:r>
              <w:rPr>
                <w:sz w:val="24"/>
              </w:rPr>
              <w:t>。</w:t>
            </w:r>
          </w:p>
          <w:p>
            <w:pPr>
              <w:spacing w:line="440" w:lineRule="exact"/>
              <w:ind w:firstLine="480" w:firstLineChars="200"/>
              <w:rPr>
                <w:sz w:val="24"/>
              </w:rPr>
            </w:pPr>
            <w:r>
              <w:rPr>
                <w:sz w:val="24"/>
              </w:rPr>
              <w:t>其中</w:t>
            </w:r>
            <w:r>
              <w:rPr>
                <w:i/>
                <w:iCs/>
                <w:sz w:val="24"/>
              </w:rPr>
              <w:t>P</w:t>
            </w:r>
            <w:r>
              <w:rPr>
                <w:sz w:val="24"/>
                <w:vertAlign w:val="subscript"/>
              </w:rPr>
              <w:t>i</w:t>
            </w:r>
            <w:r>
              <w:rPr>
                <w:sz w:val="24"/>
              </w:rPr>
              <w:t>＜</w:t>
            </w:r>
            <w:r>
              <w:rPr>
                <w:rFonts w:hint="eastAsia"/>
                <w:sz w:val="24"/>
              </w:rPr>
              <w:t>100%</w:t>
            </w:r>
            <w:r>
              <w:rPr>
                <w:sz w:val="24"/>
              </w:rPr>
              <w:t>时，表示该污染物不超标，满足其评价标准要求；而</w:t>
            </w:r>
            <w:r>
              <w:rPr>
                <w:i/>
                <w:iCs/>
                <w:sz w:val="24"/>
              </w:rPr>
              <w:t>P</w:t>
            </w:r>
            <w:r>
              <w:rPr>
                <w:sz w:val="24"/>
                <w:vertAlign w:val="subscript"/>
              </w:rPr>
              <w:t>i</w:t>
            </w:r>
            <w:r>
              <w:rPr>
                <w:sz w:val="24"/>
              </w:rPr>
              <w:t>&gt;</w:t>
            </w:r>
            <w:r>
              <w:rPr>
                <w:rFonts w:hint="eastAsia"/>
                <w:sz w:val="24"/>
              </w:rPr>
              <w:t>100%</w:t>
            </w:r>
            <w:r>
              <w:rPr>
                <w:sz w:val="24"/>
              </w:rPr>
              <w:t>时，则表明该污染物超标。</w:t>
            </w:r>
          </w:p>
          <w:p>
            <w:pPr>
              <w:spacing w:line="440" w:lineRule="exact"/>
              <w:ind w:firstLine="480" w:firstLineChars="200"/>
              <w:rPr>
                <w:sz w:val="24"/>
              </w:rPr>
            </w:pPr>
            <w:r>
              <w:rPr>
                <w:sz w:val="24"/>
              </w:rPr>
              <w:t>利用各监测点的监测数据，统计污染物24小时平均浓度值的检出率、浓度范围、超标率和最大超标倍数。</w:t>
            </w:r>
          </w:p>
          <w:p>
            <w:pPr>
              <w:spacing w:line="440" w:lineRule="exact"/>
              <w:ind w:firstLine="416" w:firstLineChars="200"/>
              <w:rPr>
                <w:sz w:val="24"/>
              </w:rPr>
            </w:pPr>
            <w:r>
              <w:rPr>
                <w:snapToGrid w:val="0"/>
                <w:spacing w:val="-16"/>
                <w:kern w:val="21"/>
                <w:sz w:val="24"/>
              </w:rPr>
              <w:fldChar w:fldCharType="begin"/>
            </w:r>
            <w:r>
              <w:rPr>
                <w:snapToGrid w:val="0"/>
                <w:spacing w:val="-16"/>
                <w:kern w:val="21"/>
                <w:sz w:val="24"/>
              </w:rPr>
              <w:instrText xml:space="preserve"> = 6 \* GB3 \* MERGEFORMAT </w:instrText>
            </w:r>
            <w:r>
              <w:rPr>
                <w:snapToGrid w:val="0"/>
                <w:spacing w:val="-16"/>
                <w:kern w:val="21"/>
                <w:sz w:val="24"/>
              </w:rPr>
              <w:fldChar w:fldCharType="separate"/>
            </w:r>
            <w:r>
              <w:rPr>
                <w:rFonts w:hint="eastAsia" w:cs="宋体"/>
                <w:sz w:val="24"/>
              </w:rPr>
              <w:t>⑥</w:t>
            </w:r>
            <w:r>
              <w:rPr>
                <w:snapToGrid w:val="0"/>
                <w:spacing w:val="-16"/>
                <w:kern w:val="21"/>
                <w:sz w:val="24"/>
              </w:rPr>
              <w:fldChar w:fldCharType="end"/>
            </w:r>
            <w:r>
              <w:rPr>
                <w:sz w:val="24"/>
              </w:rPr>
              <w:t>评价结果</w:t>
            </w:r>
          </w:p>
          <w:p>
            <w:pPr>
              <w:adjustRightInd w:val="0"/>
              <w:snapToGrid w:val="0"/>
              <w:spacing w:line="440" w:lineRule="exact"/>
              <w:ind w:firstLine="480" w:firstLineChars="200"/>
              <w:jc w:val="left"/>
              <w:rPr>
                <w:b/>
                <w:bCs/>
                <w:sz w:val="24"/>
                <w:u w:val="single"/>
              </w:rPr>
            </w:pPr>
            <w:r>
              <w:rPr>
                <w:rFonts w:hint="eastAsia"/>
                <w:sz w:val="24"/>
              </w:rPr>
              <w:t>现状监测统计及评价结果详见表3-4</w:t>
            </w:r>
            <w:r>
              <w:rPr>
                <w:sz w:val="24"/>
              </w:rPr>
              <w:t>。</w:t>
            </w:r>
          </w:p>
          <w:p>
            <w:pPr>
              <w:adjustRightInd w:val="0"/>
              <w:snapToGrid w:val="0"/>
              <w:spacing w:line="360" w:lineRule="auto"/>
              <w:jc w:val="center"/>
              <w:rPr>
                <w:szCs w:val="21"/>
              </w:rPr>
            </w:pPr>
            <w:r>
              <w:rPr>
                <w:rFonts w:ascii="宋体" w:hAnsi="宋体" w:cs="宋体"/>
                <w:b/>
                <w:sz w:val="24"/>
                <w:szCs w:val="21"/>
                <w:u w:val="single"/>
                <w:lang w:val="zh-CN"/>
              </w:rPr>
              <w:t>表</w:t>
            </w:r>
            <w:r>
              <w:rPr>
                <w:rFonts w:hint="eastAsia" w:ascii="宋体" w:hAnsi="宋体" w:cs="宋体"/>
                <w:b/>
                <w:sz w:val="24"/>
                <w:szCs w:val="21"/>
                <w:u w:val="single"/>
              </w:rPr>
              <w:t>3-4</w:t>
            </w:r>
            <w:r>
              <w:rPr>
                <w:rFonts w:ascii="宋体" w:hAnsi="宋体" w:cs="宋体"/>
                <w:b/>
                <w:sz w:val="24"/>
                <w:szCs w:val="21"/>
                <w:u w:val="single"/>
                <w:lang w:val="zh-CN"/>
              </w:rPr>
              <w:t xml:space="preserve">  环境空气质量现状统计</w:t>
            </w:r>
            <w:r>
              <w:rPr>
                <w:rFonts w:hint="eastAsia" w:ascii="宋体" w:hAnsi="宋体" w:cs="宋体"/>
                <w:b/>
                <w:sz w:val="24"/>
                <w:szCs w:val="21"/>
                <w:u w:val="single"/>
              </w:rPr>
              <w:t>及评价</w:t>
            </w:r>
            <w:r>
              <w:rPr>
                <w:rFonts w:ascii="宋体" w:hAnsi="宋体" w:cs="宋体"/>
                <w:b/>
                <w:sz w:val="24"/>
                <w:szCs w:val="21"/>
                <w:u w:val="single"/>
                <w:lang w:val="zh-CN"/>
              </w:rPr>
              <w:t>结果</w:t>
            </w:r>
            <w:r>
              <w:rPr>
                <w:rFonts w:hint="eastAsia" w:ascii="宋体" w:hAnsi="宋体" w:cs="宋体"/>
                <w:b/>
                <w:sz w:val="24"/>
                <w:szCs w:val="21"/>
                <w:u w:val="single"/>
                <w:lang w:val="zh-CN"/>
              </w:rPr>
              <w:t>一览表</w:t>
            </w:r>
          </w:p>
          <w:tbl>
            <w:tblPr>
              <w:tblStyle w:val="27"/>
              <w:tblW w:w="7971" w:type="dxa"/>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694"/>
              <w:gridCol w:w="562"/>
              <w:gridCol w:w="935"/>
              <w:gridCol w:w="1441"/>
              <w:gridCol w:w="869"/>
              <w:gridCol w:w="1412"/>
              <w:gridCol w:w="1205"/>
              <w:gridCol w:w="853"/>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94" w:type="dxa"/>
                  <w:tcBorders>
                    <w:tl2br w:val="nil"/>
                    <w:tr2bl w:val="nil"/>
                  </w:tcBorders>
                  <w:vAlign w:val="center"/>
                </w:tcPr>
                <w:p>
                  <w:pPr>
                    <w:jc w:val="center"/>
                    <w:rPr>
                      <w:rFonts w:ascii="宋体" w:hAnsi="宋体" w:cs="宋体"/>
                      <w:szCs w:val="21"/>
                    </w:rPr>
                  </w:pPr>
                  <w:r>
                    <w:rPr>
                      <w:rFonts w:hint="eastAsia" w:ascii="宋体" w:hAnsi="宋体" w:cs="宋体"/>
                      <w:szCs w:val="21"/>
                    </w:rPr>
                    <w:t>监测点位</w:t>
                  </w:r>
                </w:p>
              </w:tc>
              <w:tc>
                <w:tcPr>
                  <w:tcW w:w="1497" w:type="dxa"/>
                  <w:gridSpan w:val="2"/>
                  <w:tcBorders>
                    <w:tl2br w:val="nil"/>
                    <w:tr2bl w:val="nil"/>
                  </w:tcBorders>
                  <w:vAlign w:val="center"/>
                </w:tcPr>
                <w:p>
                  <w:pPr>
                    <w:jc w:val="center"/>
                    <w:rPr>
                      <w:rFonts w:ascii="宋体" w:hAnsi="宋体" w:cs="宋体"/>
                      <w:szCs w:val="21"/>
                    </w:rPr>
                  </w:pPr>
                  <w:r>
                    <w:rPr>
                      <w:rFonts w:hint="eastAsia" w:ascii="宋体" w:hAnsi="宋体" w:cs="宋体"/>
                      <w:szCs w:val="21"/>
                    </w:rPr>
                    <w:t>监测项目</w:t>
                  </w:r>
                </w:p>
              </w:tc>
              <w:tc>
                <w:tcPr>
                  <w:tcW w:w="1441" w:type="dxa"/>
                  <w:tcBorders>
                    <w:tl2br w:val="nil"/>
                    <w:tr2bl w:val="nil"/>
                  </w:tcBorders>
                  <w:vAlign w:val="center"/>
                </w:tcPr>
                <w:p>
                  <w:pPr>
                    <w:jc w:val="center"/>
                    <w:rPr>
                      <w:rFonts w:ascii="宋体" w:hAnsi="宋体" w:cs="宋体"/>
                      <w:szCs w:val="21"/>
                    </w:rPr>
                  </w:pPr>
                  <w:r>
                    <w:rPr>
                      <w:rFonts w:hint="eastAsia" w:ascii="宋体" w:hAnsi="宋体" w:cs="宋体"/>
                      <w:szCs w:val="21"/>
                    </w:rPr>
                    <w:t>浓度范围（mg/m</w:t>
                  </w:r>
                  <w:r>
                    <w:rPr>
                      <w:rFonts w:hint="eastAsia" w:ascii="宋体" w:hAnsi="宋体" w:cs="宋体"/>
                      <w:szCs w:val="21"/>
                      <w:vertAlign w:val="superscript"/>
                    </w:rPr>
                    <w:t>3</w:t>
                  </w:r>
                  <w:r>
                    <w:rPr>
                      <w:rFonts w:hint="eastAsia" w:ascii="宋体" w:hAnsi="宋体" w:cs="宋体"/>
                      <w:szCs w:val="21"/>
                    </w:rPr>
                    <w:t>）</w:t>
                  </w:r>
                </w:p>
              </w:tc>
              <w:tc>
                <w:tcPr>
                  <w:tcW w:w="869" w:type="dxa"/>
                  <w:tcBorders>
                    <w:tl2br w:val="nil"/>
                    <w:tr2bl w:val="nil"/>
                  </w:tcBorders>
                  <w:vAlign w:val="center"/>
                </w:tcPr>
                <w:p>
                  <w:pPr>
                    <w:jc w:val="center"/>
                    <w:rPr>
                      <w:rFonts w:ascii="宋体" w:hAnsi="宋体" w:cs="宋体"/>
                      <w:szCs w:val="21"/>
                    </w:rPr>
                  </w:pPr>
                  <w:r>
                    <w:rPr>
                      <w:rFonts w:hint="eastAsia" w:ascii="宋体" w:hAnsi="宋体" w:cs="宋体"/>
                      <w:bCs/>
                      <w:szCs w:val="21"/>
                    </w:rPr>
                    <w:t>标准值</w:t>
                  </w:r>
                </w:p>
              </w:tc>
              <w:tc>
                <w:tcPr>
                  <w:tcW w:w="1412" w:type="dxa"/>
                  <w:tcBorders>
                    <w:tl2br w:val="nil"/>
                    <w:tr2bl w:val="nil"/>
                  </w:tcBorders>
                  <w:vAlign w:val="center"/>
                </w:tcPr>
                <w:p>
                  <w:pPr>
                    <w:jc w:val="center"/>
                    <w:rPr>
                      <w:rFonts w:ascii="宋体" w:hAnsi="宋体" w:cs="宋体"/>
                      <w:szCs w:val="21"/>
                    </w:rPr>
                  </w:pPr>
                  <w:r>
                    <w:rPr>
                      <w:rFonts w:hint="eastAsia" w:ascii="宋体" w:hAnsi="宋体" w:cs="宋体"/>
                      <w:szCs w:val="21"/>
                    </w:rPr>
                    <w:t>最大浓度占标率%</w:t>
                  </w:r>
                </w:p>
              </w:tc>
              <w:tc>
                <w:tcPr>
                  <w:tcW w:w="1205" w:type="dxa"/>
                  <w:tcBorders>
                    <w:tl2br w:val="nil"/>
                    <w:tr2bl w:val="nil"/>
                  </w:tcBorders>
                  <w:vAlign w:val="center"/>
                </w:tcPr>
                <w:p>
                  <w:pPr>
                    <w:jc w:val="center"/>
                    <w:rPr>
                      <w:rFonts w:ascii="宋体" w:hAnsi="宋体" w:cs="宋体"/>
                      <w:szCs w:val="21"/>
                    </w:rPr>
                  </w:pPr>
                  <w:r>
                    <w:rPr>
                      <w:rFonts w:hint="eastAsia" w:ascii="宋体" w:hAnsi="宋体" w:cs="宋体"/>
                      <w:szCs w:val="21"/>
                    </w:rPr>
                    <w:t>最大超标倍数</w:t>
                  </w:r>
                </w:p>
              </w:tc>
              <w:tc>
                <w:tcPr>
                  <w:tcW w:w="853" w:type="dxa"/>
                  <w:tcBorders>
                    <w:tl2br w:val="nil"/>
                    <w:tr2bl w:val="nil"/>
                  </w:tcBorders>
                  <w:vAlign w:val="center"/>
                </w:tcPr>
                <w:p>
                  <w:pPr>
                    <w:jc w:val="center"/>
                    <w:rPr>
                      <w:rFonts w:ascii="宋体" w:hAnsi="宋体" w:cs="宋体"/>
                      <w:szCs w:val="21"/>
                    </w:rPr>
                  </w:pPr>
                  <w:r>
                    <w:rPr>
                      <w:rFonts w:hint="eastAsia" w:ascii="宋体" w:hAnsi="宋体" w:cs="宋体"/>
                      <w:szCs w:val="21"/>
                    </w:rPr>
                    <w:t>达标情况</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94" w:type="dxa"/>
                  <w:vMerge w:val="restart"/>
                  <w:tcBorders>
                    <w:tl2br w:val="nil"/>
                    <w:tr2bl w:val="nil"/>
                  </w:tcBorders>
                  <w:vAlign w:val="center"/>
                </w:tcPr>
                <w:p>
                  <w:pPr>
                    <w:jc w:val="center"/>
                    <w:rPr>
                      <w:rFonts w:ascii="宋体" w:hAnsi="宋体" w:cs="宋体"/>
                      <w:szCs w:val="21"/>
                    </w:rPr>
                  </w:pPr>
                  <w:r>
                    <w:rPr>
                      <w:rFonts w:hint="eastAsia" w:ascii="宋体" w:hAnsi="宋体" w:cs="宋体"/>
                      <w:szCs w:val="21"/>
                    </w:rPr>
                    <w:t>项目下风向500m</w:t>
                  </w:r>
                </w:p>
              </w:tc>
              <w:tc>
                <w:tcPr>
                  <w:tcW w:w="1497" w:type="dxa"/>
                  <w:gridSpan w:val="2"/>
                  <w:tcBorders>
                    <w:tl2br w:val="nil"/>
                    <w:tr2bl w:val="nil"/>
                  </w:tcBorders>
                  <w:vAlign w:val="center"/>
                </w:tcPr>
                <w:p>
                  <w:pPr>
                    <w:jc w:val="center"/>
                    <w:rPr>
                      <w:rFonts w:ascii="宋体" w:hAnsi="宋体" w:cs="宋体"/>
                      <w:szCs w:val="21"/>
                    </w:rPr>
                  </w:pPr>
                  <w:r>
                    <w:rPr>
                      <w:rFonts w:hint="eastAsia" w:ascii="宋体" w:hAnsi="宋体" w:cs="宋体"/>
                      <w:szCs w:val="21"/>
                    </w:rPr>
                    <w:t>TSP</w:t>
                  </w:r>
                </w:p>
              </w:tc>
              <w:tc>
                <w:tcPr>
                  <w:tcW w:w="1441" w:type="dxa"/>
                  <w:tcBorders>
                    <w:tl2br w:val="nil"/>
                    <w:tr2bl w:val="nil"/>
                  </w:tcBorders>
                  <w:vAlign w:val="center"/>
                </w:tcPr>
                <w:p>
                  <w:pPr>
                    <w:jc w:val="center"/>
                    <w:rPr>
                      <w:rFonts w:ascii="宋体" w:hAnsi="宋体" w:cs="宋体"/>
                      <w:szCs w:val="21"/>
                    </w:rPr>
                  </w:pPr>
                  <w:r>
                    <w:rPr>
                      <w:rFonts w:hint="eastAsia" w:ascii="宋体" w:hAnsi="宋体" w:cs="宋体"/>
                      <w:szCs w:val="21"/>
                    </w:rPr>
                    <w:t>0.094-0.097</w:t>
                  </w:r>
                </w:p>
              </w:tc>
              <w:tc>
                <w:tcPr>
                  <w:tcW w:w="869" w:type="dxa"/>
                  <w:tcBorders>
                    <w:tl2br w:val="nil"/>
                    <w:tr2bl w:val="nil"/>
                  </w:tcBorders>
                  <w:vAlign w:val="center"/>
                </w:tcPr>
                <w:p>
                  <w:pPr>
                    <w:jc w:val="center"/>
                    <w:rPr>
                      <w:rFonts w:ascii="宋体" w:hAnsi="宋体" w:cs="宋体"/>
                      <w:szCs w:val="21"/>
                    </w:rPr>
                  </w:pPr>
                  <w:r>
                    <w:rPr>
                      <w:rFonts w:hint="eastAsia" w:ascii="宋体" w:hAnsi="宋体" w:cs="宋体"/>
                      <w:szCs w:val="21"/>
                    </w:rPr>
                    <w:t>0.3</w:t>
                  </w:r>
                </w:p>
              </w:tc>
              <w:tc>
                <w:tcPr>
                  <w:tcW w:w="1412" w:type="dxa"/>
                  <w:tcBorders>
                    <w:tl2br w:val="nil"/>
                    <w:tr2bl w:val="nil"/>
                  </w:tcBorders>
                  <w:vAlign w:val="center"/>
                </w:tcPr>
                <w:p>
                  <w:pPr>
                    <w:widowControl/>
                    <w:jc w:val="center"/>
                    <w:textAlignment w:val="center"/>
                    <w:rPr>
                      <w:rFonts w:ascii="宋体" w:hAnsi="宋体" w:cs="宋体"/>
                      <w:szCs w:val="21"/>
                    </w:rPr>
                  </w:pPr>
                  <w:r>
                    <w:rPr>
                      <w:rFonts w:hint="eastAsia" w:ascii="宋体" w:hAnsi="宋体" w:cs="宋体"/>
                      <w:color w:val="000000"/>
                      <w:kern w:val="0"/>
                      <w:szCs w:val="21"/>
                    </w:rPr>
                    <w:t>32</w:t>
                  </w:r>
                </w:p>
              </w:tc>
              <w:tc>
                <w:tcPr>
                  <w:tcW w:w="1205" w:type="dxa"/>
                  <w:tcBorders>
                    <w:tl2br w:val="nil"/>
                    <w:tr2bl w:val="nil"/>
                  </w:tcBorders>
                  <w:vAlign w:val="center"/>
                </w:tcPr>
                <w:p>
                  <w:pPr>
                    <w:jc w:val="center"/>
                    <w:rPr>
                      <w:rFonts w:ascii="宋体" w:hAnsi="宋体" w:cs="宋体"/>
                      <w:szCs w:val="21"/>
                    </w:rPr>
                  </w:pPr>
                  <w:r>
                    <w:rPr>
                      <w:rFonts w:hint="eastAsia" w:ascii="宋体" w:hAnsi="宋体" w:cs="宋体"/>
                      <w:szCs w:val="21"/>
                    </w:rPr>
                    <w:t>0</w:t>
                  </w:r>
                </w:p>
              </w:tc>
              <w:tc>
                <w:tcPr>
                  <w:tcW w:w="853" w:type="dxa"/>
                  <w:tcBorders>
                    <w:tl2br w:val="nil"/>
                    <w:tr2bl w:val="nil"/>
                  </w:tcBorders>
                  <w:vAlign w:val="center"/>
                </w:tcPr>
                <w:p>
                  <w:pPr>
                    <w:jc w:val="center"/>
                    <w:rPr>
                      <w:rFonts w:ascii="宋体" w:hAnsi="宋体" w:cs="宋体"/>
                      <w:szCs w:val="21"/>
                    </w:rPr>
                  </w:pPr>
                  <w:r>
                    <w:rPr>
                      <w:rFonts w:hint="eastAsia" w:ascii="宋体" w:hAnsi="宋体" w:cs="宋体"/>
                      <w:szCs w:val="21"/>
                    </w:rPr>
                    <w:t>达标</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32" w:hRule="atLeast"/>
              </w:trPr>
              <w:tc>
                <w:tcPr>
                  <w:tcW w:w="694" w:type="dxa"/>
                  <w:vMerge w:val="continue"/>
                  <w:tcBorders>
                    <w:tl2br w:val="nil"/>
                    <w:tr2bl w:val="nil"/>
                  </w:tcBorders>
                  <w:vAlign w:val="center"/>
                </w:tcPr>
                <w:p>
                  <w:pPr>
                    <w:jc w:val="center"/>
                    <w:rPr>
                      <w:rFonts w:ascii="宋体" w:hAnsi="宋体" w:cs="宋体"/>
                      <w:szCs w:val="21"/>
                    </w:rPr>
                  </w:pPr>
                </w:p>
              </w:tc>
              <w:tc>
                <w:tcPr>
                  <w:tcW w:w="562" w:type="dxa"/>
                  <w:vMerge w:val="restart"/>
                  <w:tcBorders>
                    <w:right w:val="single" w:color="auto" w:sz="4" w:space="0"/>
                    <w:tl2br w:val="nil"/>
                    <w:tr2bl w:val="nil"/>
                  </w:tcBorders>
                  <w:vAlign w:val="center"/>
                </w:tcPr>
                <w:p>
                  <w:pPr>
                    <w:jc w:val="center"/>
                    <w:rPr>
                      <w:rFonts w:ascii="宋体" w:hAnsi="宋体" w:cs="宋体"/>
                      <w:szCs w:val="21"/>
                    </w:rPr>
                  </w:pPr>
                  <w:r>
                    <w:rPr>
                      <w:rFonts w:hint="eastAsia" w:ascii="宋体" w:hAnsi="宋体" w:cs="宋体"/>
                      <w:szCs w:val="21"/>
                    </w:rPr>
                    <w:t>NO</w:t>
                  </w:r>
                  <w:r>
                    <w:rPr>
                      <w:rFonts w:hint="eastAsia" w:ascii="宋体" w:hAnsi="宋体" w:cs="宋体"/>
                      <w:szCs w:val="21"/>
                      <w:vertAlign w:val="subscript"/>
                    </w:rPr>
                    <w:t>x</w:t>
                  </w:r>
                </w:p>
              </w:tc>
              <w:tc>
                <w:tcPr>
                  <w:tcW w:w="935" w:type="dxa"/>
                  <w:tcBorders>
                    <w:left w:val="single" w:color="auto" w:sz="4" w:space="0"/>
                    <w:bottom w:val="single" w:color="auto" w:sz="4" w:space="0"/>
                    <w:tl2br w:val="nil"/>
                    <w:tr2bl w:val="nil"/>
                  </w:tcBorders>
                  <w:vAlign w:val="center"/>
                </w:tcPr>
                <w:p>
                  <w:pPr>
                    <w:jc w:val="center"/>
                    <w:rPr>
                      <w:rFonts w:ascii="宋体" w:hAnsi="宋体" w:cs="宋体"/>
                      <w:szCs w:val="21"/>
                    </w:rPr>
                  </w:pPr>
                  <w:r>
                    <w:rPr>
                      <w:rFonts w:hint="eastAsia" w:ascii="宋体" w:hAnsi="宋体" w:cs="宋体"/>
                      <w:szCs w:val="21"/>
                    </w:rPr>
                    <w:t>小时值</w:t>
                  </w:r>
                </w:p>
              </w:tc>
              <w:tc>
                <w:tcPr>
                  <w:tcW w:w="1441" w:type="dxa"/>
                  <w:tcBorders>
                    <w:bottom w:val="single" w:color="auto" w:sz="4" w:space="0"/>
                    <w:tl2br w:val="nil"/>
                    <w:tr2bl w:val="nil"/>
                  </w:tcBorders>
                  <w:vAlign w:val="center"/>
                </w:tcPr>
                <w:p>
                  <w:pPr>
                    <w:jc w:val="center"/>
                    <w:rPr>
                      <w:rFonts w:ascii="宋体" w:hAnsi="宋体" w:cs="宋体"/>
                      <w:szCs w:val="21"/>
                    </w:rPr>
                  </w:pPr>
                  <w:r>
                    <w:rPr>
                      <w:rFonts w:hint="eastAsia" w:ascii="宋体" w:hAnsi="宋体" w:cs="宋体"/>
                      <w:szCs w:val="21"/>
                    </w:rPr>
                    <w:t>0.016-0.03</w:t>
                  </w:r>
                </w:p>
              </w:tc>
              <w:tc>
                <w:tcPr>
                  <w:tcW w:w="869" w:type="dxa"/>
                  <w:tcBorders>
                    <w:bottom w:val="single" w:color="auto" w:sz="4" w:space="0"/>
                    <w:tl2br w:val="nil"/>
                    <w:tr2bl w:val="nil"/>
                  </w:tcBorders>
                  <w:vAlign w:val="center"/>
                </w:tcPr>
                <w:p>
                  <w:pPr>
                    <w:pStyle w:val="47"/>
                    <w:rPr>
                      <w:rFonts w:ascii="宋体" w:hAnsi="宋体" w:cs="宋体"/>
                      <w:bCs/>
                    </w:rPr>
                  </w:pPr>
                  <w:r>
                    <w:rPr>
                      <w:rFonts w:hint="eastAsia" w:ascii="宋体" w:hAnsi="宋体" w:cs="宋体"/>
                    </w:rPr>
                    <w:t>0.25</w:t>
                  </w:r>
                </w:p>
              </w:tc>
              <w:tc>
                <w:tcPr>
                  <w:tcW w:w="1412" w:type="dxa"/>
                  <w:tcBorders>
                    <w:bottom w:val="single" w:color="auto" w:sz="4" w:space="0"/>
                    <w:tl2br w:val="nil"/>
                    <w:tr2bl w:val="nil"/>
                  </w:tcBorders>
                  <w:vAlign w:val="center"/>
                </w:tcPr>
                <w:p>
                  <w:pPr>
                    <w:widowControl/>
                    <w:jc w:val="center"/>
                    <w:textAlignment w:val="center"/>
                    <w:rPr>
                      <w:rFonts w:ascii="宋体" w:hAnsi="宋体" w:cs="宋体"/>
                      <w:szCs w:val="21"/>
                    </w:rPr>
                  </w:pPr>
                  <w:r>
                    <w:rPr>
                      <w:rFonts w:hint="eastAsia" w:ascii="宋体" w:hAnsi="宋体" w:cs="宋体"/>
                      <w:color w:val="000000"/>
                      <w:kern w:val="0"/>
                      <w:szCs w:val="21"/>
                    </w:rPr>
                    <w:t>12</w:t>
                  </w:r>
                </w:p>
              </w:tc>
              <w:tc>
                <w:tcPr>
                  <w:tcW w:w="1205" w:type="dxa"/>
                  <w:tcBorders>
                    <w:bottom w:val="single" w:color="auto" w:sz="4" w:space="0"/>
                    <w:tl2br w:val="nil"/>
                    <w:tr2bl w:val="nil"/>
                  </w:tcBorders>
                  <w:vAlign w:val="center"/>
                </w:tcPr>
                <w:p>
                  <w:pPr>
                    <w:jc w:val="center"/>
                    <w:rPr>
                      <w:rFonts w:ascii="宋体" w:hAnsi="宋体" w:cs="宋体"/>
                      <w:szCs w:val="21"/>
                    </w:rPr>
                  </w:pPr>
                  <w:r>
                    <w:rPr>
                      <w:rFonts w:hint="eastAsia" w:ascii="宋体" w:hAnsi="宋体" w:cs="宋体"/>
                      <w:szCs w:val="21"/>
                    </w:rPr>
                    <w:t>0</w:t>
                  </w:r>
                </w:p>
              </w:tc>
              <w:tc>
                <w:tcPr>
                  <w:tcW w:w="853" w:type="dxa"/>
                  <w:tcBorders>
                    <w:bottom w:val="single" w:color="auto" w:sz="4" w:space="0"/>
                    <w:tl2br w:val="nil"/>
                    <w:tr2bl w:val="nil"/>
                  </w:tcBorders>
                  <w:vAlign w:val="center"/>
                </w:tcPr>
                <w:p>
                  <w:pPr>
                    <w:jc w:val="center"/>
                    <w:rPr>
                      <w:rFonts w:ascii="宋体" w:hAnsi="宋体" w:cs="宋体"/>
                      <w:szCs w:val="21"/>
                    </w:rPr>
                  </w:pPr>
                  <w:r>
                    <w:rPr>
                      <w:rFonts w:hint="eastAsia" w:ascii="宋体" w:hAnsi="宋体" w:cs="宋体"/>
                      <w:szCs w:val="21"/>
                    </w:rPr>
                    <w:t>达标</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694" w:type="dxa"/>
                  <w:vMerge w:val="continue"/>
                  <w:tcBorders>
                    <w:tl2br w:val="nil"/>
                    <w:tr2bl w:val="nil"/>
                  </w:tcBorders>
                  <w:vAlign w:val="center"/>
                </w:tcPr>
                <w:p>
                  <w:pPr>
                    <w:jc w:val="center"/>
                    <w:rPr>
                      <w:rFonts w:ascii="宋体" w:hAnsi="宋体" w:cs="宋体"/>
                      <w:szCs w:val="21"/>
                    </w:rPr>
                  </w:pPr>
                </w:p>
              </w:tc>
              <w:tc>
                <w:tcPr>
                  <w:tcW w:w="562" w:type="dxa"/>
                  <w:vMerge w:val="continue"/>
                  <w:tcBorders>
                    <w:right w:val="single" w:color="auto" w:sz="4" w:space="0"/>
                    <w:tl2br w:val="nil"/>
                    <w:tr2bl w:val="nil"/>
                  </w:tcBorders>
                  <w:vAlign w:val="center"/>
                </w:tcPr>
                <w:p>
                  <w:pPr>
                    <w:jc w:val="center"/>
                    <w:rPr>
                      <w:rFonts w:ascii="宋体" w:hAnsi="宋体" w:cs="宋体"/>
                      <w:szCs w:val="21"/>
                    </w:rPr>
                  </w:pPr>
                </w:p>
              </w:tc>
              <w:tc>
                <w:tcPr>
                  <w:tcW w:w="935" w:type="dxa"/>
                  <w:tcBorders>
                    <w:top w:val="single" w:color="auto" w:sz="4" w:space="0"/>
                    <w:left w:val="single" w:color="auto" w:sz="4" w:space="0"/>
                    <w:tl2br w:val="nil"/>
                    <w:tr2bl w:val="nil"/>
                  </w:tcBorders>
                  <w:vAlign w:val="center"/>
                </w:tcPr>
                <w:p>
                  <w:pPr>
                    <w:jc w:val="center"/>
                    <w:rPr>
                      <w:rFonts w:ascii="宋体" w:hAnsi="宋体" w:cs="宋体"/>
                      <w:szCs w:val="21"/>
                    </w:rPr>
                  </w:pPr>
                  <w:r>
                    <w:rPr>
                      <w:rFonts w:hint="eastAsia" w:ascii="宋体" w:hAnsi="宋体" w:cs="宋体"/>
                      <w:szCs w:val="21"/>
                    </w:rPr>
                    <w:t>日均值</w:t>
                  </w:r>
                </w:p>
              </w:tc>
              <w:tc>
                <w:tcPr>
                  <w:tcW w:w="1441" w:type="dxa"/>
                  <w:tcBorders>
                    <w:top w:val="single" w:color="auto" w:sz="4" w:space="0"/>
                    <w:tl2br w:val="nil"/>
                    <w:tr2bl w:val="nil"/>
                  </w:tcBorders>
                  <w:vAlign w:val="center"/>
                </w:tcPr>
                <w:p>
                  <w:pPr>
                    <w:jc w:val="center"/>
                    <w:rPr>
                      <w:rFonts w:ascii="宋体" w:hAnsi="宋体" w:cs="宋体"/>
                      <w:szCs w:val="21"/>
                    </w:rPr>
                  </w:pPr>
                  <w:r>
                    <w:rPr>
                      <w:rFonts w:hint="eastAsia" w:ascii="宋体" w:hAnsi="宋体" w:cs="宋体"/>
                      <w:szCs w:val="21"/>
                    </w:rPr>
                    <w:t>0.009-0.013</w:t>
                  </w:r>
                </w:p>
              </w:tc>
              <w:tc>
                <w:tcPr>
                  <w:tcW w:w="869" w:type="dxa"/>
                  <w:tcBorders>
                    <w:top w:val="single" w:color="auto" w:sz="4" w:space="0"/>
                    <w:tl2br w:val="nil"/>
                    <w:tr2bl w:val="nil"/>
                  </w:tcBorders>
                  <w:vAlign w:val="center"/>
                </w:tcPr>
                <w:p>
                  <w:pPr>
                    <w:pStyle w:val="47"/>
                    <w:rPr>
                      <w:rFonts w:ascii="宋体" w:hAnsi="宋体" w:cs="宋体"/>
                    </w:rPr>
                  </w:pPr>
                  <w:r>
                    <w:rPr>
                      <w:rFonts w:hint="eastAsia" w:ascii="宋体" w:hAnsi="宋体" w:cs="宋体"/>
                    </w:rPr>
                    <w:t>0.1</w:t>
                  </w:r>
                </w:p>
              </w:tc>
              <w:tc>
                <w:tcPr>
                  <w:tcW w:w="1412" w:type="dxa"/>
                  <w:tcBorders>
                    <w:top w:val="single" w:color="auto" w:sz="4" w:space="0"/>
                    <w:tl2br w:val="nil"/>
                    <w:tr2bl w:val="nil"/>
                  </w:tcBorders>
                  <w:vAlign w:val="center"/>
                </w:tcPr>
                <w:p>
                  <w:pPr>
                    <w:widowControl/>
                    <w:jc w:val="center"/>
                    <w:textAlignment w:val="center"/>
                    <w:rPr>
                      <w:rFonts w:ascii="宋体" w:hAnsi="宋体" w:cs="宋体"/>
                      <w:szCs w:val="21"/>
                    </w:rPr>
                  </w:pPr>
                  <w:r>
                    <w:rPr>
                      <w:rFonts w:hint="eastAsia" w:ascii="宋体" w:hAnsi="宋体" w:cs="宋体"/>
                      <w:color w:val="000000"/>
                      <w:kern w:val="0"/>
                      <w:szCs w:val="21"/>
                    </w:rPr>
                    <w:t>13</w:t>
                  </w:r>
                </w:p>
              </w:tc>
              <w:tc>
                <w:tcPr>
                  <w:tcW w:w="1205" w:type="dxa"/>
                  <w:tcBorders>
                    <w:top w:val="single" w:color="auto" w:sz="4" w:space="0"/>
                    <w:tl2br w:val="nil"/>
                    <w:tr2bl w:val="nil"/>
                  </w:tcBorders>
                  <w:vAlign w:val="center"/>
                </w:tcPr>
                <w:p>
                  <w:pPr>
                    <w:jc w:val="center"/>
                    <w:rPr>
                      <w:rFonts w:ascii="宋体" w:hAnsi="宋体" w:cs="宋体"/>
                      <w:szCs w:val="21"/>
                    </w:rPr>
                  </w:pPr>
                  <w:r>
                    <w:rPr>
                      <w:rFonts w:hint="eastAsia" w:ascii="宋体" w:hAnsi="宋体" w:cs="宋体"/>
                      <w:szCs w:val="21"/>
                    </w:rPr>
                    <w:t>0</w:t>
                  </w:r>
                </w:p>
              </w:tc>
              <w:tc>
                <w:tcPr>
                  <w:tcW w:w="853" w:type="dxa"/>
                  <w:tcBorders>
                    <w:top w:val="single" w:color="auto" w:sz="4" w:space="0"/>
                    <w:tl2br w:val="nil"/>
                    <w:tr2bl w:val="nil"/>
                  </w:tcBorders>
                  <w:vAlign w:val="center"/>
                </w:tcPr>
                <w:p>
                  <w:pPr>
                    <w:jc w:val="center"/>
                    <w:rPr>
                      <w:rFonts w:ascii="宋体" w:hAnsi="宋体" w:cs="宋体"/>
                      <w:szCs w:val="21"/>
                    </w:rPr>
                  </w:pPr>
                  <w:r>
                    <w:rPr>
                      <w:rFonts w:hint="eastAsia" w:ascii="宋体" w:hAnsi="宋体" w:cs="宋体"/>
                      <w:szCs w:val="21"/>
                    </w:rPr>
                    <w:t>达标</w:t>
                  </w:r>
                </w:p>
              </w:tc>
            </w:tr>
          </w:tbl>
          <w:p>
            <w:pPr>
              <w:spacing w:line="360" w:lineRule="auto"/>
              <w:ind w:firstLine="480" w:firstLineChars="200"/>
              <w:rPr>
                <w:b/>
                <w:sz w:val="24"/>
              </w:rPr>
            </w:pPr>
            <w:r>
              <w:rPr>
                <w:bCs/>
                <w:sz w:val="24"/>
                <w:u w:val="single"/>
              </w:rPr>
              <w:t>根据监测报告可知：评价区域内监测点</w:t>
            </w:r>
            <w:r>
              <w:rPr>
                <w:rFonts w:hint="eastAsia"/>
                <w:sz w:val="24"/>
                <w:u w:val="single"/>
              </w:rPr>
              <w:t>TSP</w:t>
            </w:r>
            <w:r>
              <w:rPr>
                <w:rFonts w:hint="eastAsia"/>
                <w:bCs/>
                <w:sz w:val="24"/>
                <w:u w:val="single"/>
              </w:rPr>
              <w:t>、</w:t>
            </w:r>
            <w:r>
              <w:rPr>
                <w:rFonts w:hint="eastAsia"/>
                <w:sz w:val="24"/>
                <w:szCs w:val="32"/>
                <w:u w:val="single"/>
              </w:rPr>
              <w:t>NO</w:t>
            </w:r>
            <w:r>
              <w:rPr>
                <w:rFonts w:hint="eastAsia"/>
                <w:sz w:val="24"/>
                <w:szCs w:val="32"/>
                <w:u w:val="single"/>
                <w:vertAlign w:val="subscript"/>
              </w:rPr>
              <w:t>x</w:t>
            </w:r>
            <w:r>
              <w:rPr>
                <w:rFonts w:hint="eastAsia"/>
                <w:sz w:val="24"/>
                <w:szCs w:val="32"/>
                <w:u w:val="single"/>
              </w:rPr>
              <w:t>浓度</w:t>
            </w:r>
            <w:r>
              <w:rPr>
                <w:bCs/>
                <w:sz w:val="24"/>
                <w:u w:val="single"/>
              </w:rPr>
              <w:t>满足《环境空气质量标准》（GB3095-2012）二级标准要求</w:t>
            </w:r>
            <w:r>
              <w:rPr>
                <w:rFonts w:hint="eastAsia"/>
                <w:bCs/>
                <w:sz w:val="24"/>
                <w:u w:val="single"/>
              </w:rPr>
              <w:t>及</w:t>
            </w:r>
            <w:r>
              <w:rPr>
                <w:bCs/>
                <w:sz w:val="24"/>
                <w:u w:val="single"/>
              </w:rPr>
              <w:t>《环境空气质量标准》</w:t>
            </w:r>
            <w:r>
              <w:rPr>
                <w:rFonts w:hint="eastAsia"/>
                <w:bCs/>
                <w:sz w:val="24"/>
                <w:u w:val="single"/>
              </w:rPr>
              <w:t>（GB 3095-2026）二级标准要求</w:t>
            </w:r>
            <w:r>
              <w:rPr>
                <w:bCs/>
                <w:sz w:val="24"/>
                <w:u w:val="single"/>
              </w:rPr>
              <w:t>，</w:t>
            </w:r>
            <w:r>
              <w:rPr>
                <w:bCs/>
                <w:sz w:val="24"/>
              </w:rPr>
              <w:t>说明区域内环境空气中监测因子有一定环境容量。</w:t>
            </w:r>
          </w:p>
          <w:p>
            <w:pPr>
              <w:spacing w:line="360" w:lineRule="auto"/>
              <w:rPr>
                <w:b/>
                <w:sz w:val="24"/>
              </w:rPr>
            </w:pPr>
            <w:r>
              <w:rPr>
                <w:rFonts w:hint="eastAsia"/>
                <w:b/>
                <w:sz w:val="24"/>
              </w:rPr>
              <w:t>3.1.3</w:t>
            </w:r>
            <w:r>
              <w:rPr>
                <w:b/>
                <w:sz w:val="24"/>
              </w:rPr>
              <w:t>声环境质量现状评价</w:t>
            </w:r>
          </w:p>
          <w:p>
            <w:pPr>
              <w:adjustRightInd w:val="0"/>
              <w:snapToGrid w:val="0"/>
              <w:spacing w:line="360" w:lineRule="auto"/>
              <w:ind w:firstLine="480" w:firstLineChars="200"/>
              <w:rPr>
                <w:sz w:val="24"/>
              </w:rPr>
            </w:pPr>
            <w:r>
              <w:rPr>
                <w:rFonts w:hint="eastAsia" w:ascii="宋体" w:hAnsi="宋体" w:cs="宋体"/>
                <w:sz w:val="24"/>
              </w:rPr>
              <w:t>⑴</w:t>
            </w:r>
            <w:r>
              <w:rPr>
                <w:sz w:val="24"/>
              </w:rPr>
              <w:t>监测点布设</w:t>
            </w:r>
          </w:p>
          <w:p>
            <w:pPr>
              <w:pStyle w:val="8"/>
              <w:snapToGrid w:val="0"/>
              <w:spacing w:line="360" w:lineRule="auto"/>
              <w:ind w:firstLine="480"/>
              <w:rPr>
                <w:sz w:val="24"/>
              </w:rPr>
            </w:pPr>
            <w:r>
              <w:rPr>
                <w:sz w:val="24"/>
              </w:rPr>
              <w:t>本项目</w:t>
            </w:r>
            <w:r>
              <w:rPr>
                <w:rFonts w:hint="eastAsia"/>
                <w:sz w:val="24"/>
              </w:rPr>
              <w:t>50m范围内有3户居民，本次于</w:t>
            </w:r>
            <w:r>
              <w:rPr>
                <w:sz w:val="24"/>
              </w:rPr>
              <w:t>厂界</w:t>
            </w:r>
            <w:r>
              <w:rPr>
                <w:rFonts w:hint="eastAsia"/>
                <w:sz w:val="24"/>
              </w:rPr>
              <w:t>及敏感点处共</w:t>
            </w:r>
            <w:r>
              <w:rPr>
                <w:sz w:val="24"/>
              </w:rPr>
              <w:t>布设</w:t>
            </w:r>
            <w:r>
              <w:rPr>
                <w:rFonts w:hint="eastAsia"/>
                <w:sz w:val="24"/>
              </w:rPr>
              <w:t>5</w:t>
            </w:r>
            <w:r>
              <w:rPr>
                <w:sz w:val="24"/>
              </w:rPr>
              <w:t>个噪</w:t>
            </w:r>
            <w:r>
              <w:rPr>
                <w:rFonts w:hint="eastAsia"/>
                <w:sz w:val="24"/>
              </w:rPr>
              <w:t>声监测</w:t>
            </w:r>
            <w:r>
              <w:rPr>
                <w:sz w:val="24"/>
              </w:rPr>
              <w:t>点。详见下表</w:t>
            </w:r>
            <w:r>
              <w:rPr>
                <w:rFonts w:hint="eastAsia"/>
                <w:sz w:val="24"/>
              </w:rPr>
              <w:t>及附图2</w:t>
            </w:r>
            <w:r>
              <w:rPr>
                <w:sz w:val="24"/>
              </w:rPr>
              <w:t>。</w:t>
            </w:r>
          </w:p>
          <w:p>
            <w:pPr>
              <w:adjustRightInd w:val="0"/>
              <w:snapToGrid w:val="0"/>
              <w:spacing w:line="360" w:lineRule="auto"/>
              <w:jc w:val="center"/>
              <w:rPr>
                <w:b/>
                <w:bCs/>
                <w:szCs w:val="21"/>
                <w:u w:val="single"/>
              </w:rPr>
            </w:pPr>
            <w:r>
              <w:rPr>
                <w:rFonts w:hint="eastAsia" w:ascii="宋体" w:hAnsi="宋体" w:cs="宋体"/>
                <w:b/>
                <w:sz w:val="24"/>
                <w:szCs w:val="21"/>
                <w:u w:val="single"/>
              </w:rPr>
              <w:t xml:space="preserve">表3-5  </w:t>
            </w:r>
            <w:r>
              <w:rPr>
                <w:rFonts w:ascii="宋体" w:hAnsi="宋体" w:cs="宋体"/>
                <w:b/>
                <w:sz w:val="24"/>
                <w:szCs w:val="21"/>
                <w:u w:val="single"/>
                <w:lang w:val="zh-CN"/>
              </w:rPr>
              <w:t>监测点名称及布设情况</w:t>
            </w:r>
          </w:p>
          <w:tbl>
            <w:tblPr>
              <w:tblStyle w:val="27"/>
              <w:tblW w:w="797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03"/>
              <w:gridCol w:w="3314"/>
              <w:gridCol w:w="375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 w:hRule="atLeast"/>
                <w:jc w:val="center"/>
              </w:trPr>
              <w:tc>
                <w:tcPr>
                  <w:tcW w:w="903" w:type="dxa"/>
                  <w:vAlign w:val="center"/>
                </w:tcPr>
                <w:p>
                  <w:pPr>
                    <w:snapToGrid w:val="0"/>
                    <w:jc w:val="center"/>
                    <w:rPr>
                      <w:szCs w:val="21"/>
                    </w:rPr>
                  </w:pPr>
                  <w:r>
                    <w:rPr>
                      <w:szCs w:val="21"/>
                    </w:rPr>
                    <w:t>序号</w:t>
                  </w:r>
                </w:p>
              </w:tc>
              <w:tc>
                <w:tcPr>
                  <w:tcW w:w="3314" w:type="dxa"/>
                  <w:vAlign w:val="center"/>
                </w:tcPr>
                <w:p>
                  <w:pPr>
                    <w:snapToGrid w:val="0"/>
                    <w:jc w:val="center"/>
                    <w:rPr>
                      <w:szCs w:val="21"/>
                    </w:rPr>
                  </w:pPr>
                  <w:r>
                    <w:rPr>
                      <w:szCs w:val="21"/>
                    </w:rPr>
                    <w:t>监测点名称</w:t>
                  </w:r>
                </w:p>
              </w:tc>
              <w:tc>
                <w:tcPr>
                  <w:tcW w:w="3754" w:type="dxa"/>
                  <w:vAlign w:val="center"/>
                </w:tcPr>
                <w:p>
                  <w:pPr>
                    <w:snapToGrid w:val="0"/>
                    <w:jc w:val="center"/>
                    <w:rPr>
                      <w:szCs w:val="21"/>
                    </w:rPr>
                  </w:pPr>
                  <w:r>
                    <w:rPr>
                      <w:szCs w:val="21"/>
                    </w:rPr>
                    <w:t>布设目的</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903" w:type="dxa"/>
                  <w:vAlign w:val="center"/>
                </w:tcPr>
                <w:p>
                  <w:pPr>
                    <w:snapToGrid w:val="0"/>
                    <w:jc w:val="center"/>
                    <w:rPr>
                      <w:szCs w:val="21"/>
                    </w:rPr>
                  </w:pPr>
                  <w:r>
                    <w:rPr>
                      <w:szCs w:val="21"/>
                    </w:rPr>
                    <w:t>N1</w:t>
                  </w:r>
                </w:p>
              </w:tc>
              <w:tc>
                <w:tcPr>
                  <w:tcW w:w="3314" w:type="dxa"/>
                  <w:vAlign w:val="center"/>
                </w:tcPr>
                <w:p>
                  <w:pPr>
                    <w:snapToGrid w:val="0"/>
                    <w:ind w:left="-105" w:leftChars="-50" w:right="-105" w:rightChars="-50"/>
                    <w:jc w:val="center"/>
                    <w:rPr>
                      <w:szCs w:val="21"/>
                    </w:rPr>
                  </w:pPr>
                  <w:r>
                    <w:rPr>
                      <w:szCs w:val="21"/>
                    </w:rPr>
                    <w:t>东侧厂界外1m处</w:t>
                  </w:r>
                </w:p>
              </w:tc>
              <w:tc>
                <w:tcPr>
                  <w:tcW w:w="3754" w:type="dxa"/>
                  <w:vMerge w:val="restart"/>
                  <w:vAlign w:val="center"/>
                </w:tcPr>
                <w:p>
                  <w:pPr>
                    <w:snapToGrid w:val="0"/>
                    <w:jc w:val="center"/>
                    <w:rPr>
                      <w:szCs w:val="21"/>
                    </w:rPr>
                  </w:pPr>
                  <w:r>
                    <w:rPr>
                      <w:szCs w:val="21"/>
                    </w:rPr>
                    <w:t>了解项目所在地声环境质量现状</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903" w:type="dxa"/>
                  <w:vAlign w:val="center"/>
                </w:tcPr>
                <w:p>
                  <w:pPr>
                    <w:snapToGrid w:val="0"/>
                    <w:jc w:val="center"/>
                    <w:rPr>
                      <w:szCs w:val="21"/>
                    </w:rPr>
                  </w:pPr>
                  <w:r>
                    <w:rPr>
                      <w:szCs w:val="21"/>
                    </w:rPr>
                    <w:t>N2</w:t>
                  </w:r>
                </w:p>
              </w:tc>
              <w:tc>
                <w:tcPr>
                  <w:tcW w:w="3314" w:type="dxa"/>
                  <w:vAlign w:val="center"/>
                </w:tcPr>
                <w:p>
                  <w:pPr>
                    <w:snapToGrid w:val="0"/>
                    <w:ind w:left="-105" w:leftChars="-50" w:right="-105" w:rightChars="-50"/>
                    <w:jc w:val="center"/>
                    <w:rPr>
                      <w:szCs w:val="21"/>
                    </w:rPr>
                  </w:pPr>
                  <w:r>
                    <w:rPr>
                      <w:szCs w:val="21"/>
                    </w:rPr>
                    <w:t>南侧厂界外1m处</w:t>
                  </w:r>
                </w:p>
              </w:tc>
              <w:tc>
                <w:tcPr>
                  <w:tcW w:w="3754" w:type="dxa"/>
                  <w:vMerge w:val="continue"/>
                  <w:vAlign w:val="center"/>
                </w:tcPr>
                <w:p>
                  <w:pPr>
                    <w:snapToGrid w:val="0"/>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903" w:type="dxa"/>
                  <w:vAlign w:val="center"/>
                </w:tcPr>
                <w:p>
                  <w:pPr>
                    <w:snapToGrid w:val="0"/>
                    <w:jc w:val="center"/>
                    <w:rPr>
                      <w:szCs w:val="21"/>
                    </w:rPr>
                  </w:pPr>
                  <w:r>
                    <w:rPr>
                      <w:szCs w:val="21"/>
                    </w:rPr>
                    <w:t>N3</w:t>
                  </w:r>
                </w:p>
              </w:tc>
              <w:tc>
                <w:tcPr>
                  <w:tcW w:w="3314" w:type="dxa"/>
                  <w:vAlign w:val="center"/>
                </w:tcPr>
                <w:p>
                  <w:pPr>
                    <w:snapToGrid w:val="0"/>
                    <w:ind w:left="-105" w:leftChars="-50" w:right="-105" w:rightChars="-50"/>
                    <w:jc w:val="center"/>
                    <w:rPr>
                      <w:szCs w:val="21"/>
                    </w:rPr>
                  </w:pPr>
                  <w:r>
                    <w:rPr>
                      <w:szCs w:val="21"/>
                    </w:rPr>
                    <w:t>西侧厂界外1m处</w:t>
                  </w:r>
                </w:p>
              </w:tc>
              <w:tc>
                <w:tcPr>
                  <w:tcW w:w="3754" w:type="dxa"/>
                  <w:vMerge w:val="continue"/>
                  <w:vAlign w:val="center"/>
                </w:tcPr>
                <w:p>
                  <w:pPr>
                    <w:snapToGrid w:val="0"/>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3" w:type="dxa"/>
                  <w:vAlign w:val="center"/>
                </w:tcPr>
                <w:p>
                  <w:pPr>
                    <w:snapToGrid w:val="0"/>
                    <w:jc w:val="center"/>
                    <w:rPr>
                      <w:szCs w:val="21"/>
                    </w:rPr>
                  </w:pPr>
                  <w:r>
                    <w:rPr>
                      <w:szCs w:val="21"/>
                    </w:rPr>
                    <w:t>N4</w:t>
                  </w:r>
                </w:p>
              </w:tc>
              <w:tc>
                <w:tcPr>
                  <w:tcW w:w="3314" w:type="dxa"/>
                  <w:vAlign w:val="center"/>
                </w:tcPr>
                <w:p>
                  <w:pPr>
                    <w:snapToGrid w:val="0"/>
                    <w:ind w:left="-105" w:leftChars="-50" w:right="-105" w:rightChars="-50"/>
                    <w:jc w:val="center"/>
                    <w:rPr>
                      <w:szCs w:val="21"/>
                    </w:rPr>
                  </w:pPr>
                  <w:r>
                    <w:rPr>
                      <w:szCs w:val="21"/>
                    </w:rPr>
                    <w:t>北侧厂界外1m处</w:t>
                  </w:r>
                </w:p>
              </w:tc>
              <w:tc>
                <w:tcPr>
                  <w:tcW w:w="3754" w:type="dxa"/>
                  <w:vMerge w:val="continue"/>
                  <w:vAlign w:val="center"/>
                </w:tcPr>
                <w:p>
                  <w:pPr>
                    <w:snapToGrid w:val="0"/>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3" w:type="dxa"/>
                  <w:vAlign w:val="center"/>
                </w:tcPr>
                <w:p>
                  <w:pPr>
                    <w:snapToGrid w:val="0"/>
                    <w:jc w:val="center"/>
                    <w:rPr>
                      <w:szCs w:val="21"/>
                    </w:rPr>
                  </w:pPr>
                  <w:r>
                    <w:rPr>
                      <w:rFonts w:hint="eastAsia"/>
                      <w:szCs w:val="21"/>
                    </w:rPr>
                    <w:t>N5</w:t>
                  </w:r>
                </w:p>
              </w:tc>
              <w:tc>
                <w:tcPr>
                  <w:tcW w:w="3314" w:type="dxa"/>
                  <w:vAlign w:val="center"/>
                </w:tcPr>
                <w:p>
                  <w:pPr>
                    <w:snapToGrid w:val="0"/>
                    <w:ind w:left="-105" w:leftChars="-50" w:right="-105" w:rightChars="-50"/>
                    <w:jc w:val="center"/>
                    <w:rPr>
                      <w:szCs w:val="21"/>
                    </w:rPr>
                  </w:pPr>
                  <w:r>
                    <w:rPr>
                      <w:rFonts w:hint="eastAsia"/>
                      <w:szCs w:val="21"/>
                    </w:rPr>
                    <w:t>西北侧敏感点</w:t>
                  </w:r>
                </w:p>
              </w:tc>
              <w:tc>
                <w:tcPr>
                  <w:tcW w:w="3754" w:type="dxa"/>
                  <w:vAlign w:val="center"/>
                </w:tcPr>
                <w:p>
                  <w:pPr>
                    <w:snapToGrid w:val="0"/>
                    <w:jc w:val="center"/>
                    <w:rPr>
                      <w:szCs w:val="21"/>
                    </w:rPr>
                  </w:pPr>
                  <w:r>
                    <w:rPr>
                      <w:szCs w:val="21"/>
                    </w:rPr>
                    <w:t>了解</w:t>
                  </w:r>
                  <w:r>
                    <w:rPr>
                      <w:rFonts w:hint="eastAsia"/>
                      <w:szCs w:val="21"/>
                    </w:rPr>
                    <w:t>敏感点</w:t>
                  </w:r>
                  <w:r>
                    <w:rPr>
                      <w:szCs w:val="21"/>
                    </w:rPr>
                    <w:t>声环境质量现状</w:t>
                  </w:r>
                </w:p>
              </w:tc>
            </w:tr>
          </w:tbl>
          <w:p>
            <w:pPr>
              <w:adjustRightInd w:val="0"/>
              <w:snapToGrid w:val="0"/>
              <w:spacing w:line="360" w:lineRule="auto"/>
              <w:ind w:firstLine="480" w:firstLineChars="200"/>
              <w:rPr>
                <w:sz w:val="24"/>
              </w:rPr>
            </w:pPr>
            <w:r>
              <w:rPr>
                <w:rFonts w:hint="eastAsia" w:ascii="宋体" w:hAnsi="宋体" w:cs="宋体"/>
                <w:sz w:val="24"/>
              </w:rPr>
              <w:t>⑵</w:t>
            </w:r>
            <w:r>
              <w:rPr>
                <w:sz w:val="24"/>
              </w:rPr>
              <w:t>监测单位及监测时间</w:t>
            </w:r>
          </w:p>
          <w:p>
            <w:pPr>
              <w:adjustRightInd w:val="0"/>
              <w:snapToGrid w:val="0"/>
              <w:spacing w:line="360" w:lineRule="auto"/>
              <w:ind w:firstLine="482"/>
              <w:rPr>
                <w:sz w:val="24"/>
              </w:rPr>
            </w:pPr>
            <w:r>
              <w:rPr>
                <w:rFonts w:hint="eastAsia"/>
                <w:sz w:val="24"/>
              </w:rPr>
              <w:t>吉林省睿全技术有限公司于2024年4月29日，监测1天，昼夜间各1次监测</w:t>
            </w:r>
            <w:r>
              <w:rPr>
                <w:sz w:val="24"/>
              </w:rPr>
              <w:t>。</w:t>
            </w:r>
          </w:p>
          <w:p>
            <w:pPr>
              <w:adjustRightInd w:val="0"/>
              <w:snapToGrid w:val="0"/>
              <w:spacing w:line="360" w:lineRule="auto"/>
              <w:ind w:firstLine="480" w:firstLineChars="200"/>
              <w:rPr>
                <w:sz w:val="24"/>
              </w:rPr>
            </w:pPr>
            <w:r>
              <w:rPr>
                <w:rFonts w:hint="eastAsia" w:ascii="宋体" w:hAnsi="宋体" w:cs="宋体"/>
                <w:sz w:val="24"/>
              </w:rPr>
              <w:t>⑶</w:t>
            </w:r>
            <w:r>
              <w:rPr>
                <w:rFonts w:hint="eastAsia"/>
                <w:sz w:val="24"/>
              </w:rPr>
              <w:t>评价标准</w:t>
            </w:r>
          </w:p>
          <w:p>
            <w:pPr>
              <w:adjustRightInd w:val="0"/>
              <w:snapToGrid w:val="0"/>
              <w:spacing w:line="360" w:lineRule="auto"/>
              <w:ind w:firstLine="480" w:firstLineChars="200"/>
              <w:rPr>
                <w:sz w:val="24"/>
              </w:rPr>
            </w:pPr>
            <w:r>
              <w:rPr>
                <w:rFonts w:hint="eastAsia"/>
                <w:sz w:val="24"/>
              </w:rPr>
              <w:t>《声环境质量标准》（GB3096-2008）中1类区标准。</w:t>
            </w:r>
          </w:p>
          <w:p>
            <w:pPr>
              <w:adjustRightInd w:val="0"/>
              <w:snapToGrid w:val="0"/>
              <w:spacing w:line="360" w:lineRule="auto"/>
              <w:ind w:firstLine="480" w:firstLineChars="200"/>
              <w:rPr>
                <w:sz w:val="24"/>
              </w:rPr>
            </w:pPr>
            <w:r>
              <w:rPr>
                <w:rFonts w:hint="eastAsia"/>
                <w:sz w:val="24"/>
              </w:rPr>
              <w:t>（4）</w:t>
            </w:r>
            <w:r>
              <w:rPr>
                <w:sz w:val="24"/>
              </w:rPr>
              <w:t>监测结果统计</w:t>
            </w:r>
          </w:p>
          <w:p>
            <w:pPr>
              <w:adjustRightInd w:val="0"/>
              <w:snapToGrid w:val="0"/>
              <w:ind w:firstLine="482"/>
            </w:pPr>
            <w:r>
              <w:rPr>
                <w:sz w:val="24"/>
              </w:rPr>
              <w:t>监测统计结果详见下表。</w:t>
            </w:r>
          </w:p>
          <w:p>
            <w:pPr>
              <w:adjustRightInd w:val="0"/>
              <w:snapToGrid w:val="0"/>
              <w:spacing w:line="360" w:lineRule="auto"/>
              <w:jc w:val="center"/>
              <w:rPr>
                <w:b/>
                <w:bCs/>
                <w:szCs w:val="21"/>
                <w:u w:val="single"/>
              </w:rPr>
            </w:pPr>
            <w:r>
              <w:rPr>
                <w:rFonts w:hint="eastAsia" w:ascii="宋体" w:hAnsi="宋体" w:cs="宋体"/>
                <w:b/>
                <w:sz w:val="24"/>
                <w:szCs w:val="21"/>
                <w:u w:val="single"/>
              </w:rPr>
              <w:t>表3-6  噪声监测结果表</w:t>
            </w:r>
          </w:p>
          <w:tbl>
            <w:tblPr>
              <w:tblStyle w:val="27"/>
              <w:tblW w:w="7974"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08"/>
              <w:gridCol w:w="2560"/>
              <w:gridCol w:w="884"/>
              <w:gridCol w:w="885"/>
              <w:gridCol w:w="683"/>
              <w:gridCol w:w="684"/>
              <w:gridCol w:w="683"/>
              <w:gridCol w:w="68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908" w:type="dxa"/>
                  <w:vMerge w:val="restart"/>
                  <w:vAlign w:val="center"/>
                </w:tcPr>
                <w:p>
                  <w:pPr>
                    <w:snapToGrid w:val="0"/>
                    <w:jc w:val="center"/>
                    <w:rPr>
                      <w:szCs w:val="21"/>
                    </w:rPr>
                  </w:pPr>
                  <w:r>
                    <w:rPr>
                      <w:szCs w:val="21"/>
                    </w:rPr>
                    <w:t>监测点</w:t>
                  </w:r>
                </w:p>
                <w:p>
                  <w:pPr>
                    <w:snapToGrid w:val="0"/>
                    <w:jc w:val="center"/>
                    <w:rPr>
                      <w:szCs w:val="21"/>
                    </w:rPr>
                  </w:pPr>
                  <w:r>
                    <w:rPr>
                      <w:szCs w:val="21"/>
                    </w:rPr>
                    <w:t>编号</w:t>
                  </w:r>
                </w:p>
              </w:tc>
              <w:tc>
                <w:tcPr>
                  <w:tcW w:w="2560" w:type="dxa"/>
                  <w:vMerge w:val="restart"/>
                  <w:vAlign w:val="center"/>
                </w:tcPr>
                <w:p>
                  <w:pPr>
                    <w:pStyle w:val="37"/>
                    <w:spacing w:beforeLines="0" w:line="240" w:lineRule="auto"/>
                    <w:ind w:firstLine="0" w:firstLineChars="0"/>
                    <w:rPr>
                      <w:rFonts w:ascii="Times New Roman"/>
                      <w:sz w:val="21"/>
                      <w:szCs w:val="21"/>
                    </w:rPr>
                  </w:pPr>
                  <w:r>
                    <w:rPr>
                      <w:rFonts w:ascii="Times New Roman"/>
                      <w:sz w:val="21"/>
                      <w:szCs w:val="21"/>
                    </w:rPr>
                    <w:t>监测点位置</w:t>
                  </w:r>
                </w:p>
              </w:tc>
              <w:tc>
                <w:tcPr>
                  <w:tcW w:w="1769" w:type="dxa"/>
                  <w:gridSpan w:val="2"/>
                  <w:vAlign w:val="center"/>
                </w:tcPr>
                <w:p>
                  <w:pPr>
                    <w:pStyle w:val="37"/>
                    <w:spacing w:beforeLines="0" w:line="240" w:lineRule="auto"/>
                    <w:ind w:firstLine="0" w:firstLineChars="0"/>
                    <w:rPr>
                      <w:rFonts w:ascii="Times New Roman"/>
                      <w:sz w:val="21"/>
                      <w:szCs w:val="21"/>
                    </w:rPr>
                  </w:pPr>
                  <w:r>
                    <w:rPr>
                      <w:rFonts w:ascii="Times New Roman"/>
                      <w:sz w:val="21"/>
                      <w:szCs w:val="21"/>
                    </w:rPr>
                    <w:t>监测结果dB(A)</w:t>
                  </w:r>
                </w:p>
              </w:tc>
              <w:tc>
                <w:tcPr>
                  <w:tcW w:w="1367" w:type="dxa"/>
                  <w:gridSpan w:val="2"/>
                  <w:vAlign w:val="center"/>
                </w:tcPr>
                <w:p>
                  <w:pPr>
                    <w:pStyle w:val="37"/>
                    <w:spacing w:beforeLines="0" w:line="240" w:lineRule="auto"/>
                    <w:ind w:firstLine="0" w:firstLineChars="0"/>
                    <w:rPr>
                      <w:rFonts w:ascii="Times New Roman"/>
                      <w:sz w:val="21"/>
                      <w:szCs w:val="21"/>
                    </w:rPr>
                  </w:pPr>
                  <w:r>
                    <w:rPr>
                      <w:rFonts w:ascii="Times New Roman"/>
                      <w:sz w:val="21"/>
                      <w:szCs w:val="21"/>
                    </w:rPr>
                    <w:t>评价标准</w:t>
                  </w:r>
                </w:p>
              </w:tc>
              <w:tc>
                <w:tcPr>
                  <w:tcW w:w="1370" w:type="dxa"/>
                  <w:gridSpan w:val="2"/>
                  <w:vAlign w:val="center"/>
                </w:tcPr>
                <w:p>
                  <w:pPr>
                    <w:pStyle w:val="37"/>
                    <w:spacing w:beforeLines="0" w:line="240" w:lineRule="auto"/>
                    <w:ind w:firstLine="0" w:firstLineChars="0"/>
                    <w:rPr>
                      <w:rFonts w:ascii="Times New Roman"/>
                      <w:sz w:val="21"/>
                      <w:szCs w:val="21"/>
                    </w:rPr>
                  </w:pPr>
                  <w:r>
                    <w:rPr>
                      <w:rFonts w:ascii="Times New Roman"/>
                      <w:sz w:val="21"/>
                      <w:szCs w:val="21"/>
                    </w:rPr>
                    <w:t>达标情况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908" w:type="dxa"/>
                  <w:vMerge w:val="continue"/>
                  <w:vAlign w:val="center"/>
                </w:tcPr>
                <w:p>
                  <w:pPr>
                    <w:snapToGrid w:val="0"/>
                    <w:jc w:val="center"/>
                    <w:rPr>
                      <w:szCs w:val="21"/>
                    </w:rPr>
                  </w:pPr>
                </w:p>
              </w:tc>
              <w:tc>
                <w:tcPr>
                  <w:tcW w:w="2560" w:type="dxa"/>
                  <w:vMerge w:val="continue"/>
                  <w:vAlign w:val="center"/>
                </w:tcPr>
                <w:p>
                  <w:pPr>
                    <w:snapToGrid w:val="0"/>
                    <w:jc w:val="center"/>
                    <w:rPr>
                      <w:szCs w:val="21"/>
                    </w:rPr>
                  </w:pPr>
                </w:p>
              </w:tc>
              <w:tc>
                <w:tcPr>
                  <w:tcW w:w="884" w:type="dxa"/>
                  <w:vAlign w:val="center"/>
                </w:tcPr>
                <w:p>
                  <w:pPr>
                    <w:snapToGrid w:val="0"/>
                    <w:jc w:val="center"/>
                    <w:rPr>
                      <w:szCs w:val="21"/>
                    </w:rPr>
                  </w:pPr>
                  <w:r>
                    <w:rPr>
                      <w:szCs w:val="21"/>
                    </w:rPr>
                    <w:t>昼间</w:t>
                  </w:r>
                </w:p>
              </w:tc>
              <w:tc>
                <w:tcPr>
                  <w:tcW w:w="885" w:type="dxa"/>
                  <w:vAlign w:val="center"/>
                </w:tcPr>
                <w:p>
                  <w:pPr>
                    <w:snapToGrid w:val="0"/>
                    <w:jc w:val="center"/>
                    <w:rPr>
                      <w:szCs w:val="21"/>
                    </w:rPr>
                  </w:pPr>
                  <w:r>
                    <w:rPr>
                      <w:szCs w:val="21"/>
                    </w:rPr>
                    <w:t>夜间</w:t>
                  </w:r>
                </w:p>
              </w:tc>
              <w:tc>
                <w:tcPr>
                  <w:tcW w:w="683" w:type="dxa"/>
                  <w:vAlign w:val="center"/>
                </w:tcPr>
                <w:p>
                  <w:pPr>
                    <w:snapToGrid w:val="0"/>
                    <w:jc w:val="center"/>
                    <w:rPr>
                      <w:szCs w:val="21"/>
                    </w:rPr>
                  </w:pPr>
                  <w:r>
                    <w:rPr>
                      <w:szCs w:val="21"/>
                    </w:rPr>
                    <w:t>昼间</w:t>
                  </w:r>
                </w:p>
              </w:tc>
              <w:tc>
                <w:tcPr>
                  <w:tcW w:w="684" w:type="dxa"/>
                  <w:vAlign w:val="center"/>
                </w:tcPr>
                <w:p>
                  <w:pPr>
                    <w:snapToGrid w:val="0"/>
                    <w:jc w:val="center"/>
                    <w:rPr>
                      <w:szCs w:val="21"/>
                    </w:rPr>
                  </w:pPr>
                  <w:r>
                    <w:rPr>
                      <w:szCs w:val="21"/>
                    </w:rPr>
                    <w:t>夜间</w:t>
                  </w:r>
                </w:p>
              </w:tc>
              <w:tc>
                <w:tcPr>
                  <w:tcW w:w="683" w:type="dxa"/>
                  <w:vAlign w:val="center"/>
                </w:tcPr>
                <w:p>
                  <w:pPr>
                    <w:snapToGrid w:val="0"/>
                    <w:jc w:val="center"/>
                    <w:rPr>
                      <w:szCs w:val="21"/>
                    </w:rPr>
                  </w:pPr>
                  <w:r>
                    <w:rPr>
                      <w:szCs w:val="21"/>
                    </w:rPr>
                    <w:t>昼间</w:t>
                  </w:r>
                </w:p>
              </w:tc>
              <w:tc>
                <w:tcPr>
                  <w:tcW w:w="687" w:type="dxa"/>
                  <w:vAlign w:val="center"/>
                </w:tcPr>
                <w:p>
                  <w:pPr>
                    <w:snapToGrid w:val="0"/>
                    <w:jc w:val="center"/>
                    <w:rPr>
                      <w:szCs w:val="21"/>
                    </w:rPr>
                  </w:pPr>
                  <w:r>
                    <w:rPr>
                      <w:szCs w:val="21"/>
                    </w:rPr>
                    <w:t>夜间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908" w:type="dxa"/>
                  <w:vAlign w:val="center"/>
                </w:tcPr>
                <w:p>
                  <w:pPr>
                    <w:snapToGrid w:val="0"/>
                    <w:jc w:val="center"/>
                    <w:rPr>
                      <w:szCs w:val="21"/>
                    </w:rPr>
                  </w:pPr>
                  <w:bookmarkStart w:id="30" w:name="_Hlk221255679"/>
                  <w:bookmarkStart w:id="31" w:name="OLE_LINK23"/>
                  <w:bookmarkStart w:id="32" w:name="OLE_LINK24"/>
                  <w:r>
                    <w:rPr>
                      <w:szCs w:val="21"/>
                    </w:rPr>
                    <w:t>N1</w:t>
                  </w:r>
                </w:p>
              </w:tc>
              <w:tc>
                <w:tcPr>
                  <w:tcW w:w="2560" w:type="dxa"/>
                  <w:vAlign w:val="center"/>
                </w:tcPr>
                <w:p>
                  <w:pPr>
                    <w:snapToGrid w:val="0"/>
                    <w:jc w:val="center"/>
                    <w:rPr>
                      <w:szCs w:val="21"/>
                    </w:rPr>
                  </w:pPr>
                  <w:r>
                    <w:rPr>
                      <w:szCs w:val="21"/>
                    </w:rPr>
                    <w:t>东侧厂界</w:t>
                  </w:r>
                </w:p>
              </w:tc>
              <w:tc>
                <w:tcPr>
                  <w:tcW w:w="884" w:type="dxa"/>
                  <w:vAlign w:val="center"/>
                </w:tcPr>
                <w:p>
                  <w:pPr>
                    <w:spacing w:line="320" w:lineRule="exact"/>
                    <w:jc w:val="center"/>
                    <w:rPr>
                      <w:szCs w:val="21"/>
                    </w:rPr>
                  </w:pPr>
                  <w:r>
                    <w:rPr>
                      <w:rFonts w:hint="eastAsia" w:eastAsia="宋体"/>
                      <w:bCs/>
                      <w:szCs w:val="21"/>
                    </w:rPr>
                    <w:t>50</w:t>
                  </w:r>
                </w:p>
              </w:tc>
              <w:tc>
                <w:tcPr>
                  <w:tcW w:w="885" w:type="dxa"/>
                  <w:vAlign w:val="center"/>
                </w:tcPr>
                <w:p>
                  <w:pPr>
                    <w:spacing w:line="320" w:lineRule="exact"/>
                    <w:jc w:val="center"/>
                    <w:rPr>
                      <w:szCs w:val="21"/>
                    </w:rPr>
                  </w:pPr>
                  <w:r>
                    <w:rPr>
                      <w:rFonts w:hint="eastAsia"/>
                      <w:szCs w:val="21"/>
                    </w:rPr>
                    <w:t>36</w:t>
                  </w:r>
                </w:p>
              </w:tc>
              <w:tc>
                <w:tcPr>
                  <w:tcW w:w="683" w:type="dxa"/>
                  <w:vAlign w:val="center"/>
                </w:tcPr>
                <w:p>
                  <w:pPr>
                    <w:pStyle w:val="37"/>
                    <w:spacing w:beforeLines="0" w:line="240" w:lineRule="auto"/>
                    <w:ind w:firstLine="0" w:firstLineChars="0"/>
                    <w:rPr>
                      <w:rFonts w:ascii="Times New Roman"/>
                      <w:sz w:val="21"/>
                      <w:szCs w:val="21"/>
                    </w:rPr>
                  </w:pPr>
                  <w:r>
                    <w:rPr>
                      <w:rFonts w:hint="eastAsia" w:ascii="Times New Roman"/>
                      <w:sz w:val="21"/>
                      <w:szCs w:val="21"/>
                    </w:rPr>
                    <w:t>55</w:t>
                  </w:r>
                </w:p>
              </w:tc>
              <w:tc>
                <w:tcPr>
                  <w:tcW w:w="684" w:type="dxa"/>
                  <w:vAlign w:val="center"/>
                </w:tcPr>
                <w:p>
                  <w:pPr>
                    <w:pStyle w:val="37"/>
                    <w:spacing w:beforeLines="0" w:line="240" w:lineRule="auto"/>
                    <w:ind w:firstLine="0" w:firstLineChars="0"/>
                    <w:rPr>
                      <w:rFonts w:ascii="Times New Roman"/>
                      <w:sz w:val="21"/>
                      <w:szCs w:val="21"/>
                    </w:rPr>
                  </w:pPr>
                  <w:r>
                    <w:rPr>
                      <w:rFonts w:hint="eastAsia" w:ascii="Times New Roman"/>
                      <w:sz w:val="21"/>
                      <w:szCs w:val="21"/>
                    </w:rPr>
                    <w:t>45</w:t>
                  </w:r>
                </w:p>
              </w:tc>
              <w:tc>
                <w:tcPr>
                  <w:tcW w:w="683" w:type="dxa"/>
                  <w:vAlign w:val="top"/>
                </w:tcPr>
                <w:p>
                  <w:pPr>
                    <w:snapToGrid w:val="0"/>
                    <w:jc w:val="center"/>
                    <w:rPr>
                      <w:szCs w:val="21"/>
                    </w:rPr>
                  </w:pPr>
                  <w:r>
                    <w:rPr>
                      <w:szCs w:val="21"/>
                    </w:rPr>
                    <w:t>达标</w:t>
                  </w:r>
                </w:p>
              </w:tc>
              <w:tc>
                <w:tcPr>
                  <w:tcW w:w="687" w:type="dxa"/>
                  <w:vAlign w:val="center"/>
                </w:tcPr>
                <w:p>
                  <w:pPr>
                    <w:snapToGrid w:val="0"/>
                    <w:jc w:val="center"/>
                    <w:rPr>
                      <w:szCs w:val="21"/>
                    </w:rPr>
                  </w:pPr>
                  <w:r>
                    <w:rPr>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908" w:type="dxa"/>
                  <w:vAlign w:val="center"/>
                </w:tcPr>
                <w:p>
                  <w:pPr>
                    <w:snapToGrid w:val="0"/>
                    <w:jc w:val="center"/>
                    <w:rPr>
                      <w:szCs w:val="21"/>
                    </w:rPr>
                  </w:pPr>
                  <w:r>
                    <w:rPr>
                      <w:szCs w:val="21"/>
                    </w:rPr>
                    <w:t>N2</w:t>
                  </w:r>
                </w:p>
              </w:tc>
              <w:tc>
                <w:tcPr>
                  <w:tcW w:w="2560" w:type="dxa"/>
                  <w:vAlign w:val="center"/>
                </w:tcPr>
                <w:p>
                  <w:pPr>
                    <w:snapToGrid w:val="0"/>
                    <w:jc w:val="center"/>
                    <w:rPr>
                      <w:szCs w:val="21"/>
                    </w:rPr>
                  </w:pPr>
                  <w:r>
                    <w:rPr>
                      <w:szCs w:val="21"/>
                    </w:rPr>
                    <w:t>南侧厂界</w:t>
                  </w:r>
                </w:p>
              </w:tc>
              <w:tc>
                <w:tcPr>
                  <w:tcW w:w="884" w:type="dxa"/>
                  <w:vAlign w:val="center"/>
                </w:tcPr>
                <w:p>
                  <w:pPr>
                    <w:spacing w:line="320" w:lineRule="exact"/>
                    <w:jc w:val="center"/>
                    <w:rPr>
                      <w:szCs w:val="21"/>
                    </w:rPr>
                  </w:pPr>
                  <w:r>
                    <w:rPr>
                      <w:rFonts w:hint="eastAsia" w:eastAsia="宋体"/>
                      <w:bCs/>
                      <w:szCs w:val="21"/>
                    </w:rPr>
                    <w:t>50</w:t>
                  </w:r>
                </w:p>
              </w:tc>
              <w:tc>
                <w:tcPr>
                  <w:tcW w:w="885" w:type="dxa"/>
                  <w:vAlign w:val="center"/>
                </w:tcPr>
                <w:p>
                  <w:pPr>
                    <w:spacing w:line="320" w:lineRule="exact"/>
                    <w:jc w:val="center"/>
                    <w:rPr>
                      <w:szCs w:val="21"/>
                    </w:rPr>
                  </w:pPr>
                  <w:r>
                    <w:rPr>
                      <w:rFonts w:hint="eastAsia" w:eastAsia="宋体"/>
                      <w:bCs/>
                      <w:szCs w:val="21"/>
                    </w:rPr>
                    <w:t>38</w:t>
                  </w:r>
                </w:p>
              </w:tc>
              <w:tc>
                <w:tcPr>
                  <w:tcW w:w="683" w:type="dxa"/>
                  <w:vAlign w:val="center"/>
                </w:tcPr>
                <w:p>
                  <w:pPr>
                    <w:pStyle w:val="37"/>
                    <w:spacing w:beforeLines="0" w:line="240" w:lineRule="auto"/>
                    <w:ind w:firstLine="0" w:firstLineChars="0"/>
                    <w:rPr>
                      <w:rFonts w:ascii="Times New Roman"/>
                      <w:sz w:val="21"/>
                      <w:szCs w:val="21"/>
                    </w:rPr>
                  </w:pPr>
                  <w:r>
                    <w:rPr>
                      <w:rFonts w:hint="eastAsia" w:ascii="Times New Roman"/>
                      <w:sz w:val="21"/>
                      <w:szCs w:val="21"/>
                    </w:rPr>
                    <w:t>55</w:t>
                  </w:r>
                </w:p>
              </w:tc>
              <w:tc>
                <w:tcPr>
                  <w:tcW w:w="684" w:type="dxa"/>
                  <w:vAlign w:val="center"/>
                </w:tcPr>
                <w:p>
                  <w:pPr>
                    <w:pStyle w:val="37"/>
                    <w:spacing w:beforeLines="0" w:line="240" w:lineRule="auto"/>
                    <w:ind w:firstLine="0" w:firstLineChars="0"/>
                    <w:rPr>
                      <w:rFonts w:ascii="Times New Roman"/>
                      <w:sz w:val="21"/>
                      <w:szCs w:val="21"/>
                    </w:rPr>
                  </w:pPr>
                  <w:r>
                    <w:rPr>
                      <w:rFonts w:hint="eastAsia" w:ascii="Times New Roman"/>
                      <w:sz w:val="21"/>
                      <w:szCs w:val="21"/>
                    </w:rPr>
                    <w:t>45</w:t>
                  </w:r>
                </w:p>
              </w:tc>
              <w:tc>
                <w:tcPr>
                  <w:tcW w:w="683" w:type="dxa"/>
                  <w:vAlign w:val="top"/>
                </w:tcPr>
                <w:p>
                  <w:pPr>
                    <w:snapToGrid w:val="0"/>
                    <w:jc w:val="center"/>
                    <w:rPr>
                      <w:szCs w:val="21"/>
                    </w:rPr>
                  </w:pPr>
                  <w:r>
                    <w:rPr>
                      <w:szCs w:val="21"/>
                    </w:rPr>
                    <w:t>达标</w:t>
                  </w:r>
                </w:p>
              </w:tc>
              <w:tc>
                <w:tcPr>
                  <w:tcW w:w="687" w:type="dxa"/>
                  <w:vAlign w:val="center"/>
                </w:tcPr>
                <w:p>
                  <w:pPr>
                    <w:snapToGrid w:val="0"/>
                    <w:jc w:val="center"/>
                    <w:rPr>
                      <w:szCs w:val="21"/>
                    </w:rPr>
                  </w:pPr>
                  <w:r>
                    <w:rPr>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908" w:type="dxa"/>
                  <w:vAlign w:val="center"/>
                </w:tcPr>
                <w:p>
                  <w:pPr>
                    <w:snapToGrid w:val="0"/>
                    <w:jc w:val="center"/>
                    <w:rPr>
                      <w:szCs w:val="21"/>
                    </w:rPr>
                  </w:pPr>
                  <w:r>
                    <w:rPr>
                      <w:szCs w:val="21"/>
                    </w:rPr>
                    <w:t>N3</w:t>
                  </w:r>
                </w:p>
              </w:tc>
              <w:tc>
                <w:tcPr>
                  <w:tcW w:w="2560" w:type="dxa"/>
                  <w:vAlign w:val="center"/>
                </w:tcPr>
                <w:p>
                  <w:pPr>
                    <w:snapToGrid w:val="0"/>
                    <w:jc w:val="center"/>
                    <w:rPr>
                      <w:szCs w:val="21"/>
                    </w:rPr>
                  </w:pPr>
                  <w:r>
                    <w:rPr>
                      <w:szCs w:val="21"/>
                    </w:rPr>
                    <w:t>西侧厂界</w:t>
                  </w:r>
                </w:p>
              </w:tc>
              <w:tc>
                <w:tcPr>
                  <w:tcW w:w="884" w:type="dxa"/>
                  <w:vAlign w:val="center"/>
                </w:tcPr>
                <w:p>
                  <w:pPr>
                    <w:spacing w:line="320" w:lineRule="exact"/>
                    <w:jc w:val="center"/>
                    <w:rPr>
                      <w:szCs w:val="21"/>
                    </w:rPr>
                  </w:pPr>
                  <w:r>
                    <w:rPr>
                      <w:rFonts w:hint="eastAsia" w:eastAsia="宋体"/>
                      <w:bCs/>
                      <w:szCs w:val="21"/>
                    </w:rPr>
                    <w:t>46</w:t>
                  </w:r>
                </w:p>
              </w:tc>
              <w:tc>
                <w:tcPr>
                  <w:tcW w:w="885" w:type="dxa"/>
                  <w:vAlign w:val="center"/>
                </w:tcPr>
                <w:p>
                  <w:pPr>
                    <w:spacing w:line="320" w:lineRule="exact"/>
                    <w:jc w:val="center"/>
                    <w:rPr>
                      <w:szCs w:val="21"/>
                    </w:rPr>
                  </w:pPr>
                  <w:r>
                    <w:rPr>
                      <w:rFonts w:hint="eastAsia" w:eastAsia="宋体"/>
                      <w:bCs/>
                      <w:szCs w:val="21"/>
                    </w:rPr>
                    <w:t>34</w:t>
                  </w:r>
                </w:p>
              </w:tc>
              <w:tc>
                <w:tcPr>
                  <w:tcW w:w="683" w:type="dxa"/>
                  <w:vAlign w:val="center"/>
                </w:tcPr>
                <w:p>
                  <w:pPr>
                    <w:pStyle w:val="37"/>
                    <w:spacing w:beforeLines="0" w:line="240" w:lineRule="auto"/>
                    <w:ind w:firstLine="0" w:firstLineChars="0"/>
                    <w:rPr>
                      <w:rFonts w:ascii="Times New Roman"/>
                      <w:sz w:val="21"/>
                      <w:szCs w:val="21"/>
                    </w:rPr>
                  </w:pPr>
                  <w:r>
                    <w:rPr>
                      <w:rFonts w:hint="eastAsia" w:ascii="Times New Roman"/>
                      <w:sz w:val="21"/>
                      <w:szCs w:val="21"/>
                    </w:rPr>
                    <w:t>55</w:t>
                  </w:r>
                </w:p>
              </w:tc>
              <w:tc>
                <w:tcPr>
                  <w:tcW w:w="684" w:type="dxa"/>
                  <w:vAlign w:val="center"/>
                </w:tcPr>
                <w:p>
                  <w:pPr>
                    <w:pStyle w:val="37"/>
                    <w:spacing w:beforeLines="0" w:line="240" w:lineRule="auto"/>
                    <w:ind w:firstLine="0" w:firstLineChars="0"/>
                    <w:rPr>
                      <w:rFonts w:ascii="Times New Roman"/>
                      <w:sz w:val="21"/>
                      <w:szCs w:val="21"/>
                    </w:rPr>
                  </w:pPr>
                  <w:r>
                    <w:rPr>
                      <w:rFonts w:hint="eastAsia" w:ascii="Times New Roman"/>
                      <w:sz w:val="21"/>
                      <w:szCs w:val="21"/>
                    </w:rPr>
                    <w:t>45</w:t>
                  </w:r>
                </w:p>
              </w:tc>
              <w:tc>
                <w:tcPr>
                  <w:tcW w:w="683" w:type="dxa"/>
                  <w:vAlign w:val="top"/>
                </w:tcPr>
                <w:p>
                  <w:pPr>
                    <w:snapToGrid w:val="0"/>
                    <w:jc w:val="center"/>
                    <w:rPr>
                      <w:szCs w:val="21"/>
                    </w:rPr>
                  </w:pPr>
                  <w:r>
                    <w:rPr>
                      <w:szCs w:val="21"/>
                    </w:rPr>
                    <w:t>达标</w:t>
                  </w:r>
                </w:p>
              </w:tc>
              <w:tc>
                <w:tcPr>
                  <w:tcW w:w="687" w:type="dxa"/>
                  <w:vAlign w:val="center"/>
                </w:tcPr>
                <w:p>
                  <w:pPr>
                    <w:snapToGrid w:val="0"/>
                    <w:jc w:val="center"/>
                    <w:rPr>
                      <w:szCs w:val="21"/>
                    </w:rPr>
                  </w:pPr>
                  <w:r>
                    <w:rPr>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908" w:type="dxa"/>
                  <w:vAlign w:val="center"/>
                </w:tcPr>
                <w:p>
                  <w:pPr>
                    <w:snapToGrid w:val="0"/>
                    <w:jc w:val="center"/>
                    <w:rPr>
                      <w:szCs w:val="21"/>
                    </w:rPr>
                  </w:pPr>
                  <w:r>
                    <w:rPr>
                      <w:szCs w:val="21"/>
                    </w:rPr>
                    <w:t>N4</w:t>
                  </w:r>
                </w:p>
              </w:tc>
              <w:tc>
                <w:tcPr>
                  <w:tcW w:w="2560" w:type="dxa"/>
                  <w:vAlign w:val="center"/>
                </w:tcPr>
                <w:p>
                  <w:pPr>
                    <w:snapToGrid w:val="0"/>
                    <w:jc w:val="center"/>
                    <w:rPr>
                      <w:szCs w:val="21"/>
                    </w:rPr>
                  </w:pPr>
                  <w:r>
                    <w:rPr>
                      <w:szCs w:val="21"/>
                    </w:rPr>
                    <w:t>北侧厂界</w:t>
                  </w:r>
                </w:p>
              </w:tc>
              <w:tc>
                <w:tcPr>
                  <w:tcW w:w="884" w:type="dxa"/>
                  <w:vAlign w:val="center"/>
                </w:tcPr>
                <w:p>
                  <w:pPr>
                    <w:spacing w:line="320" w:lineRule="exact"/>
                    <w:jc w:val="center"/>
                    <w:rPr>
                      <w:szCs w:val="21"/>
                    </w:rPr>
                  </w:pPr>
                  <w:r>
                    <w:rPr>
                      <w:rFonts w:hint="eastAsia" w:eastAsia="宋体"/>
                      <w:bCs/>
                      <w:szCs w:val="21"/>
                    </w:rPr>
                    <w:t>42</w:t>
                  </w:r>
                </w:p>
              </w:tc>
              <w:tc>
                <w:tcPr>
                  <w:tcW w:w="885" w:type="dxa"/>
                  <w:vAlign w:val="center"/>
                </w:tcPr>
                <w:p>
                  <w:pPr>
                    <w:spacing w:line="320" w:lineRule="exact"/>
                    <w:jc w:val="center"/>
                    <w:rPr>
                      <w:szCs w:val="21"/>
                    </w:rPr>
                  </w:pPr>
                  <w:r>
                    <w:rPr>
                      <w:rFonts w:hint="eastAsia" w:eastAsia="宋体"/>
                      <w:bCs/>
                      <w:szCs w:val="21"/>
                    </w:rPr>
                    <w:t>35</w:t>
                  </w:r>
                </w:p>
              </w:tc>
              <w:tc>
                <w:tcPr>
                  <w:tcW w:w="683" w:type="dxa"/>
                  <w:vAlign w:val="center"/>
                </w:tcPr>
                <w:p>
                  <w:pPr>
                    <w:pStyle w:val="37"/>
                    <w:spacing w:beforeLines="0" w:line="240" w:lineRule="auto"/>
                    <w:ind w:firstLine="0" w:firstLineChars="0"/>
                    <w:rPr>
                      <w:rFonts w:ascii="Times New Roman"/>
                      <w:sz w:val="21"/>
                      <w:szCs w:val="21"/>
                    </w:rPr>
                  </w:pPr>
                  <w:r>
                    <w:rPr>
                      <w:rFonts w:hint="eastAsia" w:ascii="Times New Roman"/>
                      <w:sz w:val="21"/>
                      <w:szCs w:val="21"/>
                    </w:rPr>
                    <w:t>55</w:t>
                  </w:r>
                </w:p>
              </w:tc>
              <w:tc>
                <w:tcPr>
                  <w:tcW w:w="684" w:type="dxa"/>
                  <w:vAlign w:val="center"/>
                </w:tcPr>
                <w:p>
                  <w:pPr>
                    <w:pStyle w:val="37"/>
                    <w:spacing w:beforeLines="0" w:line="240" w:lineRule="auto"/>
                    <w:ind w:firstLine="0" w:firstLineChars="0"/>
                    <w:rPr>
                      <w:rFonts w:ascii="Times New Roman"/>
                      <w:sz w:val="21"/>
                      <w:szCs w:val="21"/>
                    </w:rPr>
                  </w:pPr>
                  <w:r>
                    <w:rPr>
                      <w:rFonts w:hint="eastAsia" w:ascii="Times New Roman"/>
                      <w:sz w:val="21"/>
                      <w:szCs w:val="21"/>
                    </w:rPr>
                    <w:t>45</w:t>
                  </w:r>
                </w:p>
              </w:tc>
              <w:tc>
                <w:tcPr>
                  <w:tcW w:w="683" w:type="dxa"/>
                  <w:vAlign w:val="top"/>
                </w:tcPr>
                <w:p>
                  <w:pPr>
                    <w:snapToGrid w:val="0"/>
                    <w:jc w:val="center"/>
                    <w:rPr>
                      <w:szCs w:val="21"/>
                    </w:rPr>
                  </w:pPr>
                  <w:r>
                    <w:rPr>
                      <w:szCs w:val="21"/>
                    </w:rPr>
                    <w:t>达标</w:t>
                  </w:r>
                </w:p>
              </w:tc>
              <w:tc>
                <w:tcPr>
                  <w:tcW w:w="687" w:type="dxa"/>
                  <w:vAlign w:val="center"/>
                </w:tcPr>
                <w:p>
                  <w:pPr>
                    <w:snapToGrid w:val="0"/>
                    <w:jc w:val="center"/>
                    <w:rPr>
                      <w:szCs w:val="21"/>
                    </w:rPr>
                  </w:pPr>
                  <w:r>
                    <w:rPr>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908" w:type="dxa"/>
                  <w:vAlign w:val="center"/>
                </w:tcPr>
                <w:p>
                  <w:pPr>
                    <w:snapToGrid w:val="0"/>
                    <w:jc w:val="center"/>
                    <w:rPr>
                      <w:szCs w:val="21"/>
                    </w:rPr>
                  </w:pPr>
                  <w:r>
                    <w:rPr>
                      <w:rFonts w:hint="eastAsia"/>
                      <w:szCs w:val="21"/>
                    </w:rPr>
                    <w:t>N5</w:t>
                  </w:r>
                </w:p>
              </w:tc>
              <w:tc>
                <w:tcPr>
                  <w:tcW w:w="2560" w:type="dxa"/>
                  <w:vAlign w:val="center"/>
                </w:tcPr>
                <w:p>
                  <w:pPr>
                    <w:snapToGrid w:val="0"/>
                    <w:jc w:val="center"/>
                    <w:rPr>
                      <w:szCs w:val="21"/>
                    </w:rPr>
                  </w:pPr>
                  <w:r>
                    <w:rPr>
                      <w:rFonts w:hint="eastAsia"/>
                      <w:szCs w:val="21"/>
                    </w:rPr>
                    <w:t>西北侧敏感点</w:t>
                  </w:r>
                </w:p>
              </w:tc>
              <w:tc>
                <w:tcPr>
                  <w:tcW w:w="884" w:type="dxa"/>
                  <w:vAlign w:val="center"/>
                </w:tcPr>
                <w:p>
                  <w:pPr>
                    <w:spacing w:line="320" w:lineRule="exact"/>
                    <w:jc w:val="center"/>
                    <w:rPr>
                      <w:szCs w:val="21"/>
                    </w:rPr>
                  </w:pPr>
                  <w:r>
                    <w:rPr>
                      <w:rFonts w:hint="eastAsia" w:eastAsia="宋体"/>
                      <w:bCs/>
                      <w:szCs w:val="21"/>
                    </w:rPr>
                    <w:t>42</w:t>
                  </w:r>
                </w:p>
              </w:tc>
              <w:tc>
                <w:tcPr>
                  <w:tcW w:w="885" w:type="dxa"/>
                  <w:vAlign w:val="center"/>
                </w:tcPr>
                <w:p>
                  <w:pPr>
                    <w:spacing w:line="320" w:lineRule="exact"/>
                    <w:jc w:val="center"/>
                    <w:rPr>
                      <w:szCs w:val="21"/>
                    </w:rPr>
                  </w:pPr>
                  <w:r>
                    <w:rPr>
                      <w:rFonts w:hint="eastAsia" w:eastAsia="宋体"/>
                      <w:bCs/>
                      <w:szCs w:val="21"/>
                    </w:rPr>
                    <w:t>34</w:t>
                  </w:r>
                </w:p>
              </w:tc>
              <w:tc>
                <w:tcPr>
                  <w:tcW w:w="683" w:type="dxa"/>
                  <w:vAlign w:val="center"/>
                </w:tcPr>
                <w:p>
                  <w:pPr>
                    <w:pStyle w:val="37"/>
                    <w:spacing w:beforeLines="0" w:line="240" w:lineRule="auto"/>
                    <w:ind w:firstLine="0" w:firstLineChars="0"/>
                    <w:rPr>
                      <w:rFonts w:ascii="Times New Roman"/>
                      <w:sz w:val="21"/>
                      <w:szCs w:val="21"/>
                    </w:rPr>
                  </w:pPr>
                  <w:r>
                    <w:rPr>
                      <w:rFonts w:hint="eastAsia" w:ascii="Times New Roman"/>
                      <w:sz w:val="21"/>
                      <w:szCs w:val="21"/>
                    </w:rPr>
                    <w:t>55</w:t>
                  </w:r>
                </w:p>
              </w:tc>
              <w:tc>
                <w:tcPr>
                  <w:tcW w:w="684" w:type="dxa"/>
                  <w:vAlign w:val="center"/>
                </w:tcPr>
                <w:p>
                  <w:pPr>
                    <w:pStyle w:val="37"/>
                    <w:spacing w:beforeLines="0" w:line="240" w:lineRule="auto"/>
                    <w:ind w:firstLine="0" w:firstLineChars="0"/>
                    <w:rPr>
                      <w:rFonts w:ascii="Times New Roman"/>
                      <w:sz w:val="21"/>
                      <w:szCs w:val="21"/>
                    </w:rPr>
                  </w:pPr>
                  <w:r>
                    <w:rPr>
                      <w:rFonts w:hint="eastAsia" w:ascii="Times New Roman"/>
                      <w:sz w:val="21"/>
                      <w:szCs w:val="21"/>
                    </w:rPr>
                    <w:t>45</w:t>
                  </w:r>
                </w:p>
              </w:tc>
              <w:tc>
                <w:tcPr>
                  <w:tcW w:w="683" w:type="dxa"/>
                  <w:vAlign w:val="top"/>
                </w:tcPr>
                <w:p>
                  <w:pPr>
                    <w:snapToGrid w:val="0"/>
                    <w:jc w:val="center"/>
                    <w:rPr>
                      <w:szCs w:val="21"/>
                    </w:rPr>
                  </w:pPr>
                  <w:r>
                    <w:rPr>
                      <w:szCs w:val="21"/>
                    </w:rPr>
                    <w:t>达标</w:t>
                  </w:r>
                </w:p>
              </w:tc>
              <w:tc>
                <w:tcPr>
                  <w:tcW w:w="687" w:type="dxa"/>
                  <w:vAlign w:val="center"/>
                </w:tcPr>
                <w:p>
                  <w:pPr>
                    <w:snapToGrid w:val="0"/>
                    <w:jc w:val="center"/>
                    <w:rPr>
                      <w:szCs w:val="21"/>
                    </w:rPr>
                  </w:pPr>
                  <w:r>
                    <w:rPr>
                      <w:szCs w:val="21"/>
                    </w:rPr>
                    <w:t>达标</w:t>
                  </w:r>
                </w:p>
              </w:tc>
            </w:tr>
            <w:bookmarkEnd w:id="30"/>
            <w:bookmarkEnd w:id="31"/>
            <w:bookmarkEnd w:id="32"/>
          </w:tbl>
          <w:p>
            <w:pPr>
              <w:spacing w:line="440" w:lineRule="exact"/>
              <w:ind w:firstLine="480" w:firstLineChars="200"/>
              <w:rPr>
                <w:sz w:val="24"/>
              </w:rPr>
            </w:pPr>
            <w:r>
              <w:rPr>
                <w:sz w:val="24"/>
              </w:rPr>
              <w:t>由上表可以看出，项目所处区域声环境满足《声环境质量标准》（GB3096—2008）中</w:t>
            </w:r>
            <w:r>
              <w:rPr>
                <w:rFonts w:hint="eastAsia"/>
                <w:sz w:val="24"/>
              </w:rPr>
              <w:t>1</w:t>
            </w:r>
            <w:r>
              <w:rPr>
                <w:sz w:val="24"/>
              </w:rPr>
              <w:t>类标准要求</w:t>
            </w:r>
            <w:r>
              <w:rPr>
                <w:rFonts w:hint="eastAsia"/>
                <w:sz w:val="24"/>
              </w:rPr>
              <w:t>。</w:t>
            </w:r>
          </w:p>
          <w:p>
            <w:pPr>
              <w:widowControl/>
              <w:spacing w:line="440" w:lineRule="exact"/>
              <w:rPr>
                <w:b/>
                <w:bCs/>
                <w:sz w:val="24"/>
              </w:rPr>
            </w:pPr>
            <w:r>
              <w:rPr>
                <w:rFonts w:hint="eastAsia"/>
                <w:b/>
                <w:bCs/>
                <w:sz w:val="24"/>
              </w:rPr>
              <w:t>3.1.4</w:t>
            </w:r>
            <w:r>
              <w:rPr>
                <w:b/>
                <w:bCs/>
                <w:sz w:val="24"/>
              </w:rPr>
              <w:t>地下水</w:t>
            </w:r>
            <w:r>
              <w:rPr>
                <w:rFonts w:hint="eastAsia"/>
                <w:b/>
                <w:bCs/>
                <w:sz w:val="24"/>
              </w:rPr>
              <w:t>、土壤</w:t>
            </w:r>
            <w:r>
              <w:rPr>
                <w:b/>
                <w:bCs/>
                <w:sz w:val="24"/>
              </w:rPr>
              <w:t>环境概况</w:t>
            </w:r>
          </w:p>
          <w:p>
            <w:pPr>
              <w:autoSpaceDE w:val="0"/>
              <w:autoSpaceDN w:val="0"/>
              <w:adjustRightInd w:val="0"/>
              <w:spacing w:line="440" w:lineRule="exact"/>
              <w:ind w:firstLine="480" w:firstLineChars="200"/>
              <w:rPr>
                <w:sz w:val="24"/>
              </w:rPr>
            </w:pPr>
            <w:r>
              <w:rPr>
                <w:sz w:val="24"/>
              </w:rPr>
              <w:t>根据《建设项目环境影响报告表编制技术指南（污染影响类）（</w:t>
            </w:r>
            <w:r>
              <w:rPr>
                <w:rFonts w:hint="eastAsia"/>
                <w:sz w:val="24"/>
              </w:rPr>
              <w:t>试行</w:t>
            </w:r>
            <w:r>
              <w:rPr>
                <w:sz w:val="24"/>
              </w:rPr>
              <w:t>）》，</w:t>
            </w:r>
            <w:r>
              <w:rPr>
                <w:rFonts w:hint="eastAsia"/>
                <w:sz w:val="24"/>
              </w:rPr>
              <w:t>地下水、</w:t>
            </w:r>
            <w:r>
              <w:rPr>
                <w:sz w:val="24"/>
              </w:rPr>
              <w:t>土壤环境原则上不开展环境质量现状评价。建设项目存在土壤、地下水环境污染途径的，应结合污染源、保护目标分布情况开展现状调查以留作背景值。</w:t>
            </w:r>
          </w:p>
          <w:p>
            <w:pPr>
              <w:autoSpaceDE w:val="0"/>
              <w:autoSpaceDN w:val="0"/>
              <w:adjustRightInd w:val="0"/>
              <w:spacing w:line="440" w:lineRule="exact"/>
              <w:ind w:firstLine="480" w:firstLineChars="200"/>
              <w:rPr>
                <w:sz w:val="24"/>
              </w:rPr>
            </w:pPr>
            <w:r>
              <w:rPr>
                <w:rFonts w:hint="eastAsia"/>
                <w:sz w:val="24"/>
              </w:rPr>
              <w:t>本项目生活污水排入防渗旱厕，定期清掏做农肥。</w:t>
            </w:r>
            <w:r>
              <w:rPr>
                <w:rFonts w:hint="eastAsia"/>
                <w:iCs/>
                <w:sz w:val="24"/>
              </w:rPr>
              <w:t>地面清洁</w:t>
            </w:r>
            <w:r>
              <w:rPr>
                <w:rFonts w:hint="eastAsia"/>
                <w:sz w:val="24"/>
              </w:rPr>
              <w:t>废水全部消耗，蒸煮灭菌水循环利用，浸泡冲洗废水外售养鸡场综合利用。锅炉废水属于清洁下水，用于洒水降尘及灰渣调湿。项目不涉及重金属，对地下水和土壤影响较小，故本次不对地下水和土壤进行现状评价。</w:t>
            </w:r>
          </w:p>
          <w:p>
            <w:pPr>
              <w:widowControl/>
              <w:spacing w:line="440" w:lineRule="exact"/>
              <w:rPr>
                <w:b/>
                <w:bCs/>
                <w:sz w:val="24"/>
              </w:rPr>
            </w:pPr>
            <w:r>
              <w:rPr>
                <w:rFonts w:hint="eastAsia"/>
                <w:b/>
                <w:bCs/>
                <w:sz w:val="24"/>
              </w:rPr>
              <w:t>3.1.5生态</w:t>
            </w:r>
            <w:r>
              <w:rPr>
                <w:b/>
                <w:bCs/>
                <w:sz w:val="24"/>
              </w:rPr>
              <w:t>环境概况</w:t>
            </w:r>
          </w:p>
          <w:p>
            <w:pPr>
              <w:autoSpaceDE w:val="0"/>
              <w:autoSpaceDN w:val="0"/>
              <w:adjustRightInd w:val="0"/>
              <w:spacing w:line="440" w:lineRule="exact"/>
              <w:ind w:firstLine="480" w:firstLineChars="200"/>
              <w:rPr>
                <w:szCs w:val="21"/>
              </w:rPr>
            </w:pPr>
            <w:r>
              <w:rPr>
                <w:rFonts w:hint="eastAsia"/>
                <w:iCs/>
                <w:sz w:val="24"/>
              </w:rPr>
              <w:t>根据</w:t>
            </w:r>
            <w:r>
              <w:rPr>
                <w:sz w:val="24"/>
              </w:rPr>
              <w:t>《建设项目环境影响报告表编制技术指南（污染影响类）（</w:t>
            </w:r>
            <w:r>
              <w:rPr>
                <w:rFonts w:hint="eastAsia"/>
                <w:sz w:val="24"/>
              </w:rPr>
              <w:t>试行</w:t>
            </w:r>
            <w:r>
              <w:rPr>
                <w:sz w:val="24"/>
              </w:rPr>
              <w:t>）》</w:t>
            </w:r>
            <w:r>
              <w:rPr>
                <w:rFonts w:hint="eastAsia"/>
                <w:sz w:val="24"/>
              </w:rPr>
              <w:t>，产业园区外建设项目新增用地且用地范围内含有生态环境保护目标时，应进行生态现状调查</w:t>
            </w:r>
            <w:r>
              <w:rPr>
                <w:rFonts w:hint="eastAsia"/>
                <w:iCs/>
                <w:sz w:val="24"/>
              </w:rPr>
              <w:t>。本项目用地范围内无生态环境保护目标，因此不进行生态现状调查。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427" w:hRule="atLeast"/>
          <w:jc w:val="center"/>
        </w:trPr>
        <w:tc>
          <w:tcPr>
            <w:tcW w:w="800" w:type="dxa"/>
            <w:vAlign w:val="center"/>
          </w:tcPr>
          <w:p>
            <w:pPr>
              <w:adjustRightInd w:val="0"/>
              <w:snapToGrid w:val="0"/>
              <w:jc w:val="center"/>
              <w:rPr>
                <w:rFonts w:cs="宋体"/>
                <w:kern w:val="0"/>
                <w:sz w:val="24"/>
              </w:rPr>
            </w:pPr>
            <w:r>
              <w:rPr>
                <w:rFonts w:hint="eastAsia" w:cs="宋体"/>
                <w:kern w:val="0"/>
                <w:sz w:val="24"/>
              </w:rPr>
              <w:t>环境</w:t>
            </w:r>
          </w:p>
          <w:p>
            <w:pPr>
              <w:adjustRightInd w:val="0"/>
              <w:snapToGrid w:val="0"/>
              <w:jc w:val="center"/>
              <w:rPr>
                <w:rFonts w:cs="宋体"/>
                <w:kern w:val="0"/>
                <w:sz w:val="24"/>
              </w:rPr>
            </w:pPr>
            <w:r>
              <w:rPr>
                <w:rFonts w:hint="eastAsia" w:cs="宋体"/>
                <w:kern w:val="0"/>
                <w:sz w:val="24"/>
              </w:rPr>
              <w:t>保护</w:t>
            </w:r>
          </w:p>
          <w:p>
            <w:pPr>
              <w:adjustRightInd w:val="0"/>
              <w:snapToGrid w:val="0"/>
              <w:jc w:val="center"/>
              <w:rPr>
                <w:rFonts w:cs="宋体"/>
                <w:kern w:val="0"/>
                <w:szCs w:val="21"/>
              </w:rPr>
            </w:pPr>
            <w:r>
              <w:rPr>
                <w:rFonts w:hint="eastAsia" w:cs="宋体"/>
                <w:kern w:val="0"/>
                <w:sz w:val="24"/>
              </w:rPr>
              <w:t>目标</w:t>
            </w:r>
          </w:p>
        </w:tc>
        <w:tc>
          <w:tcPr>
            <w:tcW w:w="8190" w:type="dxa"/>
            <w:vAlign w:val="top"/>
          </w:tcPr>
          <w:p>
            <w:pPr>
              <w:spacing w:line="360" w:lineRule="auto"/>
              <w:rPr>
                <w:szCs w:val="21"/>
              </w:rPr>
            </w:pPr>
            <w:r>
              <w:rPr>
                <w:rFonts w:hint="eastAsia"/>
                <w:b/>
                <w:bCs/>
                <w:sz w:val="24"/>
              </w:rPr>
              <w:t>3.2</w:t>
            </w:r>
            <w:r>
              <w:rPr>
                <w:b/>
                <w:bCs/>
                <w:sz w:val="24"/>
              </w:rPr>
              <w:t>主要环境保护目标(列出名单及保护级别)：</w:t>
            </w:r>
          </w:p>
          <w:p>
            <w:pPr>
              <w:snapToGrid w:val="0"/>
              <w:spacing w:line="360" w:lineRule="auto"/>
              <w:ind w:firstLine="472" w:firstLineChars="197"/>
              <w:rPr>
                <w:sz w:val="24"/>
              </w:rPr>
            </w:pPr>
            <w:r>
              <w:rPr>
                <w:rFonts w:hint="eastAsia"/>
                <w:sz w:val="24"/>
              </w:rPr>
              <w:t>根据《建设项目环境影响评价分类管理名录》中关于敏感因素的界定原则，经调查本区域不属于特殊保护区。经实地踏勘，评价区内无风景名胜、文物保护自然等特殊环境敏感因素。</w:t>
            </w:r>
          </w:p>
          <w:p>
            <w:pPr>
              <w:snapToGrid w:val="0"/>
              <w:spacing w:line="360" w:lineRule="auto"/>
              <w:ind w:firstLine="472" w:firstLineChars="197"/>
              <w:rPr>
                <w:sz w:val="24"/>
              </w:rPr>
            </w:pPr>
            <w:r>
              <w:rPr>
                <w:rFonts w:hint="eastAsia"/>
                <w:sz w:val="24"/>
              </w:rPr>
              <w:t>本项目厂界500m范围内环境空气保护目标主要为农村地区；厂界外500m范围内无地下水集中式饮用水水源和热水、矿泉水、温泉等特殊地下水源；50m范围内有声环境敏感点。环境保护目标情况见附图3，项目周围情况见附图4。</w:t>
            </w:r>
          </w:p>
          <w:p>
            <w:pPr>
              <w:snapToGrid w:val="0"/>
              <w:spacing w:line="360" w:lineRule="auto"/>
              <w:ind w:firstLine="472" w:firstLineChars="197"/>
              <w:rPr>
                <w:i/>
                <w:iCs/>
                <w:szCs w:val="21"/>
                <w:u w:val="single"/>
              </w:rPr>
            </w:pPr>
            <w:r>
              <w:rPr>
                <w:rFonts w:hint="eastAsia"/>
                <w:sz w:val="24"/>
              </w:rPr>
              <w:t>主要环境保护目标如下：</w:t>
            </w:r>
          </w:p>
          <w:p>
            <w:pPr>
              <w:adjustRightInd w:val="0"/>
              <w:snapToGrid w:val="0"/>
              <w:spacing w:line="360" w:lineRule="auto"/>
              <w:jc w:val="center"/>
              <w:rPr>
                <w:rFonts w:ascii="宋体" w:hAnsi="宋体" w:cs="宋体"/>
                <w:b/>
                <w:sz w:val="24"/>
                <w:szCs w:val="21"/>
                <w:u w:val="single"/>
              </w:rPr>
            </w:pPr>
            <w:r>
              <w:rPr>
                <w:rFonts w:hint="eastAsia" w:ascii="宋体" w:hAnsi="宋体" w:cs="宋体"/>
                <w:b/>
                <w:sz w:val="24"/>
                <w:szCs w:val="21"/>
                <w:u w:val="single"/>
              </w:rPr>
              <w:t>表3-7  项目环境保护目标</w:t>
            </w:r>
          </w:p>
          <w:tbl>
            <w:tblPr>
              <w:tblStyle w:val="27"/>
              <w:tblW w:w="7963" w:type="dxa"/>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789"/>
              <w:gridCol w:w="829"/>
              <w:gridCol w:w="1124"/>
              <w:gridCol w:w="1059"/>
              <w:gridCol w:w="691"/>
              <w:gridCol w:w="639"/>
              <w:gridCol w:w="819"/>
              <w:gridCol w:w="2013"/>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789" w:type="dxa"/>
                  <w:vMerge w:val="restart"/>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环境要素</w:t>
                  </w:r>
                </w:p>
              </w:tc>
              <w:tc>
                <w:tcPr>
                  <w:tcW w:w="829" w:type="dxa"/>
                  <w:vMerge w:val="restart"/>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环境保护目标</w:t>
                  </w:r>
                </w:p>
              </w:tc>
              <w:tc>
                <w:tcPr>
                  <w:tcW w:w="2183" w:type="dxa"/>
                  <w:gridSpan w:val="2"/>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坐标</w:t>
                  </w:r>
                </w:p>
              </w:tc>
              <w:tc>
                <w:tcPr>
                  <w:tcW w:w="691" w:type="dxa"/>
                  <w:vMerge w:val="restart"/>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人数</w:t>
                  </w:r>
                </w:p>
                <w:p>
                  <w:pPr>
                    <w:pStyle w:val="54"/>
                    <w:autoSpaceDE w:val="0"/>
                    <w:autoSpaceDN w:val="0"/>
                    <w:rPr>
                      <w:rFonts w:ascii="Times New Roman" w:hAnsi="Times New Roman"/>
                      <w:szCs w:val="21"/>
                    </w:rPr>
                  </w:pPr>
                  <w:r>
                    <w:rPr>
                      <w:rFonts w:ascii="Times New Roman" w:hAnsi="Times New Roman"/>
                      <w:szCs w:val="21"/>
                    </w:rPr>
                    <w:t>（户）</w:t>
                  </w:r>
                </w:p>
              </w:tc>
              <w:tc>
                <w:tcPr>
                  <w:tcW w:w="639" w:type="dxa"/>
                  <w:vMerge w:val="restart"/>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距离</w:t>
                  </w:r>
                </w:p>
                <w:p>
                  <w:pPr>
                    <w:pStyle w:val="54"/>
                    <w:autoSpaceDE w:val="0"/>
                    <w:autoSpaceDN w:val="0"/>
                    <w:rPr>
                      <w:rFonts w:ascii="Times New Roman" w:hAnsi="Times New Roman"/>
                      <w:szCs w:val="21"/>
                    </w:rPr>
                  </w:pPr>
                  <w:r>
                    <w:rPr>
                      <w:rFonts w:ascii="Times New Roman" w:hAnsi="Times New Roman"/>
                      <w:szCs w:val="21"/>
                    </w:rPr>
                    <w:t>（m）</w:t>
                  </w:r>
                </w:p>
              </w:tc>
              <w:tc>
                <w:tcPr>
                  <w:tcW w:w="819" w:type="dxa"/>
                  <w:vMerge w:val="restart"/>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方位</w:t>
                  </w:r>
                </w:p>
              </w:tc>
              <w:tc>
                <w:tcPr>
                  <w:tcW w:w="2013" w:type="dxa"/>
                  <w:vMerge w:val="restart"/>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保护目标</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789" w:type="dxa"/>
                  <w:vMerge w:val="continue"/>
                  <w:tcBorders>
                    <w:tl2br w:val="nil"/>
                    <w:tr2bl w:val="nil"/>
                  </w:tcBorders>
                  <w:vAlign w:val="center"/>
                </w:tcPr>
                <w:p>
                  <w:pPr>
                    <w:autoSpaceDE w:val="0"/>
                    <w:autoSpaceDN w:val="0"/>
                    <w:jc w:val="center"/>
                    <w:rPr>
                      <w:szCs w:val="21"/>
                    </w:rPr>
                  </w:pPr>
                </w:p>
              </w:tc>
              <w:tc>
                <w:tcPr>
                  <w:tcW w:w="829" w:type="dxa"/>
                  <w:vMerge w:val="continue"/>
                  <w:tcBorders>
                    <w:tl2br w:val="nil"/>
                    <w:tr2bl w:val="nil"/>
                  </w:tcBorders>
                  <w:vAlign w:val="center"/>
                </w:tcPr>
                <w:p>
                  <w:pPr>
                    <w:autoSpaceDE w:val="0"/>
                    <w:autoSpaceDN w:val="0"/>
                    <w:jc w:val="center"/>
                    <w:rPr>
                      <w:szCs w:val="21"/>
                    </w:rPr>
                  </w:pPr>
                </w:p>
              </w:tc>
              <w:tc>
                <w:tcPr>
                  <w:tcW w:w="1124" w:type="dxa"/>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X（m）</w:t>
                  </w:r>
                </w:p>
              </w:tc>
              <w:tc>
                <w:tcPr>
                  <w:tcW w:w="1059" w:type="dxa"/>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Y（m）</w:t>
                  </w:r>
                </w:p>
              </w:tc>
              <w:tc>
                <w:tcPr>
                  <w:tcW w:w="691" w:type="dxa"/>
                  <w:vMerge w:val="continue"/>
                  <w:tcBorders>
                    <w:tl2br w:val="nil"/>
                    <w:tr2bl w:val="nil"/>
                  </w:tcBorders>
                  <w:vAlign w:val="center"/>
                </w:tcPr>
                <w:p>
                  <w:pPr>
                    <w:autoSpaceDE w:val="0"/>
                    <w:autoSpaceDN w:val="0"/>
                    <w:jc w:val="center"/>
                    <w:rPr>
                      <w:szCs w:val="21"/>
                    </w:rPr>
                  </w:pPr>
                </w:p>
              </w:tc>
              <w:tc>
                <w:tcPr>
                  <w:tcW w:w="639" w:type="dxa"/>
                  <w:vMerge w:val="continue"/>
                  <w:tcBorders>
                    <w:tl2br w:val="nil"/>
                    <w:tr2bl w:val="nil"/>
                  </w:tcBorders>
                  <w:vAlign w:val="center"/>
                </w:tcPr>
                <w:p>
                  <w:pPr>
                    <w:autoSpaceDE w:val="0"/>
                    <w:autoSpaceDN w:val="0"/>
                    <w:jc w:val="center"/>
                    <w:rPr>
                      <w:szCs w:val="21"/>
                    </w:rPr>
                  </w:pPr>
                </w:p>
              </w:tc>
              <w:tc>
                <w:tcPr>
                  <w:tcW w:w="819" w:type="dxa"/>
                  <w:vMerge w:val="continue"/>
                  <w:tcBorders>
                    <w:tl2br w:val="nil"/>
                    <w:tr2bl w:val="nil"/>
                  </w:tcBorders>
                  <w:vAlign w:val="center"/>
                </w:tcPr>
                <w:p>
                  <w:pPr>
                    <w:autoSpaceDE w:val="0"/>
                    <w:autoSpaceDN w:val="0"/>
                    <w:jc w:val="center"/>
                    <w:rPr>
                      <w:szCs w:val="21"/>
                    </w:rPr>
                  </w:pPr>
                </w:p>
              </w:tc>
              <w:tc>
                <w:tcPr>
                  <w:tcW w:w="2013" w:type="dxa"/>
                  <w:vMerge w:val="continue"/>
                  <w:tcBorders>
                    <w:tl2br w:val="nil"/>
                    <w:tr2bl w:val="nil"/>
                  </w:tcBorders>
                  <w:vAlign w:val="center"/>
                </w:tcPr>
                <w:p>
                  <w:pPr>
                    <w:autoSpaceDE w:val="0"/>
                    <w:autoSpaceDN w:val="0"/>
                    <w:jc w:val="center"/>
                    <w:rPr>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789" w:type="dxa"/>
                  <w:vMerge w:val="restart"/>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环境空气</w:t>
                  </w:r>
                </w:p>
              </w:tc>
              <w:tc>
                <w:tcPr>
                  <w:tcW w:w="82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时家店村</w:t>
                  </w:r>
                </w:p>
              </w:tc>
              <w:tc>
                <w:tcPr>
                  <w:tcW w:w="1124"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125.961964</w:t>
                  </w:r>
                </w:p>
              </w:tc>
              <w:tc>
                <w:tcPr>
                  <w:tcW w:w="105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42.284596</w:t>
                  </w:r>
                </w:p>
              </w:tc>
              <w:tc>
                <w:tcPr>
                  <w:tcW w:w="691"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24</w:t>
                  </w:r>
                </w:p>
              </w:tc>
              <w:tc>
                <w:tcPr>
                  <w:tcW w:w="63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21</w:t>
                  </w:r>
                </w:p>
              </w:tc>
              <w:tc>
                <w:tcPr>
                  <w:tcW w:w="819" w:type="dxa"/>
                  <w:tcBorders>
                    <w:tl2br w:val="nil"/>
                    <w:tr2bl w:val="nil"/>
                  </w:tcBorders>
                  <w:vAlign w:val="center"/>
                </w:tcPr>
                <w:p>
                  <w:pPr>
                    <w:pStyle w:val="54"/>
                    <w:autoSpaceDE w:val="0"/>
                    <w:autoSpaceDN w:val="0"/>
                    <w:rPr>
                      <w:rFonts w:ascii="Times New Roman" w:hAnsi="Times New Roman"/>
                      <w:szCs w:val="21"/>
                    </w:rPr>
                  </w:pPr>
                  <w:r>
                    <w:rPr>
                      <w:rFonts w:hint="eastAsia" w:ascii="Times New Roman" w:hAnsi="Times New Roman"/>
                      <w:szCs w:val="21"/>
                      <w:lang w:val="en-US"/>
                    </w:rPr>
                    <w:t>西</w:t>
                  </w:r>
                </w:p>
              </w:tc>
              <w:tc>
                <w:tcPr>
                  <w:tcW w:w="2013" w:type="dxa"/>
                  <w:vMerge w:val="restart"/>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《环境空气质量标准》（GB30 95-2012）</w:t>
                  </w:r>
                </w:p>
                <w:p>
                  <w:pPr>
                    <w:pStyle w:val="54"/>
                    <w:autoSpaceDE w:val="0"/>
                    <w:autoSpaceDN w:val="0"/>
                    <w:rPr>
                      <w:rFonts w:ascii="Times New Roman" w:hAnsi="Times New Roman"/>
                      <w:szCs w:val="21"/>
                    </w:rPr>
                  </w:pPr>
                  <w:r>
                    <w:rPr>
                      <w:rFonts w:hint="eastAsia" w:ascii="Times New Roman" w:hAnsi="Times New Roman"/>
                      <w:szCs w:val="21"/>
                      <w:lang w:val="en-US"/>
                    </w:rPr>
                    <w:t>及《环境空气质量标准》（GB 3095-2026）</w:t>
                  </w:r>
                  <w:r>
                    <w:rPr>
                      <w:rFonts w:ascii="Times New Roman" w:hAnsi="Times New Roman"/>
                      <w:szCs w:val="21"/>
                    </w:rPr>
                    <w:t>中的二级标准</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02" w:hRule="atLeast"/>
              </w:trPr>
              <w:tc>
                <w:tcPr>
                  <w:tcW w:w="789" w:type="dxa"/>
                  <w:vMerge w:val="continue"/>
                  <w:tcBorders>
                    <w:tl2br w:val="nil"/>
                    <w:tr2bl w:val="nil"/>
                  </w:tcBorders>
                  <w:vAlign w:val="center"/>
                </w:tcPr>
                <w:p>
                  <w:pPr>
                    <w:pStyle w:val="54"/>
                    <w:autoSpaceDE w:val="0"/>
                    <w:autoSpaceDN w:val="0"/>
                    <w:rPr>
                      <w:rFonts w:ascii="Times New Roman" w:hAnsi="Times New Roman"/>
                      <w:szCs w:val="21"/>
                      <w:lang w:val="en-US"/>
                    </w:rPr>
                  </w:pPr>
                </w:p>
              </w:tc>
              <w:tc>
                <w:tcPr>
                  <w:tcW w:w="82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时家店村</w:t>
                  </w:r>
                </w:p>
              </w:tc>
              <w:tc>
                <w:tcPr>
                  <w:tcW w:w="1124"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125.961868</w:t>
                  </w:r>
                </w:p>
              </w:tc>
              <w:tc>
                <w:tcPr>
                  <w:tcW w:w="105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42.285437</w:t>
                  </w:r>
                </w:p>
              </w:tc>
              <w:tc>
                <w:tcPr>
                  <w:tcW w:w="691"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3</w:t>
                  </w:r>
                </w:p>
              </w:tc>
              <w:tc>
                <w:tcPr>
                  <w:tcW w:w="63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10</w:t>
                  </w:r>
                </w:p>
              </w:tc>
              <w:tc>
                <w:tcPr>
                  <w:tcW w:w="81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西北</w:t>
                  </w:r>
                </w:p>
              </w:tc>
              <w:tc>
                <w:tcPr>
                  <w:tcW w:w="2013" w:type="dxa"/>
                  <w:vMerge w:val="continue"/>
                  <w:tcBorders>
                    <w:tl2br w:val="nil"/>
                    <w:tr2bl w:val="nil"/>
                  </w:tcBorders>
                  <w:vAlign w:val="center"/>
                </w:tcPr>
                <w:p>
                  <w:pPr>
                    <w:pStyle w:val="54"/>
                    <w:autoSpaceDE w:val="0"/>
                    <w:autoSpaceDN w:val="0"/>
                    <w:rPr>
                      <w:rFonts w:ascii="Times New Roman" w:hAnsi="Times New Roman"/>
                      <w:szCs w:val="21"/>
                      <w:lang w:val="en-US"/>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02" w:hRule="atLeast"/>
              </w:trPr>
              <w:tc>
                <w:tcPr>
                  <w:tcW w:w="789" w:type="dxa"/>
                  <w:vMerge w:val="continue"/>
                  <w:tcBorders>
                    <w:tl2br w:val="nil"/>
                    <w:tr2bl w:val="nil"/>
                  </w:tcBorders>
                  <w:vAlign w:val="center"/>
                </w:tcPr>
                <w:p>
                  <w:pPr>
                    <w:pStyle w:val="54"/>
                    <w:autoSpaceDE w:val="0"/>
                    <w:autoSpaceDN w:val="0"/>
                    <w:rPr>
                      <w:rFonts w:ascii="Times New Roman" w:hAnsi="Times New Roman"/>
                      <w:szCs w:val="21"/>
                      <w:lang w:val="en-US"/>
                    </w:rPr>
                  </w:pPr>
                </w:p>
              </w:tc>
              <w:tc>
                <w:tcPr>
                  <w:tcW w:w="82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时家店村</w:t>
                  </w:r>
                </w:p>
              </w:tc>
              <w:tc>
                <w:tcPr>
                  <w:tcW w:w="1124"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125.965928</w:t>
                  </w:r>
                </w:p>
              </w:tc>
              <w:tc>
                <w:tcPr>
                  <w:tcW w:w="105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42.285247</w:t>
                  </w:r>
                </w:p>
              </w:tc>
              <w:tc>
                <w:tcPr>
                  <w:tcW w:w="691"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51</w:t>
                  </w:r>
                </w:p>
              </w:tc>
              <w:tc>
                <w:tcPr>
                  <w:tcW w:w="63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90</w:t>
                  </w:r>
                </w:p>
              </w:tc>
              <w:tc>
                <w:tcPr>
                  <w:tcW w:w="81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东</w:t>
                  </w:r>
                </w:p>
              </w:tc>
              <w:tc>
                <w:tcPr>
                  <w:tcW w:w="2013" w:type="dxa"/>
                  <w:vMerge w:val="continue"/>
                  <w:tcBorders>
                    <w:tl2br w:val="nil"/>
                    <w:tr2bl w:val="nil"/>
                  </w:tcBorders>
                  <w:vAlign w:val="center"/>
                </w:tcPr>
                <w:p>
                  <w:pPr>
                    <w:pStyle w:val="54"/>
                    <w:autoSpaceDE w:val="0"/>
                    <w:autoSpaceDN w:val="0"/>
                    <w:rPr>
                      <w:rFonts w:ascii="Times New Roman" w:hAnsi="Times New Roman"/>
                      <w:szCs w:val="21"/>
                      <w:lang w:val="en-US"/>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02" w:hRule="atLeast"/>
              </w:trPr>
              <w:tc>
                <w:tcPr>
                  <w:tcW w:w="789" w:type="dxa"/>
                  <w:vMerge w:val="restart"/>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声环境</w:t>
                  </w:r>
                </w:p>
              </w:tc>
              <w:tc>
                <w:tcPr>
                  <w:tcW w:w="82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时家店村村民</w:t>
                  </w:r>
                </w:p>
              </w:tc>
              <w:tc>
                <w:tcPr>
                  <w:tcW w:w="1124"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125.961868</w:t>
                  </w:r>
                </w:p>
              </w:tc>
              <w:tc>
                <w:tcPr>
                  <w:tcW w:w="105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42.285437</w:t>
                  </w:r>
                </w:p>
              </w:tc>
              <w:tc>
                <w:tcPr>
                  <w:tcW w:w="691"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3</w:t>
                  </w:r>
                </w:p>
              </w:tc>
              <w:tc>
                <w:tcPr>
                  <w:tcW w:w="63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10</w:t>
                  </w:r>
                </w:p>
              </w:tc>
              <w:tc>
                <w:tcPr>
                  <w:tcW w:w="81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西北</w:t>
                  </w:r>
                </w:p>
              </w:tc>
              <w:tc>
                <w:tcPr>
                  <w:tcW w:w="2013" w:type="dxa"/>
                  <w:vMerge w:val="restart"/>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w w:val="95"/>
                      <w:szCs w:val="21"/>
                    </w:rPr>
                    <w:t>《</w:t>
                  </w:r>
                  <w:r>
                    <w:rPr>
                      <w:rFonts w:ascii="Times New Roman" w:hAnsi="Times New Roman"/>
                      <w:szCs w:val="21"/>
                    </w:rPr>
                    <w:t>声环境质量标准》</w:t>
                  </w:r>
                </w:p>
                <w:p>
                  <w:pPr>
                    <w:pStyle w:val="54"/>
                    <w:autoSpaceDE w:val="0"/>
                    <w:autoSpaceDN w:val="0"/>
                    <w:rPr>
                      <w:rFonts w:ascii="Times New Roman" w:hAnsi="Times New Roman"/>
                      <w:szCs w:val="21"/>
                    </w:rPr>
                  </w:pPr>
                  <w:r>
                    <w:rPr>
                      <w:rFonts w:ascii="Times New Roman" w:hAnsi="Times New Roman"/>
                      <w:szCs w:val="21"/>
                    </w:rPr>
                    <w:t>（GB3096 -2008）中</w:t>
                  </w:r>
                  <w:r>
                    <w:rPr>
                      <w:rFonts w:hint="eastAsia" w:ascii="Times New Roman" w:hAnsi="Times New Roman"/>
                      <w:szCs w:val="21"/>
                      <w:lang w:val="en-US"/>
                    </w:rPr>
                    <w:t>1</w:t>
                  </w:r>
                  <w:r>
                    <w:rPr>
                      <w:rFonts w:ascii="Times New Roman" w:hAnsi="Times New Roman"/>
                      <w:szCs w:val="21"/>
                    </w:rPr>
                    <w:t>类区标准</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02" w:hRule="atLeast"/>
              </w:trPr>
              <w:tc>
                <w:tcPr>
                  <w:tcW w:w="789" w:type="dxa"/>
                  <w:vMerge w:val="continue"/>
                  <w:tcBorders>
                    <w:tl2br w:val="nil"/>
                    <w:tr2bl w:val="nil"/>
                  </w:tcBorders>
                  <w:vAlign w:val="center"/>
                </w:tcPr>
                <w:p>
                  <w:pPr>
                    <w:pStyle w:val="54"/>
                    <w:autoSpaceDE w:val="0"/>
                    <w:autoSpaceDN w:val="0"/>
                    <w:rPr>
                      <w:rFonts w:ascii="Times New Roman" w:hAnsi="Times New Roman"/>
                      <w:szCs w:val="21"/>
                      <w:lang w:val="en-US"/>
                    </w:rPr>
                  </w:pPr>
                </w:p>
              </w:tc>
              <w:tc>
                <w:tcPr>
                  <w:tcW w:w="82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时家店村</w:t>
                  </w:r>
                </w:p>
              </w:tc>
              <w:tc>
                <w:tcPr>
                  <w:tcW w:w="1124"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125.961964</w:t>
                  </w:r>
                </w:p>
              </w:tc>
              <w:tc>
                <w:tcPr>
                  <w:tcW w:w="105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42.284596</w:t>
                  </w:r>
                </w:p>
              </w:tc>
              <w:tc>
                <w:tcPr>
                  <w:tcW w:w="691"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0</w:t>
                  </w:r>
                </w:p>
              </w:tc>
              <w:tc>
                <w:tcPr>
                  <w:tcW w:w="63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21</w:t>
                  </w:r>
                </w:p>
              </w:tc>
              <w:tc>
                <w:tcPr>
                  <w:tcW w:w="81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西</w:t>
                  </w:r>
                </w:p>
              </w:tc>
              <w:tc>
                <w:tcPr>
                  <w:tcW w:w="2013" w:type="dxa"/>
                  <w:vMerge w:val="continue"/>
                  <w:tcBorders>
                    <w:tl2br w:val="nil"/>
                    <w:tr2bl w:val="nil"/>
                  </w:tcBorders>
                  <w:vAlign w:val="center"/>
                </w:tcPr>
                <w:p>
                  <w:pPr>
                    <w:pStyle w:val="54"/>
                    <w:autoSpaceDE w:val="0"/>
                    <w:autoSpaceDN w:val="0"/>
                    <w:rPr>
                      <w:rFonts w:ascii="Times New Roman" w:hAnsi="Times New Roman"/>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02" w:hRule="atLeast"/>
              </w:trPr>
              <w:tc>
                <w:tcPr>
                  <w:tcW w:w="789" w:type="dxa"/>
                  <w:vMerge w:val="restart"/>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地表水</w:t>
                  </w:r>
                </w:p>
              </w:tc>
              <w:tc>
                <w:tcPr>
                  <w:tcW w:w="82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时家店水库</w:t>
                  </w:r>
                </w:p>
              </w:tc>
              <w:tc>
                <w:tcPr>
                  <w:tcW w:w="1124"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w:t>
                  </w:r>
                </w:p>
              </w:tc>
              <w:tc>
                <w:tcPr>
                  <w:tcW w:w="105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w:t>
                  </w:r>
                </w:p>
              </w:tc>
              <w:tc>
                <w:tcPr>
                  <w:tcW w:w="691"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w:t>
                  </w:r>
                </w:p>
              </w:tc>
              <w:tc>
                <w:tcPr>
                  <w:tcW w:w="63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220</w:t>
                  </w:r>
                </w:p>
              </w:tc>
              <w:tc>
                <w:tcPr>
                  <w:tcW w:w="81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西南</w:t>
                  </w:r>
                </w:p>
              </w:tc>
              <w:tc>
                <w:tcPr>
                  <w:tcW w:w="2013" w:type="dxa"/>
                  <w:vMerge w:val="restart"/>
                  <w:tcBorders>
                    <w:tl2br w:val="nil"/>
                    <w:tr2bl w:val="nil"/>
                  </w:tcBorders>
                  <w:vAlign w:val="center"/>
                </w:tcPr>
                <w:p>
                  <w:pPr>
                    <w:pStyle w:val="54"/>
                    <w:autoSpaceDE w:val="0"/>
                    <w:autoSpaceDN w:val="0"/>
                    <w:rPr>
                      <w:rFonts w:ascii="Times New Roman" w:hAnsi="Times New Roman"/>
                      <w:szCs w:val="21"/>
                    </w:rPr>
                  </w:pPr>
                  <w:r>
                    <w:rPr>
                      <w:rFonts w:ascii="Times New Roman" w:hAnsi="Times New Roman"/>
                      <w:szCs w:val="21"/>
                    </w:rPr>
                    <w:t>《地表水环境质量标准》（GB3838-2002）</w:t>
                  </w:r>
                  <w:r>
                    <w:rPr>
                      <w:szCs w:val="21"/>
                      <w:lang w:val="en-US"/>
                    </w:rPr>
                    <w:t>Ⅲ</w:t>
                  </w:r>
                  <w:r>
                    <w:rPr>
                      <w:rFonts w:hint="eastAsia" w:ascii="Times New Roman" w:hAnsi="Times New Roman"/>
                      <w:szCs w:val="21"/>
                      <w:lang w:val="en-US"/>
                    </w:rPr>
                    <w:t>类</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02" w:hRule="atLeast"/>
              </w:trPr>
              <w:tc>
                <w:tcPr>
                  <w:tcW w:w="789" w:type="dxa"/>
                  <w:vMerge w:val="continue"/>
                  <w:tcBorders>
                    <w:tl2br w:val="nil"/>
                    <w:tr2bl w:val="nil"/>
                  </w:tcBorders>
                  <w:vAlign w:val="center"/>
                </w:tcPr>
                <w:p>
                  <w:pPr>
                    <w:pStyle w:val="54"/>
                    <w:autoSpaceDE w:val="0"/>
                    <w:autoSpaceDN w:val="0"/>
                    <w:rPr>
                      <w:rFonts w:ascii="Times New Roman" w:hAnsi="Times New Roman"/>
                      <w:szCs w:val="21"/>
                      <w:lang w:val="en-US"/>
                    </w:rPr>
                  </w:pPr>
                </w:p>
              </w:tc>
              <w:tc>
                <w:tcPr>
                  <w:tcW w:w="82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时家店河</w:t>
                  </w:r>
                </w:p>
              </w:tc>
              <w:tc>
                <w:tcPr>
                  <w:tcW w:w="1124"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w:t>
                  </w:r>
                </w:p>
              </w:tc>
              <w:tc>
                <w:tcPr>
                  <w:tcW w:w="105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w:t>
                  </w:r>
                </w:p>
              </w:tc>
              <w:tc>
                <w:tcPr>
                  <w:tcW w:w="691"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w:t>
                  </w:r>
                </w:p>
              </w:tc>
              <w:tc>
                <w:tcPr>
                  <w:tcW w:w="63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240</w:t>
                  </w:r>
                </w:p>
              </w:tc>
              <w:tc>
                <w:tcPr>
                  <w:tcW w:w="819" w:type="dxa"/>
                  <w:tcBorders>
                    <w:tl2br w:val="nil"/>
                    <w:tr2bl w:val="nil"/>
                  </w:tcBorders>
                  <w:vAlign w:val="center"/>
                </w:tcPr>
                <w:p>
                  <w:pPr>
                    <w:pStyle w:val="54"/>
                    <w:autoSpaceDE w:val="0"/>
                    <w:autoSpaceDN w:val="0"/>
                    <w:rPr>
                      <w:rFonts w:ascii="Times New Roman" w:hAnsi="Times New Roman"/>
                      <w:szCs w:val="21"/>
                      <w:lang w:val="en-US"/>
                    </w:rPr>
                  </w:pPr>
                  <w:r>
                    <w:rPr>
                      <w:rFonts w:hint="eastAsia" w:ascii="Times New Roman" w:hAnsi="Times New Roman"/>
                      <w:szCs w:val="21"/>
                      <w:lang w:val="en-US"/>
                    </w:rPr>
                    <w:t>南</w:t>
                  </w:r>
                </w:p>
              </w:tc>
              <w:tc>
                <w:tcPr>
                  <w:tcW w:w="2013" w:type="dxa"/>
                  <w:vMerge w:val="continue"/>
                  <w:tcBorders>
                    <w:tl2br w:val="nil"/>
                    <w:tr2bl w:val="nil"/>
                  </w:tcBorders>
                  <w:vAlign w:val="center"/>
                </w:tcPr>
                <w:p>
                  <w:pPr>
                    <w:pStyle w:val="54"/>
                    <w:autoSpaceDE w:val="0"/>
                    <w:autoSpaceDN w:val="0"/>
                    <w:rPr>
                      <w:rFonts w:ascii="Times New Roman" w:hAnsi="Times New Roman"/>
                      <w:szCs w:val="21"/>
                    </w:rPr>
                  </w:pPr>
                </w:p>
              </w:tc>
            </w:tr>
          </w:tbl>
          <w:p>
            <w:pPr>
              <w:adjustRightInd w:val="0"/>
              <w:snapToGrid w:val="0"/>
              <w:rPr>
                <w:rFonts w:cs="宋体"/>
                <w:kern w:val="0"/>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338" w:hRule="atLeast"/>
          <w:jc w:val="center"/>
        </w:trPr>
        <w:tc>
          <w:tcPr>
            <w:tcW w:w="800" w:type="dxa"/>
            <w:tcMar>
              <w:left w:w="28" w:type="dxa"/>
              <w:right w:w="28" w:type="dxa"/>
            </w:tcMar>
            <w:vAlign w:val="center"/>
          </w:tcPr>
          <w:p>
            <w:pPr>
              <w:adjustRightInd w:val="0"/>
              <w:snapToGrid w:val="0"/>
              <w:jc w:val="center"/>
              <w:rPr>
                <w:rFonts w:cs="宋体"/>
                <w:kern w:val="0"/>
                <w:sz w:val="24"/>
              </w:rPr>
            </w:pPr>
            <w:r>
              <w:rPr>
                <w:rFonts w:hint="eastAsia" w:cs="宋体"/>
                <w:kern w:val="0"/>
                <w:sz w:val="24"/>
              </w:rPr>
              <w:t>污染</w:t>
            </w:r>
          </w:p>
          <w:p>
            <w:pPr>
              <w:adjustRightInd w:val="0"/>
              <w:snapToGrid w:val="0"/>
              <w:jc w:val="center"/>
              <w:rPr>
                <w:rFonts w:cs="宋体"/>
                <w:kern w:val="0"/>
                <w:sz w:val="24"/>
              </w:rPr>
            </w:pPr>
            <w:r>
              <w:rPr>
                <w:rFonts w:hint="eastAsia" w:cs="宋体"/>
                <w:kern w:val="0"/>
                <w:sz w:val="24"/>
              </w:rPr>
              <w:t>物排</w:t>
            </w:r>
          </w:p>
          <w:p>
            <w:pPr>
              <w:adjustRightInd w:val="0"/>
              <w:snapToGrid w:val="0"/>
              <w:jc w:val="center"/>
              <w:rPr>
                <w:rFonts w:cs="宋体"/>
                <w:kern w:val="0"/>
                <w:sz w:val="24"/>
              </w:rPr>
            </w:pPr>
            <w:r>
              <w:rPr>
                <w:rFonts w:hint="eastAsia" w:cs="宋体"/>
                <w:kern w:val="0"/>
                <w:sz w:val="24"/>
              </w:rPr>
              <w:t>放控</w:t>
            </w:r>
          </w:p>
          <w:p>
            <w:pPr>
              <w:adjustRightInd w:val="0"/>
              <w:snapToGrid w:val="0"/>
              <w:jc w:val="center"/>
              <w:rPr>
                <w:rFonts w:cs="宋体"/>
                <w:kern w:val="0"/>
                <w:sz w:val="24"/>
              </w:rPr>
            </w:pPr>
            <w:r>
              <w:rPr>
                <w:rFonts w:hint="eastAsia" w:cs="宋体"/>
                <w:kern w:val="0"/>
                <w:sz w:val="24"/>
              </w:rPr>
              <w:t>制标</w:t>
            </w:r>
          </w:p>
          <w:p>
            <w:pPr>
              <w:adjustRightInd w:val="0"/>
              <w:snapToGrid w:val="0"/>
              <w:jc w:val="center"/>
              <w:rPr>
                <w:rFonts w:cs="宋体"/>
                <w:kern w:val="0"/>
                <w:szCs w:val="21"/>
              </w:rPr>
            </w:pPr>
            <w:r>
              <w:rPr>
                <w:rFonts w:hint="eastAsia" w:cs="宋体"/>
                <w:kern w:val="0"/>
                <w:sz w:val="24"/>
              </w:rPr>
              <w:t>准</w:t>
            </w:r>
          </w:p>
        </w:tc>
        <w:tc>
          <w:tcPr>
            <w:tcW w:w="8190" w:type="dxa"/>
            <w:vAlign w:val="top"/>
          </w:tcPr>
          <w:p>
            <w:pPr>
              <w:spacing w:line="360" w:lineRule="auto"/>
              <w:rPr>
                <w:b/>
                <w:bCs/>
                <w:sz w:val="24"/>
              </w:rPr>
            </w:pPr>
            <w:r>
              <w:rPr>
                <w:rFonts w:hint="eastAsia"/>
                <w:b/>
                <w:bCs/>
                <w:sz w:val="24"/>
              </w:rPr>
              <w:t>3.3污染物排放控制标准</w:t>
            </w:r>
          </w:p>
          <w:p>
            <w:pPr>
              <w:spacing w:line="360" w:lineRule="auto"/>
              <w:rPr>
                <w:b/>
                <w:bCs/>
                <w:sz w:val="24"/>
              </w:rPr>
            </w:pPr>
            <w:r>
              <w:rPr>
                <w:rFonts w:hint="eastAsia"/>
                <w:b/>
                <w:bCs/>
                <w:sz w:val="24"/>
              </w:rPr>
              <w:t>3.3.1废气</w:t>
            </w:r>
          </w:p>
          <w:p>
            <w:pPr>
              <w:adjustRightInd w:val="0"/>
              <w:snapToGrid w:val="0"/>
              <w:spacing w:line="360" w:lineRule="auto"/>
              <w:ind w:firstLine="480" w:firstLineChars="200"/>
              <w:jc w:val="left"/>
              <w:rPr>
                <w:sz w:val="24"/>
              </w:rPr>
            </w:pPr>
            <w:r>
              <w:rPr>
                <w:rFonts w:hint="eastAsia"/>
                <w:sz w:val="24"/>
                <w:u w:val="single"/>
              </w:rPr>
              <w:t>本项目生产用热由生物质蒸汽锅炉供给，污染物执行《锅炉大气污染物排放标准》（GB13271-2014）中表2规定的燃煤大气污染物燃煤锅炉排放限值。</w:t>
            </w:r>
          </w:p>
          <w:p>
            <w:pPr>
              <w:adjustRightInd w:val="0"/>
              <w:snapToGrid w:val="0"/>
              <w:spacing w:line="360" w:lineRule="auto"/>
              <w:jc w:val="center"/>
              <w:rPr>
                <w:sz w:val="24"/>
              </w:rPr>
            </w:pPr>
            <w:r>
              <w:rPr>
                <w:rFonts w:hint="eastAsia" w:ascii="宋体" w:hAnsi="宋体" w:cs="宋体"/>
                <w:b/>
                <w:sz w:val="24"/>
                <w:szCs w:val="21"/>
                <w:u w:val="single"/>
              </w:rPr>
              <w:t>表3-8  锅炉大气污染物排放标准</w:t>
            </w:r>
          </w:p>
          <w:tbl>
            <w:tblPr>
              <w:tblStyle w:val="27"/>
              <w:tblW w:w="797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841"/>
              <w:gridCol w:w="4443"/>
              <w:gridCol w:w="168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841" w:type="dxa"/>
                  <w:vAlign w:val="center"/>
                </w:tcPr>
                <w:p>
                  <w:pPr>
                    <w:widowControl/>
                    <w:adjustRightInd w:val="0"/>
                    <w:snapToGrid w:val="0"/>
                    <w:jc w:val="center"/>
                    <w:rPr>
                      <w:szCs w:val="21"/>
                    </w:rPr>
                  </w:pPr>
                  <w:r>
                    <w:rPr>
                      <w:szCs w:val="21"/>
                    </w:rPr>
                    <w:t>污染物</w:t>
                  </w:r>
                </w:p>
              </w:tc>
              <w:tc>
                <w:tcPr>
                  <w:tcW w:w="4443" w:type="dxa"/>
                  <w:vAlign w:val="center"/>
                </w:tcPr>
                <w:p>
                  <w:pPr>
                    <w:widowControl/>
                    <w:adjustRightInd w:val="0"/>
                    <w:snapToGrid w:val="0"/>
                    <w:jc w:val="center"/>
                    <w:rPr>
                      <w:szCs w:val="21"/>
                    </w:rPr>
                  </w:pPr>
                  <w:r>
                    <w:rPr>
                      <w:szCs w:val="21"/>
                    </w:rPr>
                    <w:t>排放标准mg/m</w:t>
                  </w:r>
                  <w:r>
                    <w:rPr>
                      <w:szCs w:val="21"/>
                      <w:vertAlign w:val="superscript"/>
                    </w:rPr>
                    <w:t>3</w:t>
                  </w:r>
                </w:p>
              </w:tc>
              <w:tc>
                <w:tcPr>
                  <w:tcW w:w="1687" w:type="dxa"/>
                  <w:vAlign w:val="center"/>
                </w:tcPr>
                <w:p>
                  <w:pPr>
                    <w:widowControl/>
                    <w:adjustRightInd w:val="0"/>
                    <w:snapToGrid w:val="0"/>
                    <w:jc w:val="center"/>
                    <w:rPr>
                      <w:szCs w:val="21"/>
                    </w:rPr>
                  </w:pPr>
                  <w:r>
                    <w:rPr>
                      <w:szCs w:val="21"/>
                    </w:rPr>
                    <w:t>标准来源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841" w:type="dxa"/>
                  <w:vAlign w:val="center"/>
                </w:tcPr>
                <w:p>
                  <w:pPr>
                    <w:widowControl/>
                    <w:adjustRightInd w:val="0"/>
                    <w:snapToGrid w:val="0"/>
                    <w:jc w:val="center"/>
                    <w:rPr>
                      <w:szCs w:val="21"/>
                    </w:rPr>
                  </w:pPr>
                  <w:r>
                    <w:rPr>
                      <w:szCs w:val="21"/>
                    </w:rPr>
                    <w:t>颗粒物</w:t>
                  </w:r>
                </w:p>
              </w:tc>
              <w:tc>
                <w:tcPr>
                  <w:tcW w:w="4443" w:type="dxa"/>
                  <w:vAlign w:val="center"/>
                </w:tcPr>
                <w:p>
                  <w:pPr>
                    <w:widowControl/>
                    <w:adjustRightInd w:val="0"/>
                    <w:snapToGrid w:val="0"/>
                    <w:jc w:val="center"/>
                    <w:rPr>
                      <w:szCs w:val="21"/>
                    </w:rPr>
                  </w:pPr>
                  <w:r>
                    <w:rPr>
                      <w:rFonts w:hint="eastAsia"/>
                      <w:szCs w:val="21"/>
                    </w:rPr>
                    <w:t>50</w:t>
                  </w:r>
                </w:p>
              </w:tc>
              <w:tc>
                <w:tcPr>
                  <w:tcW w:w="1687" w:type="dxa"/>
                  <w:vMerge w:val="restart"/>
                  <w:vAlign w:val="center"/>
                </w:tcPr>
                <w:p>
                  <w:pPr>
                    <w:widowControl/>
                    <w:adjustRightInd w:val="0"/>
                    <w:snapToGrid w:val="0"/>
                    <w:jc w:val="center"/>
                    <w:rPr>
                      <w:szCs w:val="21"/>
                    </w:rPr>
                  </w:pPr>
                  <w:r>
                    <w:rPr>
                      <w:szCs w:val="21"/>
                    </w:rPr>
                    <w:t>GB13271-2014</w:t>
                  </w:r>
                </w:p>
                <w:p>
                  <w:pPr>
                    <w:widowControl/>
                    <w:adjustRightInd w:val="0"/>
                    <w:snapToGrid w:val="0"/>
                    <w:jc w:val="center"/>
                    <w:rPr>
                      <w:szCs w:val="21"/>
                    </w:rPr>
                  </w:pPr>
                  <w:r>
                    <w:rPr>
                      <w:szCs w:val="21"/>
                    </w:rPr>
                    <w:t>《锅炉大气污染物排放标准》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841" w:type="dxa"/>
                  <w:vAlign w:val="center"/>
                </w:tcPr>
                <w:p>
                  <w:pPr>
                    <w:widowControl/>
                    <w:adjustRightInd w:val="0"/>
                    <w:snapToGrid w:val="0"/>
                    <w:jc w:val="center"/>
                    <w:rPr>
                      <w:szCs w:val="21"/>
                    </w:rPr>
                  </w:pPr>
                  <w:r>
                    <w:rPr>
                      <w:szCs w:val="21"/>
                    </w:rPr>
                    <w:t>SO</w:t>
                  </w:r>
                  <w:r>
                    <w:rPr>
                      <w:szCs w:val="21"/>
                      <w:vertAlign w:val="subscript"/>
                    </w:rPr>
                    <w:t>2</w:t>
                  </w:r>
                </w:p>
              </w:tc>
              <w:tc>
                <w:tcPr>
                  <w:tcW w:w="4443" w:type="dxa"/>
                  <w:vAlign w:val="center"/>
                </w:tcPr>
                <w:p>
                  <w:pPr>
                    <w:widowControl/>
                    <w:adjustRightInd w:val="0"/>
                    <w:snapToGrid w:val="0"/>
                    <w:jc w:val="center"/>
                    <w:rPr>
                      <w:szCs w:val="21"/>
                    </w:rPr>
                  </w:pPr>
                  <w:r>
                    <w:rPr>
                      <w:rFonts w:hint="eastAsia"/>
                      <w:szCs w:val="21"/>
                    </w:rPr>
                    <w:t>300</w:t>
                  </w:r>
                </w:p>
              </w:tc>
              <w:tc>
                <w:tcPr>
                  <w:tcW w:w="1687" w:type="dxa"/>
                  <w:vMerge w:val="continue"/>
                  <w:vAlign w:val="center"/>
                </w:tcPr>
                <w:p>
                  <w:pPr>
                    <w:widowControl/>
                    <w:adjustRightInd w:val="0"/>
                    <w:snapToGrid w:val="0"/>
                    <w:jc w:val="cente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841" w:type="dxa"/>
                  <w:vAlign w:val="center"/>
                </w:tcPr>
                <w:p>
                  <w:pPr>
                    <w:widowControl/>
                    <w:adjustRightInd w:val="0"/>
                    <w:snapToGrid w:val="0"/>
                    <w:jc w:val="center"/>
                    <w:rPr>
                      <w:szCs w:val="21"/>
                    </w:rPr>
                  </w:pPr>
                  <w:r>
                    <w:rPr>
                      <w:szCs w:val="21"/>
                    </w:rPr>
                    <w:t>NO</w:t>
                  </w:r>
                  <w:r>
                    <w:rPr>
                      <w:szCs w:val="21"/>
                      <w:vertAlign w:val="subscript"/>
                    </w:rPr>
                    <w:t>x</w:t>
                  </w:r>
                </w:p>
              </w:tc>
              <w:tc>
                <w:tcPr>
                  <w:tcW w:w="4443" w:type="dxa"/>
                  <w:vAlign w:val="center"/>
                </w:tcPr>
                <w:p>
                  <w:pPr>
                    <w:widowControl/>
                    <w:adjustRightInd w:val="0"/>
                    <w:snapToGrid w:val="0"/>
                    <w:jc w:val="center"/>
                    <w:rPr>
                      <w:szCs w:val="21"/>
                    </w:rPr>
                  </w:pPr>
                  <w:r>
                    <w:rPr>
                      <w:rFonts w:hint="eastAsia"/>
                      <w:szCs w:val="21"/>
                    </w:rPr>
                    <w:t>300</w:t>
                  </w:r>
                </w:p>
              </w:tc>
              <w:tc>
                <w:tcPr>
                  <w:tcW w:w="1687" w:type="dxa"/>
                  <w:vMerge w:val="continue"/>
                  <w:vAlign w:val="center"/>
                </w:tcPr>
                <w:p>
                  <w:pPr>
                    <w:widowControl/>
                    <w:adjustRightInd w:val="0"/>
                    <w:snapToGrid w:val="0"/>
                    <w:jc w:val="cente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841" w:type="dxa"/>
                  <w:vAlign w:val="center"/>
                </w:tcPr>
                <w:p>
                  <w:pPr>
                    <w:widowControl/>
                    <w:adjustRightInd w:val="0"/>
                    <w:snapToGrid w:val="0"/>
                    <w:jc w:val="center"/>
                    <w:rPr>
                      <w:szCs w:val="21"/>
                    </w:rPr>
                  </w:pPr>
                  <w:r>
                    <w:rPr>
                      <w:szCs w:val="21"/>
                    </w:rPr>
                    <w:t>烟气黑度</w:t>
                  </w:r>
                </w:p>
              </w:tc>
              <w:tc>
                <w:tcPr>
                  <w:tcW w:w="4443" w:type="dxa"/>
                  <w:vAlign w:val="center"/>
                </w:tcPr>
                <w:p>
                  <w:pPr>
                    <w:widowControl/>
                    <w:adjustRightInd w:val="0"/>
                    <w:snapToGrid w:val="0"/>
                    <w:jc w:val="center"/>
                    <w:rPr>
                      <w:szCs w:val="21"/>
                    </w:rPr>
                  </w:pPr>
                  <w:r>
                    <w:rPr>
                      <w:szCs w:val="21"/>
                    </w:rPr>
                    <w:t>≤1</w:t>
                  </w:r>
                </w:p>
              </w:tc>
              <w:tc>
                <w:tcPr>
                  <w:tcW w:w="1687" w:type="dxa"/>
                  <w:vMerge w:val="continue"/>
                  <w:vAlign w:val="center"/>
                </w:tcPr>
                <w:p>
                  <w:pPr>
                    <w:widowControl/>
                    <w:adjustRightInd w:val="0"/>
                    <w:snapToGrid w:val="0"/>
                    <w:jc w:val="cente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841" w:type="dxa"/>
                  <w:vMerge w:val="restart"/>
                  <w:vAlign w:val="center"/>
                </w:tcPr>
                <w:p>
                  <w:pPr>
                    <w:widowControl/>
                    <w:adjustRightInd w:val="0"/>
                    <w:snapToGrid w:val="0"/>
                    <w:jc w:val="center"/>
                    <w:rPr>
                      <w:szCs w:val="21"/>
                    </w:rPr>
                  </w:pPr>
                  <w:r>
                    <w:rPr>
                      <w:szCs w:val="21"/>
                    </w:rPr>
                    <w:t>烟囱最低允许高度</w:t>
                  </w:r>
                </w:p>
              </w:tc>
              <w:tc>
                <w:tcPr>
                  <w:tcW w:w="4443" w:type="dxa"/>
                  <w:vAlign w:val="center"/>
                </w:tcPr>
                <w:p>
                  <w:pPr>
                    <w:widowControl/>
                    <w:adjustRightInd w:val="0"/>
                    <w:snapToGrid w:val="0"/>
                    <w:jc w:val="center"/>
                    <w:rPr>
                      <w:szCs w:val="21"/>
                    </w:rPr>
                  </w:pPr>
                  <w:r>
                    <w:rPr>
                      <w:rFonts w:hint="eastAsia"/>
                      <w:szCs w:val="21"/>
                    </w:rPr>
                    <w:t>燃煤</w:t>
                  </w:r>
                  <w:r>
                    <w:rPr>
                      <w:szCs w:val="21"/>
                    </w:rPr>
                    <w:t>锅炉</w:t>
                  </w:r>
                  <w:r>
                    <w:rPr>
                      <w:rFonts w:hint="eastAsia"/>
                      <w:szCs w:val="21"/>
                    </w:rPr>
                    <w:t>2~＜4t/h</w:t>
                  </w:r>
                </w:p>
              </w:tc>
              <w:tc>
                <w:tcPr>
                  <w:tcW w:w="1687" w:type="dxa"/>
                  <w:vMerge w:val="continue"/>
                  <w:vAlign w:val="center"/>
                </w:tcPr>
                <w:p>
                  <w:pPr>
                    <w:widowControl/>
                    <w:adjustRightInd w:val="0"/>
                    <w:snapToGrid w:val="0"/>
                    <w:jc w:val="cente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841" w:type="dxa"/>
                  <w:vMerge w:val="continue"/>
                  <w:vAlign w:val="center"/>
                </w:tcPr>
                <w:p>
                  <w:pPr>
                    <w:widowControl/>
                    <w:adjustRightInd w:val="0"/>
                    <w:snapToGrid w:val="0"/>
                    <w:jc w:val="center"/>
                    <w:rPr>
                      <w:szCs w:val="21"/>
                    </w:rPr>
                  </w:pPr>
                </w:p>
              </w:tc>
              <w:tc>
                <w:tcPr>
                  <w:tcW w:w="4443" w:type="dxa"/>
                  <w:vAlign w:val="center"/>
                </w:tcPr>
                <w:p>
                  <w:pPr>
                    <w:widowControl/>
                    <w:adjustRightInd w:val="0"/>
                    <w:snapToGrid w:val="0"/>
                    <w:jc w:val="center"/>
                    <w:rPr>
                      <w:szCs w:val="21"/>
                    </w:rPr>
                  </w:pPr>
                  <w:r>
                    <w:rPr>
                      <w:szCs w:val="21"/>
                    </w:rPr>
                    <w:t>不低于</w:t>
                  </w:r>
                  <w:r>
                    <w:rPr>
                      <w:rFonts w:hint="eastAsia"/>
                      <w:szCs w:val="21"/>
                    </w:rPr>
                    <w:t>30</w:t>
                  </w:r>
                  <w:r>
                    <w:rPr>
                      <w:szCs w:val="21"/>
                    </w:rPr>
                    <w:t>米</w:t>
                  </w:r>
                  <w:r>
                    <w:rPr>
                      <w:rFonts w:hint="eastAsia"/>
                      <w:szCs w:val="21"/>
                    </w:rPr>
                    <w:t>（烟囱周围半径200m距离内有建筑物时，其烟囱应高出最高建筑物3m以上。）</w:t>
                  </w:r>
                </w:p>
              </w:tc>
              <w:tc>
                <w:tcPr>
                  <w:tcW w:w="1687" w:type="dxa"/>
                  <w:vMerge w:val="continue"/>
                  <w:vAlign w:val="center"/>
                </w:tcPr>
                <w:p>
                  <w:pPr>
                    <w:widowControl/>
                    <w:adjustRightInd w:val="0"/>
                    <w:snapToGrid w:val="0"/>
                    <w:jc w:val="center"/>
                  </w:pPr>
                </w:p>
              </w:tc>
            </w:tr>
          </w:tbl>
          <w:p>
            <w:pPr>
              <w:adjustRightInd w:val="0"/>
              <w:snapToGrid w:val="0"/>
              <w:jc w:val="left"/>
              <w:rPr>
                <w:b/>
                <w:bCs/>
                <w:szCs w:val="21"/>
              </w:rPr>
            </w:pPr>
            <w:r>
              <w:rPr>
                <w:rFonts w:hint="eastAsia" w:ascii="宋体" w:hAnsi="宋体" w:cs="宋体"/>
                <w:b/>
                <w:bCs/>
                <w:sz w:val="18"/>
                <w:szCs w:val="18"/>
              </w:rPr>
              <w:t>注：200m范围内最高建筑为时家店乡学校教学楼，高度为20m，本项目锅炉排气筒高度为30m。满足上述标准要求。</w:t>
            </w:r>
          </w:p>
          <w:p>
            <w:pPr>
              <w:spacing w:line="360" w:lineRule="auto"/>
              <w:rPr>
                <w:b/>
                <w:bCs/>
                <w:sz w:val="24"/>
              </w:rPr>
            </w:pPr>
            <w:r>
              <w:rPr>
                <w:rFonts w:hint="eastAsia"/>
                <w:b/>
                <w:bCs/>
                <w:sz w:val="24"/>
              </w:rPr>
              <w:t>3.3.2噪声</w:t>
            </w:r>
          </w:p>
          <w:p>
            <w:pPr>
              <w:spacing w:line="360" w:lineRule="auto"/>
              <w:ind w:firstLine="480" w:firstLineChars="200"/>
              <w:rPr>
                <w:b/>
                <w:sz w:val="24"/>
              </w:rPr>
            </w:pPr>
            <w:r>
              <w:rPr>
                <w:sz w:val="24"/>
              </w:rPr>
              <w:t>施工期采用《建筑施工场界环境噪声排放标准》（GB12523-2011）标准进行评价。</w:t>
            </w:r>
          </w:p>
          <w:p>
            <w:pPr>
              <w:pStyle w:val="57"/>
              <w:ind w:firstLine="0" w:firstLineChars="0"/>
              <w:jc w:val="center"/>
              <w:rPr>
                <w:rFonts w:hAnsi="宋体" w:cs="宋体"/>
                <w:b/>
                <w:color w:val="auto"/>
                <w:szCs w:val="21"/>
                <w:u w:val="single"/>
              </w:rPr>
            </w:pPr>
            <w:r>
              <w:rPr>
                <w:rFonts w:hint="eastAsia" w:hAnsi="宋体" w:cs="宋体"/>
                <w:b/>
                <w:color w:val="auto"/>
                <w:szCs w:val="21"/>
                <w:u w:val="single"/>
              </w:rPr>
              <w:t>表3-9  建筑施工场界环境噪声排放限值     单位：dB(A)</w:t>
            </w:r>
          </w:p>
          <w:tbl>
            <w:tblPr>
              <w:tblStyle w:val="27"/>
              <w:tblW w:w="7974"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266"/>
              <w:gridCol w:w="370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266" w:type="dxa"/>
                  <w:vAlign w:val="center"/>
                </w:tcPr>
                <w:p>
                  <w:pPr>
                    <w:pStyle w:val="66"/>
                    <w:ind w:firstLine="480"/>
                  </w:pPr>
                  <w:r>
                    <w:t>昼间</w:t>
                  </w:r>
                </w:p>
              </w:tc>
              <w:tc>
                <w:tcPr>
                  <w:tcW w:w="3708" w:type="dxa"/>
                  <w:vAlign w:val="center"/>
                </w:tcPr>
                <w:p>
                  <w:pPr>
                    <w:pStyle w:val="66"/>
                    <w:ind w:firstLine="480"/>
                  </w:pPr>
                  <w:r>
                    <w:t>夜间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266" w:type="dxa"/>
                  <w:vAlign w:val="center"/>
                </w:tcPr>
                <w:p>
                  <w:pPr>
                    <w:pStyle w:val="66"/>
                    <w:ind w:firstLine="480"/>
                  </w:pPr>
                  <w:r>
                    <w:t>70</w:t>
                  </w:r>
                </w:p>
              </w:tc>
              <w:tc>
                <w:tcPr>
                  <w:tcW w:w="3708" w:type="dxa"/>
                  <w:vAlign w:val="center"/>
                </w:tcPr>
                <w:p>
                  <w:pPr>
                    <w:pStyle w:val="66"/>
                    <w:ind w:firstLine="480"/>
                  </w:pPr>
                  <w:r>
                    <w:t>55</w:t>
                  </w:r>
                </w:p>
              </w:tc>
            </w:tr>
          </w:tbl>
          <w:p>
            <w:pPr>
              <w:spacing w:line="360" w:lineRule="auto"/>
              <w:ind w:firstLine="480" w:firstLineChars="200"/>
              <w:rPr>
                <w:b/>
                <w:bCs/>
                <w:sz w:val="24"/>
              </w:rPr>
            </w:pPr>
            <w:r>
              <w:rPr>
                <w:rFonts w:hint="eastAsia"/>
                <w:kern w:val="0"/>
                <w:sz w:val="24"/>
              </w:rPr>
              <w:t>依据</w:t>
            </w:r>
            <w:r>
              <w:rPr>
                <w:kern w:val="0"/>
                <w:sz w:val="24"/>
              </w:rPr>
              <w:t>《声环境质量标准》（GB3096-2008）</w:t>
            </w:r>
            <w:r>
              <w:rPr>
                <w:rFonts w:hint="eastAsia"/>
                <w:kern w:val="0"/>
                <w:sz w:val="24"/>
              </w:rPr>
              <w:t>标准，项目位于时家店乡，</w:t>
            </w:r>
            <w:r>
              <w:rPr>
                <w:rFonts w:hint="eastAsia"/>
                <w:sz w:val="24"/>
              </w:rPr>
              <w:t>声环境执行《</w:t>
            </w:r>
            <w:r>
              <w:rPr>
                <w:sz w:val="24"/>
              </w:rPr>
              <w:t>工业企业厂界环境噪声排放标准》（GB12348-2008）</w:t>
            </w:r>
            <w:r>
              <w:rPr>
                <w:rFonts w:hint="eastAsia"/>
                <w:sz w:val="24"/>
              </w:rPr>
              <w:t>中1类标准，详见下表。</w:t>
            </w:r>
          </w:p>
          <w:p>
            <w:pPr>
              <w:pStyle w:val="57"/>
              <w:ind w:firstLine="0" w:firstLineChars="0"/>
              <w:jc w:val="center"/>
              <w:rPr>
                <w:rFonts w:ascii="Times New Roman" w:hAnsi="Times New Roman"/>
                <w:b/>
                <w:bCs/>
                <w:color w:val="auto"/>
                <w:szCs w:val="21"/>
                <w:u w:val="single"/>
              </w:rPr>
            </w:pPr>
            <w:r>
              <w:rPr>
                <w:rFonts w:hint="eastAsia" w:hAnsi="宋体" w:cs="宋体"/>
                <w:b/>
                <w:color w:val="auto"/>
                <w:szCs w:val="21"/>
                <w:u w:val="single"/>
              </w:rPr>
              <w:t>表3-10  工业企业厂界环境噪声排放标准 单位：dB(A)</w:t>
            </w:r>
          </w:p>
          <w:tbl>
            <w:tblPr>
              <w:tblStyle w:val="27"/>
              <w:tblW w:w="797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617"/>
              <w:gridCol w:w="2176"/>
              <w:gridCol w:w="217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17" w:type="dxa"/>
                  <w:vMerge w:val="restart"/>
                  <w:vAlign w:val="center"/>
                </w:tcPr>
                <w:p>
                  <w:pPr>
                    <w:jc w:val="center"/>
                    <w:rPr>
                      <w:szCs w:val="21"/>
                    </w:rPr>
                  </w:pPr>
                  <w:r>
                    <w:rPr>
                      <w:rFonts w:hint="eastAsia"/>
                      <w:szCs w:val="21"/>
                    </w:rPr>
                    <w:t>类别</w:t>
                  </w:r>
                </w:p>
              </w:tc>
              <w:tc>
                <w:tcPr>
                  <w:tcW w:w="4354" w:type="dxa"/>
                  <w:gridSpan w:val="2"/>
                  <w:vAlign w:val="center"/>
                </w:tcPr>
                <w:p>
                  <w:pPr>
                    <w:jc w:val="center"/>
                    <w:rPr>
                      <w:szCs w:val="21"/>
                    </w:rPr>
                  </w:pPr>
                  <w:r>
                    <w:rPr>
                      <w:rFonts w:hint="eastAsia"/>
                      <w:szCs w:val="21"/>
                    </w:rPr>
                    <w:t>标准值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17" w:type="dxa"/>
                  <w:vMerge w:val="continue"/>
                  <w:vAlign w:val="center"/>
                </w:tcPr>
                <w:p>
                  <w:pPr>
                    <w:jc w:val="center"/>
                    <w:rPr>
                      <w:szCs w:val="21"/>
                    </w:rPr>
                  </w:pPr>
                </w:p>
              </w:tc>
              <w:tc>
                <w:tcPr>
                  <w:tcW w:w="2176" w:type="dxa"/>
                  <w:vAlign w:val="center"/>
                </w:tcPr>
                <w:p>
                  <w:pPr>
                    <w:jc w:val="center"/>
                    <w:rPr>
                      <w:szCs w:val="21"/>
                    </w:rPr>
                  </w:pPr>
                  <w:r>
                    <w:rPr>
                      <w:rFonts w:hint="eastAsia"/>
                      <w:szCs w:val="21"/>
                    </w:rPr>
                    <w:t>昼间</w:t>
                  </w:r>
                </w:p>
              </w:tc>
              <w:tc>
                <w:tcPr>
                  <w:tcW w:w="2178" w:type="dxa"/>
                  <w:vAlign w:val="center"/>
                </w:tcPr>
                <w:p>
                  <w:pPr>
                    <w:jc w:val="center"/>
                    <w:rPr>
                      <w:szCs w:val="21"/>
                    </w:rPr>
                  </w:pPr>
                  <w:r>
                    <w:rPr>
                      <w:rFonts w:hint="eastAsia"/>
                      <w:szCs w:val="21"/>
                    </w:rPr>
                    <w:t>夜间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17" w:type="dxa"/>
                  <w:vAlign w:val="center"/>
                </w:tcPr>
                <w:p>
                  <w:pPr>
                    <w:jc w:val="center"/>
                    <w:rPr>
                      <w:szCs w:val="21"/>
                    </w:rPr>
                  </w:pPr>
                  <w:r>
                    <w:rPr>
                      <w:rFonts w:hint="eastAsia"/>
                      <w:szCs w:val="21"/>
                    </w:rPr>
                    <w:t>1类</w:t>
                  </w:r>
                </w:p>
              </w:tc>
              <w:tc>
                <w:tcPr>
                  <w:tcW w:w="2176" w:type="dxa"/>
                  <w:vAlign w:val="center"/>
                </w:tcPr>
                <w:p>
                  <w:pPr>
                    <w:jc w:val="center"/>
                    <w:rPr>
                      <w:szCs w:val="21"/>
                    </w:rPr>
                  </w:pPr>
                  <w:r>
                    <w:rPr>
                      <w:rFonts w:hint="eastAsia"/>
                      <w:szCs w:val="21"/>
                    </w:rPr>
                    <w:t>55</w:t>
                  </w:r>
                </w:p>
              </w:tc>
              <w:tc>
                <w:tcPr>
                  <w:tcW w:w="2178" w:type="dxa"/>
                  <w:vAlign w:val="center"/>
                </w:tcPr>
                <w:p>
                  <w:pPr>
                    <w:jc w:val="center"/>
                    <w:rPr>
                      <w:szCs w:val="21"/>
                    </w:rPr>
                  </w:pPr>
                  <w:r>
                    <w:rPr>
                      <w:rFonts w:hint="eastAsia"/>
                      <w:szCs w:val="21"/>
                    </w:rPr>
                    <w:t>45</w:t>
                  </w:r>
                </w:p>
              </w:tc>
            </w:tr>
          </w:tbl>
          <w:p>
            <w:pPr>
              <w:adjustRightInd w:val="0"/>
              <w:snapToGrid w:val="0"/>
              <w:spacing w:line="360" w:lineRule="auto"/>
              <w:rPr>
                <w:rFonts w:cs="宋体"/>
                <w:kern w:val="0"/>
                <w:sz w:val="24"/>
              </w:rPr>
            </w:pPr>
            <w:r>
              <w:rPr>
                <w:rFonts w:hint="eastAsia" w:cs="宋体"/>
                <w:b/>
                <w:bCs/>
                <w:kern w:val="0"/>
                <w:sz w:val="24"/>
              </w:rPr>
              <w:t>3.3.3固体废物</w:t>
            </w:r>
            <w:r>
              <w:rPr>
                <w:rFonts w:hint="eastAsia" w:cs="宋体"/>
                <w:kern w:val="0"/>
                <w:sz w:val="24"/>
              </w:rPr>
              <w:t xml:space="preserve"> </w:t>
            </w:r>
          </w:p>
          <w:p>
            <w:pPr>
              <w:adjustRightInd w:val="0"/>
              <w:snapToGrid w:val="0"/>
              <w:spacing w:line="360" w:lineRule="auto"/>
              <w:ind w:firstLine="480" w:firstLineChars="200"/>
              <w:rPr>
                <w:rFonts w:cs="宋体"/>
                <w:kern w:val="0"/>
                <w:szCs w:val="21"/>
              </w:rPr>
            </w:pPr>
            <w:r>
              <w:rPr>
                <w:rFonts w:hint="eastAsia" w:cs="宋体"/>
                <w:kern w:val="0"/>
                <w:sz w:val="24"/>
              </w:rPr>
              <w:t>本项目一般固体废弃物执行《一般工业固体废物贮存和填埋污染控制标准》（GB 18599-2020）和《中华人民共和国固体废弃物污染环境防治法》中的有关规定。</w:t>
            </w:r>
            <w:r>
              <w:rPr>
                <w:sz w:val="24"/>
              </w:rPr>
              <w:t>产生的危险废物</w:t>
            </w:r>
            <w:r>
              <w:rPr>
                <w:rFonts w:hint="eastAsia"/>
                <w:sz w:val="24"/>
              </w:rPr>
              <w:t>执行</w:t>
            </w:r>
            <w:r>
              <w:rPr>
                <w:sz w:val="24"/>
              </w:rPr>
              <w:t>《危险废物贮存污染控制标准》（GB18597-20</w:t>
            </w:r>
            <w:r>
              <w:rPr>
                <w:rFonts w:hint="eastAsia"/>
                <w:sz w:val="24"/>
              </w:rPr>
              <w:t>23</w:t>
            </w:r>
            <w:r>
              <w:rPr>
                <w:sz w:val="24"/>
              </w:rPr>
              <w:t>）</w:t>
            </w:r>
            <w:r>
              <w:rPr>
                <w:rFonts w:hint="eastAsia"/>
                <w:sz w:val="24"/>
              </w:rPr>
              <w:t>标准要求。</w:t>
            </w:r>
            <w:r>
              <w:rPr>
                <w:rFonts w:hint="eastAsia" w:cs="宋体"/>
                <w:kern w:val="0"/>
                <w:sz w:val="24"/>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080" w:hRule="atLeast"/>
          <w:jc w:val="center"/>
        </w:trPr>
        <w:tc>
          <w:tcPr>
            <w:tcW w:w="800" w:type="dxa"/>
            <w:vAlign w:val="center"/>
          </w:tcPr>
          <w:p>
            <w:pPr>
              <w:adjustRightInd w:val="0"/>
              <w:snapToGrid w:val="0"/>
              <w:jc w:val="center"/>
              <w:rPr>
                <w:rFonts w:cs="宋体"/>
                <w:kern w:val="0"/>
                <w:sz w:val="24"/>
              </w:rPr>
            </w:pPr>
            <w:r>
              <w:rPr>
                <w:rFonts w:hint="eastAsia" w:cs="宋体"/>
                <w:kern w:val="0"/>
                <w:sz w:val="24"/>
              </w:rPr>
              <w:t>总量</w:t>
            </w:r>
          </w:p>
          <w:p>
            <w:pPr>
              <w:adjustRightInd w:val="0"/>
              <w:snapToGrid w:val="0"/>
              <w:jc w:val="center"/>
              <w:rPr>
                <w:rFonts w:cs="宋体"/>
                <w:kern w:val="0"/>
                <w:sz w:val="24"/>
              </w:rPr>
            </w:pPr>
            <w:r>
              <w:rPr>
                <w:rFonts w:hint="eastAsia" w:cs="宋体"/>
                <w:kern w:val="0"/>
                <w:sz w:val="24"/>
              </w:rPr>
              <w:t>控制</w:t>
            </w:r>
          </w:p>
          <w:p>
            <w:pPr>
              <w:adjustRightInd w:val="0"/>
              <w:snapToGrid w:val="0"/>
              <w:jc w:val="center"/>
              <w:rPr>
                <w:rFonts w:cs="宋体"/>
                <w:kern w:val="0"/>
                <w:szCs w:val="21"/>
              </w:rPr>
            </w:pPr>
            <w:r>
              <w:rPr>
                <w:rFonts w:hint="eastAsia" w:cs="宋体"/>
                <w:kern w:val="0"/>
                <w:sz w:val="24"/>
              </w:rPr>
              <w:t>指标</w:t>
            </w:r>
          </w:p>
        </w:tc>
        <w:tc>
          <w:tcPr>
            <w:tcW w:w="8190" w:type="dxa"/>
            <w:vAlign w:val="top"/>
          </w:tcPr>
          <w:p>
            <w:pPr>
              <w:spacing w:line="360" w:lineRule="auto"/>
              <w:rPr>
                <w:b/>
                <w:bCs/>
                <w:sz w:val="24"/>
              </w:rPr>
            </w:pPr>
            <w:r>
              <w:rPr>
                <w:rFonts w:hint="eastAsia"/>
                <w:b/>
                <w:bCs/>
                <w:sz w:val="24"/>
              </w:rPr>
              <w:t>3.4总量控制标准</w:t>
            </w:r>
          </w:p>
          <w:p>
            <w:pPr>
              <w:spacing w:line="360" w:lineRule="auto"/>
              <w:ind w:firstLine="480" w:firstLineChars="200"/>
              <w:rPr>
                <w:bCs/>
                <w:i/>
                <w:iCs/>
                <w:sz w:val="24"/>
                <w:u w:val="single"/>
              </w:rPr>
            </w:pPr>
            <w:r>
              <w:rPr>
                <w:sz w:val="24"/>
              </w:rPr>
              <w:t>根据</w:t>
            </w:r>
            <w:r>
              <w:rPr>
                <w:rFonts w:hint="eastAsia"/>
                <w:sz w:val="24"/>
              </w:rPr>
              <w:t>吉林省生态环境厅</w:t>
            </w:r>
            <w:r>
              <w:rPr>
                <w:sz w:val="24"/>
              </w:rPr>
              <w:t>《关于</w:t>
            </w:r>
            <w:r>
              <w:rPr>
                <w:rFonts w:hint="eastAsia"/>
                <w:sz w:val="24"/>
              </w:rPr>
              <w:t>进一步明确建设项目主要污染物排放总量审核有关事宜的复函</w:t>
            </w:r>
            <w:r>
              <w:rPr>
                <w:sz w:val="24"/>
              </w:rPr>
              <w:t>》</w:t>
            </w:r>
            <w:r>
              <w:rPr>
                <w:rFonts w:hint="eastAsia"/>
                <w:sz w:val="24"/>
              </w:rPr>
              <w:t>以及</w:t>
            </w:r>
            <w:r>
              <w:fldChar w:fldCharType="begin"/>
            </w:r>
            <w:r>
              <w:instrText xml:space="preserve">HYPERLINK "https://www.mee.gov.cn/ywgz/fgbz/bz/bzwb/pwxk/201710/W020171010508155491342.pdf" </w:instrText>
            </w:r>
            <w:r>
              <w:fldChar w:fldCharType="separate"/>
            </w:r>
            <w:r>
              <w:rPr>
                <w:rFonts w:hint="eastAsia"/>
                <w:sz w:val="24"/>
              </w:rPr>
              <w:t>《排污许可申请与核发技术规范 锅</w:t>
            </w:r>
            <w:r>
              <w:fldChar w:fldCharType="end"/>
            </w:r>
            <w:r>
              <w:rPr>
                <w:rFonts w:hint="eastAsia"/>
                <w:sz w:val="24"/>
              </w:rPr>
              <w:t>炉》(HJ953—2018)、《排污许可证申请与核发技术规范 食品制造工业-方便食品、食品及饲料添加剂制造工业》（HJ1030.3-2019），本项目废气排放口为一般排放口，属于执行其他行业排放管理的建设项目</w:t>
            </w:r>
            <w:r>
              <w:rPr>
                <w:sz w:val="24"/>
              </w:rPr>
              <w:t>。</w:t>
            </w:r>
            <w:r>
              <w:rPr>
                <w:rFonts w:hint="eastAsia"/>
                <w:sz w:val="24"/>
              </w:rPr>
              <w:t>其他行业因排污量很少或基本不新增排污量，在环评审批过程中予以豁免主要污染物总量审核。各级环评审批部门自行建立统计台账，纳入环境管理。</w:t>
            </w:r>
          </w:p>
          <w:p>
            <w:pPr>
              <w:adjustRightInd w:val="0"/>
              <w:snapToGrid w:val="0"/>
              <w:spacing w:line="360" w:lineRule="auto"/>
              <w:ind w:firstLine="480" w:firstLineChars="200"/>
              <w:rPr>
                <w:rFonts w:cs="宋体"/>
                <w:kern w:val="0"/>
                <w:szCs w:val="21"/>
              </w:rPr>
            </w:pPr>
            <w:r>
              <w:rPr>
                <w:rFonts w:hint="eastAsia"/>
                <w:sz w:val="24"/>
              </w:rPr>
              <w:t>本项目涉及总量污染因子为烟（粉）尘、二氧化硫、氮氧化物。污染物排放量为烟（粉）</w:t>
            </w:r>
            <w:r>
              <w:rPr>
                <w:rFonts w:hint="eastAsia" w:ascii="宋体" w:hAnsi="宋体" w:cs="宋体"/>
                <w:sz w:val="24"/>
              </w:rPr>
              <w:t>尘0.038t/a，二氧化硫0.0583t/a，氮氧化物0.0775t/a。</w:t>
            </w:r>
          </w:p>
        </w:tc>
      </w:tr>
    </w:tbl>
    <w:p>
      <w:pPr>
        <w:pStyle w:val="24"/>
        <w:spacing w:before="0" w:beforeAutospacing="0" w:after="0" w:afterAutospacing="0"/>
        <w:jc w:val="center"/>
        <w:outlineLvl w:val="0"/>
        <w:rPr>
          <w:rFonts w:ascii="Times New Roman" w:hAnsi="Times New Roman"/>
          <w:b/>
          <w:bCs/>
          <w:snapToGrid w:val="0"/>
          <w:sz w:val="28"/>
          <w:szCs w:val="28"/>
        </w:rPr>
      </w:pPr>
      <w:r>
        <w:rPr>
          <w:rFonts w:ascii="Times New Roman" w:hAnsi="Times New Roman"/>
          <w:snapToGrid w:val="0"/>
          <w:sz w:val="36"/>
          <w:szCs w:val="36"/>
        </w:rPr>
        <w:br w:type="page"/>
      </w:r>
      <w:r>
        <w:rPr>
          <w:rFonts w:hint="eastAsia" w:ascii="Times New Roman" w:hAnsi="Times New Roman"/>
          <w:b/>
          <w:bCs/>
          <w:snapToGrid w:val="0"/>
          <w:sz w:val="28"/>
          <w:szCs w:val="28"/>
        </w:rPr>
        <w:t>四、主要环境影响和保护措施</w:t>
      </w:r>
    </w:p>
    <w:tbl>
      <w:tblPr>
        <w:tblStyle w:val="27"/>
        <w:tblW w:w="927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75"/>
        <w:gridCol w:w="849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784" w:hRule="atLeast"/>
          <w:jc w:val="center"/>
        </w:trPr>
        <w:tc>
          <w:tcPr>
            <w:tcW w:w="775" w:type="dxa"/>
            <w:tcMar>
              <w:left w:w="28" w:type="dxa"/>
              <w:right w:w="28" w:type="dxa"/>
            </w:tcMar>
            <w:vAlign w:val="center"/>
          </w:tcPr>
          <w:p>
            <w:pPr>
              <w:pStyle w:val="24"/>
              <w:adjustRightInd w:val="0"/>
              <w:snapToGrid w:val="0"/>
              <w:spacing w:before="0" w:beforeAutospacing="0" w:after="0" w:afterAutospacing="0"/>
              <w:jc w:val="center"/>
              <w:rPr>
                <w:rFonts w:ascii="Times New Roman" w:hAnsi="Times New Roman" w:cs="宋体"/>
                <w:kern w:val="2"/>
                <w:szCs w:val="24"/>
              </w:rPr>
            </w:pPr>
            <w:r>
              <w:rPr>
                <w:rFonts w:hint="eastAsia" w:ascii="Times New Roman" w:hAnsi="Times New Roman" w:cs="宋体"/>
                <w:kern w:val="2"/>
                <w:szCs w:val="24"/>
              </w:rPr>
              <w:t>施工</w:t>
            </w:r>
          </w:p>
          <w:p>
            <w:pPr>
              <w:pStyle w:val="24"/>
              <w:adjustRightInd w:val="0"/>
              <w:snapToGrid w:val="0"/>
              <w:spacing w:before="0" w:beforeAutospacing="0" w:after="0" w:afterAutospacing="0"/>
              <w:jc w:val="center"/>
              <w:rPr>
                <w:rFonts w:ascii="Times New Roman" w:hAnsi="Times New Roman" w:cs="宋体"/>
                <w:kern w:val="2"/>
                <w:szCs w:val="24"/>
              </w:rPr>
            </w:pPr>
            <w:r>
              <w:rPr>
                <w:rFonts w:hint="eastAsia" w:ascii="Times New Roman" w:hAnsi="Times New Roman" w:cs="宋体"/>
                <w:kern w:val="2"/>
                <w:szCs w:val="24"/>
              </w:rPr>
              <w:t>期环</w:t>
            </w:r>
          </w:p>
          <w:p>
            <w:pPr>
              <w:pStyle w:val="24"/>
              <w:adjustRightInd w:val="0"/>
              <w:snapToGrid w:val="0"/>
              <w:spacing w:before="0" w:beforeAutospacing="0" w:after="0" w:afterAutospacing="0"/>
              <w:jc w:val="center"/>
              <w:rPr>
                <w:rFonts w:ascii="Times New Roman" w:hAnsi="Times New Roman" w:cs="宋体"/>
                <w:kern w:val="2"/>
                <w:szCs w:val="24"/>
              </w:rPr>
            </w:pPr>
            <w:r>
              <w:rPr>
                <w:rFonts w:hint="eastAsia" w:ascii="Times New Roman" w:hAnsi="Times New Roman" w:cs="宋体"/>
                <w:kern w:val="2"/>
                <w:szCs w:val="24"/>
              </w:rPr>
              <w:t>境保</w:t>
            </w:r>
          </w:p>
          <w:p>
            <w:pPr>
              <w:pStyle w:val="24"/>
              <w:adjustRightInd w:val="0"/>
              <w:snapToGrid w:val="0"/>
              <w:spacing w:before="0" w:beforeAutospacing="0" w:after="0" w:afterAutospacing="0"/>
              <w:jc w:val="center"/>
              <w:rPr>
                <w:rFonts w:ascii="Times New Roman" w:hAnsi="Times New Roman" w:cs="宋体"/>
                <w:kern w:val="2"/>
                <w:szCs w:val="24"/>
              </w:rPr>
            </w:pPr>
            <w:r>
              <w:rPr>
                <w:rFonts w:hint="eastAsia" w:ascii="Times New Roman" w:hAnsi="Times New Roman" w:cs="宋体"/>
                <w:kern w:val="2"/>
                <w:szCs w:val="24"/>
              </w:rPr>
              <w:t>护措</w:t>
            </w:r>
          </w:p>
          <w:p>
            <w:pPr>
              <w:pStyle w:val="24"/>
              <w:adjustRightInd w:val="0"/>
              <w:snapToGrid w:val="0"/>
              <w:spacing w:before="0" w:beforeAutospacing="0" w:after="0" w:afterAutospacing="0"/>
              <w:jc w:val="center"/>
              <w:rPr>
                <w:rFonts w:ascii="Times New Roman" w:hAnsi="Times New Roman" w:cs="宋体"/>
                <w:bCs/>
                <w:kern w:val="2"/>
                <w:szCs w:val="24"/>
              </w:rPr>
            </w:pPr>
            <w:r>
              <w:rPr>
                <w:rFonts w:hint="eastAsia" w:ascii="Times New Roman" w:hAnsi="Times New Roman" w:cs="宋体"/>
                <w:kern w:val="2"/>
                <w:szCs w:val="24"/>
              </w:rPr>
              <w:t>施</w:t>
            </w:r>
          </w:p>
        </w:tc>
        <w:tc>
          <w:tcPr>
            <w:tcW w:w="8499" w:type="dxa"/>
            <w:vAlign w:val="top"/>
          </w:tcPr>
          <w:p>
            <w:pPr>
              <w:pStyle w:val="23"/>
              <w:spacing w:line="360" w:lineRule="auto"/>
              <w:ind w:left="0" w:leftChars="0"/>
              <w:rPr>
                <w:rFonts w:cs="宋体"/>
                <w:b/>
                <w:bCs/>
                <w:sz w:val="24"/>
              </w:rPr>
            </w:pPr>
            <w:r>
              <w:rPr>
                <w:rFonts w:hint="eastAsia" w:cs="宋体"/>
                <w:b/>
                <w:bCs/>
                <w:sz w:val="24"/>
              </w:rPr>
              <w:t>4.1施工期环境保护措施</w:t>
            </w:r>
          </w:p>
          <w:p>
            <w:pPr>
              <w:pStyle w:val="2"/>
              <w:tabs>
                <w:tab w:val="left" w:pos="0"/>
                <w:tab w:val="left" w:pos="1260"/>
              </w:tabs>
              <w:spacing w:before="0" w:after="0" w:line="360" w:lineRule="auto"/>
              <w:ind w:right="0" w:firstLine="480" w:firstLineChars="200"/>
              <w:rPr>
                <w:rFonts w:cs="宋体"/>
                <w:sz w:val="24"/>
                <w:szCs w:val="24"/>
              </w:rPr>
            </w:pPr>
            <w:r>
              <w:rPr>
                <w:rFonts w:cs="宋体"/>
                <w:sz w:val="24"/>
                <w:szCs w:val="24"/>
              </w:rPr>
              <w:t>本项目主体工程施工期间将产生噪声、扬尘、废气、固体废弃物、施工废水及生活污水等污染物。</w:t>
            </w:r>
          </w:p>
          <w:p>
            <w:pPr>
              <w:snapToGrid w:val="0"/>
              <w:spacing w:line="360" w:lineRule="auto"/>
              <w:ind w:firstLine="480"/>
              <w:outlineLvl w:val="0"/>
              <w:rPr>
                <w:rFonts w:ascii="宋体" w:hAnsi="宋体" w:cs="宋体"/>
                <w:b/>
                <w:bCs/>
                <w:color w:val="000000"/>
                <w:sz w:val="24"/>
              </w:rPr>
            </w:pPr>
            <w:r>
              <w:rPr>
                <w:rFonts w:hint="eastAsia" w:ascii="宋体" w:hAnsi="宋体" w:cs="宋体"/>
                <w:b/>
                <w:bCs/>
                <w:color w:val="000000"/>
                <w:sz w:val="24"/>
              </w:rPr>
              <w:t>1、废水</w:t>
            </w:r>
          </w:p>
          <w:p>
            <w:pPr>
              <w:wordWrap w:val="0"/>
              <w:topLinePunct/>
              <w:spacing w:line="360" w:lineRule="auto"/>
              <w:ind w:firstLine="480" w:firstLineChars="200"/>
              <w:rPr>
                <w:rFonts w:ascii="宋体" w:hAnsi="宋体" w:cs="宋体"/>
                <w:sz w:val="24"/>
              </w:rPr>
            </w:pPr>
            <w:r>
              <w:rPr>
                <w:rFonts w:ascii="宋体" w:hAnsi="宋体" w:cs="宋体"/>
                <w:sz w:val="24"/>
              </w:rPr>
              <w:t>⑴施工生活污水</w:t>
            </w:r>
          </w:p>
          <w:p>
            <w:pPr>
              <w:wordWrap w:val="0"/>
              <w:topLinePunct/>
              <w:spacing w:line="360" w:lineRule="auto"/>
              <w:ind w:firstLine="480" w:firstLineChars="200"/>
              <w:rPr>
                <w:rFonts w:ascii="宋体" w:hAnsi="宋体" w:cs="宋体"/>
                <w:sz w:val="24"/>
              </w:rPr>
            </w:pPr>
            <w:r>
              <w:rPr>
                <w:rFonts w:ascii="宋体" w:hAnsi="宋体" w:cs="宋体"/>
                <w:sz w:val="24"/>
              </w:rPr>
              <w:t>拟采取的治理措施：施工人员生活污水</w:t>
            </w:r>
            <w:r>
              <w:rPr>
                <w:rFonts w:hint="eastAsia" w:ascii="宋体" w:hAnsi="宋体" w:cs="宋体"/>
                <w:sz w:val="24"/>
              </w:rPr>
              <w:t>排入防渗旱厕</w:t>
            </w:r>
            <w:r>
              <w:rPr>
                <w:rFonts w:ascii="宋体" w:hAnsi="宋体" w:cs="宋体"/>
                <w:sz w:val="24"/>
              </w:rPr>
              <w:t>，不向地表水体排放。对地表水体影响较小。</w:t>
            </w:r>
          </w:p>
          <w:p>
            <w:pPr>
              <w:wordWrap w:val="0"/>
              <w:topLinePunct/>
              <w:spacing w:line="360" w:lineRule="auto"/>
              <w:ind w:firstLine="480" w:firstLineChars="200"/>
              <w:rPr>
                <w:rFonts w:ascii="宋体" w:hAnsi="宋体" w:cs="宋体"/>
                <w:sz w:val="24"/>
              </w:rPr>
            </w:pPr>
            <w:r>
              <w:rPr>
                <w:rFonts w:ascii="宋体" w:hAnsi="宋体" w:cs="宋体"/>
                <w:sz w:val="24"/>
              </w:rPr>
              <w:t>⑵施工废水</w:t>
            </w:r>
          </w:p>
          <w:p>
            <w:pPr>
              <w:wordWrap w:val="0"/>
              <w:topLinePunct/>
              <w:spacing w:line="360" w:lineRule="auto"/>
              <w:ind w:firstLine="480" w:firstLineChars="200"/>
              <w:rPr>
                <w:rFonts w:ascii="宋体" w:hAnsi="宋体" w:cs="宋体"/>
                <w:sz w:val="24"/>
              </w:rPr>
            </w:pPr>
            <w:r>
              <w:rPr>
                <w:rFonts w:ascii="宋体" w:hAnsi="宋体" w:cs="宋体"/>
                <w:sz w:val="24"/>
              </w:rPr>
              <w:t>施工过程中将产生含有泥浆或砂石的工程废水，若未经处理直接排放，则对地表水环境产生一定影响。</w:t>
            </w:r>
          </w:p>
          <w:p>
            <w:pPr>
              <w:wordWrap w:val="0"/>
              <w:topLinePunct/>
              <w:spacing w:line="360" w:lineRule="auto"/>
              <w:ind w:firstLine="480" w:firstLineChars="200"/>
              <w:rPr>
                <w:rFonts w:ascii="宋体" w:hAnsi="宋体" w:cs="宋体"/>
                <w:sz w:val="24"/>
              </w:rPr>
            </w:pPr>
            <w:r>
              <w:rPr>
                <w:rFonts w:ascii="宋体" w:hAnsi="宋体" w:cs="宋体"/>
                <w:sz w:val="24"/>
              </w:rPr>
              <w:t>拟采取的治理措施：施工废水要经过沉淀池采取澄清处理，上清液回用于施工过程，不外排。</w:t>
            </w:r>
          </w:p>
          <w:p>
            <w:pPr>
              <w:snapToGrid w:val="0"/>
              <w:spacing w:line="360" w:lineRule="auto"/>
              <w:ind w:firstLine="482" w:firstLineChars="200"/>
              <w:outlineLvl w:val="0"/>
              <w:rPr>
                <w:b/>
                <w:bCs/>
                <w:sz w:val="24"/>
              </w:rPr>
            </w:pPr>
            <w:r>
              <w:rPr>
                <w:b/>
                <w:bCs/>
                <w:sz w:val="24"/>
              </w:rPr>
              <w:t>2</w:t>
            </w:r>
            <w:r>
              <w:rPr>
                <w:rFonts w:hint="eastAsia"/>
                <w:b/>
                <w:bCs/>
                <w:sz w:val="24"/>
              </w:rPr>
              <w:t>、</w:t>
            </w:r>
            <w:r>
              <w:rPr>
                <w:b/>
                <w:bCs/>
                <w:sz w:val="24"/>
              </w:rPr>
              <w:t>废气</w:t>
            </w:r>
          </w:p>
          <w:p>
            <w:pPr>
              <w:snapToGrid w:val="0"/>
              <w:spacing w:line="360" w:lineRule="auto"/>
              <w:ind w:firstLine="480" w:firstLineChars="200"/>
              <w:outlineLvl w:val="0"/>
              <w:rPr>
                <w:rFonts w:cs="宋体"/>
                <w:sz w:val="24"/>
                <w:u w:val="single"/>
              </w:rPr>
            </w:pPr>
            <w:r>
              <w:rPr>
                <w:rFonts w:hint="eastAsia" w:cs="宋体"/>
                <w:sz w:val="24"/>
                <w:u w:val="single"/>
              </w:rPr>
              <w:t>施工过程产生扬尘，产生扬尘可能对周边居民产生影响，施工期采取距离用户较近的厂界处设立围挡、降低车速、保持地面清洁、洒水抑尘、建筑材料加盖苫布等措施，可有效降低扬尘的产生。</w:t>
            </w:r>
          </w:p>
          <w:p>
            <w:pPr>
              <w:snapToGrid w:val="0"/>
              <w:spacing w:line="360" w:lineRule="auto"/>
              <w:ind w:firstLine="482" w:firstLineChars="200"/>
              <w:outlineLvl w:val="0"/>
              <w:rPr>
                <w:b/>
                <w:bCs/>
                <w:sz w:val="24"/>
              </w:rPr>
            </w:pPr>
            <w:r>
              <w:rPr>
                <w:rFonts w:hint="eastAsia"/>
                <w:b/>
                <w:bCs/>
                <w:sz w:val="24"/>
              </w:rPr>
              <w:t>3、</w:t>
            </w:r>
            <w:r>
              <w:rPr>
                <w:b/>
                <w:bCs/>
                <w:sz w:val="24"/>
              </w:rPr>
              <w:t>噪声</w:t>
            </w:r>
          </w:p>
          <w:p>
            <w:pPr>
              <w:snapToGrid w:val="0"/>
              <w:spacing w:line="360" w:lineRule="auto"/>
              <w:ind w:firstLine="480" w:firstLineChars="200"/>
              <w:outlineLvl w:val="0"/>
            </w:pPr>
            <w:r>
              <w:rPr>
                <w:rFonts w:hint="eastAsia" w:cs="宋体"/>
                <w:sz w:val="24"/>
              </w:rPr>
              <w:t>本项目施工期产生一定噪声，由于其产生时间较短，且随施工期结束而消失，施工过程采取合理安排施工时间，墙壁隔声等措施，施工期噪声不会对环境产生明显影响。</w:t>
            </w:r>
          </w:p>
          <w:p>
            <w:pPr>
              <w:snapToGrid w:val="0"/>
              <w:spacing w:line="360" w:lineRule="auto"/>
              <w:ind w:firstLine="480"/>
              <w:outlineLvl w:val="0"/>
              <w:rPr>
                <w:b/>
                <w:bCs/>
                <w:color w:val="000000"/>
                <w:sz w:val="24"/>
              </w:rPr>
            </w:pPr>
            <w:r>
              <w:rPr>
                <w:rFonts w:hint="eastAsia"/>
                <w:b/>
                <w:bCs/>
                <w:color w:val="000000"/>
                <w:sz w:val="24"/>
              </w:rPr>
              <w:t>4、</w:t>
            </w:r>
            <w:r>
              <w:rPr>
                <w:b/>
                <w:bCs/>
                <w:color w:val="000000"/>
                <w:sz w:val="24"/>
              </w:rPr>
              <w:t>固废</w:t>
            </w:r>
          </w:p>
          <w:p>
            <w:pPr>
              <w:spacing w:line="360" w:lineRule="auto"/>
              <w:ind w:firstLine="480" w:firstLineChars="200"/>
              <w:rPr>
                <w:rFonts w:cs="宋体"/>
                <w:sz w:val="24"/>
              </w:rPr>
            </w:pPr>
            <w:r>
              <w:rPr>
                <w:rFonts w:hint="eastAsia" w:cs="宋体"/>
                <w:sz w:val="24"/>
              </w:rPr>
              <w:t>本项目施工期生活垃圾送指定垃圾点，由环卫部门定期清运。建筑垃圾运至指定垃圾填埋场。本项目施工期产生的固体废物均有合理去向，不会对环境产生明显影响。</w:t>
            </w:r>
          </w:p>
          <w:p>
            <w:pPr>
              <w:spacing w:line="360" w:lineRule="auto"/>
              <w:ind w:firstLine="480" w:firstLineChars="200"/>
              <w:rPr>
                <w:rFonts w:cs="宋体"/>
                <w:bCs/>
                <w:spacing w:val="-10"/>
                <w:sz w:val="24"/>
              </w:rPr>
            </w:pPr>
            <w:r>
              <w:rPr>
                <w:rFonts w:hint="eastAsia" w:cs="宋体"/>
                <w:sz w:val="24"/>
              </w:rPr>
              <w:t>综上所述，施工期虽然可能带来某些环境影响因素，但这些因素不可能长期存在，随着工程的竣工，绝大部分影响因素将消失或缓解。</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262" w:hRule="atLeast"/>
          <w:jc w:val="center"/>
        </w:trPr>
        <w:tc>
          <w:tcPr>
            <w:tcW w:w="775" w:type="dxa"/>
            <w:tcMar>
              <w:left w:w="28" w:type="dxa"/>
              <w:right w:w="28" w:type="dxa"/>
            </w:tcMar>
            <w:vAlign w:val="center"/>
          </w:tcPr>
          <w:p>
            <w:pPr>
              <w:adjustRightInd w:val="0"/>
              <w:snapToGrid w:val="0"/>
              <w:jc w:val="center"/>
              <w:rPr>
                <w:rFonts w:cs="宋体"/>
                <w:bCs/>
                <w:sz w:val="24"/>
              </w:rPr>
            </w:pPr>
            <w:r>
              <w:rPr>
                <w:rFonts w:hint="eastAsia" w:cs="宋体"/>
                <w:bCs/>
                <w:sz w:val="24"/>
              </w:rPr>
              <w:t>运营</w:t>
            </w:r>
          </w:p>
          <w:p>
            <w:pPr>
              <w:adjustRightInd w:val="0"/>
              <w:snapToGrid w:val="0"/>
              <w:jc w:val="center"/>
              <w:rPr>
                <w:rFonts w:cs="宋体"/>
                <w:bCs/>
                <w:sz w:val="24"/>
              </w:rPr>
            </w:pPr>
            <w:r>
              <w:rPr>
                <w:rFonts w:hint="eastAsia" w:cs="宋体"/>
                <w:bCs/>
                <w:sz w:val="24"/>
              </w:rPr>
              <w:t>期环</w:t>
            </w:r>
          </w:p>
          <w:p>
            <w:pPr>
              <w:adjustRightInd w:val="0"/>
              <w:snapToGrid w:val="0"/>
              <w:jc w:val="center"/>
              <w:rPr>
                <w:rFonts w:cs="宋体"/>
                <w:bCs/>
                <w:sz w:val="24"/>
              </w:rPr>
            </w:pPr>
            <w:r>
              <w:rPr>
                <w:rFonts w:hint="eastAsia" w:cs="宋体"/>
                <w:bCs/>
                <w:sz w:val="24"/>
              </w:rPr>
              <w:t>境影</w:t>
            </w:r>
          </w:p>
          <w:p>
            <w:pPr>
              <w:adjustRightInd w:val="0"/>
              <w:snapToGrid w:val="0"/>
              <w:jc w:val="center"/>
              <w:rPr>
                <w:rFonts w:cs="宋体"/>
                <w:bCs/>
                <w:sz w:val="24"/>
              </w:rPr>
            </w:pPr>
            <w:r>
              <w:rPr>
                <w:rFonts w:hint="eastAsia" w:cs="宋体"/>
                <w:bCs/>
                <w:sz w:val="24"/>
              </w:rPr>
              <w:t>响和</w:t>
            </w:r>
          </w:p>
          <w:p>
            <w:pPr>
              <w:adjustRightInd w:val="0"/>
              <w:snapToGrid w:val="0"/>
              <w:jc w:val="center"/>
              <w:rPr>
                <w:rFonts w:cs="宋体"/>
                <w:bCs/>
                <w:sz w:val="24"/>
              </w:rPr>
            </w:pPr>
            <w:r>
              <w:rPr>
                <w:rFonts w:hint="eastAsia" w:cs="宋体"/>
                <w:bCs/>
                <w:sz w:val="24"/>
              </w:rPr>
              <w:t>保护</w:t>
            </w:r>
          </w:p>
          <w:p>
            <w:pPr>
              <w:adjustRightInd w:val="0"/>
              <w:snapToGrid w:val="0"/>
              <w:jc w:val="center"/>
              <w:rPr>
                <w:rFonts w:cs="宋体"/>
                <w:bCs/>
                <w:szCs w:val="21"/>
              </w:rPr>
            </w:pPr>
            <w:r>
              <w:rPr>
                <w:rFonts w:hint="eastAsia" w:cs="宋体"/>
                <w:bCs/>
                <w:sz w:val="24"/>
              </w:rPr>
              <w:t>措施</w:t>
            </w:r>
          </w:p>
        </w:tc>
        <w:tc>
          <w:tcPr>
            <w:tcW w:w="8499" w:type="dxa"/>
            <w:vAlign w:val="top"/>
          </w:tcPr>
          <w:p>
            <w:pPr>
              <w:spacing w:line="360" w:lineRule="auto"/>
              <w:rPr>
                <w:b/>
                <w:kern w:val="0"/>
                <w:sz w:val="24"/>
              </w:rPr>
            </w:pPr>
            <w:r>
              <w:rPr>
                <w:rFonts w:hint="eastAsia"/>
                <w:b/>
                <w:kern w:val="0"/>
                <w:sz w:val="24"/>
              </w:rPr>
              <w:t>4.2运营期环境影响和保护措施</w:t>
            </w:r>
          </w:p>
          <w:p>
            <w:pPr>
              <w:spacing w:line="360" w:lineRule="auto"/>
              <w:rPr>
                <w:b/>
                <w:kern w:val="0"/>
                <w:sz w:val="24"/>
              </w:rPr>
            </w:pPr>
            <w:r>
              <w:rPr>
                <w:rFonts w:hint="eastAsia"/>
                <w:b/>
                <w:kern w:val="0"/>
                <w:sz w:val="24"/>
              </w:rPr>
              <w:t>4.2.1</w:t>
            </w:r>
            <w:r>
              <w:rPr>
                <w:b/>
                <w:kern w:val="0"/>
                <w:sz w:val="24"/>
              </w:rPr>
              <w:t>废水</w:t>
            </w:r>
          </w:p>
          <w:p>
            <w:pPr>
              <w:spacing w:line="360" w:lineRule="auto"/>
              <w:ind w:firstLine="482" w:firstLineChars="200"/>
              <w:rPr>
                <w:b/>
                <w:sz w:val="24"/>
              </w:rPr>
            </w:pPr>
            <w:r>
              <w:rPr>
                <w:rFonts w:hint="eastAsia"/>
                <w:b/>
                <w:sz w:val="24"/>
              </w:rPr>
              <w:t>1、废水产污环节及治理措施</w:t>
            </w:r>
          </w:p>
          <w:p>
            <w:pPr>
              <w:spacing w:line="360" w:lineRule="auto"/>
              <w:ind w:firstLine="480" w:firstLineChars="200"/>
              <w:rPr>
                <w:sz w:val="24"/>
                <w:highlight w:val="yellow"/>
              </w:rPr>
            </w:pPr>
            <w:r>
              <w:rPr>
                <w:rFonts w:hint="eastAsia"/>
                <w:bCs/>
                <w:sz w:val="24"/>
              </w:rPr>
              <w:t>产污环节：</w:t>
            </w:r>
            <w:r>
              <w:rPr>
                <w:bCs/>
                <w:sz w:val="24"/>
              </w:rPr>
              <w:t>项目不设</w:t>
            </w:r>
            <w:r>
              <w:rPr>
                <w:rFonts w:hint="eastAsia"/>
                <w:bCs/>
                <w:sz w:val="24"/>
              </w:rPr>
              <w:t>宿舍</w:t>
            </w:r>
            <w:r>
              <w:rPr>
                <w:bCs/>
                <w:sz w:val="24"/>
              </w:rPr>
              <w:t>、</w:t>
            </w:r>
            <w:r>
              <w:rPr>
                <w:rFonts w:hint="eastAsia"/>
                <w:bCs/>
                <w:sz w:val="24"/>
              </w:rPr>
              <w:t>食堂、</w:t>
            </w:r>
            <w:r>
              <w:rPr>
                <w:bCs/>
                <w:sz w:val="24"/>
              </w:rPr>
              <w:t>浴室，</w:t>
            </w:r>
            <w:r>
              <w:rPr>
                <w:rFonts w:hint="eastAsia"/>
                <w:bCs/>
                <w:sz w:val="24"/>
              </w:rPr>
              <w:t>运营期主要产生生活污水、生产废水、纯水制备排水，锅炉蒸汽不回收，全部消耗，所以无锅炉排水</w:t>
            </w:r>
            <w:r>
              <w:rPr>
                <w:rFonts w:hint="eastAsia"/>
                <w:kern w:val="0"/>
                <w:sz w:val="24"/>
              </w:rPr>
              <w:t>。</w:t>
            </w:r>
          </w:p>
          <w:p>
            <w:pPr>
              <w:spacing w:line="360" w:lineRule="auto"/>
              <w:ind w:firstLine="480" w:firstLineChars="200"/>
              <w:rPr>
                <w:i/>
                <w:iCs/>
                <w:sz w:val="24"/>
                <w:u w:val="single"/>
              </w:rPr>
            </w:pPr>
            <w:r>
              <w:rPr>
                <w:sz w:val="24"/>
              </w:rPr>
              <w:t>拟采取措施：</w:t>
            </w:r>
            <w:r>
              <w:rPr>
                <w:rFonts w:hint="eastAsia"/>
                <w:kern w:val="0"/>
                <w:sz w:val="24"/>
              </w:rPr>
              <w:t>生活污水排入防渗旱厕，定期清陶做农肥。</w:t>
            </w:r>
            <w:r>
              <w:rPr>
                <w:rFonts w:hint="eastAsia"/>
                <w:iCs/>
                <w:kern w:val="0"/>
                <w:sz w:val="24"/>
              </w:rPr>
              <w:t>地面清洁</w:t>
            </w:r>
            <w:r>
              <w:rPr>
                <w:rFonts w:hint="eastAsia"/>
                <w:kern w:val="0"/>
                <w:sz w:val="24"/>
              </w:rPr>
              <w:t>废水全部消耗，高温灭菌废水循环利用不外排，设备清洗废水、浸泡和冲洗废水排入自建21m³（4m*3.5m*1.5m）沉淀池，定期</w:t>
            </w:r>
            <w:r>
              <w:rPr>
                <w:rFonts w:hint="eastAsia"/>
                <w:iCs/>
                <w:kern w:val="0"/>
                <w:sz w:val="24"/>
              </w:rPr>
              <w:t>外运养殖场用于肉鸡饮用及调制饲料</w:t>
            </w:r>
            <w:r>
              <w:rPr>
                <w:rFonts w:hint="eastAsia"/>
                <w:kern w:val="0"/>
                <w:sz w:val="24"/>
              </w:rPr>
              <w:t>。</w:t>
            </w:r>
            <w:r>
              <w:rPr>
                <w:rFonts w:hint="eastAsia"/>
                <w:bCs/>
                <w:sz w:val="24"/>
              </w:rPr>
              <w:t>纯水制备排水</w:t>
            </w:r>
            <w:r>
              <w:rPr>
                <w:rFonts w:hint="eastAsia"/>
                <w:kern w:val="0"/>
                <w:sz w:val="24"/>
              </w:rPr>
              <w:t>用于园区洒水降尘及灰渣调湿。</w:t>
            </w:r>
          </w:p>
          <w:p>
            <w:pPr>
              <w:spacing w:line="360" w:lineRule="auto"/>
              <w:ind w:firstLine="482" w:firstLineChars="200"/>
              <w:rPr>
                <w:b/>
                <w:bCs/>
                <w:iCs/>
                <w:sz w:val="24"/>
              </w:rPr>
            </w:pPr>
            <w:r>
              <w:rPr>
                <w:rFonts w:hint="eastAsia"/>
                <w:b/>
                <w:bCs/>
                <w:iCs/>
                <w:sz w:val="24"/>
              </w:rPr>
              <w:t>2、源强核算</w:t>
            </w:r>
          </w:p>
          <w:p>
            <w:pPr>
              <w:spacing w:line="360" w:lineRule="auto"/>
              <w:ind w:firstLine="480" w:firstLineChars="200"/>
              <w:rPr>
                <w:sz w:val="24"/>
              </w:rPr>
            </w:pPr>
            <w:r>
              <w:rPr>
                <w:rFonts w:hint="eastAsia"/>
                <w:sz w:val="24"/>
              </w:rPr>
              <w:t>本项目玉米生产工艺流程为先使用环保材料塑封后蒸煮，玉米不直接与水接触，故蒸煮废水中各项污染物浓度较低，经查阅相关资料以及类比同类型项目《绥化蛙鸣公司鲜食玉米系列加工项目竣工环境保护验收监测报告表》，该项目于</w:t>
            </w:r>
            <w:r>
              <w:rPr>
                <w:sz w:val="24"/>
              </w:rPr>
              <w:t>20</w:t>
            </w:r>
            <w:r>
              <w:rPr>
                <w:rFonts w:hint="eastAsia"/>
                <w:sz w:val="24"/>
              </w:rPr>
              <w:t>25年</w:t>
            </w:r>
            <w:r>
              <w:rPr>
                <w:sz w:val="24"/>
              </w:rPr>
              <w:t>12</w:t>
            </w:r>
            <w:r>
              <w:rPr>
                <w:rFonts w:hint="eastAsia"/>
                <w:sz w:val="24"/>
              </w:rPr>
              <w:t>月进行验收，类比条件对比详见下表。</w:t>
            </w:r>
          </w:p>
          <w:p>
            <w:pPr>
              <w:pStyle w:val="57"/>
              <w:ind w:firstLine="0" w:firstLineChars="0"/>
              <w:jc w:val="center"/>
              <w:rPr>
                <w:rFonts w:hAnsi="宋体" w:cs="宋体"/>
                <w:b/>
                <w:color w:val="auto"/>
                <w:szCs w:val="21"/>
                <w:u w:val="single"/>
              </w:rPr>
            </w:pPr>
            <w:r>
              <w:rPr>
                <w:rFonts w:hint="eastAsia" w:hAnsi="宋体" w:cs="宋体"/>
                <w:b/>
                <w:color w:val="auto"/>
                <w:szCs w:val="21"/>
                <w:u w:val="single"/>
              </w:rPr>
              <w:t>表4-1   类比条件对比情况</w:t>
            </w:r>
          </w:p>
          <w:tbl>
            <w:tblPr>
              <w:tblStyle w:val="27"/>
              <w:tblW w:w="8280"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398"/>
              <w:gridCol w:w="2515"/>
              <w:gridCol w:w="2501"/>
              <w:gridCol w:w="116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00"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序号</w:t>
                  </w:r>
                </w:p>
              </w:tc>
              <w:tc>
                <w:tcPr>
                  <w:tcW w:w="1398"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工程内容</w:t>
                  </w:r>
                </w:p>
              </w:tc>
              <w:tc>
                <w:tcPr>
                  <w:tcW w:w="2515"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 xml:space="preserve">绥化蛙鸣公司鲜食玉米系列加工项目 </w:t>
                  </w:r>
                </w:p>
              </w:tc>
              <w:tc>
                <w:tcPr>
                  <w:tcW w:w="2501"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本项目</w:t>
                  </w:r>
                </w:p>
              </w:tc>
              <w:tc>
                <w:tcPr>
                  <w:tcW w:w="1166"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00"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1</w:t>
                  </w:r>
                </w:p>
              </w:tc>
              <w:tc>
                <w:tcPr>
                  <w:tcW w:w="1398"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规模</w:t>
                  </w:r>
                </w:p>
              </w:tc>
              <w:tc>
                <w:tcPr>
                  <w:tcW w:w="2515"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年产糯玉米棒3000万穗</w:t>
                  </w:r>
                </w:p>
              </w:tc>
              <w:tc>
                <w:tcPr>
                  <w:tcW w:w="2501"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年产真空玉米700万棒</w:t>
                  </w:r>
                </w:p>
              </w:tc>
              <w:tc>
                <w:tcPr>
                  <w:tcW w:w="1166"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相似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00"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2</w:t>
                  </w:r>
                </w:p>
              </w:tc>
              <w:tc>
                <w:tcPr>
                  <w:tcW w:w="1398"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主要原料</w:t>
                  </w:r>
                </w:p>
              </w:tc>
              <w:tc>
                <w:tcPr>
                  <w:tcW w:w="2515"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玉米</w:t>
                  </w:r>
                </w:p>
              </w:tc>
              <w:tc>
                <w:tcPr>
                  <w:tcW w:w="2501"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玉米</w:t>
                  </w:r>
                </w:p>
              </w:tc>
              <w:tc>
                <w:tcPr>
                  <w:tcW w:w="1166"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相同</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00"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3</w:t>
                  </w:r>
                </w:p>
              </w:tc>
              <w:tc>
                <w:tcPr>
                  <w:tcW w:w="1398"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加工方式</w:t>
                  </w:r>
                </w:p>
              </w:tc>
              <w:tc>
                <w:tcPr>
                  <w:tcW w:w="2515"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扒皮-清洗-塑封-蒸煮</w:t>
                  </w:r>
                </w:p>
              </w:tc>
              <w:tc>
                <w:tcPr>
                  <w:tcW w:w="2501"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扒皮-清洗-塑封-蒸煮</w:t>
                  </w:r>
                </w:p>
              </w:tc>
              <w:tc>
                <w:tcPr>
                  <w:tcW w:w="1166"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相同</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00"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4</w:t>
                  </w:r>
                </w:p>
              </w:tc>
              <w:tc>
                <w:tcPr>
                  <w:tcW w:w="1398"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区域类别</w:t>
                  </w:r>
                </w:p>
              </w:tc>
              <w:tc>
                <w:tcPr>
                  <w:tcW w:w="2515"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农村</w:t>
                  </w:r>
                </w:p>
              </w:tc>
              <w:tc>
                <w:tcPr>
                  <w:tcW w:w="2501"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农村</w:t>
                  </w:r>
                </w:p>
              </w:tc>
              <w:tc>
                <w:tcPr>
                  <w:tcW w:w="1166"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相同</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00"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5</w:t>
                  </w:r>
                </w:p>
              </w:tc>
              <w:tc>
                <w:tcPr>
                  <w:tcW w:w="1398"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建设性质</w:t>
                  </w:r>
                </w:p>
              </w:tc>
              <w:tc>
                <w:tcPr>
                  <w:tcW w:w="2515"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新建</w:t>
                  </w:r>
                </w:p>
              </w:tc>
              <w:tc>
                <w:tcPr>
                  <w:tcW w:w="2501"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新建</w:t>
                  </w:r>
                </w:p>
              </w:tc>
              <w:tc>
                <w:tcPr>
                  <w:tcW w:w="1166"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相同</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00"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6</w:t>
                  </w:r>
                </w:p>
              </w:tc>
              <w:tc>
                <w:tcPr>
                  <w:tcW w:w="1398"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水污染防治措施</w:t>
                  </w:r>
                </w:p>
              </w:tc>
              <w:tc>
                <w:tcPr>
                  <w:tcW w:w="2515"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生活污水要排入防渗旱厕，由附近农户定期清掏，发酵堆肥，锅炉排污水排放至厂区沉淀池沉淀后，用于厂区酒水降尘，蒸煮废水每2天清运一次，进入兰西县红光镇污水处理厂处理。</w:t>
                  </w:r>
                </w:p>
              </w:tc>
              <w:tc>
                <w:tcPr>
                  <w:tcW w:w="2501"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生活污水排入防渗旱厕，定期清陶做农肥。</w:t>
                  </w:r>
                  <w:r>
                    <w:rPr>
                      <w:rFonts w:hint="eastAsia"/>
                      <w:iCs/>
                      <w:sz w:val="21"/>
                      <w:szCs w:val="21"/>
                      <w:u w:val="single"/>
                    </w:rPr>
                    <w:t>地面清洁</w:t>
                  </w:r>
                  <w:r>
                    <w:rPr>
                      <w:rFonts w:hint="eastAsia"/>
                      <w:sz w:val="21"/>
                      <w:szCs w:val="21"/>
                      <w:u w:val="single"/>
                    </w:rPr>
                    <w:t>废水全部消耗，高温灭菌废水循环利用不外排，设备清洗废水、浸泡和冲洗废水排入自建21m³（4m*3.5m*1.5m）沉淀池</w:t>
                  </w:r>
                </w:p>
              </w:tc>
              <w:tc>
                <w:tcPr>
                  <w:tcW w:w="1166" w:type="dxa"/>
                  <w:tcBorders>
                    <w:tl2br w:val="nil"/>
                    <w:tr2bl w:val="nil"/>
                  </w:tcBorders>
                  <w:vAlign w:val="center"/>
                </w:tcPr>
                <w:p>
                  <w:pPr>
                    <w:pStyle w:val="26"/>
                    <w:spacing w:before="0" w:after="0"/>
                    <w:ind w:right="0" w:firstLine="0" w:firstLineChars="0"/>
                    <w:jc w:val="center"/>
                    <w:rPr>
                      <w:sz w:val="21"/>
                      <w:szCs w:val="21"/>
                      <w:u w:val="single"/>
                    </w:rPr>
                  </w:pPr>
                  <w:r>
                    <w:rPr>
                      <w:rFonts w:hint="eastAsia"/>
                      <w:sz w:val="21"/>
                      <w:szCs w:val="21"/>
                      <w:u w:val="single"/>
                    </w:rPr>
                    <w:t>相同</w:t>
                  </w:r>
                </w:p>
              </w:tc>
            </w:tr>
          </w:tbl>
          <w:p>
            <w:pPr>
              <w:spacing w:line="360" w:lineRule="auto"/>
              <w:ind w:firstLine="480" w:firstLineChars="200"/>
              <w:rPr>
                <w:sz w:val="24"/>
              </w:rPr>
            </w:pPr>
            <w:r>
              <w:rPr>
                <w:rFonts w:hint="eastAsia"/>
                <w:sz w:val="24"/>
              </w:rPr>
              <w:t xml:space="preserve">由上可知，本项目与类比对象建设规模、主要生产工艺流程、技术参数等方面均相同或相似。 </w:t>
            </w:r>
          </w:p>
          <w:p>
            <w:pPr>
              <w:spacing w:line="360" w:lineRule="auto"/>
              <w:ind w:firstLine="480" w:firstLineChars="200"/>
              <w:rPr>
                <w:sz w:val="24"/>
              </w:rPr>
            </w:pPr>
            <w:r>
              <w:rPr>
                <w:rFonts w:hint="eastAsia"/>
                <w:sz w:val="24"/>
              </w:rPr>
              <w:t>本次环评中，由玉米蒸煮消毒废水、设备清洗废水、清洗玉米废水及锅炉排水等排水参照《绥化蛙鸣公司鲜食玉米系列加工项目竣工环境保护验收监测报告表》中监测数据，该项目验收监测期间正常运营，主要环保设备按照设计要求建设，运行状况正常，监测期间生产规模（大于75%）满足验收工况，本次环评引用该项目数据具有有效性和合理性。</w:t>
            </w:r>
          </w:p>
          <w:p>
            <w:pPr>
              <w:widowControl/>
              <w:spacing w:line="360" w:lineRule="auto"/>
              <w:jc w:val="center"/>
              <w:rPr>
                <w:rFonts w:ascii="宋体" w:hAnsi="宋体" w:cs="宋体"/>
                <w:b/>
                <w:bCs/>
                <w:color w:val="000000"/>
                <w:kern w:val="0"/>
                <w:sz w:val="24"/>
                <w:u w:val="single"/>
              </w:rPr>
            </w:pPr>
            <w:r>
              <w:rPr>
                <w:rFonts w:hint="eastAsia" w:ascii="宋体" w:hAnsi="宋体" w:cs="宋体"/>
                <w:b/>
                <w:bCs/>
                <w:color w:val="000000"/>
                <w:kern w:val="0"/>
                <w:sz w:val="24"/>
                <w:u w:val="single"/>
              </w:rPr>
              <w:t>表4-2  污水中各污染物产排情况一览表</w:t>
            </w:r>
          </w:p>
          <w:tbl>
            <w:tblPr>
              <w:tblStyle w:val="27"/>
              <w:tblW w:w="8280" w:type="dxa"/>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1141"/>
              <w:gridCol w:w="944"/>
              <w:gridCol w:w="1096"/>
              <w:gridCol w:w="1678"/>
              <w:gridCol w:w="1482"/>
              <w:gridCol w:w="1939"/>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141"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污水排放源</w:t>
                  </w:r>
                </w:p>
              </w:tc>
              <w:tc>
                <w:tcPr>
                  <w:tcW w:w="944" w:type="dxa"/>
                  <w:tcBorders>
                    <w:tl2br w:val="nil"/>
                    <w:tr2bl w:val="nil"/>
                  </w:tcBorders>
                  <w:shd w:val="clear" w:color="auto" w:fill="FFFFFF"/>
                  <w:vAlign w:val="center"/>
                </w:tcPr>
                <w:p>
                  <w:pPr>
                    <w:widowControl/>
                    <w:jc w:val="center"/>
                    <w:textAlignment w:val="center"/>
                    <w:rPr>
                      <w:rFonts w:ascii="宋体" w:hAnsi="宋体" w:cs="宋体"/>
                      <w:color w:val="000000"/>
                      <w:kern w:val="0"/>
                      <w:szCs w:val="21"/>
                    </w:rPr>
                  </w:pPr>
                  <w:r>
                    <w:rPr>
                      <w:rFonts w:hint="eastAsia" w:ascii="宋体" w:hAnsi="宋体" w:cs="宋体"/>
                      <w:color w:val="000000"/>
                      <w:kern w:val="0"/>
                      <w:szCs w:val="21"/>
                    </w:rPr>
                    <w:t>排放量</w:t>
                  </w:r>
                </w:p>
                <w:p>
                  <w:pPr>
                    <w:widowControl/>
                    <w:jc w:val="center"/>
                    <w:textAlignment w:val="center"/>
                    <w:rPr>
                      <w:rFonts w:ascii="宋体" w:hAnsi="宋体" w:cs="宋体"/>
                      <w:color w:val="000000"/>
                      <w:szCs w:val="21"/>
                    </w:rPr>
                  </w:pPr>
                  <w:r>
                    <w:rPr>
                      <w:rFonts w:hint="eastAsia" w:ascii="宋体" w:hAnsi="宋体" w:cs="宋体"/>
                      <w:color w:val="000000"/>
                      <w:kern w:val="0"/>
                      <w:szCs w:val="21"/>
                    </w:rPr>
                    <w:t>（t/a）</w:t>
                  </w:r>
                </w:p>
              </w:tc>
              <w:tc>
                <w:tcPr>
                  <w:tcW w:w="1096"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污染物</w:t>
                  </w:r>
                </w:p>
              </w:tc>
              <w:tc>
                <w:tcPr>
                  <w:tcW w:w="1678" w:type="dxa"/>
                  <w:tcBorders>
                    <w:tl2br w:val="nil"/>
                    <w:tr2bl w:val="nil"/>
                  </w:tcBorders>
                  <w:shd w:val="clear" w:color="auto" w:fill="FFFFFF"/>
                  <w:vAlign w:val="center"/>
                </w:tcPr>
                <w:p>
                  <w:pPr>
                    <w:widowControl/>
                    <w:jc w:val="center"/>
                    <w:textAlignment w:val="center"/>
                    <w:rPr>
                      <w:rFonts w:ascii="宋体" w:hAnsi="宋体" w:cs="宋体"/>
                      <w:color w:val="000000"/>
                      <w:kern w:val="0"/>
                      <w:szCs w:val="21"/>
                    </w:rPr>
                  </w:pPr>
                  <w:r>
                    <w:rPr>
                      <w:rFonts w:hint="eastAsia" w:ascii="宋体" w:hAnsi="宋体" w:cs="宋体"/>
                      <w:color w:val="000000"/>
                      <w:kern w:val="0"/>
                      <w:szCs w:val="21"/>
                    </w:rPr>
                    <w:t>污染物排放浓</w:t>
                  </w:r>
                </w:p>
                <w:p>
                  <w:pPr>
                    <w:widowControl/>
                    <w:jc w:val="center"/>
                    <w:textAlignment w:val="center"/>
                    <w:rPr>
                      <w:rFonts w:ascii="宋体" w:hAnsi="宋体" w:cs="宋体"/>
                      <w:color w:val="000000"/>
                      <w:szCs w:val="21"/>
                    </w:rPr>
                  </w:pPr>
                  <w:r>
                    <w:rPr>
                      <w:rFonts w:hint="eastAsia" w:ascii="宋体" w:hAnsi="宋体" w:cs="宋体"/>
                      <w:color w:val="000000"/>
                      <w:kern w:val="0"/>
                      <w:szCs w:val="21"/>
                    </w:rPr>
                    <w:t>度（mg/L）</w:t>
                  </w:r>
                </w:p>
              </w:tc>
              <w:tc>
                <w:tcPr>
                  <w:tcW w:w="1482" w:type="dxa"/>
                  <w:tcBorders>
                    <w:tl2br w:val="nil"/>
                    <w:tr2bl w:val="nil"/>
                  </w:tcBorders>
                  <w:shd w:val="clear" w:color="auto" w:fill="FFFFFF"/>
                  <w:vAlign w:val="center"/>
                </w:tcPr>
                <w:p>
                  <w:pPr>
                    <w:widowControl/>
                    <w:jc w:val="center"/>
                    <w:textAlignment w:val="center"/>
                    <w:rPr>
                      <w:rFonts w:ascii="宋体" w:hAnsi="宋体" w:cs="宋体"/>
                      <w:color w:val="000000"/>
                      <w:kern w:val="0"/>
                      <w:szCs w:val="21"/>
                    </w:rPr>
                  </w:pPr>
                  <w:r>
                    <w:rPr>
                      <w:rFonts w:hint="eastAsia" w:ascii="宋体" w:hAnsi="宋体" w:cs="宋体"/>
                      <w:color w:val="000000"/>
                      <w:kern w:val="0"/>
                      <w:szCs w:val="21"/>
                    </w:rPr>
                    <w:t>污染物排放量</w:t>
                  </w:r>
                </w:p>
                <w:p>
                  <w:pPr>
                    <w:widowControl/>
                    <w:jc w:val="center"/>
                    <w:textAlignment w:val="center"/>
                    <w:rPr>
                      <w:rFonts w:ascii="宋体" w:hAnsi="宋体" w:cs="宋体"/>
                      <w:color w:val="000000"/>
                      <w:szCs w:val="21"/>
                    </w:rPr>
                  </w:pPr>
                  <w:r>
                    <w:rPr>
                      <w:rFonts w:hint="eastAsia" w:ascii="宋体" w:hAnsi="宋体" w:cs="宋体"/>
                      <w:color w:val="000000"/>
                      <w:kern w:val="0"/>
                      <w:szCs w:val="21"/>
                    </w:rPr>
                    <w:t>（t/a）</w:t>
                  </w:r>
                </w:p>
              </w:tc>
              <w:tc>
                <w:tcPr>
                  <w:tcW w:w="1939"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去向</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1141" w:type="dxa"/>
                  <w:vMerge w:val="restart"/>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生活污水</w:t>
                  </w:r>
                </w:p>
              </w:tc>
              <w:tc>
                <w:tcPr>
                  <w:tcW w:w="944" w:type="dxa"/>
                  <w:vMerge w:val="restart"/>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4</w:t>
                  </w:r>
                </w:p>
              </w:tc>
              <w:tc>
                <w:tcPr>
                  <w:tcW w:w="1096"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COD</w:t>
                  </w:r>
                </w:p>
              </w:tc>
              <w:tc>
                <w:tcPr>
                  <w:tcW w:w="1678"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300</w:t>
                  </w:r>
                </w:p>
              </w:tc>
              <w:tc>
                <w:tcPr>
                  <w:tcW w:w="1482"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0.0012</w:t>
                  </w:r>
                </w:p>
              </w:tc>
              <w:tc>
                <w:tcPr>
                  <w:tcW w:w="1939" w:type="dxa"/>
                  <w:vMerge w:val="restart"/>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排入旱厕，定期清掏做农肥</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1141" w:type="dxa"/>
                  <w:vMerge w:val="continue"/>
                  <w:tcBorders>
                    <w:tl2br w:val="nil"/>
                    <w:tr2bl w:val="nil"/>
                  </w:tcBorders>
                  <w:shd w:val="clear" w:color="auto" w:fill="FFFFFF"/>
                  <w:vAlign w:val="center"/>
                </w:tcPr>
                <w:p>
                  <w:pPr>
                    <w:jc w:val="center"/>
                    <w:rPr>
                      <w:rFonts w:ascii="宋体" w:hAnsi="宋体" w:cs="宋体"/>
                      <w:color w:val="000000"/>
                      <w:szCs w:val="21"/>
                    </w:rPr>
                  </w:pPr>
                </w:p>
              </w:tc>
              <w:tc>
                <w:tcPr>
                  <w:tcW w:w="944" w:type="dxa"/>
                  <w:vMerge w:val="continue"/>
                  <w:tcBorders>
                    <w:tl2br w:val="nil"/>
                    <w:tr2bl w:val="nil"/>
                  </w:tcBorders>
                  <w:shd w:val="clear" w:color="auto" w:fill="FFFFFF"/>
                  <w:vAlign w:val="center"/>
                </w:tcPr>
                <w:p>
                  <w:pPr>
                    <w:jc w:val="center"/>
                    <w:rPr>
                      <w:rFonts w:ascii="宋体" w:hAnsi="宋体" w:cs="宋体"/>
                      <w:color w:val="000000"/>
                      <w:szCs w:val="21"/>
                    </w:rPr>
                  </w:pPr>
                </w:p>
              </w:tc>
              <w:tc>
                <w:tcPr>
                  <w:tcW w:w="1096"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BOD</w:t>
                  </w:r>
                  <w:r>
                    <w:rPr>
                      <w:rFonts w:hint="eastAsia" w:ascii="宋体" w:hAnsi="宋体" w:cs="宋体"/>
                      <w:color w:val="000000"/>
                      <w:kern w:val="0"/>
                      <w:szCs w:val="21"/>
                      <w:vertAlign w:val="subscript"/>
                    </w:rPr>
                    <w:t>5</w:t>
                  </w:r>
                </w:p>
              </w:tc>
              <w:tc>
                <w:tcPr>
                  <w:tcW w:w="1678"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150</w:t>
                  </w:r>
                </w:p>
              </w:tc>
              <w:tc>
                <w:tcPr>
                  <w:tcW w:w="1482"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0.0006</w:t>
                  </w:r>
                </w:p>
              </w:tc>
              <w:tc>
                <w:tcPr>
                  <w:tcW w:w="1939" w:type="dxa"/>
                  <w:vMerge w:val="continue"/>
                  <w:tcBorders>
                    <w:tl2br w:val="nil"/>
                    <w:tr2bl w:val="nil"/>
                  </w:tcBorders>
                  <w:shd w:val="clear" w:color="auto" w:fill="FFFFFF"/>
                  <w:vAlign w:val="center"/>
                </w:tcPr>
                <w:p>
                  <w:pPr>
                    <w:widowControl/>
                    <w:jc w:val="center"/>
                    <w:textAlignment w:val="center"/>
                    <w:rPr>
                      <w:rFonts w:ascii="宋体" w:hAnsi="宋体" w:cs="宋体"/>
                      <w:color w:val="000000"/>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1141" w:type="dxa"/>
                  <w:vMerge w:val="continue"/>
                  <w:tcBorders>
                    <w:tl2br w:val="nil"/>
                    <w:tr2bl w:val="nil"/>
                  </w:tcBorders>
                  <w:shd w:val="clear" w:color="auto" w:fill="FFFFFF"/>
                  <w:vAlign w:val="center"/>
                </w:tcPr>
                <w:p>
                  <w:pPr>
                    <w:jc w:val="center"/>
                    <w:rPr>
                      <w:rFonts w:ascii="宋体" w:hAnsi="宋体" w:cs="宋体"/>
                      <w:color w:val="000000"/>
                      <w:szCs w:val="21"/>
                    </w:rPr>
                  </w:pPr>
                </w:p>
              </w:tc>
              <w:tc>
                <w:tcPr>
                  <w:tcW w:w="944" w:type="dxa"/>
                  <w:vMerge w:val="continue"/>
                  <w:tcBorders>
                    <w:tl2br w:val="nil"/>
                    <w:tr2bl w:val="nil"/>
                  </w:tcBorders>
                  <w:shd w:val="clear" w:color="auto" w:fill="FFFFFF"/>
                  <w:vAlign w:val="center"/>
                </w:tcPr>
                <w:p>
                  <w:pPr>
                    <w:jc w:val="center"/>
                    <w:rPr>
                      <w:rFonts w:ascii="宋体" w:hAnsi="宋体" w:cs="宋体"/>
                      <w:color w:val="000000"/>
                      <w:szCs w:val="21"/>
                    </w:rPr>
                  </w:pPr>
                </w:p>
              </w:tc>
              <w:tc>
                <w:tcPr>
                  <w:tcW w:w="1096"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SS</w:t>
                  </w:r>
                </w:p>
              </w:tc>
              <w:tc>
                <w:tcPr>
                  <w:tcW w:w="1678"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180</w:t>
                  </w:r>
                </w:p>
              </w:tc>
              <w:tc>
                <w:tcPr>
                  <w:tcW w:w="1482"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0.00072</w:t>
                  </w:r>
                </w:p>
              </w:tc>
              <w:tc>
                <w:tcPr>
                  <w:tcW w:w="1939" w:type="dxa"/>
                  <w:vMerge w:val="continue"/>
                  <w:tcBorders>
                    <w:tl2br w:val="nil"/>
                    <w:tr2bl w:val="nil"/>
                  </w:tcBorders>
                  <w:vAlign w:val="center"/>
                </w:tcPr>
                <w:p>
                  <w:pPr>
                    <w:jc w:val="center"/>
                    <w:rPr>
                      <w:rFonts w:ascii="宋体" w:hAnsi="宋体" w:cs="宋体"/>
                      <w:color w:val="000000"/>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1141" w:type="dxa"/>
                  <w:vMerge w:val="continue"/>
                  <w:tcBorders>
                    <w:tl2br w:val="nil"/>
                    <w:tr2bl w:val="nil"/>
                  </w:tcBorders>
                  <w:shd w:val="clear" w:color="auto" w:fill="FFFFFF"/>
                  <w:vAlign w:val="center"/>
                </w:tcPr>
                <w:p>
                  <w:pPr>
                    <w:jc w:val="center"/>
                    <w:rPr>
                      <w:rFonts w:ascii="宋体" w:hAnsi="宋体" w:cs="宋体"/>
                      <w:color w:val="000000"/>
                      <w:szCs w:val="21"/>
                    </w:rPr>
                  </w:pPr>
                </w:p>
              </w:tc>
              <w:tc>
                <w:tcPr>
                  <w:tcW w:w="944" w:type="dxa"/>
                  <w:vMerge w:val="continue"/>
                  <w:tcBorders>
                    <w:tl2br w:val="nil"/>
                    <w:tr2bl w:val="nil"/>
                  </w:tcBorders>
                  <w:shd w:val="clear" w:color="auto" w:fill="FFFFFF"/>
                  <w:vAlign w:val="center"/>
                </w:tcPr>
                <w:p>
                  <w:pPr>
                    <w:jc w:val="center"/>
                    <w:rPr>
                      <w:rFonts w:ascii="宋体" w:hAnsi="宋体" w:cs="宋体"/>
                      <w:color w:val="000000"/>
                      <w:szCs w:val="21"/>
                    </w:rPr>
                  </w:pPr>
                </w:p>
              </w:tc>
              <w:tc>
                <w:tcPr>
                  <w:tcW w:w="1096"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氨氮</w:t>
                  </w:r>
                </w:p>
              </w:tc>
              <w:tc>
                <w:tcPr>
                  <w:tcW w:w="1678"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30</w:t>
                  </w:r>
                </w:p>
              </w:tc>
              <w:tc>
                <w:tcPr>
                  <w:tcW w:w="1482"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0.00012</w:t>
                  </w:r>
                </w:p>
              </w:tc>
              <w:tc>
                <w:tcPr>
                  <w:tcW w:w="1939" w:type="dxa"/>
                  <w:vMerge w:val="continue"/>
                  <w:tcBorders>
                    <w:tl2br w:val="nil"/>
                    <w:tr2bl w:val="nil"/>
                  </w:tcBorders>
                  <w:vAlign w:val="center"/>
                </w:tcPr>
                <w:p>
                  <w:pPr>
                    <w:jc w:val="center"/>
                    <w:rPr>
                      <w:rFonts w:ascii="宋体" w:hAnsi="宋体" w:cs="宋体"/>
                      <w:color w:val="000000"/>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1141" w:type="dxa"/>
                  <w:vMerge w:val="restart"/>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szCs w:val="21"/>
                    </w:rPr>
                    <w:t>纯水制备排水</w:t>
                  </w:r>
                </w:p>
              </w:tc>
              <w:tc>
                <w:tcPr>
                  <w:tcW w:w="944" w:type="dxa"/>
                  <w:vMerge w:val="restart"/>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57.67</w:t>
                  </w:r>
                </w:p>
              </w:tc>
              <w:tc>
                <w:tcPr>
                  <w:tcW w:w="1096"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COD</w:t>
                  </w:r>
                </w:p>
              </w:tc>
              <w:tc>
                <w:tcPr>
                  <w:tcW w:w="1678"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40</w:t>
                  </w:r>
                </w:p>
              </w:tc>
              <w:tc>
                <w:tcPr>
                  <w:tcW w:w="1482"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0.0023</w:t>
                  </w:r>
                </w:p>
              </w:tc>
              <w:tc>
                <w:tcPr>
                  <w:tcW w:w="1939" w:type="dxa"/>
                  <w:vMerge w:val="restart"/>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用于厂区洒水降尘及干灰调湿</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1141" w:type="dxa"/>
                  <w:vMerge w:val="continue"/>
                  <w:tcBorders>
                    <w:tl2br w:val="nil"/>
                    <w:tr2bl w:val="nil"/>
                  </w:tcBorders>
                  <w:shd w:val="clear" w:color="auto" w:fill="FFFFFF"/>
                  <w:vAlign w:val="center"/>
                </w:tcPr>
                <w:p>
                  <w:pPr>
                    <w:jc w:val="center"/>
                    <w:rPr>
                      <w:rFonts w:ascii="宋体" w:hAnsi="宋体" w:cs="宋体"/>
                      <w:color w:val="000000"/>
                      <w:szCs w:val="21"/>
                    </w:rPr>
                  </w:pPr>
                </w:p>
              </w:tc>
              <w:tc>
                <w:tcPr>
                  <w:tcW w:w="944" w:type="dxa"/>
                  <w:vMerge w:val="continue"/>
                  <w:tcBorders>
                    <w:tl2br w:val="nil"/>
                    <w:tr2bl w:val="nil"/>
                  </w:tcBorders>
                  <w:shd w:val="clear" w:color="auto" w:fill="FFFFFF"/>
                  <w:vAlign w:val="center"/>
                </w:tcPr>
                <w:p>
                  <w:pPr>
                    <w:jc w:val="center"/>
                    <w:rPr>
                      <w:rFonts w:ascii="宋体" w:hAnsi="宋体" w:cs="宋体"/>
                      <w:color w:val="000000"/>
                      <w:szCs w:val="21"/>
                    </w:rPr>
                  </w:pPr>
                </w:p>
              </w:tc>
              <w:tc>
                <w:tcPr>
                  <w:tcW w:w="1096"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SS</w:t>
                  </w:r>
                </w:p>
              </w:tc>
              <w:tc>
                <w:tcPr>
                  <w:tcW w:w="1678"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30</w:t>
                  </w:r>
                </w:p>
              </w:tc>
              <w:tc>
                <w:tcPr>
                  <w:tcW w:w="1482"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0.00173</w:t>
                  </w:r>
                </w:p>
              </w:tc>
              <w:tc>
                <w:tcPr>
                  <w:tcW w:w="1939" w:type="dxa"/>
                  <w:vMerge w:val="continue"/>
                  <w:tcBorders>
                    <w:tl2br w:val="nil"/>
                    <w:tr2bl w:val="nil"/>
                  </w:tcBorders>
                  <w:vAlign w:val="center"/>
                </w:tcPr>
                <w:p>
                  <w:pPr>
                    <w:jc w:val="center"/>
                    <w:rPr>
                      <w:rFonts w:ascii="宋体" w:hAnsi="宋体" w:cs="宋体"/>
                      <w:color w:val="000000"/>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1141" w:type="dxa"/>
                  <w:vMerge w:val="restart"/>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生产废水（含清洗设备、清洗玉米废水）</w:t>
                  </w:r>
                </w:p>
              </w:tc>
              <w:tc>
                <w:tcPr>
                  <w:tcW w:w="944" w:type="dxa"/>
                  <w:vMerge w:val="restart"/>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201.6</w:t>
                  </w:r>
                </w:p>
              </w:tc>
              <w:tc>
                <w:tcPr>
                  <w:tcW w:w="1096"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COD</w:t>
                  </w:r>
                </w:p>
              </w:tc>
              <w:tc>
                <w:tcPr>
                  <w:tcW w:w="1678" w:type="dxa"/>
                  <w:tcBorders>
                    <w:tl2br w:val="nil"/>
                    <w:tr2bl w:val="nil"/>
                  </w:tcBorders>
                  <w:shd w:val="clear" w:color="auto" w:fill="FFFFFF"/>
                  <w:vAlign w:val="center"/>
                </w:tcPr>
                <w:p>
                  <w:pPr>
                    <w:widowControl/>
                    <w:jc w:val="center"/>
                    <w:textAlignment w:val="center"/>
                    <w:rPr>
                      <w:rFonts w:ascii="宋体" w:hAnsi="宋体" w:cs="宋体"/>
                      <w:szCs w:val="21"/>
                    </w:rPr>
                  </w:pPr>
                  <w:r>
                    <w:rPr>
                      <w:rFonts w:hint="eastAsia" w:ascii="宋体" w:hAnsi="宋体" w:cs="宋体"/>
                      <w:kern w:val="0"/>
                      <w:szCs w:val="21"/>
                    </w:rPr>
                    <w:t>95</w:t>
                  </w:r>
                </w:p>
              </w:tc>
              <w:tc>
                <w:tcPr>
                  <w:tcW w:w="1482" w:type="dxa"/>
                  <w:tcBorders>
                    <w:tl2br w:val="nil"/>
                    <w:tr2bl w:val="nil"/>
                  </w:tcBorders>
                  <w:shd w:val="clear" w:color="auto" w:fill="FFFFFF"/>
                  <w:vAlign w:val="center"/>
                </w:tcPr>
                <w:p>
                  <w:pPr>
                    <w:widowControl/>
                    <w:jc w:val="center"/>
                    <w:textAlignment w:val="center"/>
                    <w:rPr>
                      <w:rFonts w:ascii="宋体" w:hAnsi="宋体" w:cs="宋体"/>
                      <w:szCs w:val="21"/>
                    </w:rPr>
                  </w:pPr>
                  <w:r>
                    <w:rPr>
                      <w:rFonts w:hint="eastAsia" w:ascii="宋体" w:hAnsi="宋体" w:cs="宋体"/>
                      <w:kern w:val="0"/>
                      <w:szCs w:val="21"/>
                    </w:rPr>
                    <w:t xml:space="preserve">0.0192 </w:t>
                  </w:r>
                </w:p>
              </w:tc>
              <w:tc>
                <w:tcPr>
                  <w:tcW w:w="1939" w:type="dxa"/>
                  <w:vMerge w:val="restart"/>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color w:val="000000"/>
                      <w:kern w:val="0"/>
                      <w:szCs w:val="21"/>
                    </w:rPr>
                    <w:t>外运养鸡场调制饲料及饮用</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1141" w:type="dxa"/>
                  <w:vMerge w:val="continue"/>
                  <w:tcBorders>
                    <w:tl2br w:val="nil"/>
                    <w:tr2bl w:val="nil"/>
                  </w:tcBorders>
                  <w:shd w:val="clear" w:color="auto" w:fill="FFFFFF"/>
                  <w:vAlign w:val="center"/>
                </w:tcPr>
                <w:p>
                  <w:pPr>
                    <w:widowControl/>
                    <w:jc w:val="center"/>
                    <w:textAlignment w:val="center"/>
                    <w:rPr>
                      <w:rFonts w:ascii="宋体" w:hAnsi="宋体" w:cs="宋体"/>
                      <w:color w:val="000000"/>
                      <w:szCs w:val="21"/>
                    </w:rPr>
                  </w:pPr>
                </w:p>
              </w:tc>
              <w:tc>
                <w:tcPr>
                  <w:tcW w:w="944" w:type="dxa"/>
                  <w:vMerge w:val="continue"/>
                  <w:tcBorders>
                    <w:tl2br w:val="nil"/>
                    <w:tr2bl w:val="nil"/>
                  </w:tcBorders>
                  <w:shd w:val="clear" w:color="auto" w:fill="FFFFFF"/>
                  <w:vAlign w:val="center"/>
                </w:tcPr>
                <w:p>
                  <w:pPr>
                    <w:jc w:val="center"/>
                    <w:rPr>
                      <w:rFonts w:ascii="宋体" w:hAnsi="宋体" w:cs="宋体"/>
                      <w:color w:val="000000"/>
                      <w:szCs w:val="21"/>
                    </w:rPr>
                  </w:pPr>
                </w:p>
              </w:tc>
              <w:tc>
                <w:tcPr>
                  <w:tcW w:w="1096"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BOD</w:t>
                  </w:r>
                  <w:r>
                    <w:rPr>
                      <w:rFonts w:hint="eastAsia" w:ascii="宋体" w:hAnsi="宋体" w:cs="宋体"/>
                      <w:color w:val="000000"/>
                      <w:kern w:val="0"/>
                      <w:szCs w:val="21"/>
                      <w:vertAlign w:val="subscript"/>
                    </w:rPr>
                    <w:t>5</w:t>
                  </w:r>
                </w:p>
              </w:tc>
              <w:tc>
                <w:tcPr>
                  <w:tcW w:w="1678" w:type="dxa"/>
                  <w:tcBorders>
                    <w:tl2br w:val="nil"/>
                    <w:tr2bl w:val="nil"/>
                  </w:tcBorders>
                  <w:shd w:val="clear" w:color="auto" w:fill="FFFFFF"/>
                  <w:vAlign w:val="center"/>
                </w:tcPr>
                <w:p>
                  <w:pPr>
                    <w:widowControl/>
                    <w:jc w:val="center"/>
                    <w:textAlignment w:val="center"/>
                    <w:rPr>
                      <w:rFonts w:ascii="宋体" w:hAnsi="宋体" w:cs="宋体"/>
                      <w:szCs w:val="21"/>
                    </w:rPr>
                  </w:pPr>
                  <w:r>
                    <w:rPr>
                      <w:rFonts w:hint="eastAsia" w:ascii="宋体" w:hAnsi="宋体" w:cs="宋体"/>
                      <w:kern w:val="0"/>
                      <w:szCs w:val="21"/>
                    </w:rPr>
                    <w:t>27.9</w:t>
                  </w:r>
                </w:p>
              </w:tc>
              <w:tc>
                <w:tcPr>
                  <w:tcW w:w="1482" w:type="dxa"/>
                  <w:tcBorders>
                    <w:tl2br w:val="nil"/>
                    <w:tr2bl w:val="nil"/>
                  </w:tcBorders>
                  <w:shd w:val="clear" w:color="auto" w:fill="FFFFFF"/>
                  <w:vAlign w:val="center"/>
                </w:tcPr>
                <w:p>
                  <w:pPr>
                    <w:widowControl/>
                    <w:jc w:val="center"/>
                    <w:textAlignment w:val="center"/>
                    <w:rPr>
                      <w:rFonts w:ascii="宋体" w:hAnsi="宋体" w:cs="宋体"/>
                      <w:szCs w:val="21"/>
                    </w:rPr>
                  </w:pPr>
                  <w:r>
                    <w:rPr>
                      <w:rFonts w:hint="eastAsia" w:ascii="宋体" w:hAnsi="宋体" w:cs="宋体"/>
                      <w:kern w:val="0"/>
                      <w:szCs w:val="21"/>
                    </w:rPr>
                    <w:t xml:space="preserve">0.0056 </w:t>
                  </w:r>
                </w:p>
              </w:tc>
              <w:tc>
                <w:tcPr>
                  <w:tcW w:w="1939" w:type="dxa"/>
                  <w:vMerge w:val="continue"/>
                  <w:tcBorders>
                    <w:tl2br w:val="nil"/>
                    <w:tr2bl w:val="nil"/>
                  </w:tcBorders>
                  <w:shd w:val="clear" w:color="auto" w:fill="FFFFFF"/>
                  <w:vAlign w:val="center"/>
                </w:tcPr>
                <w:p>
                  <w:pPr>
                    <w:widowControl/>
                    <w:jc w:val="center"/>
                    <w:textAlignment w:val="center"/>
                    <w:rPr>
                      <w:rFonts w:ascii="宋体" w:hAnsi="宋体" w:cs="宋体"/>
                      <w:color w:val="000000"/>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1141" w:type="dxa"/>
                  <w:vMerge w:val="continue"/>
                  <w:tcBorders>
                    <w:tl2br w:val="nil"/>
                    <w:tr2bl w:val="nil"/>
                  </w:tcBorders>
                  <w:shd w:val="clear" w:color="auto" w:fill="FFFFFF"/>
                  <w:vAlign w:val="center"/>
                </w:tcPr>
                <w:p>
                  <w:pPr>
                    <w:widowControl/>
                    <w:jc w:val="center"/>
                    <w:textAlignment w:val="center"/>
                    <w:rPr>
                      <w:rFonts w:ascii="宋体" w:hAnsi="宋体" w:cs="宋体"/>
                      <w:color w:val="000000"/>
                      <w:szCs w:val="21"/>
                    </w:rPr>
                  </w:pPr>
                </w:p>
              </w:tc>
              <w:tc>
                <w:tcPr>
                  <w:tcW w:w="944" w:type="dxa"/>
                  <w:vMerge w:val="continue"/>
                  <w:tcBorders>
                    <w:tl2br w:val="nil"/>
                    <w:tr2bl w:val="nil"/>
                  </w:tcBorders>
                  <w:shd w:val="clear" w:color="auto" w:fill="FFFFFF"/>
                  <w:vAlign w:val="center"/>
                </w:tcPr>
                <w:p>
                  <w:pPr>
                    <w:jc w:val="center"/>
                    <w:rPr>
                      <w:rFonts w:ascii="宋体" w:hAnsi="宋体" w:cs="宋体"/>
                      <w:color w:val="000000"/>
                      <w:szCs w:val="21"/>
                    </w:rPr>
                  </w:pPr>
                </w:p>
              </w:tc>
              <w:tc>
                <w:tcPr>
                  <w:tcW w:w="1096" w:type="dxa"/>
                  <w:tcBorders>
                    <w:tl2br w:val="nil"/>
                    <w:tr2bl w:val="nil"/>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rPr>
                    <w:t>SS</w:t>
                  </w:r>
                </w:p>
              </w:tc>
              <w:tc>
                <w:tcPr>
                  <w:tcW w:w="1678" w:type="dxa"/>
                  <w:tcBorders>
                    <w:tl2br w:val="nil"/>
                    <w:tr2bl w:val="nil"/>
                  </w:tcBorders>
                  <w:shd w:val="clear" w:color="auto" w:fill="FFFFFF"/>
                  <w:vAlign w:val="center"/>
                </w:tcPr>
                <w:p>
                  <w:pPr>
                    <w:widowControl/>
                    <w:jc w:val="center"/>
                    <w:textAlignment w:val="center"/>
                    <w:rPr>
                      <w:rFonts w:ascii="宋体" w:hAnsi="宋体" w:cs="宋体"/>
                      <w:szCs w:val="21"/>
                    </w:rPr>
                  </w:pPr>
                  <w:r>
                    <w:rPr>
                      <w:rFonts w:hint="eastAsia" w:ascii="宋体" w:hAnsi="宋体" w:cs="宋体"/>
                      <w:kern w:val="0"/>
                      <w:szCs w:val="21"/>
                    </w:rPr>
                    <w:t>22</w:t>
                  </w:r>
                </w:p>
              </w:tc>
              <w:tc>
                <w:tcPr>
                  <w:tcW w:w="1482" w:type="dxa"/>
                  <w:tcBorders>
                    <w:tl2br w:val="nil"/>
                    <w:tr2bl w:val="nil"/>
                  </w:tcBorders>
                  <w:shd w:val="clear" w:color="auto" w:fill="FFFFFF"/>
                  <w:vAlign w:val="center"/>
                </w:tcPr>
                <w:p>
                  <w:pPr>
                    <w:widowControl/>
                    <w:jc w:val="center"/>
                    <w:textAlignment w:val="center"/>
                    <w:rPr>
                      <w:rFonts w:ascii="宋体" w:hAnsi="宋体" w:cs="宋体"/>
                      <w:szCs w:val="21"/>
                    </w:rPr>
                  </w:pPr>
                  <w:r>
                    <w:rPr>
                      <w:rFonts w:hint="eastAsia" w:ascii="宋体" w:hAnsi="宋体" w:cs="宋体"/>
                      <w:kern w:val="0"/>
                      <w:szCs w:val="21"/>
                    </w:rPr>
                    <w:t xml:space="preserve">0.0044 </w:t>
                  </w:r>
                </w:p>
              </w:tc>
              <w:tc>
                <w:tcPr>
                  <w:tcW w:w="1939" w:type="dxa"/>
                  <w:vMerge w:val="continue"/>
                  <w:tcBorders>
                    <w:tl2br w:val="nil"/>
                    <w:tr2bl w:val="nil"/>
                  </w:tcBorders>
                  <w:vAlign w:val="center"/>
                </w:tcPr>
                <w:p>
                  <w:pPr>
                    <w:jc w:val="center"/>
                    <w:rPr>
                      <w:rFonts w:ascii="宋体" w:hAnsi="宋体" w:cs="宋体"/>
                      <w:color w:val="000000"/>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1141" w:type="dxa"/>
                  <w:vMerge w:val="continue"/>
                  <w:tcBorders>
                    <w:tl2br w:val="nil"/>
                    <w:tr2bl w:val="nil"/>
                  </w:tcBorders>
                  <w:shd w:val="clear" w:color="auto" w:fill="FFFFFF"/>
                  <w:vAlign w:val="center"/>
                </w:tcPr>
                <w:p>
                  <w:pPr>
                    <w:widowControl/>
                    <w:jc w:val="center"/>
                    <w:textAlignment w:val="center"/>
                    <w:rPr>
                      <w:rFonts w:ascii="宋体" w:hAnsi="宋体" w:cs="宋体"/>
                      <w:color w:val="000000"/>
                      <w:szCs w:val="21"/>
                    </w:rPr>
                  </w:pPr>
                </w:p>
              </w:tc>
              <w:tc>
                <w:tcPr>
                  <w:tcW w:w="944" w:type="dxa"/>
                  <w:vMerge w:val="continue"/>
                  <w:tcBorders>
                    <w:tl2br w:val="nil"/>
                    <w:tr2bl w:val="nil"/>
                  </w:tcBorders>
                  <w:shd w:val="clear" w:color="auto" w:fill="FFFFFF"/>
                  <w:vAlign w:val="center"/>
                </w:tcPr>
                <w:p>
                  <w:pPr>
                    <w:jc w:val="center"/>
                    <w:rPr>
                      <w:rFonts w:ascii="宋体" w:hAnsi="宋体" w:cs="宋体"/>
                      <w:color w:val="000000"/>
                      <w:szCs w:val="21"/>
                    </w:rPr>
                  </w:pPr>
                </w:p>
              </w:tc>
              <w:tc>
                <w:tcPr>
                  <w:tcW w:w="1096" w:type="dxa"/>
                  <w:tcBorders>
                    <w:tl2br w:val="nil"/>
                    <w:tr2bl w:val="nil"/>
                  </w:tcBorders>
                  <w:shd w:val="clear" w:color="auto" w:fill="FFFFFF"/>
                  <w:vAlign w:val="center"/>
                </w:tcPr>
                <w:p>
                  <w:pPr>
                    <w:widowControl/>
                    <w:jc w:val="center"/>
                    <w:textAlignment w:val="center"/>
                    <w:rPr>
                      <w:rFonts w:ascii="宋体" w:hAnsi="宋体" w:cs="宋体"/>
                      <w:color w:val="000000"/>
                      <w:kern w:val="0"/>
                      <w:szCs w:val="21"/>
                    </w:rPr>
                  </w:pPr>
                  <w:r>
                    <w:rPr>
                      <w:rFonts w:hint="eastAsia" w:ascii="宋体" w:hAnsi="宋体" w:cs="宋体"/>
                      <w:color w:val="000000"/>
                      <w:kern w:val="0"/>
                      <w:szCs w:val="21"/>
                    </w:rPr>
                    <w:t>氨氮</w:t>
                  </w:r>
                </w:p>
              </w:tc>
              <w:tc>
                <w:tcPr>
                  <w:tcW w:w="1678" w:type="dxa"/>
                  <w:tcBorders>
                    <w:tl2br w:val="nil"/>
                    <w:tr2bl w:val="nil"/>
                  </w:tcBorders>
                  <w:shd w:val="clear" w:color="auto" w:fill="FFFFFF"/>
                  <w:vAlign w:val="center"/>
                </w:tcPr>
                <w:p>
                  <w:pPr>
                    <w:widowControl/>
                    <w:jc w:val="center"/>
                    <w:textAlignment w:val="center"/>
                    <w:rPr>
                      <w:rFonts w:ascii="宋体" w:hAnsi="宋体" w:cs="宋体"/>
                      <w:kern w:val="0"/>
                      <w:szCs w:val="21"/>
                    </w:rPr>
                  </w:pPr>
                  <w:r>
                    <w:rPr>
                      <w:rFonts w:hint="eastAsia" w:ascii="宋体" w:hAnsi="宋体" w:cs="宋体"/>
                      <w:kern w:val="0"/>
                      <w:szCs w:val="21"/>
                    </w:rPr>
                    <w:t>2.42</w:t>
                  </w:r>
                </w:p>
              </w:tc>
              <w:tc>
                <w:tcPr>
                  <w:tcW w:w="1482" w:type="dxa"/>
                  <w:tcBorders>
                    <w:tl2br w:val="nil"/>
                    <w:tr2bl w:val="nil"/>
                  </w:tcBorders>
                  <w:shd w:val="clear" w:color="auto" w:fill="FFFFFF"/>
                  <w:vAlign w:val="center"/>
                </w:tcPr>
                <w:p>
                  <w:pPr>
                    <w:widowControl/>
                    <w:jc w:val="center"/>
                    <w:textAlignment w:val="center"/>
                    <w:rPr>
                      <w:rFonts w:ascii="宋体" w:hAnsi="宋体" w:cs="宋体"/>
                      <w:kern w:val="0"/>
                      <w:szCs w:val="21"/>
                    </w:rPr>
                  </w:pPr>
                  <w:r>
                    <w:rPr>
                      <w:rFonts w:hint="eastAsia" w:ascii="宋体" w:hAnsi="宋体" w:cs="宋体"/>
                      <w:kern w:val="0"/>
                      <w:szCs w:val="21"/>
                    </w:rPr>
                    <w:t xml:space="preserve">0.00049 </w:t>
                  </w:r>
                </w:p>
              </w:tc>
              <w:tc>
                <w:tcPr>
                  <w:tcW w:w="1939" w:type="dxa"/>
                  <w:vMerge w:val="continue"/>
                  <w:tcBorders>
                    <w:tl2br w:val="nil"/>
                    <w:tr2bl w:val="nil"/>
                  </w:tcBorders>
                  <w:vAlign w:val="center"/>
                </w:tcPr>
                <w:p>
                  <w:pPr>
                    <w:jc w:val="center"/>
                    <w:rPr>
                      <w:rFonts w:ascii="宋体" w:hAnsi="宋体" w:cs="宋体"/>
                      <w:color w:val="000000"/>
                      <w:szCs w:val="21"/>
                    </w:rPr>
                  </w:pPr>
                </w:p>
              </w:tc>
            </w:tr>
          </w:tbl>
          <w:p>
            <w:pPr>
              <w:widowControl/>
              <w:spacing w:line="360" w:lineRule="auto"/>
              <w:jc w:val="center"/>
              <w:rPr>
                <w:rFonts w:ascii="宋体" w:hAnsi="宋体" w:cs="宋体"/>
                <w:b/>
                <w:bCs/>
                <w:color w:val="000000"/>
                <w:kern w:val="0"/>
                <w:sz w:val="24"/>
                <w:u w:val="single"/>
              </w:rPr>
            </w:pPr>
            <w:r>
              <w:rPr>
                <w:rFonts w:hint="eastAsia" w:ascii="宋体" w:hAnsi="宋体" w:cs="宋体"/>
                <w:b/>
                <w:bCs/>
                <w:color w:val="000000"/>
                <w:kern w:val="0"/>
                <w:sz w:val="24"/>
                <w:u w:val="single"/>
              </w:rPr>
              <w:t>表4-3  废水治理措施情况一览表</w:t>
            </w:r>
          </w:p>
          <w:tbl>
            <w:tblPr>
              <w:tblStyle w:val="27"/>
              <w:tblW w:w="8280" w:type="dxa"/>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1181"/>
              <w:gridCol w:w="1183"/>
              <w:gridCol w:w="1277"/>
              <w:gridCol w:w="1087"/>
              <w:gridCol w:w="1184"/>
              <w:gridCol w:w="1184"/>
              <w:gridCol w:w="1184"/>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27" w:hRule="atLeast"/>
              </w:trPr>
              <w:tc>
                <w:tcPr>
                  <w:tcW w:w="1181" w:type="dxa"/>
                  <w:tcBorders>
                    <w:tl2br w:val="nil"/>
                    <w:tr2bl w:val="nil"/>
                  </w:tcBorders>
                  <w:tcMar>
                    <w:top w:w="15" w:type="dxa"/>
                    <w:left w:w="15" w:type="dxa"/>
                    <w:right w:w="15" w:type="dxa"/>
                  </w:tcMar>
                  <w:vAlign w:val="center"/>
                </w:tcPr>
                <w:p>
                  <w:pPr>
                    <w:widowControl/>
                    <w:jc w:val="center"/>
                    <w:textAlignment w:val="center"/>
                    <w:rPr>
                      <w:szCs w:val="21"/>
                    </w:rPr>
                  </w:pPr>
                  <w:r>
                    <w:rPr>
                      <w:rFonts w:hint="eastAsia"/>
                      <w:kern w:val="0"/>
                      <w:szCs w:val="21"/>
                    </w:rPr>
                    <w:t>产污环节</w:t>
                  </w:r>
                </w:p>
              </w:tc>
              <w:tc>
                <w:tcPr>
                  <w:tcW w:w="1183" w:type="dxa"/>
                  <w:tcBorders>
                    <w:tl2br w:val="nil"/>
                    <w:tr2bl w:val="nil"/>
                  </w:tcBorders>
                  <w:tcMar>
                    <w:top w:w="15" w:type="dxa"/>
                    <w:left w:w="15" w:type="dxa"/>
                    <w:right w:w="15" w:type="dxa"/>
                  </w:tcMar>
                  <w:vAlign w:val="center"/>
                </w:tcPr>
                <w:p>
                  <w:pPr>
                    <w:widowControl/>
                    <w:jc w:val="center"/>
                    <w:textAlignment w:val="center"/>
                    <w:rPr>
                      <w:szCs w:val="21"/>
                    </w:rPr>
                  </w:pPr>
                  <w:r>
                    <w:rPr>
                      <w:kern w:val="0"/>
                      <w:szCs w:val="21"/>
                    </w:rPr>
                    <w:t>污染物</w:t>
                  </w:r>
                </w:p>
              </w:tc>
              <w:tc>
                <w:tcPr>
                  <w:tcW w:w="1277" w:type="dxa"/>
                  <w:tcBorders>
                    <w:tl2br w:val="nil"/>
                    <w:tr2bl w:val="nil"/>
                  </w:tcBorders>
                  <w:tcMar>
                    <w:top w:w="15" w:type="dxa"/>
                    <w:left w:w="15" w:type="dxa"/>
                    <w:right w:w="15" w:type="dxa"/>
                  </w:tcMar>
                  <w:vAlign w:val="center"/>
                </w:tcPr>
                <w:p>
                  <w:pPr>
                    <w:widowControl/>
                    <w:jc w:val="center"/>
                    <w:textAlignment w:val="center"/>
                    <w:rPr>
                      <w:szCs w:val="21"/>
                    </w:rPr>
                  </w:pPr>
                  <w:r>
                    <w:rPr>
                      <w:rFonts w:hint="eastAsia"/>
                      <w:kern w:val="0"/>
                      <w:szCs w:val="21"/>
                    </w:rPr>
                    <w:t>治理设施</w:t>
                  </w:r>
                </w:p>
              </w:tc>
              <w:tc>
                <w:tcPr>
                  <w:tcW w:w="1087" w:type="dxa"/>
                  <w:tcBorders>
                    <w:tl2br w:val="nil"/>
                    <w:tr2bl w:val="nil"/>
                  </w:tcBorders>
                  <w:tcMar>
                    <w:top w:w="15" w:type="dxa"/>
                    <w:left w:w="15" w:type="dxa"/>
                    <w:right w:w="15" w:type="dxa"/>
                  </w:tcMar>
                  <w:vAlign w:val="center"/>
                </w:tcPr>
                <w:p>
                  <w:pPr>
                    <w:widowControl/>
                    <w:jc w:val="center"/>
                    <w:textAlignment w:val="center"/>
                    <w:rPr>
                      <w:szCs w:val="21"/>
                    </w:rPr>
                  </w:pPr>
                  <w:r>
                    <w:rPr>
                      <w:rFonts w:hint="eastAsia"/>
                      <w:kern w:val="0"/>
                      <w:szCs w:val="21"/>
                    </w:rPr>
                    <w:t>处理能力</w:t>
                  </w:r>
                </w:p>
              </w:tc>
              <w:tc>
                <w:tcPr>
                  <w:tcW w:w="1184" w:type="dxa"/>
                  <w:tcBorders>
                    <w:tl2br w:val="nil"/>
                    <w:tr2bl w:val="nil"/>
                  </w:tcBorders>
                  <w:tcMar>
                    <w:top w:w="15" w:type="dxa"/>
                    <w:left w:w="15" w:type="dxa"/>
                    <w:right w:w="15" w:type="dxa"/>
                  </w:tcMar>
                  <w:vAlign w:val="center"/>
                </w:tcPr>
                <w:p>
                  <w:pPr>
                    <w:widowControl/>
                    <w:jc w:val="center"/>
                    <w:textAlignment w:val="center"/>
                    <w:rPr>
                      <w:szCs w:val="21"/>
                    </w:rPr>
                  </w:pPr>
                  <w:r>
                    <w:rPr>
                      <w:rFonts w:hint="eastAsia"/>
                      <w:kern w:val="0"/>
                      <w:szCs w:val="21"/>
                    </w:rPr>
                    <w:t>治理工艺</w:t>
                  </w:r>
                </w:p>
              </w:tc>
              <w:tc>
                <w:tcPr>
                  <w:tcW w:w="1184" w:type="dxa"/>
                  <w:tcBorders>
                    <w:tl2br w:val="nil"/>
                    <w:tr2bl w:val="nil"/>
                  </w:tcBorders>
                  <w:tcMar>
                    <w:top w:w="15" w:type="dxa"/>
                    <w:left w:w="15" w:type="dxa"/>
                    <w:right w:w="15" w:type="dxa"/>
                  </w:tcMar>
                  <w:vAlign w:val="center"/>
                </w:tcPr>
                <w:p>
                  <w:pPr>
                    <w:widowControl/>
                    <w:jc w:val="center"/>
                    <w:textAlignment w:val="center"/>
                    <w:rPr>
                      <w:szCs w:val="21"/>
                    </w:rPr>
                  </w:pPr>
                  <w:r>
                    <w:rPr>
                      <w:rFonts w:hint="eastAsia"/>
                      <w:kern w:val="0"/>
                      <w:szCs w:val="21"/>
                    </w:rPr>
                    <w:t>治理效率</w:t>
                  </w:r>
                </w:p>
              </w:tc>
              <w:tc>
                <w:tcPr>
                  <w:tcW w:w="1184" w:type="dxa"/>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kern w:val="0"/>
                      <w:szCs w:val="21"/>
                    </w:rPr>
                    <w:t>是否为可行技术</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27" w:hRule="atLeast"/>
              </w:trPr>
              <w:tc>
                <w:tcPr>
                  <w:tcW w:w="1181" w:type="dxa"/>
                  <w:vMerge w:val="restart"/>
                  <w:tcBorders>
                    <w:tl2br w:val="nil"/>
                    <w:tr2bl w:val="nil"/>
                  </w:tcBorders>
                  <w:tcMar>
                    <w:top w:w="15" w:type="dxa"/>
                    <w:left w:w="15" w:type="dxa"/>
                    <w:right w:w="15" w:type="dxa"/>
                  </w:tcMar>
                  <w:vAlign w:val="center"/>
                </w:tcPr>
                <w:p>
                  <w:pPr>
                    <w:widowControl/>
                    <w:jc w:val="center"/>
                    <w:textAlignment w:val="center"/>
                    <w:rPr>
                      <w:szCs w:val="21"/>
                    </w:rPr>
                  </w:pPr>
                  <w:r>
                    <w:rPr>
                      <w:kern w:val="0"/>
                      <w:szCs w:val="21"/>
                    </w:rPr>
                    <w:t>生活污水</w:t>
                  </w:r>
                </w:p>
              </w:tc>
              <w:tc>
                <w:tcPr>
                  <w:tcW w:w="1183" w:type="dxa"/>
                  <w:tcBorders>
                    <w:tl2br w:val="nil"/>
                    <w:tr2bl w:val="nil"/>
                  </w:tcBorders>
                  <w:tcMar>
                    <w:top w:w="15" w:type="dxa"/>
                    <w:left w:w="15" w:type="dxa"/>
                    <w:right w:w="15" w:type="dxa"/>
                  </w:tcMar>
                  <w:vAlign w:val="center"/>
                </w:tcPr>
                <w:p>
                  <w:pPr>
                    <w:widowControl/>
                    <w:jc w:val="center"/>
                    <w:textAlignment w:val="center"/>
                    <w:rPr>
                      <w:szCs w:val="21"/>
                    </w:rPr>
                  </w:pPr>
                  <w:r>
                    <w:rPr>
                      <w:kern w:val="0"/>
                      <w:szCs w:val="21"/>
                    </w:rPr>
                    <w:t>COD</w:t>
                  </w:r>
                </w:p>
              </w:tc>
              <w:tc>
                <w:tcPr>
                  <w:tcW w:w="1277"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排入防渗旱厕</w:t>
                  </w:r>
                  <w:r>
                    <w:rPr>
                      <w:rFonts w:hint="eastAsia" w:ascii="宋体" w:hAnsi="宋体" w:cs="宋体"/>
                      <w:color w:val="000000"/>
                      <w:kern w:val="0"/>
                      <w:szCs w:val="21"/>
                    </w:rPr>
                    <w:t>定期清掏做农肥</w:t>
                  </w:r>
                </w:p>
              </w:tc>
              <w:tc>
                <w:tcPr>
                  <w:tcW w:w="1087"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w:t>
                  </w:r>
                </w:p>
              </w:tc>
              <w:tc>
                <w:tcPr>
                  <w:tcW w:w="1184"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w:t>
                  </w:r>
                </w:p>
              </w:tc>
              <w:tc>
                <w:tcPr>
                  <w:tcW w:w="1184"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w:t>
                  </w:r>
                </w:p>
              </w:tc>
              <w:tc>
                <w:tcPr>
                  <w:tcW w:w="1184"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27" w:hRule="atLeast"/>
              </w:trPr>
              <w:tc>
                <w:tcPr>
                  <w:tcW w:w="1181" w:type="dxa"/>
                  <w:vMerge w:val="continue"/>
                  <w:tcBorders>
                    <w:tl2br w:val="nil"/>
                    <w:tr2bl w:val="nil"/>
                  </w:tcBorders>
                  <w:tcMar>
                    <w:top w:w="15" w:type="dxa"/>
                    <w:left w:w="15" w:type="dxa"/>
                    <w:right w:w="15" w:type="dxa"/>
                  </w:tcMar>
                  <w:vAlign w:val="center"/>
                </w:tcPr>
                <w:p>
                  <w:pPr>
                    <w:jc w:val="center"/>
                    <w:rPr>
                      <w:szCs w:val="21"/>
                    </w:rPr>
                  </w:pPr>
                </w:p>
              </w:tc>
              <w:tc>
                <w:tcPr>
                  <w:tcW w:w="1183" w:type="dxa"/>
                  <w:tcBorders>
                    <w:tl2br w:val="nil"/>
                    <w:tr2bl w:val="nil"/>
                  </w:tcBorders>
                  <w:tcMar>
                    <w:top w:w="15" w:type="dxa"/>
                    <w:left w:w="15" w:type="dxa"/>
                    <w:right w:w="15" w:type="dxa"/>
                  </w:tcMar>
                  <w:vAlign w:val="center"/>
                </w:tcPr>
                <w:p>
                  <w:pPr>
                    <w:widowControl/>
                    <w:jc w:val="center"/>
                    <w:textAlignment w:val="center"/>
                    <w:rPr>
                      <w:szCs w:val="21"/>
                    </w:rPr>
                  </w:pPr>
                  <w:r>
                    <w:rPr>
                      <w:kern w:val="0"/>
                      <w:szCs w:val="21"/>
                    </w:rPr>
                    <w:t>BOD</w:t>
                  </w:r>
                  <w:r>
                    <w:rPr>
                      <w:kern w:val="0"/>
                      <w:szCs w:val="21"/>
                      <w:vertAlign w:val="subscript"/>
                    </w:rPr>
                    <w:t>5</w:t>
                  </w:r>
                </w:p>
              </w:tc>
              <w:tc>
                <w:tcPr>
                  <w:tcW w:w="1277" w:type="dxa"/>
                  <w:vMerge w:val="continue"/>
                  <w:tcBorders>
                    <w:tl2br w:val="nil"/>
                    <w:tr2bl w:val="nil"/>
                  </w:tcBorders>
                  <w:tcMar>
                    <w:top w:w="15" w:type="dxa"/>
                    <w:left w:w="15" w:type="dxa"/>
                    <w:right w:w="15" w:type="dxa"/>
                  </w:tcMar>
                  <w:vAlign w:val="center"/>
                </w:tcPr>
                <w:p>
                  <w:pPr>
                    <w:widowControl/>
                    <w:jc w:val="center"/>
                    <w:textAlignment w:val="center"/>
                    <w:rPr>
                      <w:szCs w:val="21"/>
                    </w:rPr>
                  </w:pPr>
                </w:p>
              </w:tc>
              <w:tc>
                <w:tcPr>
                  <w:tcW w:w="1087"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184" w:type="dxa"/>
                  <w:vMerge w:val="continue"/>
                  <w:tcBorders>
                    <w:tl2br w:val="nil"/>
                    <w:tr2bl w:val="nil"/>
                  </w:tcBorders>
                  <w:tcMar>
                    <w:top w:w="15" w:type="dxa"/>
                    <w:left w:w="15" w:type="dxa"/>
                    <w:right w:w="15" w:type="dxa"/>
                  </w:tcMar>
                  <w:vAlign w:val="center"/>
                </w:tcPr>
                <w:p>
                  <w:pPr>
                    <w:widowControl/>
                    <w:jc w:val="center"/>
                    <w:textAlignment w:val="center"/>
                    <w:rPr>
                      <w:szCs w:val="21"/>
                    </w:rPr>
                  </w:pPr>
                </w:p>
              </w:tc>
              <w:tc>
                <w:tcPr>
                  <w:tcW w:w="1184"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184" w:type="dxa"/>
                  <w:vMerge w:val="continue"/>
                  <w:tcBorders>
                    <w:tl2br w:val="nil"/>
                    <w:tr2bl w:val="nil"/>
                  </w:tcBorders>
                  <w:tcMar>
                    <w:top w:w="15" w:type="dxa"/>
                    <w:left w:w="15" w:type="dxa"/>
                    <w:right w:w="15" w:type="dxa"/>
                  </w:tcMar>
                  <w:vAlign w:val="center"/>
                </w:tcPr>
                <w:p>
                  <w:pPr>
                    <w:jc w:val="center"/>
                    <w:rPr>
                      <w:rFonts w:cs="宋体"/>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27" w:hRule="atLeast"/>
              </w:trPr>
              <w:tc>
                <w:tcPr>
                  <w:tcW w:w="1181" w:type="dxa"/>
                  <w:vMerge w:val="continue"/>
                  <w:tcBorders>
                    <w:tl2br w:val="nil"/>
                    <w:tr2bl w:val="nil"/>
                  </w:tcBorders>
                  <w:tcMar>
                    <w:top w:w="15" w:type="dxa"/>
                    <w:left w:w="15" w:type="dxa"/>
                    <w:right w:w="15" w:type="dxa"/>
                  </w:tcMar>
                  <w:vAlign w:val="center"/>
                </w:tcPr>
                <w:p>
                  <w:pPr>
                    <w:jc w:val="center"/>
                    <w:rPr>
                      <w:szCs w:val="21"/>
                    </w:rPr>
                  </w:pPr>
                </w:p>
              </w:tc>
              <w:tc>
                <w:tcPr>
                  <w:tcW w:w="1183" w:type="dxa"/>
                  <w:tcBorders>
                    <w:tl2br w:val="nil"/>
                    <w:tr2bl w:val="nil"/>
                  </w:tcBorders>
                  <w:tcMar>
                    <w:top w:w="15" w:type="dxa"/>
                    <w:left w:w="15" w:type="dxa"/>
                    <w:right w:w="15" w:type="dxa"/>
                  </w:tcMar>
                  <w:vAlign w:val="center"/>
                </w:tcPr>
                <w:p>
                  <w:pPr>
                    <w:widowControl/>
                    <w:jc w:val="center"/>
                    <w:textAlignment w:val="center"/>
                    <w:rPr>
                      <w:szCs w:val="21"/>
                    </w:rPr>
                  </w:pPr>
                  <w:r>
                    <w:rPr>
                      <w:kern w:val="0"/>
                      <w:szCs w:val="21"/>
                    </w:rPr>
                    <w:t>SS</w:t>
                  </w:r>
                </w:p>
              </w:tc>
              <w:tc>
                <w:tcPr>
                  <w:tcW w:w="1277"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087"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184"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184"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184" w:type="dxa"/>
                  <w:vMerge w:val="continue"/>
                  <w:tcBorders>
                    <w:tl2br w:val="nil"/>
                    <w:tr2bl w:val="nil"/>
                  </w:tcBorders>
                  <w:tcMar>
                    <w:top w:w="15" w:type="dxa"/>
                    <w:left w:w="15" w:type="dxa"/>
                    <w:right w:w="15" w:type="dxa"/>
                  </w:tcMar>
                  <w:vAlign w:val="center"/>
                </w:tcPr>
                <w:p>
                  <w:pPr>
                    <w:jc w:val="center"/>
                    <w:rPr>
                      <w:rFonts w:cs="宋体"/>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27" w:hRule="atLeast"/>
              </w:trPr>
              <w:tc>
                <w:tcPr>
                  <w:tcW w:w="1181" w:type="dxa"/>
                  <w:vMerge w:val="continue"/>
                  <w:tcBorders>
                    <w:tl2br w:val="nil"/>
                    <w:tr2bl w:val="nil"/>
                  </w:tcBorders>
                  <w:tcMar>
                    <w:top w:w="15" w:type="dxa"/>
                    <w:left w:w="15" w:type="dxa"/>
                    <w:right w:w="15" w:type="dxa"/>
                  </w:tcMar>
                  <w:vAlign w:val="center"/>
                </w:tcPr>
                <w:p>
                  <w:pPr>
                    <w:jc w:val="center"/>
                    <w:rPr>
                      <w:szCs w:val="21"/>
                    </w:rPr>
                  </w:pPr>
                </w:p>
              </w:tc>
              <w:tc>
                <w:tcPr>
                  <w:tcW w:w="1183" w:type="dxa"/>
                  <w:tcBorders>
                    <w:tl2br w:val="nil"/>
                    <w:tr2bl w:val="nil"/>
                  </w:tcBorders>
                  <w:tcMar>
                    <w:top w:w="15" w:type="dxa"/>
                    <w:left w:w="15" w:type="dxa"/>
                    <w:right w:w="15" w:type="dxa"/>
                  </w:tcMar>
                  <w:vAlign w:val="center"/>
                </w:tcPr>
                <w:p>
                  <w:pPr>
                    <w:widowControl/>
                    <w:jc w:val="center"/>
                    <w:textAlignment w:val="center"/>
                    <w:rPr>
                      <w:szCs w:val="21"/>
                    </w:rPr>
                  </w:pPr>
                  <w:r>
                    <w:rPr>
                      <w:kern w:val="0"/>
                      <w:szCs w:val="21"/>
                    </w:rPr>
                    <w:t>氨氮</w:t>
                  </w:r>
                </w:p>
              </w:tc>
              <w:tc>
                <w:tcPr>
                  <w:tcW w:w="1277"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087"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184"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184"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184" w:type="dxa"/>
                  <w:vMerge w:val="continue"/>
                  <w:tcBorders>
                    <w:tl2br w:val="nil"/>
                    <w:tr2bl w:val="nil"/>
                  </w:tcBorders>
                  <w:tcMar>
                    <w:top w:w="15" w:type="dxa"/>
                    <w:left w:w="15" w:type="dxa"/>
                    <w:right w:w="15" w:type="dxa"/>
                  </w:tcMar>
                  <w:vAlign w:val="center"/>
                </w:tcPr>
                <w:p>
                  <w:pPr>
                    <w:jc w:val="center"/>
                    <w:rPr>
                      <w:rFonts w:cs="宋体"/>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81" w:hRule="atLeast"/>
              </w:trPr>
              <w:tc>
                <w:tcPr>
                  <w:tcW w:w="1181" w:type="dxa"/>
                  <w:vMerge w:val="restart"/>
                  <w:tcBorders>
                    <w:tl2br w:val="nil"/>
                    <w:tr2bl w:val="nil"/>
                  </w:tcBorders>
                  <w:tcMar>
                    <w:top w:w="15" w:type="dxa"/>
                    <w:left w:w="15" w:type="dxa"/>
                    <w:right w:w="15" w:type="dxa"/>
                  </w:tcMar>
                  <w:vAlign w:val="center"/>
                </w:tcPr>
                <w:p>
                  <w:pPr>
                    <w:jc w:val="center"/>
                    <w:rPr>
                      <w:szCs w:val="21"/>
                    </w:rPr>
                  </w:pPr>
                  <w:r>
                    <w:rPr>
                      <w:rFonts w:hint="eastAsia"/>
                      <w:szCs w:val="21"/>
                    </w:rPr>
                    <w:t>纯水制备排水</w:t>
                  </w:r>
                </w:p>
              </w:tc>
              <w:tc>
                <w:tcPr>
                  <w:tcW w:w="1183" w:type="dxa"/>
                  <w:tcBorders>
                    <w:tl2br w:val="nil"/>
                    <w:tr2bl w:val="nil"/>
                  </w:tcBorders>
                  <w:tcMar>
                    <w:top w:w="15" w:type="dxa"/>
                    <w:left w:w="15" w:type="dxa"/>
                    <w:right w:w="15" w:type="dxa"/>
                  </w:tcMar>
                  <w:vAlign w:val="center"/>
                </w:tcPr>
                <w:p>
                  <w:pPr>
                    <w:widowControl/>
                    <w:jc w:val="center"/>
                    <w:textAlignment w:val="center"/>
                    <w:rPr>
                      <w:kern w:val="0"/>
                      <w:szCs w:val="21"/>
                    </w:rPr>
                  </w:pPr>
                  <w:r>
                    <w:rPr>
                      <w:kern w:val="0"/>
                      <w:szCs w:val="21"/>
                    </w:rPr>
                    <w:t>COD</w:t>
                  </w:r>
                </w:p>
              </w:tc>
              <w:tc>
                <w:tcPr>
                  <w:tcW w:w="1277"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ascii="宋体" w:hAnsi="宋体" w:cs="宋体"/>
                      <w:color w:val="000000"/>
                      <w:kern w:val="0"/>
                      <w:szCs w:val="21"/>
                    </w:rPr>
                    <w:t>用于厂区洒水降尘及干灰调湿</w:t>
                  </w:r>
                </w:p>
              </w:tc>
              <w:tc>
                <w:tcPr>
                  <w:tcW w:w="1087"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w:t>
                  </w:r>
                </w:p>
              </w:tc>
              <w:tc>
                <w:tcPr>
                  <w:tcW w:w="1184"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w:t>
                  </w:r>
                </w:p>
              </w:tc>
              <w:tc>
                <w:tcPr>
                  <w:tcW w:w="1184"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w:t>
                  </w:r>
                </w:p>
              </w:tc>
              <w:tc>
                <w:tcPr>
                  <w:tcW w:w="1184"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88" w:hRule="atLeast"/>
              </w:trPr>
              <w:tc>
                <w:tcPr>
                  <w:tcW w:w="1181" w:type="dxa"/>
                  <w:vMerge w:val="continue"/>
                  <w:tcBorders>
                    <w:tl2br w:val="nil"/>
                    <w:tr2bl w:val="nil"/>
                  </w:tcBorders>
                  <w:tcMar>
                    <w:top w:w="15" w:type="dxa"/>
                    <w:left w:w="15" w:type="dxa"/>
                    <w:right w:w="15" w:type="dxa"/>
                  </w:tcMar>
                  <w:vAlign w:val="center"/>
                </w:tcPr>
                <w:p>
                  <w:pPr>
                    <w:jc w:val="center"/>
                    <w:rPr>
                      <w:szCs w:val="21"/>
                    </w:rPr>
                  </w:pPr>
                </w:p>
              </w:tc>
              <w:tc>
                <w:tcPr>
                  <w:tcW w:w="1183" w:type="dxa"/>
                  <w:tcBorders>
                    <w:tl2br w:val="nil"/>
                    <w:tr2bl w:val="nil"/>
                  </w:tcBorders>
                  <w:tcMar>
                    <w:top w:w="15" w:type="dxa"/>
                    <w:left w:w="15" w:type="dxa"/>
                    <w:right w:w="15" w:type="dxa"/>
                  </w:tcMar>
                  <w:vAlign w:val="center"/>
                </w:tcPr>
                <w:p>
                  <w:pPr>
                    <w:widowControl/>
                    <w:jc w:val="center"/>
                    <w:textAlignment w:val="center"/>
                    <w:rPr>
                      <w:kern w:val="0"/>
                      <w:szCs w:val="21"/>
                    </w:rPr>
                  </w:pPr>
                  <w:r>
                    <w:rPr>
                      <w:kern w:val="0"/>
                      <w:szCs w:val="21"/>
                    </w:rPr>
                    <w:t>SS</w:t>
                  </w:r>
                </w:p>
              </w:tc>
              <w:tc>
                <w:tcPr>
                  <w:tcW w:w="1277"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087"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184"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184"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184" w:type="dxa"/>
                  <w:vMerge w:val="continue"/>
                  <w:tcBorders>
                    <w:tl2br w:val="nil"/>
                    <w:tr2bl w:val="nil"/>
                  </w:tcBorders>
                  <w:tcMar>
                    <w:top w:w="15" w:type="dxa"/>
                    <w:left w:w="15" w:type="dxa"/>
                    <w:right w:w="15" w:type="dxa"/>
                  </w:tcMar>
                  <w:vAlign w:val="center"/>
                </w:tcPr>
                <w:p>
                  <w:pPr>
                    <w:jc w:val="center"/>
                    <w:rPr>
                      <w:rFonts w:cs="宋体"/>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57" w:hRule="atLeast"/>
              </w:trPr>
              <w:tc>
                <w:tcPr>
                  <w:tcW w:w="1181" w:type="dxa"/>
                  <w:vMerge w:val="restart"/>
                  <w:tcBorders>
                    <w:tl2br w:val="nil"/>
                    <w:tr2bl w:val="nil"/>
                  </w:tcBorders>
                  <w:tcMar>
                    <w:top w:w="15" w:type="dxa"/>
                    <w:left w:w="15" w:type="dxa"/>
                    <w:right w:w="15" w:type="dxa"/>
                  </w:tcMar>
                  <w:vAlign w:val="center"/>
                </w:tcPr>
                <w:p>
                  <w:pPr>
                    <w:jc w:val="center"/>
                    <w:rPr>
                      <w:szCs w:val="21"/>
                    </w:rPr>
                  </w:pPr>
                  <w:r>
                    <w:rPr>
                      <w:rFonts w:hint="eastAsia"/>
                      <w:szCs w:val="21"/>
                    </w:rPr>
                    <w:t>生产废水</w:t>
                  </w:r>
                  <w:r>
                    <w:rPr>
                      <w:rFonts w:hint="eastAsia" w:ascii="宋体" w:hAnsi="宋体" w:cs="宋体"/>
                      <w:color w:val="000000"/>
                      <w:kern w:val="0"/>
                      <w:szCs w:val="21"/>
                    </w:rPr>
                    <w:t>（含清洗设备、清洗玉米废水）</w:t>
                  </w:r>
                </w:p>
              </w:tc>
              <w:tc>
                <w:tcPr>
                  <w:tcW w:w="1183" w:type="dxa"/>
                  <w:tcBorders>
                    <w:tl2br w:val="nil"/>
                    <w:tr2bl w:val="nil"/>
                  </w:tcBorders>
                  <w:tcMar>
                    <w:top w:w="15" w:type="dxa"/>
                    <w:left w:w="15" w:type="dxa"/>
                    <w:right w:w="15" w:type="dxa"/>
                  </w:tcMar>
                  <w:vAlign w:val="bottom"/>
                </w:tcPr>
                <w:p>
                  <w:pPr>
                    <w:widowControl/>
                    <w:jc w:val="center"/>
                    <w:textAlignment w:val="bottom"/>
                    <w:rPr>
                      <w:kern w:val="0"/>
                      <w:szCs w:val="21"/>
                    </w:rPr>
                  </w:pPr>
                  <w:r>
                    <w:rPr>
                      <w:color w:val="000000"/>
                      <w:kern w:val="0"/>
                      <w:szCs w:val="21"/>
                    </w:rPr>
                    <w:t>COD</w:t>
                  </w:r>
                </w:p>
              </w:tc>
              <w:tc>
                <w:tcPr>
                  <w:tcW w:w="1277"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olor w:val="000000"/>
                      <w:kern w:val="0"/>
                      <w:szCs w:val="21"/>
                    </w:rPr>
                    <w:t>外运养鸡场调制饲料及饮用</w:t>
                  </w:r>
                </w:p>
              </w:tc>
              <w:tc>
                <w:tcPr>
                  <w:tcW w:w="1087"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w:t>
                  </w:r>
                </w:p>
              </w:tc>
              <w:tc>
                <w:tcPr>
                  <w:tcW w:w="1184"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w:t>
                  </w:r>
                </w:p>
              </w:tc>
              <w:tc>
                <w:tcPr>
                  <w:tcW w:w="1184"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w:t>
                  </w:r>
                </w:p>
              </w:tc>
              <w:tc>
                <w:tcPr>
                  <w:tcW w:w="1184" w:type="dxa"/>
                  <w:vMerge w:val="restart"/>
                  <w:tcBorders>
                    <w:tl2br w:val="nil"/>
                    <w:tr2bl w:val="nil"/>
                  </w:tcBorders>
                  <w:tcMar>
                    <w:top w:w="15" w:type="dxa"/>
                    <w:left w:w="15" w:type="dxa"/>
                    <w:right w:w="15" w:type="dxa"/>
                  </w:tcMar>
                  <w:vAlign w:val="center"/>
                </w:tcPr>
                <w:p>
                  <w:pPr>
                    <w:jc w:val="center"/>
                    <w:rPr>
                      <w:rFonts w:cs="宋体"/>
                      <w:szCs w:val="21"/>
                    </w:rPr>
                  </w:pPr>
                  <w:r>
                    <w:rPr>
                      <w:rFonts w:hint="eastAsia" w:cs="宋体"/>
                      <w:szCs w:val="21"/>
                    </w:rPr>
                    <w:t>/</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46" w:hRule="atLeast"/>
              </w:trPr>
              <w:tc>
                <w:tcPr>
                  <w:tcW w:w="1181" w:type="dxa"/>
                  <w:vMerge w:val="continue"/>
                  <w:tcBorders>
                    <w:tl2br w:val="nil"/>
                    <w:tr2bl w:val="nil"/>
                  </w:tcBorders>
                  <w:tcMar>
                    <w:top w:w="15" w:type="dxa"/>
                    <w:left w:w="15" w:type="dxa"/>
                    <w:right w:w="15" w:type="dxa"/>
                  </w:tcMar>
                  <w:vAlign w:val="center"/>
                </w:tcPr>
                <w:p>
                  <w:pPr>
                    <w:jc w:val="center"/>
                    <w:rPr>
                      <w:szCs w:val="21"/>
                    </w:rPr>
                  </w:pPr>
                </w:p>
              </w:tc>
              <w:tc>
                <w:tcPr>
                  <w:tcW w:w="1183" w:type="dxa"/>
                  <w:tcBorders>
                    <w:tl2br w:val="nil"/>
                    <w:tr2bl w:val="nil"/>
                  </w:tcBorders>
                  <w:tcMar>
                    <w:top w:w="15" w:type="dxa"/>
                    <w:left w:w="15" w:type="dxa"/>
                    <w:right w:w="15" w:type="dxa"/>
                  </w:tcMar>
                  <w:vAlign w:val="bottom"/>
                </w:tcPr>
                <w:p>
                  <w:pPr>
                    <w:widowControl/>
                    <w:jc w:val="center"/>
                    <w:textAlignment w:val="bottom"/>
                    <w:rPr>
                      <w:kern w:val="0"/>
                      <w:szCs w:val="21"/>
                    </w:rPr>
                  </w:pPr>
                  <w:r>
                    <w:rPr>
                      <w:color w:val="000000"/>
                      <w:kern w:val="0"/>
                      <w:szCs w:val="21"/>
                    </w:rPr>
                    <w:t>BOD</w:t>
                  </w:r>
                  <w:r>
                    <w:rPr>
                      <w:color w:val="000000"/>
                      <w:kern w:val="0"/>
                      <w:szCs w:val="21"/>
                      <w:vertAlign w:val="subscript"/>
                    </w:rPr>
                    <w:t>5</w:t>
                  </w:r>
                </w:p>
              </w:tc>
              <w:tc>
                <w:tcPr>
                  <w:tcW w:w="1277"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087"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184"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184"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184" w:type="dxa"/>
                  <w:vMerge w:val="continue"/>
                  <w:tcBorders>
                    <w:tl2br w:val="nil"/>
                    <w:tr2bl w:val="nil"/>
                  </w:tcBorders>
                  <w:tcMar>
                    <w:top w:w="15" w:type="dxa"/>
                    <w:left w:w="15" w:type="dxa"/>
                    <w:right w:w="15" w:type="dxa"/>
                  </w:tcMar>
                  <w:vAlign w:val="center"/>
                </w:tcPr>
                <w:p>
                  <w:pPr>
                    <w:jc w:val="center"/>
                    <w:rPr>
                      <w:rFonts w:cs="宋体"/>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49" w:hRule="atLeast"/>
              </w:trPr>
              <w:tc>
                <w:tcPr>
                  <w:tcW w:w="1181" w:type="dxa"/>
                  <w:vMerge w:val="continue"/>
                  <w:tcBorders>
                    <w:tl2br w:val="nil"/>
                    <w:tr2bl w:val="nil"/>
                  </w:tcBorders>
                  <w:tcMar>
                    <w:top w:w="15" w:type="dxa"/>
                    <w:left w:w="15" w:type="dxa"/>
                    <w:right w:w="15" w:type="dxa"/>
                  </w:tcMar>
                  <w:vAlign w:val="center"/>
                </w:tcPr>
                <w:p>
                  <w:pPr>
                    <w:jc w:val="center"/>
                    <w:rPr>
                      <w:szCs w:val="21"/>
                    </w:rPr>
                  </w:pPr>
                </w:p>
              </w:tc>
              <w:tc>
                <w:tcPr>
                  <w:tcW w:w="1183" w:type="dxa"/>
                  <w:tcBorders>
                    <w:tl2br w:val="nil"/>
                    <w:tr2bl w:val="nil"/>
                  </w:tcBorders>
                  <w:tcMar>
                    <w:top w:w="15" w:type="dxa"/>
                    <w:left w:w="15" w:type="dxa"/>
                    <w:right w:w="15" w:type="dxa"/>
                  </w:tcMar>
                  <w:vAlign w:val="bottom"/>
                </w:tcPr>
                <w:p>
                  <w:pPr>
                    <w:widowControl/>
                    <w:jc w:val="center"/>
                    <w:textAlignment w:val="bottom"/>
                    <w:rPr>
                      <w:kern w:val="0"/>
                      <w:szCs w:val="21"/>
                    </w:rPr>
                  </w:pPr>
                  <w:r>
                    <w:rPr>
                      <w:color w:val="000000"/>
                      <w:kern w:val="0"/>
                      <w:szCs w:val="21"/>
                    </w:rPr>
                    <w:t>SS</w:t>
                  </w:r>
                </w:p>
              </w:tc>
              <w:tc>
                <w:tcPr>
                  <w:tcW w:w="1277"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087"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184"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184"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184" w:type="dxa"/>
                  <w:vMerge w:val="continue"/>
                  <w:tcBorders>
                    <w:tl2br w:val="nil"/>
                    <w:tr2bl w:val="nil"/>
                  </w:tcBorders>
                  <w:tcMar>
                    <w:top w:w="15" w:type="dxa"/>
                    <w:left w:w="15" w:type="dxa"/>
                    <w:right w:w="15" w:type="dxa"/>
                  </w:tcMar>
                  <w:vAlign w:val="center"/>
                </w:tcPr>
                <w:p>
                  <w:pPr>
                    <w:jc w:val="center"/>
                    <w:rPr>
                      <w:rFonts w:cs="宋体"/>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47" w:hRule="atLeast"/>
              </w:trPr>
              <w:tc>
                <w:tcPr>
                  <w:tcW w:w="1181" w:type="dxa"/>
                  <w:vMerge w:val="continue"/>
                  <w:tcBorders>
                    <w:tl2br w:val="nil"/>
                    <w:tr2bl w:val="nil"/>
                  </w:tcBorders>
                  <w:tcMar>
                    <w:top w:w="15" w:type="dxa"/>
                    <w:left w:w="15" w:type="dxa"/>
                    <w:right w:w="15" w:type="dxa"/>
                  </w:tcMar>
                  <w:vAlign w:val="center"/>
                </w:tcPr>
                <w:p>
                  <w:pPr>
                    <w:jc w:val="center"/>
                    <w:rPr>
                      <w:szCs w:val="21"/>
                    </w:rPr>
                  </w:pPr>
                </w:p>
              </w:tc>
              <w:tc>
                <w:tcPr>
                  <w:tcW w:w="1183" w:type="dxa"/>
                  <w:tcBorders>
                    <w:tl2br w:val="nil"/>
                    <w:tr2bl w:val="nil"/>
                  </w:tcBorders>
                  <w:tcMar>
                    <w:top w:w="15" w:type="dxa"/>
                    <w:left w:w="15" w:type="dxa"/>
                    <w:right w:w="15" w:type="dxa"/>
                  </w:tcMar>
                  <w:vAlign w:val="bottom"/>
                </w:tcPr>
                <w:p>
                  <w:pPr>
                    <w:widowControl/>
                    <w:jc w:val="center"/>
                    <w:textAlignment w:val="bottom"/>
                    <w:rPr>
                      <w:kern w:val="0"/>
                      <w:szCs w:val="21"/>
                    </w:rPr>
                  </w:pPr>
                  <w:r>
                    <w:rPr>
                      <w:color w:val="000000"/>
                      <w:kern w:val="0"/>
                      <w:szCs w:val="21"/>
                    </w:rPr>
                    <w:t>NH</w:t>
                  </w:r>
                  <w:r>
                    <w:rPr>
                      <w:color w:val="000000"/>
                      <w:kern w:val="0"/>
                      <w:szCs w:val="21"/>
                      <w:vertAlign w:val="subscript"/>
                    </w:rPr>
                    <w:t>3</w:t>
                  </w:r>
                  <w:r>
                    <w:rPr>
                      <w:color w:val="000000"/>
                      <w:kern w:val="0"/>
                      <w:szCs w:val="21"/>
                    </w:rPr>
                    <w:t>-N</w:t>
                  </w:r>
                </w:p>
              </w:tc>
              <w:tc>
                <w:tcPr>
                  <w:tcW w:w="1277"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087"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184"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184"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c>
                <w:tcPr>
                  <w:tcW w:w="1184" w:type="dxa"/>
                  <w:vMerge w:val="continue"/>
                  <w:tcBorders>
                    <w:tl2br w:val="nil"/>
                    <w:tr2bl w:val="nil"/>
                  </w:tcBorders>
                  <w:tcMar>
                    <w:top w:w="15" w:type="dxa"/>
                    <w:left w:w="15" w:type="dxa"/>
                    <w:right w:w="15" w:type="dxa"/>
                  </w:tcMar>
                  <w:vAlign w:val="center"/>
                </w:tcPr>
                <w:p>
                  <w:pPr>
                    <w:jc w:val="center"/>
                    <w:rPr>
                      <w:rFonts w:cs="宋体"/>
                      <w:szCs w:val="21"/>
                    </w:rPr>
                  </w:pPr>
                </w:p>
              </w:tc>
            </w:tr>
          </w:tbl>
          <w:p>
            <w:pPr>
              <w:pStyle w:val="74"/>
              <w:spacing w:before="182" w:line="359" w:lineRule="auto"/>
              <w:ind w:left="114" w:right="103" w:firstLine="480"/>
              <w:rPr>
                <w:rFonts w:ascii="Times New Roman" w:hAnsi="Times New Roman" w:eastAsia="宋体" w:cs="Times New Roman"/>
                <w:b/>
                <w:bCs/>
                <w:spacing w:val="-1"/>
                <w:lang w:eastAsia="zh-CN"/>
              </w:rPr>
            </w:pPr>
            <w:r>
              <w:rPr>
                <w:rFonts w:ascii="Times New Roman" w:hAnsi="Times New Roman" w:eastAsia="宋体" w:cs="Times New Roman"/>
                <w:b/>
                <w:bCs/>
                <w:spacing w:val="-1"/>
                <w:lang w:eastAsia="zh-CN"/>
              </w:rPr>
              <w:t>3、</w:t>
            </w:r>
            <w:r>
              <w:rPr>
                <w:rFonts w:hint="eastAsia" w:ascii="Times New Roman" w:hAnsi="Times New Roman" w:eastAsia="宋体" w:cs="Times New Roman"/>
                <w:b/>
                <w:bCs/>
                <w:spacing w:val="-1"/>
                <w:lang w:eastAsia="zh-CN"/>
              </w:rPr>
              <w:t>依托可行性分析</w:t>
            </w:r>
          </w:p>
          <w:p>
            <w:pPr>
              <w:widowControl/>
              <w:spacing w:line="360" w:lineRule="auto"/>
              <w:ind w:firstLine="480" w:firstLineChars="200"/>
            </w:pPr>
            <w:r>
              <w:rPr>
                <w:rFonts w:hint="eastAsia" w:ascii="宋体" w:hAnsi="宋体" w:cs="宋体"/>
                <w:kern w:val="0"/>
                <w:sz w:val="24"/>
              </w:rPr>
              <w:t>本项目废水主要由生产废水、锅炉排污水、生活污水组成，生活污水排入旱厕定期清掏做农肥。锅炉排污水全部用于厂降尘及灰渣调湿。生产废水主要包括蒸煮废水、浸泡冲洗废水、设备清洗废水、</w:t>
            </w:r>
            <w:r>
              <w:rPr>
                <w:rFonts w:hint="eastAsia" w:ascii="宋体" w:hAnsi="宋体" w:cs="宋体"/>
                <w:iCs/>
                <w:kern w:val="0"/>
                <w:sz w:val="24"/>
              </w:rPr>
              <w:t>地面清洁</w:t>
            </w:r>
            <w:r>
              <w:rPr>
                <w:rFonts w:hint="eastAsia" w:ascii="宋体" w:hAnsi="宋体" w:cs="宋体"/>
                <w:kern w:val="0"/>
                <w:sz w:val="24"/>
              </w:rPr>
              <w:t>废水，蒸煮废水循环使用不外排；浸泡冲洗废水、设备清洗废水运至柳河县时家店乡肉鸡养殖场调制饲料用，废水中主要为玉米去皮和切断产生的玉米浆汁、玉米碎屑和玉米须等，均为优质畜禽饲料原料，不含有毒有害污染物，且清洗废水在清洗过程中不涉及使用消毒剂及洗涤剂等，且不涉及硫酸盐、氟化物、氰化物硝酸盐以及</w:t>
            </w:r>
            <w:r>
              <w:rPr>
                <w:kern w:val="0"/>
                <w:sz w:val="24"/>
              </w:rPr>
              <w:t>(</w:t>
            </w:r>
            <w:r>
              <w:rPr>
                <w:rFonts w:hint="eastAsia" w:ascii="宋体" w:hAnsi="宋体" w:cs="宋体"/>
                <w:kern w:val="0"/>
                <w:sz w:val="24"/>
              </w:rPr>
              <w:t>类</w:t>
            </w:r>
            <w:r>
              <w:rPr>
                <w:kern w:val="0"/>
                <w:sz w:val="24"/>
              </w:rPr>
              <w:t>)</w:t>
            </w:r>
            <w:r>
              <w:rPr>
                <w:rFonts w:hint="eastAsia" w:ascii="宋体" w:hAnsi="宋体" w:cs="宋体"/>
                <w:kern w:val="0"/>
                <w:sz w:val="24"/>
              </w:rPr>
              <w:t>重金属污染物，主要污染物为</w:t>
            </w:r>
            <w:r>
              <w:rPr>
                <w:kern w:val="0"/>
                <w:sz w:val="24"/>
              </w:rPr>
              <w:t>COD</w:t>
            </w:r>
            <w:r>
              <w:rPr>
                <w:rFonts w:hint="eastAsia" w:ascii="宋体" w:hAnsi="宋体" w:cs="宋体"/>
                <w:kern w:val="0"/>
                <w:sz w:val="24"/>
              </w:rPr>
              <w:t>和</w:t>
            </w:r>
            <w:r>
              <w:rPr>
                <w:kern w:val="0"/>
                <w:sz w:val="24"/>
              </w:rPr>
              <w:t>SS</w:t>
            </w:r>
            <w:r>
              <w:rPr>
                <w:rFonts w:hint="eastAsia" w:ascii="宋体" w:hAnsi="宋体" w:cs="宋体"/>
                <w:kern w:val="0"/>
                <w:sz w:val="24"/>
              </w:rPr>
              <w:t>等，符合农业部《无公害食品畜禽饮用水水质》</w:t>
            </w:r>
            <w:r>
              <w:rPr>
                <w:kern w:val="0"/>
                <w:sz w:val="24"/>
              </w:rPr>
              <w:t>(NY5072-2008)</w:t>
            </w:r>
            <w:r>
              <w:rPr>
                <w:rFonts w:hint="eastAsia" w:ascii="宋体" w:hAnsi="宋体" w:cs="宋体"/>
                <w:kern w:val="0"/>
                <w:sz w:val="24"/>
              </w:rPr>
              <w:t>表</w:t>
            </w:r>
            <w:r>
              <w:rPr>
                <w:kern w:val="0"/>
                <w:sz w:val="24"/>
              </w:rPr>
              <w:t>1</w:t>
            </w:r>
            <w:r>
              <w:rPr>
                <w:rFonts w:hint="eastAsia" w:ascii="宋体" w:hAnsi="宋体" w:cs="宋体"/>
                <w:kern w:val="0"/>
                <w:sz w:val="24"/>
              </w:rPr>
              <w:t>畜禽饮用水质安全指标相关内容，柳河县时家店乡肉鸡养殖场年出栏肉鸡160万只（6批次），根据估算养殖场日均需要饮用水约</w:t>
            </w:r>
            <w:r>
              <w:rPr>
                <w:rFonts w:hint="eastAsia"/>
                <w:kern w:val="0"/>
                <w:sz w:val="24"/>
              </w:rPr>
              <w:t>133.3t</w:t>
            </w:r>
            <w:r>
              <w:rPr>
                <w:rFonts w:hint="eastAsia" w:ascii="宋体" w:hAnsi="宋体" w:cs="宋体"/>
                <w:kern w:val="0"/>
                <w:sz w:val="24"/>
              </w:rPr>
              <w:t>，故柳河县时家店乡肉鸡养殖场完全可以消耗本项目每天产生的废水量，综上，本项目产生的废水委托养鸡场用作鸡饮用及调制饲料用水，符合废水资源化利用相关要求，具有可行性。</w:t>
            </w:r>
          </w:p>
          <w:p>
            <w:pPr>
              <w:spacing w:line="360" w:lineRule="auto"/>
              <w:ind w:firstLine="482" w:firstLineChars="200"/>
              <w:rPr>
                <w:b/>
                <w:sz w:val="24"/>
              </w:rPr>
            </w:pPr>
            <w:r>
              <w:rPr>
                <w:rFonts w:hint="eastAsia"/>
                <w:b/>
                <w:sz w:val="24"/>
              </w:rPr>
              <w:t>4、废水监测要求</w:t>
            </w:r>
          </w:p>
          <w:p>
            <w:pPr>
              <w:spacing w:line="360" w:lineRule="auto"/>
              <w:ind w:firstLine="480" w:firstLineChars="200"/>
              <w:rPr>
                <w:sz w:val="24"/>
              </w:rPr>
            </w:pPr>
            <w:r>
              <w:rPr>
                <w:rFonts w:hint="eastAsia" w:ascii="宋体" w:hAnsi="宋体" w:cs="宋体"/>
                <w:color w:val="000000"/>
                <w:kern w:val="0"/>
                <w:sz w:val="24"/>
              </w:rPr>
              <w:t>项目</w:t>
            </w:r>
            <w:r>
              <w:rPr>
                <w:sz w:val="24"/>
              </w:rPr>
              <w:t>拟采取措施：</w:t>
            </w:r>
            <w:r>
              <w:rPr>
                <w:rFonts w:hint="eastAsia"/>
                <w:kern w:val="0"/>
                <w:sz w:val="24"/>
              </w:rPr>
              <w:t>生活污水排入防渗旱厕，定期清陶做农肥。地面清洁废水全部消耗，高温灭菌废水循环利用不外排，设备清洗废水、玉米浸泡和冲洗废水排入自建沉淀池，定期外运养殖场。锅炉排水用于园区降尘及灰渣调湿。本项目</w:t>
            </w:r>
            <w:r>
              <w:rPr>
                <w:rFonts w:hint="eastAsia" w:ascii="宋体" w:hAnsi="宋体" w:cs="宋体"/>
                <w:color w:val="000000"/>
                <w:kern w:val="0"/>
                <w:sz w:val="24"/>
              </w:rPr>
              <w:t>无外排废水，即无废水排放口。</w:t>
            </w:r>
          </w:p>
          <w:p>
            <w:pPr>
              <w:spacing w:line="360" w:lineRule="auto"/>
              <w:rPr>
                <w:b/>
                <w:sz w:val="24"/>
              </w:rPr>
            </w:pPr>
            <w:r>
              <w:rPr>
                <w:rFonts w:hint="eastAsia"/>
                <w:b/>
                <w:sz w:val="24"/>
              </w:rPr>
              <w:t>4.2.2</w:t>
            </w:r>
            <w:r>
              <w:rPr>
                <w:b/>
                <w:sz w:val="24"/>
              </w:rPr>
              <w:t>废气</w:t>
            </w:r>
          </w:p>
          <w:p>
            <w:pPr>
              <w:spacing w:line="360" w:lineRule="auto"/>
              <w:ind w:firstLine="482" w:firstLineChars="200"/>
              <w:rPr>
                <w:sz w:val="24"/>
              </w:rPr>
            </w:pPr>
            <w:r>
              <w:rPr>
                <w:rFonts w:hint="eastAsia" w:cs="宋体"/>
                <w:b/>
                <w:bCs/>
                <w:sz w:val="24"/>
              </w:rPr>
              <w:t>1、源强核算</w:t>
            </w:r>
          </w:p>
          <w:p>
            <w:pPr>
              <w:pStyle w:val="54"/>
              <w:spacing w:line="360" w:lineRule="auto"/>
              <w:ind w:right="57" w:firstLine="480" w:firstLineChars="200"/>
              <w:jc w:val="both"/>
              <w:rPr>
                <w:rFonts w:ascii="Times New Roman" w:hAnsi="Times New Roman"/>
                <w:sz w:val="24"/>
                <w:lang w:val="en-US"/>
              </w:rPr>
            </w:pPr>
            <w:r>
              <w:rPr>
                <w:rFonts w:hint="eastAsia"/>
                <w:sz w:val="24"/>
                <w:lang w:val="en-US"/>
              </w:rPr>
              <w:t>⑴锅炉烟气</w:t>
            </w:r>
          </w:p>
          <w:p>
            <w:pPr>
              <w:pStyle w:val="54"/>
              <w:spacing w:line="360" w:lineRule="auto"/>
              <w:ind w:right="57" w:firstLine="480" w:firstLineChars="200"/>
              <w:jc w:val="both"/>
              <w:rPr>
                <w:rFonts w:ascii="Times New Roman" w:hAnsi="Times New Roman"/>
                <w:sz w:val="24"/>
                <w:lang w:val="en-US"/>
              </w:rPr>
            </w:pPr>
            <w:r>
              <w:rPr>
                <w:rFonts w:hint="eastAsia" w:ascii="Times New Roman" w:hAnsi="Times New Roman"/>
                <w:sz w:val="24"/>
                <w:lang w:val="en-US"/>
              </w:rPr>
              <w:t>锅炉烟气污染物</w:t>
            </w:r>
            <w:r>
              <w:rPr>
                <w:rFonts w:ascii="Times New Roman" w:hAnsi="Times New Roman"/>
                <w:sz w:val="24"/>
              </w:rPr>
              <w:t>参考《污染源源强核算技术指南 锅炉》（HJ991-2018）</w:t>
            </w:r>
            <w:r>
              <w:rPr>
                <w:rFonts w:hint="eastAsia" w:ascii="Times New Roman" w:hAnsi="Times New Roman"/>
                <w:sz w:val="24"/>
                <w:lang w:val="en-US"/>
              </w:rPr>
              <w:t>新改扩建工程污染源核算方法优先顺序为1.物料衡算法，2.类比法，3.产污系数法。故本次采用物料衡算法进行核算</w:t>
            </w:r>
            <w:r>
              <w:rPr>
                <w:rFonts w:hint="eastAsia"/>
                <w:sz w:val="24"/>
              </w:rPr>
              <w:t>。</w:t>
            </w:r>
            <w:r>
              <w:rPr>
                <w:rFonts w:hint="eastAsia"/>
                <w:sz w:val="24"/>
                <w:lang w:val="en-US"/>
              </w:rPr>
              <w:t>原料成分报告详见表2-4</w:t>
            </w:r>
            <w:r>
              <w:rPr>
                <w:rFonts w:hint="eastAsia" w:ascii="Times New Roman" w:hAnsi="Times New Roman"/>
                <w:sz w:val="24"/>
                <w:lang w:val="en-US"/>
              </w:rPr>
              <w:t>。</w:t>
            </w:r>
          </w:p>
          <w:p>
            <w:pPr>
              <w:widowControl/>
              <w:kinsoku w:val="0"/>
              <w:autoSpaceDE w:val="0"/>
              <w:autoSpaceDN w:val="0"/>
              <w:adjustRightInd w:val="0"/>
              <w:snapToGrid w:val="0"/>
              <w:spacing w:line="360" w:lineRule="auto"/>
              <w:ind w:firstLine="480" w:firstLineChars="200"/>
              <w:rPr>
                <w:sz w:val="24"/>
              </w:rPr>
            </w:pPr>
            <w:r>
              <w:rPr>
                <w:sz w:val="24"/>
              </w:rPr>
              <w:t>①烟气量</w:t>
            </w:r>
          </w:p>
          <w:p>
            <w:pPr>
              <w:widowControl/>
              <w:kinsoku w:val="0"/>
              <w:autoSpaceDE w:val="0"/>
              <w:autoSpaceDN w:val="0"/>
              <w:adjustRightInd w:val="0"/>
              <w:snapToGrid w:val="0"/>
              <w:spacing w:line="360" w:lineRule="auto"/>
              <w:ind w:firstLine="480" w:firstLineChars="200"/>
              <w:rPr>
                <w:sz w:val="24"/>
              </w:rPr>
            </w:pPr>
            <w:r>
              <w:rPr>
                <w:sz w:val="24"/>
              </w:rPr>
              <w:t>本次空气量计算参照《污染源源强核算技术指南 锅炉》(HJ991-2018)中附录C、C</w:t>
            </w:r>
            <w:r>
              <w:rPr>
                <w:rFonts w:hint="eastAsia"/>
                <w:sz w:val="24"/>
              </w:rPr>
              <w:t>2</w:t>
            </w:r>
            <w:r>
              <w:rPr>
                <w:sz w:val="24"/>
              </w:rPr>
              <w:t>公式进行计算，具体如下：</w:t>
            </w:r>
          </w:p>
          <w:p>
            <w:pPr>
              <w:widowControl/>
              <w:kinsoku w:val="0"/>
              <w:autoSpaceDE w:val="0"/>
              <w:autoSpaceDN w:val="0"/>
              <w:adjustRightInd w:val="0"/>
              <w:snapToGrid w:val="0"/>
              <w:spacing w:line="360" w:lineRule="auto"/>
              <w:ind w:firstLine="480" w:firstLineChars="200"/>
              <w:rPr>
                <w:sz w:val="24"/>
              </w:rPr>
            </w:pPr>
            <w:r>
              <w:rPr>
                <w:sz w:val="24"/>
              </w:rPr>
              <w:t>C.2对于1kg固体或液体燃料，有元素成分分析时理论空气量用式(C.2)计算。</w:t>
            </w:r>
          </w:p>
          <w:p>
            <w:pPr>
              <w:widowControl/>
              <w:kinsoku w:val="0"/>
              <w:autoSpaceDE w:val="0"/>
              <w:autoSpaceDN w:val="0"/>
              <w:adjustRightInd w:val="0"/>
              <w:snapToGrid w:val="0"/>
              <w:spacing w:afterLines="100" w:line="360" w:lineRule="auto"/>
              <w:jc w:val="center"/>
              <w:rPr>
                <w:sz w:val="24"/>
              </w:rPr>
            </w:pPr>
            <w:r>
              <w:rPr>
                <w:sz w:val="24"/>
              </w:rPr>
              <w:t>V</w:t>
            </w:r>
            <w:r>
              <w:rPr>
                <w:sz w:val="24"/>
                <w:vertAlign w:val="subscript"/>
              </w:rPr>
              <w:t>0</w:t>
            </w:r>
            <w:r>
              <w:rPr>
                <w:sz w:val="24"/>
              </w:rPr>
              <w:t>=0.0889(Car+0.375Sar)+0.265Har-0.0333Oar</w:t>
            </w:r>
          </w:p>
          <w:p>
            <w:pPr>
              <w:widowControl/>
              <w:kinsoku w:val="0"/>
              <w:autoSpaceDE w:val="0"/>
              <w:autoSpaceDN w:val="0"/>
              <w:adjustRightInd w:val="0"/>
              <w:snapToGrid w:val="0"/>
              <w:spacing w:line="360" w:lineRule="auto"/>
              <w:ind w:firstLine="480" w:firstLineChars="200"/>
              <w:rPr>
                <w:sz w:val="24"/>
              </w:rPr>
            </w:pPr>
            <w:r>
              <w:rPr>
                <w:sz w:val="24"/>
              </w:rPr>
              <w:t>式中：V</w:t>
            </w:r>
            <w:r>
              <w:rPr>
                <w:sz w:val="24"/>
                <w:vertAlign w:val="subscript"/>
              </w:rPr>
              <w:t>0</w:t>
            </w:r>
            <w:r>
              <w:rPr>
                <w:sz w:val="24"/>
              </w:rPr>
              <w:t>——理论空气量，m</w:t>
            </w:r>
            <w:r>
              <w:rPr>
                <w:sz w:val="24"/>
                <w:vertAlign w:val="superscript"/>
              </w:rPr>
              <w:t>3</w:t>
            </w:r>
            <w:r>
              <w:rPr>
                <w:sz w:val="24"/>
              </w:rPr>
              <w:t>/kg；</w:t>
            </w:r>
          </w:p>
          <w:p>
            <w:pPr>
              <w:widowControl/>
              <w:kinsoku w:val="0"/>
              <w:autoSpaceDE w:val="0"/>
              <w:autoSpaceDN w:val="0"/>
              <w:adjustRightInd w:val="0"/>
              <w:snapToGrid w:val="0"/>
              <w:spacing w:line="360" w:lineRule="auto"/>
              <w:ind w:firstLine="1200" w:firstLineChars="500"/>
              <w:rPr>
                <w:sz w:val="24"/>
              </w:rPr>
            </w:pPr>
            <w:r>
              <w:rPr>
                <w:sz w:val="24"/>
              </w:rPr>
              <w:t>C</w:t>
            </w:r>
            <w:r>
              <w:rPr>
                <w:sz w:val="24"/>
                <w:vertAlign w:val="subscript"/>
              </w:rPr>
              <w:t>ar</w:t>
            </w:r>
            <w:r>
              <w:rPr>
                <w:sz w:val="24"/>
              </w:rPr>
              <w:t>——收到基碳的质量分数，%；</w:t>
            </w:r>
            <w:r>
              <w:rPr>
                <w:rFonts w:hint="eastAsia"/>
                <w:sz w:val="24"/>
              </w:rPr>
              <w:t>本项目取38.64%。</w:t>
            </w:r>
          </w:p>
          <w:p>
            <w:pPr>
              <w:widowControl/>
              <w:kinsoku w:val="0"/>
              <w:autoSpaceDE w:val="0"/>
              <w:autoSpaceDN w:val="0"/>
              <w:adjustRightInd w:val="0"/>
              <w:snapToGrid w:val="0"/>
              <w:spacing w:line="360" w:lineRule="auto"/>
              <w:ind w:firstLine="1200" w:firstLineChars="500"/>
              <w:rPr>
                <w:sz w:val="24"/>
              </w:rPr>
            </w:pPr>
            <w:r>
              <w:rPr>
                <w:sz w:val="24"/>
              </w:rPr>
              <w:t>S</w:t>
            </w:r>
            <w:r>
              <w:rPr>
                <w:sz w:val="24"/>
                <w:vertAlign w:val="subscript"/>
              </w:rPr>
              <w:t>ar</w:t>
            </w:r>
            <w:r>
              <w:rPr>
                <w:sz w:val="24"/>
              </w:rPr>
              <w:t>——收到基硫的质量分数，%；</w:t>
            </w:r>
            <w:r>
              <w:rPr>
                <w:rFonts w:hint="eastAsia"/>
                <w:sz w:val="24"/>
              </w:rPr>
              <w:t>本项目取0.05%。</w:t>
            </w:r>
          </w:p>
          <w:p>
            <w:pPr>
              <w:widowControl/>
              <w:kinsoku w:val="0"/>
              <w:autoSpaceDE w:val="0"/>
              <w:autoSpaceDN w:val="0"/>
              <w:adjustRightInd w:val="0"/>
              <w:snapToGrid w:val="0"/>
              <w:spacing w:line="360" w:lineRule="auto"/>
              <w:ind w:firstLine="1200" w:firstLineChars="500"/>
              <w:rPr>
                <w:sz w:val="24"/>
              </w:rPr>
            </w:pPr>
            <w:r>
              <w:rPr>
                <w:sz w:val="24"/>
              </w:rPr>
              <w:t>H</w:t>
            </w:r>
            <w:r>
              <w:rPr>
                <w:sz w:val="24"/>
                <w:vertAlign w:val="subscript"/>
              </w:rPr>
              <w:t>ar</w:t>
            </w:r>
            <w:r>
              <w:rPr>
                <w:sz w:val="24"/>
              </w:rPr>
              <w:t>——收到基氢的质量分数，%；</w:t>
            </w:r>
            <w:r>
              <w:rPr>
                <w:rFonts w:hint="eastAsia"/>
                <w:sz w:val="24"/>
              </w:rPr>
              <w:t>本项目取6.08%。</w:t>
            </w:r>
          </w:p>
          <w:p>
            <w:pPr>
              <w:widowControl/>
              <w:kinsoku w:val="0"/>
              <w:autoSpaceDE w:val="0"/>
              <w:autoSpaceDN w:val="0"/>
              <w:adjustRightInd w:val="0"/>
              <w:snapToGrid w:val="0"/>
              <w:spacing w:line="360" w:lineRule="auto"/>
              <w:ind w:firstLine="1200" w:firstLineChars="500"/>
              <w:rPr>
                <w:sz w:val="24"/>
              </w:rPr>
            </w:pPr>
            <w:r>
              <w:rPr>
                <w:sz w:val="24"/>
              </w:rPr>
              <w:t>O</w:t>
            </w:r>
            <w:r>
              <w:rPr>
                <w:sz w:val="24"/>
                <w:vertAlign w:val="subscript"/>
              </w:rPr>
              <w:t>ar</w:t>
            </w:r>
            <w:r>
              <w:rPr>
                <w:sz w:val="24"/>
              </w:rPr>
              <w:t>——收到基氧的质量分数，%。</w:t>
            </w:r>
            <w:r>
              <w:rPr>
                <w:rFonts w:hint="eastAsia"/>
                <w:sz w:val="24"/>
              </w:rPr>
              <w:t>本项目取38.2%。</w:t>
            </w:r>
          </w:p>
          <w:p>
            <w:pPr>
              <w:widowControl/>
              <w:kinsoku w:val="0"/>
              <w:autoSpaceDE w:val="0"/>
              <w:autoSpaceDN w:val="0"/>
              <w:adjustRightInd w:val="0"/>
              <w:snapToGrid w:val="0"/>
              <w:spacing w:line="360" w:lineRule="auto"/>
              <w:ind w:firstLine="480" w:firstLineChars="200"/>
              <w:rPr>
                <w:sz w:val="24"/>
              </w:rPr>
            </w:pPr>
            <w:r>
              <w:rPr>
                <w:sz w:val="24"/>
              </w:rPr>
              <w:t>经计算空气量V</w:t>
            </w:r>
            <w:r>
              <w:rPr>
                <w:sz w:val="24"/>
                <w:vertAlign w:val="subscript"/>
              </w:rPr>
              <w:t>0</w:t>
            </w:r>
            <w:r>
              <w:rPr>
                <w:sz w:val="24"/>
              </w:rPr>
              <w:t>约为</w:t>
            </w:r>
            <w:r>
              <w:rPr>
                <w:rFonts w:hint="eastAsia"/>
                <w:sz w:val="24"/>
              </w:rPr>
              <w:t>3.776</w:t>
            </w:r>
            <w:r>
              <w:rPr>
                <w:sz w:val="24"/>
              </w:rPr>
              <w:t>m</w:t>
            </w:r>
            <w:r>
              <w:rPr>
                <w:sz w:val="24"/>
                <w:vertAlign w:val="superscript"/>
              </w:rPr>
              <w:t>3</w:t>
            </w:r>
            <w:r>
              <w:rPr>
                <w:sz w:val="24"/>
              </w:rPr>
              <w:t>/kg。烟气量采用附录C、C3公式进行计算：</w:t>
            </w:r>
          </w:p>
          <w:p>
            <w:pPr>
              <w:widowControl/>
              <w:kinsoku w:val="0"/>
              <w:autoSpaceDE w:val="0"/>
              <w:autoSpaceDN w:val="0"/>
              <w:adjustRightInd w:val="0"/>
              <w:snapToGrid w:val="0"/>
              <w:spacing w:line="360" w:lineRule="auto"/>
              <w:ind w:firstLine="480" w:firstLineChars="200"/>
              <w:rPr>
                <w:position w:val="-94"/>
              </w:rPr>
            </w:pPr>
            <w:r>
              <w:rPr>
                <w:sz w:val="24"/>
              </w:rPr>
              <w:t>C.3锅炉中实际燃烧过程是在过量空气系数α＞1的条件下进行的，1kg固体或液体燃料产生的烟气排放量可用式(C.4)计算。</w:t>
            </w:r>
          </w:p>
          <w:p>
            <w:pPr>
              <w:pStyle w:val="34"/>
              <w:spacing w:line="360" w:lineRule="auto"/>
              <w:jc w:val="center"/>
            </w:pPr>
            <w:r>
              <w:rPr>
                <w:rFonts w:hint="eastAsia" w:ascii="宋体" w:hAnsi="宋体" w:eastAsia="宋体" w:cs="宋体"/>
                <w:b/>
                <w:color w:val="000000"/>
                <w:kern w:val="2"/>
                <w:position w:val="-94"/>
                <w:sz w:val="24"/>
                <w:szCs w:val="24"/>
              </w:rPr>
              <w:object>
                <v:shape id="_x0000_i1033" o:spt="75" type="#_x0000_t75" style="height:123.35pt;width:244pt;" o:ole="t" fillcolor="#FFFFFF" filled="f" o:preferrelative="t" stroked="f" coordsize="21600,21600">
                  <v:path/>
                  <v:fill on="f" color2="#FFFFFF" focussize="0,0"/>
                  <v:stroke on="f"/>
                  <v:imagedata r:id="rId13" gain="65536f" blacklevel="0f" gamma="0" o:title=""/>
                  <o:lock v:ext="edit" position="f" selection="f" grouping="f" rotation="f" cropping="f" text="f" aspectratio="t"/>
                  <w10:wrap type="none"/>
                  <w10:anchorlock/>
                </v:shape>
                <o:OLEObject Type="Embed" ProgID="" ShapeID="_x0000_i1033" DrawAspect="Content" ObjectID="_1468075726" r:id="rId12">
                  <o:LockedField>false</o:LockedField>
                </o:OLEObject>
              </w:object>
            </w:r>
          </w:p>
          <w:p>
            <w:pPr>
              <w:widowControl/>
              <w:kinsoku w:val="0"/>
              <w:autoSpaceDE w:val="0"/>
              <w:autoSpaceDN w:val="0"/>
              <w:adjustRightInd w:val="0"/>
              <w:snapToGrid w:val="0"/>
              <w:spacing w:line="360" w:lineRule="auto"/>
              <w:ind w:firstLine="480" w:firstLineChars="200"/>
              <w:rPr>
                <w:sz w:val="24"/>
              </w:rPr>
            </w:pPr>
            <w:r>
              <w:rPr>
                <w:sz w:val="24"/>
              </w:rPr>
              <w:t>式中：V</w:t>
            </w:r>
            <w:r>
              <w:rPr>
                <w:sz w:val="24"/>
                <w:vertAlign w:val="subscript"/>
              </w:rPr>
              <w:t>RO2</w:t>
            </w:r>
            <w:r>
              <w:rPr>
                <w:sz w:val="24"/>
              </w:rPr>
              <w:t>——烟气中二氧化碳(V</w:t>
            </w:r>
            <w:r>
              <w:rPr>
                <w:sz w:val="24"/>
                <w:vertAlign w:val="subscript"/>
              </w:rPr>
              <w:t>CO2</w:t>
            </w:r>
            <w:r>
              <w:rPr>
                <w:sz w:val="24"/>
              </w:rPr>
              <w:t xml:space="preserve"> )和二氧化硫(V</w:t>
            </w:r>
            <w:r>
              <w:rPr>
                <w:sz w:val="24"/>
                <w:vertAlign w:val="subscript"/>
              </w:rPr>
              <w:t>SO2</w:t>
            </w:r>
            <w:r>
              <w:rPr>
                <w:sz w:val="24"/>
              </w:rPr>
              <w:t>)容积之和，m³/kg；</w:t>
            </w:r>
          </w:p>
          <w:p>
            <w:pPr>
              <w:widowControl/>
              <w:kinsoku w:val="0"/>
              <w:autoSpaceDE w:val="0"/>
              <w:autoSpaceDN w:val="0"/>
              <w:adjustRightInd w:val="0"/>
              <w:snapToGrid w:val="0"/>
              <w:spacing w:line="360" w:lineRule="auto"/>
              <w:ind w:firstLine="480" w:firstLineChars="200"/>
              <w:rPr>
                <w:sz w:val="24"/>
              </w:rPr>
            </w:pPr>
            <w:r>
              <w:rPr>
                <w:sz w:val="24"/>
              </w:rPr>
              <w:t>C</w:t>
            </w:r>
            <w:r>
              <w:rPr>
                <w:sz w:val="24"/>
                <w:vertAlign w:val="subscript"/>
              </w:rPr>
              <w:t>ar</w:t>
            </w:r>
            <w:r>
              <w:rPr>
                <w:sz w:val="24"/>
              </w:rPr>
              <w:t>——收到基碳的质量分数，%；</w:t>
            </w:r>
            <w:r>
              <w:rPr>
                <w:rFonts w:hint="eastAsia"/>
                <w:sz w:val="24"/>
              </w:rPr>
              <w:t>本项目取38.64%。</w:t>
            </w:r>
          </w:p>
          <w:p>
            <w:pPr>
              <w:widowControl/>
              <w:kinsoku w:val="0"/>
              <w:autoSpaceDE w:val="0"/>
              <w:autoSpaceDN w:val="0"/>
              <w:adjustRightInd w:val="0"/>
              <w:snapToGrid w:val="0"/>
              <w:spacing w:line="360" w:lineRule="auto"/>
              <w:ind w:firstLine="480" w:firstLineChars="200"/>
              <w:rPr>
                <w:sz w:val="24"/>
              </w:rPr>
            </w:pPr>
            <w:r>
              <w:rPr>
                <w:sz w:val="24"/>
              </w:rPr>
              <w:t>S</w:t>
            </w:r>
            <w:r>
              <w:rPr>
                <w:sz w:val="24"/>
                <w:vertAlign w:val="subscript"/>
              </w:rPr>
              <w:t>ar</w:t>
            </w:r>
            <w:r>
              <w:rPr>
                <w:sz w:val="24"/>
              </w:rPr>
              <w:t>——收到基硫的质量分数，%；</w:t>
            </w:r>
            <w:r>
              <w:rPr>
                <w:rFonts w:hint="eastAsia"/>
                <w:sz w:val="24"/>
              </w:rPr>
              <w:t>本项目取0.05%。</w:t>
            </w:r>
          </w:p>
          <w:p>
            <w:pPr>
              <w:widowControl/>
              <w:kinsoku w:val="0"/>
              <w:autoSpaceDE w:val="0"/>
              <w:autoSpaceDN w:val="0"/>
              <w:adjustRightInd w:val="0"/>
              <w:snapToGrid w:val="0"/>
              <w:spacing w:line="360" w:lineRule="auto"/>
              <w:ind w:firstLine="480" w:firstLineChars="200"/>
              <w:rPr>
                <w:sz w:val="24"/>
              </w:rPr>
            </w:pPr>
            <w:r>
              <w:rPr>
                <w:sz w:val="24"/>
              </w:rPr>
              <w:t>V</w:t>
            </w:r>
            <w:r>
              <w:rPr>
                <w:sz w:val="24"/>
                <w:vertAlign w:val="subscript"/>
              </w:rPr>
              <w:t>N2</w:t>
            </w:r>
            <w:r>
              <w:rPr>
                <w:sz w:val="24"/>
              </w:rPr>
              <w:t>——烟气中氮气量，m</w:t>
            </w:r>
            <w:r>
              <w:rPr>
                <w:sz w:val="24"/>
                <w:vertAlign w:val="superscript"/>
              </w:rPr>
              <w:t>3</w:t>
            </w:r>
            <w:r>
              <w:rPr>
                <w:sz w:val="24"/>
              </w:rPr>
              <w:t>/kg；</w:t>
            </w:r>
          </w:p>
          <w:p>
            <w:pPr>
              <w:widowControl/>
              <w:kinsoku w:val="0"/>
              <w:autoSpaceDE w:val="0"/>
              <w:autoSpaceDN w:val="0"/>
              <w:adjustRightInd w:val="0"/>
              <w:snapToGrid w:val="0"/>
              <w:spacing w:line="360" w:lineRule="auto"/>
              <w:ind w:firstLine="480" w:firstLineChars="200"/>
              <w:rPr>
                <w:sz w:val="24"/>
              </w:rPr>
            </w:pPr>
            <w:r>
              <w:rPr>
                <w:sz w:val="24"/>
              </w:rPr>
              <w:t>N</w:t>
            </w:r>
            <w:r>
              <w:rPr>
                <w:sz w:val="24"/>
                <w:vertAlign w:val="subscript"/>
              </w:rPr>
              <w:t>ar</w:t>
            </w:r>
            <w:r>
              <w:rPr>
                <w:sz w:val="24"/>
              </w:rPr>
              <w:t>——收到基氮的质量分数，%；</w:t>
            </w:r>
            <w:r>
              <w:rPr>
                <w:rFonts w:hint="eastAsia"/>
                <w:sz w:val="24"/>
              </w:rPr>
              <w:t>本项目取0.87%。</w:t>
            </w:r>
          </w:p>
          <w:p>
            <w:pPr>
              <w:widowControl/>
              <w:kinsoku w:val="0"/>
              <w:autoSpaceDE w:val="0"/>
              <w:autoSpaceDN w:val="0"/>
              <w:adjustRightInd w:val="0"/>
              <w:snapToGrid w:val="0"/>
              <w:spacing w:line="360" w:lineRule="auto"/>
              <w:ind w:firstLine="480" w:firstLineChars="200"/>
              <w:rPr>
                <w:sz w:val="24"/>
              </w:rPr>
            </w:pPr>
            <w:r>
              <w:rPr>
                <w:sz w:val="24"/>
              </w:rPr>
              <w:t>α——过量空气系数，燃料燃烧时实际空气供给量与理论空气需要量之比值，</w:t>
            </w:r>
            <w:r>
              <w:rPr>
                <w:rFonts w:hint="eastAsia"/>
                <w:sz w:val="24"/>
              </w:rPr>
              <w:t>本项目过量空气系数按照燃煤锅炉取值。</w:t>
            </w:r>
            <w:r>
              <w:rPr>
                <w:sz w:val="24"/>
              </w:rPr>
              <w:t>燃煤锅炉的过量空气系数为1.75，对应基准氧含量为9%；</w:t>
            </w:r>
          </w:p>
          <w:p>
            <w:pPr>
              <w:widowControl/>
              <w:kinsoku w:val="0"/>
              <w:autoSpaceDE w:val="0"/>
              <w:autoSpaceDN w:val="0"/>
              <w:adjustRightInd w:val="0"/>
              <w:snapToGrid w:val="0"/>
              <w:spacing w:line="360" w:lineRule="auto"/>
              <w:ind w:firstLine="480" w:firstLineChars="200"/>
              <w:rPr>
                <w:sz w:val="24"/>
              </w:rPr>
            </w:pPr>
            <w:r>
              <w:rPr>
                <w:sz w:val="24"/>
              </w:rPr>
              <w:t>V</w:t>
            </w:r>
            <w:r>
              <w:rPr>
                <w:sz w:val="24"/>
                <w:vertAlign w:val="subscript"/>
              </w:rPr>
              <w:t>0</w:t>
            </w:r>
            <w:r>
              <w:rPr>
                <w:sz w:val="24"/>
              </w:rPr>
              <w:t>——理论空气量，m</w:t>
            </w:r>
            <w:r>
              <w:rPr>
                <w:sz w:val="24"/>
                <w:vertAlign w:val="superscript"/>
              </w:rPr>
              <w:t>3</w:t>
            </w:r>
            <w:r>
              <w:rPr>
                <w:sz w:val="24"/>
              </w:rPr>
              <w:t>/kg；</w:t>
            </w:r>
          </w:p>
          <w:p>
            <w:pPr>
              <w:widowControl/>
              <w:kinsoku w:val="0"/>
              <w:autoSpaceDE w:val="0"/>
              <w:autoSpaceDN w:val="0"/>
              <w:adjustRightInd w:val="0"/>
              <w:snapToGrid w:val="0"/>
              <w:spacing w:line="360" w:lineRule="auto"/>
              <w:ind w:firstLine="480" w:firstLineChars="200"/>
              <w:rPr>
                <w:sz w:val="24"/>
              </w:rPr>
            </w:pPr>
            <w:r>
              <w:rPr>
                <w:sz w:val="24"/>
              </w:rPr>
              <w:t>Vg——干烟气排放量，m</w:t>
            </w:r>
            <w:r>
              <w:rPr>
                <w:sz w:val="24"/>
                <w:vertAlign w:val="superscript"/>
              </w:rPr>
              <w:t>3</w:t>
            </w:r>
            <w:r>
              <w:rPr>
                <w:sz w:val="24"/>
              </w:rPr>
              <w:t>/kg；</w:t>
            </w:r>
          </w:p>
          <w:p>
            <w:pPr>
              <w:widowControl/>
              <w:kinsoku w:val="0"/>
              <w:autoSpaceDE w:val="0"/>
              <w:autoSpaceDN w:val="0"/>
              <w:adjustRightInd w:val="0"/>
              <w:snapToGrid w:val="0"/>
              <w:spacing w:line="360" w:lineRule="auto"/>
              <w:ind w:firstLine="480" w:firstLineChars="200"/>
              <w:rPr>
                <w:sz w:val="24"/>
              </w:rPr>
            </w:pPr>
            <w:r>
              <w:rPr>
                <w:sz w:val="24"/>
              </w:rPr>
              <w:t>V</w:t>
            </w:r>
            <w:r>
              <w:rPr>
                <w:sz w:val="24"/>
                <w:vertAlign w:val="subscript"/>
              </w:rPr>
              <w:t>H2O</w:t>
            </w:r>
            <w:r>
              <w:rPr>
                <w:sz w:val="24"/>
              </w:rPr>
              <w:t>——烟气中水蒸气量，m</w:t>
            </w:r>
            <w:r>
              <w:rPr>
                <w:sz w:val="24"/>
                <w:vertAlign w:val="superscript"/>
              </w:rPr>
              <w:t>3</w:t>
            </w:r>
            <w:r>
              <w:rPr>
                <w:sz w:val="24"/>
              </w:rPr>
              <w:t>/kg；</w:t>
            </w:r>
          </w:p>
          <w:p>
            <w:pPr>
              <w:widowControl/>
              <w:kinsoku w:val="0"/>
              <w:autoSpaceDE w:val="0"/>
              <w:autoSpaceDN w:val="0"/>
              <w:adjustRightInd w:val="0"/>
              <w:snapToGrid w:val="0"/>
              <w:spacing w:line="360" w:lineRule="auto"/>
              <w:ind w:firstLine="480" w:firstLineChars="200"/>
              <w:rPr>
                <w:sz w:val="24"/>
              </w:rPr>
            </w:pPr>
            <w:r>
              <w:rPr>
                <w:sz w:val="24"/>
              </w:rPr>
              <w:t>H</w:t>
            </w:r>
            <w:r>
              <w:rPr>
                <w:sz w:val="24"/>
                <w:vertAlign w:val="subscript"/>
              </w:rPr>
              <w:t>ar</w:t>
            </w:r>
            <w:r>
              <w:rPr>
                <w:sz w:val="24"/>
              </w:rPr>
              <w:t>——收到基氢的质量分数，%；</w:t>
            </w:r>
            <w:r>
              <w:rPr>
                <w:rFonts w:hint="eastAsia"/>
                <w:sz w:val="24"/>
              </w:rPr>
              <w:t>本项目取6.08</w:t>
            </w:r>
            <w:r>
              <w:rPr>
                <w:sz w:val="24"/>
              </w:rPr>
              <w:t>%</w:t>
            </w:r>
            <w:r>
              <w:rPr>
                <w:rFonts w:hint="eastAsia"/>
                <w:sz w:val="24"/>
              </w:rPr>
              <w:t>。</w:t>
            </w:r>
          </w:p>
          <w:p>
            <w:pPr>
              <w:widowControl/>
              <w:kinsoku w:val="0"/>
              <w:autoSpaceDE w:val="0"/>
              <w:autoSpaceDN w:val="0"/>
              <w:adjustRightInd w:val="0"/>
              <w:snapToGrid w:val="0"/>
              <w:spacing w:line="360" w:lineRule="auto"/>
              <w:ind w:firstLine="480" w:firstLineChars="200"/>
              <w:rPr>
                <w:sz w:val="24"/>
              </w:rPr>
            </w:pPr>
            <w:r>
              <w:rPr>
                <w:sz w:val="24"/>
              </w:rPr>
              <w:t>M</w:t>
            </w:r>
            <w:r>
              <w:rPr>
                <w:sz w:val="24"/>
                <w:vertAlign w:val="subscript"/>
              </w:rPr>
              <w:t>ar</w:t>
            </w:r>
            <w:r>
              <w:rPr>
                <w:sz w:val="24"/>
              </w:rPr>
              <w:t>——收到基水分的质量分数，%；</w:t>
            </w:r>
            <w:r>
              <w:rPr>
                <w:rFonts w:hint="eastAsia"/>
                <w:sz w:val="24"/>
              </w:rPr>
              <w:t>本项目取11.02%。</w:t>
            </w:r>
          </w:p>
          <w:p>
            <w:pPr>
              <w:widowControl/>
              <w:kinsoku w:val="0"/>
              <w:autoSpaceDE w:val="0"/>
              <w:autoSpaceDN w:val="0"/>
              <w:adjustRightInd w:val="0"/>
              <w:snapToGrid w:val="0"/>
              <w:spacing w:line="360" w:lineRule="auto"/>
              <w:ind w:firstLine="480" w:firstLineChars="200"/>
              <w:rPr>
                <w:sz w:val="24"/>
              </w:rPr>
            </w:pPr>
            <w:r>
              <w:rPr>
                <w:sz w:val="24"/>
              </w:rPr>
              <w:t>G</w:t>
            </w:r>
            <w:r>
              <w:rPr>
                <w:sz w:val="24"/>
                <w:vertAlign w:val="subscript"/>
              </w:rPr>
              <w:t>wh</w:t>
            </w:r>
            <w:r>
              <w:rPr>
                <w:sz w:val="24"/>
              </w:rPr>
              <w:t>——雾化燃油时消耗的蒸汽量，kg/kg；</w:t>
            </w:r>
            <w:r>
              <w:rPr>
                <w:rFonts w:hint="eastAsia"/>
                <w:sz w:val="24"/>
              </w:rPr>
              <w:t>本项目取0。</w:t>
            </w:r>
          </w:p>
          <w:p>
            <w:pPr>
              <w:widowControl/>
              <w:kinsoku w:val="0"/>
              <w:autoSpaceDE w:val="0"/>
              <w:autoSpaceDN w:val="0"/>
              <w:adjustRightInd w:val="0"/>
              <w:snapToGrid w:val="0"/>
              <w:spacing w:line="360" w:lineRule="auto"/>
              <w:ind w:firstLine="480" w:firstLineChars="200"/>
              <w:rPr>
                <w:sz w:val="24"/>
              </w:rPr>
            </w:pPr>
            <w:r>
              <w:rPr>
                <w:sz w:val="24"/>
              </w:rPr>
              <w:t>Vs——湿烟气排放量，m³/kg。</w:t>
            </w:r>
          </w:p>
          <w:p>
            <w:pPr>
              <w:widowControl/>
              <w:kinsoku w:val="0"/>
              <w:autoSpaceDE w:val="0"/>
              <w:autoSpaceDN w:val="0"/>
              <w:adjustRightInd w:val="0"/>
              <w:snapToGrid w:val="0"/>
              <w:spacing w:line="360" w:lineRule="auto"/>
              <w:ind w:firstLine="480" w:firstLineChars="200"/>
              <w:rPr>
                <w:sz w:val="24"/>
              </w:rPr>
            </w:pPr>
            <w:r>
              <w:rPr>
                <w:sz w:val="24"/>
              </w:rPr>
              <w:t>经计算Vg为</w:t>
            </w:r>
            <w:r>
              <w:rPr>
                <w:rFonts w:hint="eastAsia"/>
                <w:sz w:val="24"/>
              </w:rPr>
              <w:t>6.543</w:t>
            </w:r>
            <w:r>
              <w:rPr>
                <w:sz w:val="24"/>
              </w:rPr>
              <w:t>m</w:t>
            </w:r>
            <w:r>
              <w:rPr>
                <w:sz w:val="24"/>
                <w:vertAlign w:val="superscript"/>
              </w:rPr>
              <w:t>3</w:t>
            </w:r>
            <w:r>
              <w:rPr>
                <w:sz w:val="24"/>
              </w:rPr>
              <w:t>/kg，Vs为</w:t>
            </w:r>
            <w:r>
              <w:rPr>
                <w:rFonts w:hint="eastAsia"/>
                <w:sz w:val="24"/>
              </w:rPr>
              <w:t>7.461</w:t>
            </w:r>
            <w:r>
              <w:rPr>
                <w:sz w:val="24"/>
              </w:rPr>
              <w:t>m</w:t>
            </w:r>
            <w:r>
              <w:rPr>
                <w:sz w:val="24"/>
                <w:vertAlign w:val="superscript"/>
              </w:rPr>
              <w:t>3</w:t>
            </w:r>
            <w:r>
              <w:rPr>
                <w:sz w:val="24"/>
              </w:rPr>
              <w:t>/kg。本项目燃</w:t>
            </w:r>
            <w:r>
              <w:rPr>
                <w:rFonts w:hint="eastAsia"/>
                <w:sz w:val="24"/>
              </w:rPr>
              <w:t>兰碳锅炉</w:t>
            </w:r>
            <w:r>
              <w:rPr>
                <w:sz w:val="24"/>
              </w:rPr>
              <w:t>年消耗</w:t>
            </w:r>
            <w:r>
              <w:rPr>
                <w:rFonts w:hint="eastAsia"/>
                <w:sz w:val="24"/>
              </w:rPr>
              <w:t>生物质162</w:t>
            </w:r>
            <w:r>
              <w:rPr>
                <w:sz w:val="24"/>
              </w:rPr>
              <w:t>t，则总干烟气量为</w:t>
            </w:r>
            <w:r>
              <w:rPr>
                <w:rFonts w:hint="eastAsia"/>
                <w:sz w:val="24"/>
              </w:rPr>
              <w:t>1.06×10</w:t>
            </w:r>
            <w:r>
              <w:rPr>
                <w:rFonts w:hint="eastAsia"/>
                <w:sz w:val="24"/>
                <w:vertAlign w:val="superscript"/>
              </w:rPr>
              <w:t>6</w:t>
            </w:r>
            <w:r>
              <w:rPr>
                <w:sz w:val="24"/>
              </w:rPr>
              <w:t>m</w:t>
            </w:r>
            <w:r>
              <w:rPr>
                <w:sz w:val="24"/>
                <w:vertAlign w:val="superscript"/>
              </w:rPr>
              <w:t>3</w:t>
            </w:r>
            <w:r>
              <w:rPr>
                <w:sz w:val="24"/>
              </w:rPr>
              <w:t>，总湿烟气量为</w:t>
            </w:r>
            <w:r>
              <w:rPr>
                <w:rFonts w:hint="eastAsia"/>
                <w:sz w:val="24"/>
              </w:rPr>
              <w:t>1.209×10</w:t>
            </w:r>
            <w:r>
              <w:rPr>
                <w:rFonts w:hint="eastAsia"/>
                <w:sz w:val="24"/>
                <w:vertAlign w:val="superscript"/>
              </w:rPr>
              <w:t>6</w:t>
            </w:r>
            <w:r>
              <w:rPr>
                <w:sz w:val="24"/>
              </w:rPr>
              <w:t>m</w:t>
            </w:r>
            <w:r>
              <w:rPr>
                <w:sz w:val="24"/>
                <w:vertAlign w:val="superscript"/>
              </w:rPr>
              <w:t>3</w:t>
            </w:r>
            <w:r>
              <w:rPr>
                <w:sz w:val="24"/>
              </w:rPr>
              <w:t>。</w:t>
            </w:r>
          </w:p>
          <w:p>
            <w:pPr>
              <w:widowControl/>
              <w:kinsoku w:val="0"/>
              <w:autoSpaceDE w:val="0"/>
              <w:autoSpaceDN w:val="0"/>
              <w:adjustRightInd w:val="0"/>
              <w:snapToGrid w:val="0"/>
              <w:spacing w:line="360" w:lineRule="auto"/>
              <w:ind w:firstLine="480" w:firstLineChars="200"/>
              <w:rPr>
                <w:sz w:val="24"/>
              </w:rPr>
            </w:pPr>
            <w:r>
              <w:rPr>
                <w:sz w:val="24"/>
              </w:rPr>
              <w:t>②烟尘</w:t>
            </w:r>
          </w:p>
          <w:p>
            <w:pPr>
              <w:pStyle w:val="34"/>
              <w:spacing w:line="480" w:lineRule="auto"/>
              <w:jc w:val="center"/>
            </w:pPr>
            <w:r>
              <w:rPr>
                <w:rFonts w:hint="eastAsia" w:ascii="宋体" w:hAnsi="宋体" w:eastAsia="宋体" w:cs="宋体"/>
                <w:b/>
                <w:color w:val="000000"/>
                <w:kern w:val="2"/>
                <w:position w:val="-54"/>
                <w:sz w:val="24"/>
                <w:szCs w:val="24"/>
              </w:rPr>
              <w:object>
                <v:shape id="_x0000_i1034" o:spt="75" type="#_x0000_t75" style="height:60.65pt;width:149.35pt;" o:ole="t" fillcolor="#FFFFFF" filled="f" o:preferrelative="t" stroked="f" coordsize="21600,21600">
                  <v:path/>
                  <v:fill on="f" color2="#FFFFFF" focussize="0,0"/>
                  <v:stroke on="f"/>
                  <v:imagedata r:id="rId15" gain="65536f" blacklevel="0f" gamma="0" o:title=""/>
                  <o:lock v:ext="edit" position="f" selection="f" grouping="f" rotation="f" cropping="f" text="f" aspectratio="t"/>
                  <w10:wrap type="none"/>
                  <w10:anchorlock/>
                </v:shape>
                <o:OLEObject Type="Embed" ProgID="" ShapeID="_x0000_i1034" DrawAspect="Content" ObjectID="_1468075727" r:id="rId14">
                  <o:LockedField>false</o:LockedField>
                </o:OLEObject>
              </w:object>
            </w:r>
          </w:p>
          <w:p>
            <w:pPr>
              <w:widowControl/>
              <w:kinsoku w:val="0"/>
              <w:autoSpaceDE w:val="0"/>
              <w:autoSpaceDN w:val="0"/>
              <w:adjustRightInd w:val="0"/>
              <w:snapToGrid w:val="0"/>
              <w:spacing w:line="360" w:lineRule="auto"/>
              <w:ind w:firstLine="480" w:firstLineChars="200"/>
              <w:rPr>
                <w:sz w:val="24"/>
              </w:rPr>
            </w:pPr>
            <w:r>
              <w:rPr>
                <w:sz w:val="24"/>
              </w:rPr>
              <w:t>式中：E</w:t>
            </w:r>
            <w:r>
              <w:rPr>
                <w:sz w:val="24"/>
                <w:vertAlign w:val="subscript"/>
              </w:rPr>
              <w:t>A</w:t>
            </w:r>
            <w:r>
              <w:rPr>
                <w:sz w:val="24"/>
              </w:rPr>
              <w:t>—核算时段内颗粒物(烟尘)排放量，t；</w:t>
            </w:r>
          </w:p>
          <w:p>
            <w:pPr>
              <w:widowControl/>
              <w:kinsoku w:val="0"/>
              <w:autoSpaceDE w:val="0"/>
              <w:autoSpaceDN w:val="0"/>
              <w:adjustRightInd w:val="0"/>
              <w:snapToGrid w:val="0"/>
              <w:spacing w:line="360" w:lineRule="auto"/>
              <w:ind w:firstLine="480" w:firstLineChars="200"/>
              <w:rPr>
                <w:sz w:val="24"/>
              </w:rPr>
            </w:pPr>
            <w:r>
              <w:rPr>
                <w:sz w:val="24"/>
              </w:rPr>
              <w:t>R—核算时段内锅炉燃料耗量，t；本项目年燃</w:t>
            </w:r>
            <w:r>
              <w:rPr>
                <w:rFonts w:hint="eastAsia"/>
                <w:sz w:val="24"/>
              </w:rPr>
              <w:t>生物质</w:t>
            </w:r>
            <w:r>
              <w:rPr>
                <w:sz w:val="24"/>
              </w:rPr>
              <w:t>量</w:t>
            </w:r>
            <w:r>
              <w:rPr>
                <w:rFonts w:hint="eastAsia"/>
                <w:sz w:val="24"/>
              </w:rPr>
              <w:t>162</w:t>
            </w:r>
            <w:r>
              <w:rPr>
                <w:sz w:val="24"/>
              </w:rPr>
              <w:t>t；</w:t>
            </w:r>
          </w:p>
          <w:p>
            <w:pPr>
              <w:widowControl/>
              <w:kinsoku w:val="0"/>
              <w:autoSpaceDE w:val="0"/>
              <w:autoSpaceDN w:val="0"/>
              <w:adjustRightInd w:val="0"/>
              <w:snapToGrid w:val="0"/>
              <w:spacing w:line="360" w:lineRule="auto"/>
              <w:ind w:firstLine="480" w:firstLineChars="200"/>
              <w:rPr>
                <w:sz w:val="24"/>
              </w:rPr>
            </w:pPr>
            <w:r>
              <w:rPr>
                <w:sz w:val="24"/>
              </w:rPr>
              <w:t>Aar—收到基灰分的质量分数，%；本项目</w:t>
            </w:r>
            <w:r>
              <w:rPr>
                <w:rFonts w:hint="eastAsia"/>
                <w:sz w:val="24"/>
              </w:rPr>
              <w:t>干燥基灰分5.4</w:t>
            </w:r>
            <w:r>
              <w:rPr>
                <w:sz w:val="24"/>
              </w:rPr>
              <w:t>；</w:t>
            </w:r>
          </w:p>
          <w:p>
            <w:pPr>
              <w:widowControl/>
              <w:kinsoku w:val="0"/>
              <w:autoSpaceDE w:val="0"/>
              <w:autoSpaceDN w:val="0"/>
              <w:adjustRightInd w:val="0"/>
              <w:snapToGrid w:val="0"/>
              <w:spacing w:line="360" w:lineRule="auto"/>
              <w:ind w:firstLine="480" w:firstLineChars="200"/>
              <w:rPr>
                <w:sz w:val="24"/>
                <w:u w:val="single"/>
              </w:rPr>
            </w:pPr>
            <w:r>
              <w:rPr>
                <w:sz w:val="24"/>
              </w:rPr>
              <w:t>d</w:t>
            </w:r>
            <w:r>
              <w:rPr>
                <w:sz w:val="24"/>
                <w:vertAlign w:val="subscript"/>
              </w:rPr>
              <w:t>fh</w:t>
            </w:r>
            <w:r>
              <w:rPr>
                <w:sz w:val="24"/>
              </w:rPr>
              <w:t>—锅炉烟气带出的飞灰份额，%；此参数与锅炉炉型有关，</w:t>
            </w:r>
            <w:r>
              <w:rPr>
                <w:rFonts w:hint="eastAsia"/>
                <w:sz w:val="24"/>
              </w:rPr>
              <w:t>根据《</w:t>
            </w:r>
            <w:r>
              <w:rPr>
                <w:sz w:val="24"/>
              </w:rPr>
              <w:t>污染源源强核算技术指南 锅炉》(HJ991-2018)</w:t>
            </w:r>
            <w:r>
              <w:rPr>
                <w:rFonts w:hint="eastAsia"/>
                <w:sz w:val="24"/>
              </w:rPr>
              <w:t>表B.2，</w:t>
            </w:r>
            <w:r>
              <w:rPr>
                <w:sz w:val="24"/>
              </w:rPr>
              <w:t>本项目取</w:t>
            </w:r>
            <w:r>
              <w:rPr>
                <w:rFonts w:hint="eastAsia"/>
                <w:sz w:val="24"/>
              </w:rPr>
              <w:t>40</w:t>
            </w:r>
            <w:r>
              <w:rPr>
                <w:sz w:val="24"/>
              </w:rPr>
              <w:t>；</w:t>
            </w:r>
          </w:p>
          <w:p>
            <w:pPr>
              <w:widowControl/>
              <w:kinsoku w:val="0"/>
              <w:autoSpaceDE w:val="0"/>
              <w:autoSpaceDN w:val="0"/>
              <w:adjustRightInd w:val="0"/>
              <w:snapToGrid w:val="0"/>
              <w:spacing w:line="360" w:lineRule="auto"/>
              <w:ind w:firstLine="480" w:firstLineChars="200"/>
              <w:rPr>
                <w:sz w:val="24"/>
              </w:rPr>
            </w:pPr>
            <w:r>
              <w:rPr>
                <w:sz w:val="24"/>
              </w:rPr>
              <w:t>ηc—综合除尘效率，%；袋式除尘器理除尘效率</w:t>
            </w:r>
            <w:r>
              <w:rPr>
                <w:rFonts w:hint="eastAsia"/>
                <w:sz w:val="24"/>
              </w:rPr>
              <w:t>99%</w:t>
            </w:r>
            <w:r>
              <w:rPr>
                <w:sz w:val="24"/>
              </w:rPr>
              <w:t>；</w:t>
            </w:r>
          </w:p>
          <w:p>
            <w:pPr>
              <w:widowControl/>
              <w:kinsoku w:val="0"/>
              <w:autoSpaceDE w:val="0"/>
              <w:autoSpaceDN w:val="0"/>
              <w:adjustRightInd w:val="0"/>
              <w:snapToGrid w:val="0"/>
              <w:spacing w:line="360" w:lineRule="auto"/>
              <w:ind w:firstLine="480" w:firstLineChars="200"/>
              <w:rPr>
                <w:sz w:val="24"/>
              </w:rPr>
            </w:pPr>
            <w:r>
              <w:rPr>
                <w:sz w:val="24"/>
              </w:rPr>
              <w:t>C</w:t>
            </w:r>
            <w:r>
              <w:rPr>
                <w:sz w:val="24"/>
                <w:vertAlign w:val="subscript"/>
              </w:rPr>
              <w:t>fh</w:t>
            </w:r>
            <w:r>
              <w:rPr>
                <w:sz w:val="24"/>
              </w:rPr>
              <w:t>—飞灰中的可燃物含量，%；即由烟道经除尘器排出的细灰的含碳量。本项目</w:t>
            </w:r>
            <w:r>
              <w:rPr>
                <w:rFonts w:hint="eastAsia"/>
                <w:sz w:val="24"/>
              </w:rPr>
              <w:t>生物质锅炉</w:t>
            </w:r>
            <w:r>
              <w:rPr>
                <w:sz w:val="24"/>
              </w:rPr>
              <w:t>，C</w:t>
            </w:r>
            <w:r>
              <w:rPr>
                <w:sz w:val="24"/>
                <w:vertAlign w:val="subscript"/>
              </w:rPr>
              <w:t>fh</w:t>
            </w:r>
            <w:r>
              <w:rPr>
                <w:sz w:val="24"/>
              </w:rPr>
              <w:t>指标为</w:t>
            </w:r>
            <w:r>
              <w:rPr>
                <w:rFonts w:hint="eastAsia"/>
                <w:sz w:val="24"/>
              </w:rPr>
              <w:t>17</w:t>
            </w:r>
            <w:r>
              <w:rPr>
                <w:sz w:val="24"/>
              </w:rPr>
              <w:t>。</w:t>
            </w:r>
          </w:p>
          <w:p>
            <w:pPr>
              <w:widowControl/>
              <w:kinsoku w:val="0"/>
              <w:autoSpaceDE w:val="0"/>
              <w:autoSpaceDN w:val="0"/>
              <w:adjustRightInd w:val="0"/>
              <w:snapToGrid w:val="0"/>
              <w:spacing w:line="360" w:lineRule="auto"/>
              <w:ind w:firstLine="480" w:firstLineChars="200"/>
              <w:rPr>
                <w:sz w:val="24"/>
              </w:rPr>
            </w:pPr>
            <w:r>
              <w:rPr>
                <w:sz w:val="24"/>
              </w:rPr>
              <w:t>经计算，E</w:t>
            </w:r>
            <w:r>
              <w:rPr>
                <w:sz w:val="24"/>
                <w:vertAlign w:val="subscript"/>
              </w:rPr>
              <w:t>A</w:t>
            </w:r>
            <w:r>
              <w:rPr>
                <w:sz w:val="24"/>
              </w:rPr>
              <w:t>=</w:t>
            </w:r>
            <w:r>
              <w:rPr>
                <w:rFonts w:hint="eastAsia"/>
                <w:sz w:val="24"/>
              </w:rPr>
              <w:t>0.038</w:t>
            </w:r>
            <w:r>
              <w:rPr>
                <w:sz w:val="24"/>
              </w:rPr>
              <w:t>t/a，</w:t>
            </w:r>
            <w:r>
              <w:rPr>
                <w:rFonts w:hint="eastAsia"/>
                <w:sz w:val="24"/>
              </w:rPr>
              <w:t>则</w:t>
            </w:r>
            <w:r>
              <w:rPr>
                <w:sz w:val="24"/>
              </w:rPr>
              <w:t>排放浓度为</w:t>
            </w:r>
            <w:r>
              <w:rPr>
                <w:rFonts w:hint="eastAsia"/>
                <w:sz w:val="24"/>
              </w:rPr>
              <w:t>35.88</w:t>
            </w:r>
            <w:r>
              <w:rPr>
                <w:sz w:val="24"/>
              </w:rPr>
              <w:t>mg/m</w:t>
            </w:r>
            <w:r>
              <w:rPr>
                <w:sz w:val="24"/>
                <w:vertAlign w:val="superscript"/>
              </w:rPr>
              <w:t>3</w:t>
            </w:r>
            <w:r>
              <w:rPr>
                <w:rFonts w:hint="eastAsia"/>
                <w:sz w:val="24"/>
              </w:rPr>
              <w:t>，产生浓度3588.19mg/m</w:t>
            </w:r>
            <w:r>
              <w:rPr>
                <w:rFonts w:hint="eastAsia"/>
                <w:sz w:val="24"/>
                <w:vertAlign w:val="superscript"/>
              </w:rPr>
              <w:t>3</w:t>
            </w:r>
          </w:p>
          <w:p>
            <w:pPr>
              <w:widowControl/>
              <w:kinsoku w:val="0"/>
              <w:autoSpaceDE w:val="0"/>
              <w:autoSpaceDN w:val="0"/>
              <w:adjustRightInd w:val="0"/>
              <w:snapToGrid w:val="0"/>
              <w:spacing w:line="360" w:lineRule="auto"/>
              <w:ind w:firstLine="480" w:firstLineChars="200"/>
              <w:rPr>
                <w:b/>
                <w:bCs/>
                <w:sz w:val="24"/>
                <w:vertAlign w:val="subscript"/>
              </w:rPr>
            </w:pPr>
            <w:r>
              <w:rPr>
                <w:sz w:val="24"/>
              </w:rPr>
              <w:t>③</w:t>
            </w:r>
            <w:r>
              <w:rPr>
                <w:b/>
                <w:bCs/>
                <w:sz w:val="24"/>
              </w:rPr>
              <w:t>SO</w:t>
            </w:r>
            <w:r>
              <w:rPr>
                <w:b/>
                <w:bCs/>
                <w:sz w:val="24"/>
                <w:vertAlign w:val="subscript"/>
              </w:rPr>
              <w:t>2</w:t>
            </w:r>
          </w:p>
          <w:p>
            <w:pPr>
              <w:pStyle w:val="34"/>
              <w:spacing w:line="480" w:lineRule="auto"/>
              <w:jc w:val="center"/>
            </w:pPr>
            <w:r>
              <w:rPr>
                <w:rFonts w:hint="eastAsia" w:ascii="宋体" w:hAnsi="宋体" w:eastAsia="宋体" w:cs="宋体"/>
                <w:b/>
                <w:color w:val="000000"/>
                <w:kern w:val="2"/>
                <w:position w:val="-28"/>
                <w:sz w:val="24"/>
                <w:szCs w:val="24"/>
              </w:rPr>
              <w:object>
                <v:shape id="_x0000_i1035" o:spt="75" type="#_x0000_t75" style="height:49.35pt;width:203.35pt;" o:ole="t" fillcolor="#FFFFFF" filled="f" o:preferrelative="t" stroked="f" coordsize="21600,21600">
                  <v:path/>
                  <v:fill on="f" color2="#FFFFFF" focussize="0,0"/>
                  <v:stroke on="f"/>
                  <v:imagedata r:id="rId17" croptop="-20625f" cropbottom="-9541f" gain="65536f" blacklevel="0f" gamma="0" o:title=""/>
                  <o:lock v:ext="edit" position="f" selection="f" grouping="f" rotation="f" cropping="f" text="f" aspectratio="t"/>
                  <w10:wrap type="none"/>
                  <w10:anchorlock/>
                </v:shape>
                <o:OLEObject Type="Embed" ProgID="" ShapeID="_x0000_i1035" DrawAspect="Content" ObjectID="_1468075728" r:id="rId16">
                  <o:LockedField>false</o:LockedField>
                </o:OLEObject>
              </w:object>
            </w:r>
          </w:p>
          <w:p>
            <w:pPr>
              <w:widowControl/>
              <w:kinsoku w:val="0"/>
              <w:autoSpaceDE w:val="0"/>
              <w:autoSpaceDN w:val="0"/>
              <w:adjustRightInd w:val="0"/>
              <w:snapToGrid w:val="0"/>
              <w:spacing w:line="360" w:lineRule="auto"/>
              <w:ind w:firstLine="480" w:firstLineChars="200"/>
              <w:rPr>
                <w:sz w:val="24"/>
              </w:rPr>
            </w:pPr>
            <w:r>
              <w:rPr>
                <w:sz w:val="24"/>
              </w:rPr>
              <w:t>式中：E</w:t>
            </w:r>
            <w:r>
              <w:rPr>
                <w:sz w:val="24"/>
                <w:vertAlign w:val="subscript"/>
              </w:rPr>
              <w:t xml:space="preserve"> SO2</w:t>
            </w:r>
            <w:r>
              <w:rPr>
                <w:sz w:val="24"/>
              </w:rPr>
              <w:t>——核算时段内二氧化硫排放量，t</w:t>
            </w:r>
            <w:r>
              <w:rPr>
                <w:rFonts w:hint="eastAsia"/>
                <w:sz w:val="24"/>
              </w:rPr>
              <w:t>。</w:t>
            </w:r>
          </w:p>
          <w:p>
            <w:pPr>
              <w:widowControl/>
              <w:kinsoku w:val="0"/>
              <w:autoSpaceDE w:val="0"/>
              <w:autoSpaceDN w:val="0"/>
              <w:adjustRightInd w:val="0"/>
              <w:snapToGrid w:val="0"/>
              <w:spacing w:line="360" w:lineRule="auto"/>
              <w:ind w:firstLine="480" w:firstLineChars="200"/>
              <w:rPr>
                <w:sz w:val="24"/>
              </w:rPr>
            </w:pPr>
            <w:r>
              <w:rPr>
                <w:sz w:val="24"/>
              </w:rPr>
              <w:t>R——核算时段内锅炉燃料耗量，t；本项目年燃</w:t>
            </w:r>
            <w:r>
              <w:rPr>
                <w:rFonts w:hint="eastAsia"/>
                <w:sz w:val="24"/>
              </w:rPr>
              <w:t>生物质</w:t>
            </w:r>
            <w:r>
              <w:rPr>
                <w:sz w:val="24"/>
              </w:rPr>
              <w:t>量</w:t>
            </w:r>
            <w:r>
              <w:rPr>
                <w:rFonts w:hint="eastAsia"/>
                <w:sz w:val="24"/>
              </w:rPr>
              <w:t>162</w:t>
            </w:r>
            <w:r>
              <w:rPr>
                <w:sz w:val="24"/>
              </w:rPr>
              <w:t>t；</w:t>
            </w:r>
          </w:p>
          <w:p>
            <w:pPr>
              <w:widowControl/>
              <w:kinsoku w:val="0"/>
              <w:autoSpaceDE w:val="0"/>
              <w:autoSpaceDN w:val="0"/>
              <w:adjustRightInd w:val="0"/>
              <w:snapToGrid w:val="0"/>
              <w:spacing w:line="360" w:lineRule="auto"/>
              <w:ind w:firstLine="480" w:firstLineChars="200"/>
              <w:rPr>
                <w:sz w:val="24"/>
              </w:rPr>
            </w:pPr>
            <w:r>
              <w:rPr>
                <w:sz w:val="24"/>
              </w:rPr>
              <w:t>Sar——收到基硫的质量分数，%</w:t>
            </w:r>
            <w:r>
              <w:rPr>
                <w:rFonts w:hint="eastAsia"/>
                <w:sz w:val="24"/>
              </w:rPr>
              <w:t>，本项目取0.05%。</w:t>
            </w:r>
          </w:p>
          <w:p>
            <w:pPr>
              <w:widowControl/>
              <w:kinsoku w:val="0"/>
              <w:autoSpaceDE w:val="0"/>
              <w:autoSpaceDN w:val="0"/>
              <w:adjustRightInd w:val="0"/>
              <w:snapToGrid w:val="0"/>
              <w:spacing w:line="360" w:lineRule="auto"/>
              <w:ind w:firstLine="480" w:firstLineChars="200"/>
              <w:rPr>
                <w:sz w:val="24"/>
              </w:rPr>
            </w:pPr>
            <w:r>
              <w:rPr>
                <w:sz w:val="24"/>
              </w:rPr>
              <w:t>q</w:t>
            </w:r>
            <w:r>
              <w:rPr>
                <w:sz w:val="24"/>
                <w:vertAlign w:val="subscript"/>
              </w:rPr>
              <w:t>4</w:t>
            </w:r>
            <w:r>
              <w:rPr>
                <w:sz w:val="24"/>
              </w:rPr>
              <w:t>——锅炉机械不完全燃烧热损失，%；根据《污染源源强核算技术指南 锅炉》(HJ991-2018)中的附录B表B.1中相应锅炉机械不完全燃烧热损失的一般取值，锅炉机械不完全燃烧热损失q</w:t>
            </w:r>
            <w:r>
              <w:rPr>
                <w:sz w:val="24"/>
                <w:vertAlign w:val="subscript"/>
              </w:rPr>
              <w:t>4</w:t>
            </w:r>
            <w:r>
              <w:rPr>
                <w:sz w:val="24"/>
              </w:rPr>
              <w:t>取</w:t>
            </w:r>
            <w:r>
              <w:rPr>
                <w:rFonts w:hint="eastAsia"/>
                <w:sz w:val="24"/>
              </w:rPr>
              <w:t>10</w:t>
            </w:r>
            <w:r>
              <w:rPr>
                <w:sz w:val="24"/>
              </w:rPr>
              <w:t>；</w:t>
            </w:r>
          </w:p>
          <w:p>
            <w:pPr>
              <w:widowControl/>
              <w:kinsoku w:val="0"/>
              <w:autoSpaceDE w:val="0"/>
              <w:autoSpaceDN w:val="0"/>
              <w:adjustRightInd w:val="0"/>
              <w:snapToGrid w:val="0"/>
              <w:spacing w:line="360" w:lineRule="auto"/>
              <w:ind w:firstLine="480" w:firstLineChars="200"/>
              <w:rPr>
                <w:sz w:val="24"/>
              </w:rPr>
            </w:pPr>
            <w:r>
              <w:rPr>
                <w:sz w:val="24"/>
              </w:rPr>
              <w:t>ηs——脱硫效率，%；</w:t>
            </w:r>
            <w:r>
              <w:rPr>
                <w:rFonts w:hint="eastAsia"/>
                <w:sz w:val="24"/>
              </w:rPr>
              <w:t>无脱硫措施，为0；</w:t>
            </w:r>
          </w:p>
          <w:p>
            <w:pPr>
              <w:widowControl/>
              <w:kinsoku w:val="0"/>
              <w:autoSpaceDE w:val="0"/>
              <w:autoSpaceDN w:val="0"/>
              <w:adjustRightInd w:val="0"/>
              <w:snapToGrid w:val="0"/>
              <w:spacing w:line="360" w:lineRule="auto"/>
              <w:ind w:firstLine="480" w:firstLineChars="200"/>
              <w:rPr>
                <w:sz w:val="24"/>
              </w:rPr>
            </w:pPr>
            <w:r>
              <w:rPr>
                <w:sz w:val="24"/>
              </w:rPr>
              <w:t>K——燃料中的硫燃烧后氧化成二氧化硫的份额，量纲一的量。根据《污染源源强核算技术指南 锅炉》(HJ991-2018)中的附录B表B.3中燃</w:t>
            </w:r>
            <w:r>
              <w:rPr>
                <w:rFonts w:hint="eastAsia"/>
                <w:sz w:val="24"/>
              </w:rPr>
              <w:t>生物质锅</w:t>
            </w:r>
            <w:r>
              <w:rPr>
                <w:sz w:val="24"/>
              </w:rPr>
              <w:t>炉的硫转化率K取值为0.</w:t>
            </w:r>
            <w:r>
              <w:rPr>
                <w:rFonts w:hint="eastAsia"/>
                <w:sz w:val="24"/>
              </w:rPr>
              <w:t>4</w:t>
            </w:r>
            <w:r>
              <w:rPr>
                <w:sz w:val="24"/>
              </w:rPr>
              <w:t>；</w:t>
            </w:r>
          </w:p>
          <w:p>
            <w:pPr>
              <w:widowControl/>
              <w:kinsoku w:val="0"/>
              <w:autoSpaceDE w:val="0"/>
              <w:autoSpaceDN w:val="0"/>
              <w:adjustRightInd w:val="0"/>
              <w:snapToGrid w:val="0"/>
              <w:spacing w:line="360" w:lineRule="auto"/>
              <w:ind w:firstLine="480" w:firstLineChars="200"/>
              <w:rPr>
                <w:sz w:val="24"/>
              </w:rPr>
            </w:pPr>
            <w:r>
              <w:rPr>
                <w:sz w:val="24"/>
              </w:rPr>
              <w:t>根据以上参数可以计算得出SO</w:t>
            </w:r>
            <w:r>
              <w:rPr>
                <w:sz w:val="24"/>
                <w:vertAlign w:val="subscript"/>
              </w:rPr>
              <w:t>2</w:t>
            </w:r>
            <w:r>
              <w:rPr>
                <w:sz w:val="24"/>
              </w:rPr>
              <w:t>的排放量为</w:t>
            </w:r>
            <w:r>
              <w:rPr>
                <w:rFonts w:hint="eastAsia"/>
                <w:sz w:val="24"/>
              </w:rPr>
              <w:t>0.0583</w:t>
            </w:r>
            <w:r>
              <w:rPr>
                <w:sz w:val="24"/>
              </w:rPr>
              <w:t>t/a，排放浓度为</w:t>
            </w:r>
            <w:r>
              <w:rPr>
                <w:rFonts w:hint="eastAsia"/>
                <w:sz w:val="24"/>
              </w:rPr>
              <w:t>55</w:t>
            </w:r>
            <w:r>
              <w:rPr>
                <w:sz w:val="24"/>
              </w:rPr>
              <w:t>mg/m</w:t>
            </w:r>
            <w:r>
              <w:rPr>
                <w:sz w:val="24"/>
                <w:vertAlign w:val="superscript"/>
              </w:rPr>
              <w:t>3</w:t>
            </w:r>
            <w:r>
              <w:rPr>
                <w:sz w:val="24"/>
              </w:rPr>
              <w:t>。</w:t>
            </w:r>
          </w:p>
          <w:p>
            <w:pPr>
              <w:widowControl/>
              <w:kinsoku w:val="0"/>
              <w:autoSpaceDE w:val="0"/>
              <w:autoSpaceDN w:val="0"/>
              <w:adjustRightInd w:val="0"/>
              <w:snapToGrid w:val="0"/>
              <w:spacing w:line="360" w:lineRule="auto"/>
              <w:ind w:firstLine="480" w:firstLineChars="200"/>
              <w:rPr>
                <w:b/>
                <w:bCs/>
                <w:sz w:val="24"/>
                <w:vertAlign w:val="subscript"/>
              </w:rPr>
            </w:pPr>
            <w:r>
              <w:rPr>
                <w:sz w:val="24"/>
              </w:rPr>
              <w:t>④</w:t>
            </w:r>
            <w:r>
              <w:rPr>
                <w:b/>
                <w:bCs/>
                <w:sz w:val="24"/>
              </w:rPr>
              <w:t>NO</w:t>
            </w:r>
            <w:r>
              <w:rPr>
                <w:b/>
                <w:bCs/>
                <w:sz w:val="24"/>
                <w:vertAlign w:val="subscript"/>
              </w:rPr>
              <w:t>X</w:t>
            </w:r>
          </w:p>
          <w:p>
            <w:pPr>
              <w:spacing w:line="360" w:lineRule="auto"/>
              <w:ind w:firstLine="480" w:firstLineChars="200"/>
              <w:rPr>
                <w:sz w:val="24"/>
              </w:rPr>
            </w:pPr>
            <w:r>
              <w:rPr>
                <w:rFonts w:hint="eastAsia"/>
                <w:sz w:val="24"/>
              </w:rPr>
              <w:t>根据《污染源源强核算技术指南 锅炉》（HJ991-2018）新改扩建工程污染源核算方法优先顺序为1.物料衡算法，2.类比法，3.产污系数法。NOx采用类比法进行源强核算。</w:t>
            </w:r>
          </w:p>
          <w:p>
            <w:pPr>
              <w:pStyle w:val="34"/>
              <w:spacing w:line="480" w:lineRule="auto"/>
              <w:jc w:val="center"/>
            </w:pPr>
            <w:r>
              <w:rPr>
                <w:rFonts w:hint="eastAsia" w:ascii="宋体" w:hAnsi="宋体" w:eastAsia="宋体" w:cs="宋体"/>
                <w:b/>
                <w:color w:val="000000"/>
                <w:kern w:val="2"/>
                <w:position w:val="-32"/>
                <w:sz w:val="24"/>
                <w:szCs w:val="24"/>
              </w:rPr>
              <w:object>
                <v:shape id="_x0000_i1036" o:spt="75" type="#_x0000_t75" style="height:62.65pt;width:184pt;" o:ole="t" fillcolor="#FFFFFF" filled="f" o:preferrelative="t" stroked="f" coordsize="21600,21600">
                  <v:path/>
                  <v:fill on="f" color2="#FFFFFF" focussize="0,0"/>
                  <v:stroke on="f"/>
                  <v:imagedata r:id="rId19" croptop="-19460f" cropbottom="-4507f" gain="65536f" blacklevel="0f" gamma="0" o:title=""/>
                  <o:lock v:ext="edit" position="f" selection="f" grouping="f" rotation="f" cropping="f" text="f" aspectratio="t"/>
                  <w10:wrap type="none"/>
                  <w10:anchorlock/>
                </v:shape>
                <o:OLEObject Type="Embed" ProgID="" ShapeID="_x0000_i1036" DrawAspect="Content" ObjectID="_1468075729" r:id="rId18">
                  <o:LockedField>false</o:LockedField>
                </o:OLEObject>
              </w:object>
            </w:r>
          </w:p>
          <w:p>
            <w:pPr>
              <w:widowControl/>
              <w:kinsoku w:val="0"/>
              <w:autoSpaceDE w:val="0"/>
              <w:autoSpaceDN w:val="0"/>
              <w:adjustRightInd w:val="0"/>
              <w:snapToGrid w:val="0"/>
              <w:spacing w:line="360" w:lineRule="auto"/>
              <w:ind w:firstLine="480" w:firstLineChars="200"/>
              <w:rPr>
                <w:sz w:val="24"/>
              </w:rPr>
            </w:pPr>
            <w:r>
              <w:rPr>
                <w:sz w:val="24"/>
              </w:rPr>
              <w:t>式中：E</w:t>
            </w:r>
            <w:r>
              <w:rPr>
                <w:sz w:val="24"/>
                <w:vertAlign w:val="subscript"/>
              </w:rPr>
              <w:t>NOx</w:t>
            </w:r>
            <w:r>
              <w:rPr>
                <w:sz w:val="24"/>
              </w:rPr>
              <w:t>——核算时段内氮氧化物排放量，t；</w:t>
            </w:r>
          </w:p>
          <w:p>
            <w:pPr>
              <w:widowControl/>
              <w:kinsoku w:val="0"/>
              <w:autoSpaceDE w:val="0"/>
              <w:autoSpaceDN w:val="0"/>
              <w:adjustRightInd w:val="0"/>
              <w:snapToGrid w:val="0"/>
              <w:spacing w:line="360" w:lineRule="auto"/>
              <w:ind w:firstLine="480" w:firstLineChars="200"/>
              <w:rPr>
                <w:sz w:val="24"/>
              </w:rPr>
            </w:pPr>
            <w:r>
              <w:rPr>
                <w:sz w:val="24"/>
              </w:rPr>
              <w:t>ρ</w:t>
            </w:r>
            <w:r>
              <w:rPr>
                <w:sz w:val="24"/>
                <w:vertAlign w:val="subscript"/>
              </w:rPr>
              <w:t>NOx</w:t>
            </w:r>
            <w:r>
              <w:rPr>
                <w:sz w:val="24"/>
              </w:rPr>
              <w:t>——锅炉炉膛出口氮氧化物质量浓度，mg/m</w:t>
            </w:r>
            <w:r>
              <w:rPr>
                <w:sz w:val="24"/>
                <w:vertAlign w:val="superscript"/>
              </w:rPr>
              <w:t>3</w:t>
            </w:r>
            <w:r>
              <w:rPr>
                <w:sz w:val="24"/>
              </w:rPr>
              <w:t>；</w:t>
            </w:r>
          </w:p>
          <w:p>
            <w:pPr>
              <w:widowControl/>
              <w:kinsoku w:val="0"/>
              <w:autoSpaceDE w:val="0"/>
              <w:autoSpaceDN w:val="0"/>
              <w:adjustRightInd w:val="0"/>
              <w:snapToGrid w:val="0"/>
              <w:spacing w:line="360" w:lineRule="auto"/>
              <w:ind w:firstLine="480" w:firstLineChars="200"/>
              <w:rPr>
                <w:sz w:val="24"/>
              </w:rPr>
            </w:pPr>
            <w:r>
              <w:rPr>
                <w:sz w:val="24"/>
              </w:rPr>
              <w:t>Q——核算时段内标态干烟气排放量，m</w:t>
            </w:r>
            <w:r>
              <w:rPr>
                <w:sz w:val="24"/>
                <w:vertAlign w:val="superscript"/>
              </w:rPr>
              <w:t>3</w:t>
            </w:r>
            <w:r>
              <w:rPr>
                <w:sz w:val="24"/>
              </w:rPr>
              <w:t>；</w:t>
            </w:r>
          </w:p>
          <w:p>
            <w:pPr>
              <w:widowControl/>
              <w:kinsoku w:val="0"/>
              <w:autoSpaceDE w:val="0"/>
              <w:autoSpaceDN w:val="0"/>
              <w:adjustRightInd w:val="0"/>
              <w:snapToGrid w:val="0"/>
              <w:spacing w:line="360" w:lineRule="auto"/>
              <w:ind w:firstLine="480" w:firstLineChars="200"/>
              <w:rPr>
                <w:sz w:val="24"/>
              </w:rPr>
            </w:pPr>
            <w:r>
              <w:rPr>
                <w:rFonts w:hint="eastAsia"/>
                <w:sz w:val="24"/>
              </w:rPr>
              <w:t>η</w:t>
            </w:r>
            <w:r>
              <w:rPr>
                <w:sz w:val="24"/>
                <w:vertAlign w:val="subscript"/>
              </w:rPr>
              <w:t>NOx</w:t>
            </w:r>
            <w:r>
              <w:rPr>
                <w:sz w:val="24"/>
              </w:rPr>
              <w:t>——脱硝效率，%。</w:t>
            </w:r>
          </w:p>
          <w:p>
            <w:pPr>
              <w:widowControl/>
              <w:kinsoku w:val="0"/>
              <w:autoSpaceDE w:val="0"/>
              <w:autoSpaceDN w:val="0"/>
              <w:adjustRightInd w:val="0"/>
              <w:snapToGrid w:val="0"/>
              <w:spacing w:line="360" w:lineRule="auto"/>
              <w:ind w:firstLine="480" w:firstLineChars="200"/>
              <w:rPr>
                <w:sz w:val="24"/>
              </w:rPr>
            </w:pPr>
            <w:r>
              <w:rPr>
                <w:rFonts w:hint="eastAsia"/>
                <w:sz w:val="24"/>
              </w:rPr>
              <w:t>本次类比2024年5月舒兰市盛美牧业有限公司生物质锅炉自行监测数据可知</w:t>
            </w:r>
            <w:r>
              <w:rPr>
                <w:sz w:val="24"/>
              </w:rPr>
              <w:t>，</w:t>
            </w:r>
            <w:r>
              <w:rPr>
                <w:rFonts w:hint="eastAsia"/>
                <w:sz w:val="24"/>
              </w:rPr>
              <w:t>NOx的浓度为160mg/m³，计</w:t>
            </w:r>
            <w:r>
              <w:rPr>
                <w:sz w:val="24"/>
              </w:rPr>
              <w:t>算得出</w:t>
            </w:r>
            <w:r>
              <w:rPr>
                <w:rFonts w:hint="eastAsia"/>
                <w:sz w:val="24"/>
              </w:rPr>
              <w:t>N</w:t>
            </w:r>
            <w:r>
              <w:rPr>
                <w:sz w:val="24"/>
              </w:rPr>
              <w:t>O</w:t>
            </w:r>
            <w:r>
              <w:rPr>
                <w:rFonts w:hint="eastAsia"/>
                <w:sz w:val="24"/>
                <w:vertAlign w:val="subscript"/>
              </w:rPr>
              <w:t>X</w:t>
            </w:r>
            <w:r>
              <w:rPr>
                <w:sz w:val="24"/>
              </w:rPr>
              <w:t>的排放量为</w:t>
            </w:r>
            <w:r>
              <w:rPr>
                <w:rFonts w:hint="eastAsia"/>
                <w:sz w:val="24"/>
              </w:rPr>
              <w:t>0.0775</w:t>
            </w:r>
            <w:r>
              <w:rPr>
                <w:sz w:val="24"/>
              </w:rPr>
              <w:t>t/a。</w:t>
            </w:r>
          </w:p>
          <w:p>
            <w:pPr>
              <w:pStyle w:val="46"/>
              <w:numPr>
                <w:ilvl w:val="2"/>
                <w:numId w:val="0"/>
              </w:numPr>
              <w:spacing w:before="48" w:after="48"/>
              <w:ind w:firstLine="480" w:firstLineChars="200"/>
            </w:pPr>
            <w:r>
              <w:rPr>
                <w:rFonts w:hint="eastAsia" w:cs="宋体"/>
                <w:b w:val="0"/>
                <w:bCs/>
                <w:lang w:val="en-US"/>
              </w:rPr>
              <w:t>本项目废气污染治理设施情况、废气排放情况及监测要求详见下表：</w:t>
            </w:r>
          </w:p>
          <w:p>
            <w:pPr>
              <w:widowControl/>
              <w:spacing w:line="360" w:lineRule="auto"/>
              <w:jc w:val="center"/>
              <w:rPr>
                <w:rFonts w:ascii="宋体" w:hAnsi="宋体" w:cs="宋体"/>
                <w:b/>
                <w:bCs/>
                <w:sz w:val="24"/>
                <w:u w:val="single"/>
              </w:rPr>
            </w:pPr>
            <w:r>
              <w:rPr>
                <w:rFonts w:hint="eastAsia" w:ascii="宋体" w:hAnsi="宋体" w:cs="宋体"/>
                <w:b/>
                <w:bCs/>
                <w:color w:val="000000"/>
                <w:kern w:val="0"/>
                <w:sz w:val="24"/>
                <w:u w:val="single"/>
              </w:rPr>
              <w:t>表4-4  废气污染源产生情况一览表</w:t>
            </w:r>
          </w:p>
          <w:tbl>
            <w:tblPr>
              <w:tblStyle w:val="27"/>
              <w:tblW w:w="8280"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1694"/>
              <w:gridCol w:w="2391"/>
              <w:gridCol w:w="2151"/>
              <w:gridCol w:w="2044"/>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1694" w:type="dxa"/>
                  <w:tcBorders>
                    <w:right w:val="single" w:color="auto" w:sz="4" w:space="0"/>
                    <w:tl2br w:val="nil"/>
                    <w:tr2bl w:val="nil"/>
                  </w:tcBorders>
                  <w:vAlign w:val="center"/>
                </w:tcPr>
                <w:p>
                  <w:pPr>
                    <w:pStyle w:val="54"/>
                    <w:rPr>
                      <w:rFonts w:ascii="Times New Roman" w:hAnsi="Times New Roman"/>
                      <w:bCs/>
                      <w:szCs w:val="21"/>
                      <w:u w:val="single"/>
                    </w:rPr>
                  </w:pPr>
                  <w:r>
                    <w:rPr>
                      <w:rFonts w:hint="eastAsia" w:ascii="Times New Roman" w:hAnsi="Times New Roman"/>
                      <w:bCs/>
                      <w:szCs w:val="21"/>
                      <w:u w:val="single"/>
                      <w:lang w:val="en-US"/>
                    </w:rPr>
                    <w:t>产污环节</w:t>
                  </w:r>
                </w:p>
              </w:tc>
              <w:tc>
                <w:tcPr>
                  <w:tcW w:w="2391" w:type="dxa"/>
                  <w:tcBorders>
                    <w:left w:val="single" w:color="auto" w:sz="4" w:space="0"/>
                    <w:tl2br w:val="nil"/>
                    <w:tr2bl w:val="nil"/>
                  </w:tcBorders>
                  <w:vAlign w:val="center"/>
                </w:tcPr>
                <w:p>
                  <w:pPr>
                    <w:pStyle w:val="54"/>
                    <w:rPr>
                      <w:rFonts w:ascii="Times New Roman" w:hAnsi="Times New Roman"/>
                      <w:bCs/>
                      <w:szCs w:val="21"/>
                      <w:u w:val="single"/>
                    </w:rPr>
                  </w:pPr>
                  <w:r>
                    <w:rPr>
                      <w:rFonts w:hint="eastAsia" w:ascii="Times New Roman" w:hAnsi="Times New Roman"/>
                      <w:bCs/>
                      <w:szCs w:val="21"/>
                      <w:u w:val="single"/>
                      <w:lang w:val="en-US"/>
                    </w:rPr>
                    <w:t>污染物种类</w:t>
                  </w:r>
                </w:p>
              </w:tc>
              <w:tc>
                <w:tcPr>
                  <w:tcW w:w="2151" w:type="dxa"/>
                  <w:tcBorders>
                    <w:tl2br w:val="nil"/>
                    <w:tr2bl w:val="nil"/>
                  </w:tcBorders>
                  <w:vAlign w:val="center"/>
                </w:tcPr>
                <w:p>
                  <w:pPr>
                    <w:pStyle w:val="54"/>
                    <w:rPr>
                      <w:rFonts w:ascii="Times New Roman" w:hAnsi="Times New Roman"/>
                      <w:bCs/>
                      <w:szCs w:val="21"/>
                      <w:u w:val="single"/>
                    </w:rPr>
                  </w:pPr>
                  <w:r>
                    <w:rPr>
                      <w:rFonts w:hint="eastAsia" w:ascii="Times New Roman" w:hAnsi="Times New Roman"/>
                      <w:bCs/>
                      <w:szCs w:val="21"/>
                      <w:u w:val="single"/>
                      <w:lang w:val="en-US"/>
                    </w:rPr>
                    <w:t>排放</w:t>
                  </w:r>
                  <w:r>
                    <w:rPr>
                      <w:rFonts w:ascii="Times New Roman" w:hAnsi="Times New Roman"/>
                      <w:bCs/>
                      <w:szCs w:val="21"/>
                      <w:u w:val="single"/>
                    </w:rPr>
                    <w:t>量（</w:t>
                  </w:r>
                  <w:r>
                    <w:rPr>
                      <w:rFonts w:hint="eastAsia" w:ascii="Times New Roman" w:hAnsi="Times New Roman"/>
                      <w:bCs/>
                      <w:szCs w:val="21"/>
                      <w:u w:val="single"/>
                      <w:lang w:val="en-US"/>
                    </w:rPr>
                    <w:t>t</w:t>
                  </w:r>
                  <w:r>
                    <w:rPr>
                      <w:rFonts w:ascii="Times New Roman" w:hAnsi="Times New Roman"/>
                      <w:bCs/>
                      <w:szCs w:val="21"/>
                      <w:u w:val="single"/>
                    </w:rPr>
                    <w:t>/a）</w:t>
                  </w:r>
                </w:p>
              </w:tc>
              <w:tc>
                <w:tcPr>
                  <w:tcW w:w="2044" w:type="dxa"/>
                  <w:tcBorders>
                    <w:tl2br w:val="nil"/>
                    <w:tr2bl w:val="nil"/>
                  </w:tcBorders>
                  <w:vAlign w:val="center"/>
                </w:tcPr>
                <w:p>
                  <w:pPr>
                    <w:pStyle w:val="54"/>
                    <w:rPr>
                      <w:rFonts w:ascii="Times New Roman" w:hAnsi="Times New Roman"/>
                      <w:bCs/>
                      <w:szCs w:val="21"/>
                      <w:u w:val="single"/>
                      <w:lang w:val="en-US"/>
                    </w:rPr>
                  </w:pPr>
                  <w:r>
                    <w:rPr>
                      <w:rFonts w:hint="eastAsia" w:ascii="Times New Roman" w:hAnsi="Times New Roman"/>
                      <w:bCs/>
                      <w:szCs w:val="21"/>
                      <w:u w:val="single"/>
                      <w:lang w:val="en-US"/>
                    </w:rPr>
                    <w:t>浓度（</w:t>
                  </w:r>
                  <w:r>
                    <w:rPr>
                      <w:rFonts w:ascii="Times New Roman" w:hAnsi="Times New Roman"/>
                      <w:bCs/>
                      <w:szCs w:val="21"/>
                      <w:u w:val="single"/>
                    </w:rPr>
                    <w:t>mg</w:t>
                  </w:r>
                  <w:r>
                    <w:rPr>
                      <w:rFonts w:hint="eastAsia" w:ascii="Times New Roman" w:hAnsi="Times New Roman"/>
                      <w:bCs/>
                      <w:szCs w:val="21"/>
                      <w:u w:val="single"/>
                      <w:lang w:val="en-US"/>
                    </w:rPr>
                    <w:t>/</w:t>
                  </w:r>
                  <w:r>
                    <w:rPr>
                      <w:rFonts w:ascii="Times New Roman" w:hAnsi="Times New Roman"/>
                      <w:bCs/>
                      <w:szCs w:val="21"/>
                      <w:u w:val="single"/>
                    </w:rPr>
                    <w:t>m³</w:t>
                  </w:r>
                  <w:r>
                    <w:rPr>
                      <w:rFonts w:hint="eastAsia" w:ascii="Times New Roman" w:hAnsi="Times New Roman"/>
                      <w:bCs/>
                      <w:szCs w:val="21"/>
                      <w:u w:val="single"/>
                      <w:lang w:val="en-US"/>
                    </w:rPr>
                    <w:t>）</w:t>
                  </w:r>
                  <w:r>
                    <w:rPr>
                      <w:rFonts w:ascii="Times New Roman" w:hAnsi="Times New Roman" w:cs="Times New Roman"/>
                      <w:kern w:val="0"/>
                      <w:szCs w:val="21"/>
                      <w:u w:val="single"/>
                      <w:lang w:val="en-US"/>
                    </w:rPr>
                    <w:t xml:space="preserve"> </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49" w:hRule="atLeast"/>
                <w:jc w:val="center"/>
              </w:trPr>
              <w:tc>
                <w:tcPr>
                  <w:tcW w:w="1694" w:type="dxa"/>
                  <w:vMerge w:val="restart"/>
                  <w:tcBorders>
                    <w:tl2br w:val="nil"/>
                    <w:tr2bl w:val="nil"/>
                  </w:tcBorders>
                  <w:vAlign w:val="center"/>
                </w:tcPr>
                <w:p>
                  <w:pPr>
                    <w:pStyle w:val="54"/>
                    <w:rPr>
                      <w:rFonts w:ascii="Times New Roman" w:hAnsi="Times New Roman"/>
                      <w:szCs w:val="21"/>
                      <w:u w:val="single"/>
                      <w:lang w:val="en-US"/>
                    </w:rPr>
                  </w:pPr>
                  <w:r>
                    <w:rPr>
                      <w:rFonts w:hint="eastAsia" w:ascii="Times New Roman" w:hAnsi="Times New Roman"/>
                      <w:szCs w:val="21"/>
                      <w:u w:val="single"/>
                      <w:lang w:val="en-US"/>
                    </w:rPr>
                    <w:t>锅炉烟气</w:t>
                  </w:r>
                </w:p>
              </w:tc>
              <w:tc>
                <w:tcPr>
                  <w:tcW w:w="2391" w:type="dxa"/>
                  <w:tcBorders>
                    <w:tl2br w:val="nil"/>
                    <w:tr2bl w:val="nil"/>
                  </w:tcBorders>
                  <w:vAlign w:val="center"/>
                </w:tcPr>
                <w:p>
                  <w:pPr>
                    <w:widowControl/>
                    <w:jc w:val="center"/>
                    <w:textAlignment w:val="center"/>
                    <w:rPr>
                      <w:rFonts w:ascii="宋体" w:hAnsi="宋体" w:eastAsia="宋体" w:cs="宋体"/>
                      <w:bCs/>
                      <w:szCs w:val="21"/>
                      <w:u w:val="single"/>
                    </w:rPr>
                  </w:pPr>
                  <w:r>
                    <w:rPr>
                      <w:rFonts w:hint="eastAsia" w:ascii="宋体" w:hAnsi="宋体" w:eastAsia="宋体" w:cs="宋体"/>
                      <w:bCs/>
                      <w:szCs w:val="21"/>
                      <w:u w:val="single"/>
                    </w:rPr>
                    <w:t>废气量</w:t>
                  </w:r>
                </w:p>
              </w:tc>
              <w:tc>
                <w:tcPr>
                  <w:tcW w:w="2151" w:type="dxa"/>
                  <w:tcBorders>
                    <w:tl2br w:val="nil"/>
                    <w:tr2bl w:val="nil"/>
                  </w:tcBorders>
                  <w:vAlign w:val="center"/>
                </w:tcPr>
                <w:p>
                  <w:pPr>
                    <w:widowControl/>
                    <w:jc w:val="center"/>
                    <w:textAlignment w:val="center"/>
                    <w:rPr>
                      <w:rFonts w:ascii="宋体" w:hAnsi="宋体" w:eastAsia="宋体" w:cs="宋体"/>
                      <w:szCs w:val="21"/>
                      <w:u w:val="single"/>
                    </w:rPr>
                  </w:pPr>
                  <w:r>
                    <w:rPr>
                      <w:rFonts w:hint="eastAsia" w:ascii="宋体" w:hAnsi="宋体" w:eastAsia="宋体" w:cs="宋体"/>
                      <w:szCs w:val="21"/>
                      <w:u w:val="single"/>
                    </w:rPr>
                    <w:t>1.06×10</w:t>
                  </w:r>
                  <w:r>
                    <w:rPr>
                      <w:rFonts w:hint="eastAsia" w:ascii="宋体" w:hAnsi="宋体" w:eastAsia="宋体" w:cs="宋体"/>
                      <w:szCs w:val="21"/>
                      <w:u w:val="single"/>
                      <w:vertAlign w:val="superscript"/>
                    </w:rPr>
                    <w:t>6</w:t>
                  </w:r>
                  <w:r>
                    <w:rPr>
                      <w:rFonts w:hint="eastAsia" w:ascii="宋体" w:hAnsi="宋体" w:eastAsia="宋体" w:cs="宋体"/>
                      <w:szCs w:val="21"/>
                      <w:u w:val="single"/>
                    </w:rPr>
                    <w:t>Nm</w:t>
                  </w:r>
                  <w:r>
                    <w:rPr>
                      <w:rFonts w:hint="eastAsia" w:ascii="宋体" w:hAnsi="宋体" w:eastAsia="宋体" w:cs="宋体"/>
                      <w:szCs w:val="21"/>
                      <w:u w:val="single"/>
                      <w:vertAlign w:val="superscript"/>
                    </w:rPr>
                    <w:t>3</w:t>
                  </w:r>
                  <w:r>
                    <w:rPr>
                      <w:rFonts w:hint="eastAsia" w:ascii="宋体" w:hAnsi="宋体" w:eastAsia="宋体" w:cs="宋体"/>
                      <w:szCs w:val="21"/>
                      <w:u w:val="single"/>
                    </w:rPr>
                    <w:t>/a</w:t>
                  </w:r>
                </w:p>
              </w:tc>
              <w:tc>
                <w:tcPr>
                  <w:tcW w:w="2044" w:type="dxa"/>
                  <w:tcBorders>
                    <w:tl2br w:val="nil"/>
                    <w:tr2bl w:val="nil"/>
                  </w:tcBorders>
                  <w:vAlign w:val="center"/>
                </w:tcPr>
                <w:p>
                  <w:pPr>
                    <w:widowControl/>
                    <w:jc w:val="center"/>
                    <w:textAlignment w:val="center"/>
                    <w:rPr>
                      <w:rFonts w:ascii="宋体" w:hAnsi="宋体" w:eastAsia="宋体" w:cs="宋体"/>
                      <w:kern w:val="0"/>
                      <w:szCs w:val="21"/>
                      <w:u w:val="single"/>
                    </w:rPr>
                  </w:pPr>
                  <w:r>
                    <w:rPr>
                      <w:rFonts w:hint="eastAsia" w:ascii="宋体" w:hAnsi="宋体" w:eastAsia="宋体" w:cs="宋体"/>
                      <w:kern w:val="0"/>
                      <w:szCs w:val="21"/>
                      <w:u w:val="single"/>
                    </w:rPr>
                    <w:t>/</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33" w:hRule="atLeast"/>
                <w:jc w:val="center"/>
              </w:trPr>
              <w:tc>
                <w:tcPr>
                  <w:tcW w:w="1694" w:type="dxa"/>
                  <w:vMerge w:val="continue"/>
                  <w:tcBorders>
                    <w:tl2br w:val="nil"/>
                    <w:tr2bl w:val="nil"/>
                  </w:tcBorders>
                  <w:vAlign w:val="center"/>
                </w:tcPr>
                <w:p>
                  <w:pPr>
                    <w:pStyle w:val="54"/>
                    <w:rPr>
                      <w:rFonts w:ascii="Times New Roman" w:hAnsi="Times New Roman"/>
                      <w:szCs w:val="21"/>
                      <w:u w:val="single"/>
                      <w:lang w:val="en-US"/>
                    </w:rPr>
                  </w:pPr>
                </w:p>
              </w:tc>
              <w:tc>
                <w:tcPr>
                  <w:tcW w:w="2391" w:type="dxa"/>
                  <w:tcBorders>
                    <w:tl2br w:val="nil"/>
                    <w:tr2bl w:val="nil"/>
                  </w:tcBorders>
                  <w:vAlign w:val="center"/>
                </w:tcPr>
                <w:p>
                  <w:pPr>
                    <w:widowControl/>
                    <w:jc w:val="center"/>
                    <w:textAlignment w:val="center"/>
                    <w:rPr>
                      <w:rFonts w:ascii="宋体" w:hAnsi="宋体" w:eastAsia="宋体" w:cs="宋体"/>
                      <w:bCs/>
                      <w:szCs w:val="21"/>
                      <w:u w:val="single"/>
                    </w:rPr>
                  </w:pPr>
                  <w:r>
                    <w:rPr>
                      <w:rFonts w:hint="eastAsia" w:ascii="宋体" w:hAnsi="宋体" w:eastAsia="宋体" w:cs="宋体"/>
                      <w:kern w:val="0"/>
                      <w:szCs w:val="21"/>
                      <w:u w:val="single"/>
                    </w:rPr>
                    <w:t>烟尘</w:t>
                  </w:r>
                </w:p>
              </w:tc>
              <w:tc>
                <w:tcPr>
                  <w:tcW w:w="2151" w:type="dxa"/>
                  <w:tcBorders>
                    <w:tl2br w:val="nil"/>
                    <w:tr2bl w:val="nil"/>
                  </w:tcBorders>
                  <w:vAlign w:val="center"/>
                </w:tcPr>
                <w:p>
                  <w:pPr>
                    <w:widowControl/>
                    <w:jc w:val="center"/>
                    <w:textAlignment w:val="center"/>
                    <w:rPr>
                      <w:rFonts w:ascii="宋体" w:hAnsi="宋体" w:eastAsia="宋体" w:cs="宋体"/>
                      <w:kern w:val="0"/>
                      <w:szCs w:val="21"/>
                      <w:u w:val="single"/>
                    </w:rPr>
                  </w:pPr>
                  <w:r>
                    <w:rPr>
                      <w:rFonts w:hint="eastAsia" w:ascii="宋体" w:hAnsi="宋体" w:eastAsia="宋体" w:cs="宋体"/>
                      <w:kern w:val="0"/>
                      <w:szCs w:val="21"/>
                      <w:u w:val="single"/>
                    </w:rPr>
                    <w:t>0.038</w:t>
                  </w:r>
                </w:p>
              </w:tc>
              <w:tc>
                <w:tcPr>
                  <w:tcW w:w="2044" w:type="dxa"/>
                  <w:tcBorders>
                    <w:tl2br w:val="nil"/>
                    <w:tr2bl w:val="nil"/>
                  </w:tcBorders>
                  <w:vAlign w:val="center"/>
                </w:tcPr>
                <w:p>
                  <w:pPr>
                    <w:widowControl/>
                    <w:jc w:val="center"/>
                    <w:textAlignment w:val="center"/>
                    <w:rPr>
                      <w:rFonts w:ascii="宋体" w:hAnsi="宋体" w:eastAsia="宋体" w:cs="宋体"/>
                      <w:kern w:val="0"/>
                      <w:szCs w:val="21"/>
                      <w:u w:val="single"/>
                    </w:rPr>
                  </w:pPr>
                  <w:r>
                    <w:rPr>
                      <w:rFonts w:hint="eastAsia" w:ascii="宋体" w:hAnsi="宋体" w:eastAsia="宋体" w:cs="宋体"/>
                      <w:kern w:val="0"/>
                      <w:szCs w:val="21"/>
                      <w:u w:val="single"/>
                    </w:rPr>
                    <w:t>35.88</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27" w:hRule="atLeast"/>
                <w:jc w:val="center"/>
              </w:trPr>
              <w:tc>
                <w:tcPr>
                  <w:tcW w:w="1694" w:type="dxa"/>
                  <w:vMerge w:val="continue"/>
                  <w:tcBorders>
                    <w:tl2br w:val="nil"/>
                    <w:tr2bl w:val="nil"/>
                  </w:tcBorders>
                  <w:vAlign w:val="center"/>
                </w:tcPr>
                <w:p>
                  <w:pPr>
                    <w:pStyle w:val="54"/>
                    <w:rPr>
                      <w:rFonts w:ascii="Times New Roman" w:hAnsi="Times New Roman"/>
                      <w:szCs w:val="21"/>
                      <w:u w:val="single"/>
                      <w:lang w:val="en-US"/>
                    </w:rPr>
                  </w:pPr>
                </w:p>
              </w:tc>
              <w:tc>
                <w:tcPr>
                  <w:tcW w:w="2391" w:type="dxa"/>
                  <w:tcBorders>
                    <w:tl2br w:val="nil"/>
                    <w:tr2bl w:val="nil"/>
                  </w:tcBorders>
                  <w:vAlign w:val="center"/>
                </w:tcPr>
                <w:p>
                  <w:pPr>
                    <w:widowControl/>
                    <w:jc w:val="center"/>
                    <w:textAlignment w:val="center"/>
                    <w:rPr>
                      <w:rFonts w:ascii="宋体" w:hAnsi="宋体" w:eastAsia="宋体" w:cs="宋体"/>
                      <w:kern w:val="0"/>
                      <w:szCs w:val="21"/>
                      <w:u w:val="single"/>
                    </w:rPr>
                  </w:pPr>
                  <w:r>
                    <w:rPr>
                      <w:rFonts w:hint="eastAsia" w:ascii="宋体" w:hAnsi="宋体" w:eastAsia="宋体" w:cs="宋体"/>
                      <w:kern w:val="0"/>
                      <w:szCs w:val="21"/>
                      <w:u w:val="single"/>
                    </w:rPr>
                    <w:t>SO</w:t>
                  </w:r>
                  <w:r>
                    <w:rPr>
                      <w:rFonts w:hint="eastAsia" w:ascii="宋体" w:hAnsi="宋体" w:eastAsia="宋体" w:cs="宋体"/>
                      <w:kern w:val="0"/>
                      <w:szCs w:val="21"/>
                      <w:u w:val="single"/>
                      <w:vertAlign w:val="subscript"/>
                    </w:rPr>
                    <w:t>2</w:t>
                  </w:r>
                </w:p>
              </w:tc>
              <w:tc>
                <w:tcPr>
                  <w:tcW w:w="2151" w:type="dxa"/>
                  <w:tcBorders>
                    <w:tl2br w:val="nil"/>
                    <w:tr2bl w:val="nil"/>
                  </w:tcBorders>
                  <w:vAlign w:val="center"/>
                </w:tcPr>
                <w:p>
                  <w:pPr>
                    <w:widowControl/>
                    <w:jc w:val="center"/>
                    <w:textAlignment w:val="center"/>
                    <w:rPr>
                      <w:rFonts w:ascii="宋体" w:hAnsi="宋体" w:eastAsia="宋体" w:cs="宋体"/>
                      <w:kern w:val="0"/>
                      <w:szCs w:val="21"/>
                      <w:u w:val="single"/>
                    </w:rPr>
                  </w:pPr>
                  <w:r>
                    <w:rPr>
                      <w:rFonts w:hint="eastAsia" w:ascii="宋体" w:hAnsi="宋体" w:eastAsia="宋体" w:cs="宋体"/>
                      <w:kern w:val="0"/>
                      <w:szCs w:val="21"/>
                      <w:u w:val="single"/>
                    </w:rPr>
                    <w:t>0.0583</w:t>
                  </w:r>
                </w:p>
              </w:tc>
              <w:tc>
                <w:tcPr>
                  <w:tcW w:w="2044" w:type="dxa"/>
                  <w:tcBorders>
                    <w:tl2br w:val="nil"/>
                    <w:tr2bl w:val="nil"/>
                  </w:tcBorders>
                  <w:vAlign w:val="center"/>
                </w:tcPr>
                <w:p>
                  <w:pPr>
                    <w:widowControl/>
                    <w:jc w:val="center"/>
                    <w:textAlignment w:val="center"/>
                    <w:rPr>
                      <w:rFonts w:ascii="宋体" w:hAnsi="宋体" w:eastAsia="宋体" w:cs="宋体"/>
                      <w:kern w:val="0"/>
                      <w:szCs w:val="21"/>
                      <w:u w:val="single"/>
                    </w:rPr>
                  </w:pPr>
                  <w:r>
                    <w:rPr>
                      <w:rFonts w:hint="eastAsia" w:ascii="宋体" w:hAnsi="宋体" w:eastAsia="宋体" w:cs="宋体"/>
                      <w:kern w:val="0"/>
                      <w:szCs w:val="21"/>
                      <w:u w:val="single"/>
                    </w:rPr>
                    <w:t>55</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16" w:hRule="atLeast"/>
                <w:jc w:val="center"/>
              </w:trPr>
              <w:tc>
                <w:tcPr>
                  <w:tcW w:w="1694" w:type="dxa"/>
                  <w:vMerge w:val="continue"/>
                  <w:tcBorders>
                    <w:tl2br w:val="nil"/>
                    <w:tr2bl w:val="nil"/>
                  </w:tcBorders>
                  <w:vAlign w:val="center"/>
                </w:tcPr>
                <w:p>
                  <w:pPr>
                    <w:pStyle w:val="54"/>
                    <w:rPr>
                      <w:rFonts w:ascii="Times New Roman" w:hAnsi="Times New Roman"/>
                      <w:szCs w:val="21"/>
                      <w:u w:val="single"/>
                      <w:lang w:val="en-US"/>
                    </w:rPr>
                  </w:pPr>
                </w:p>
              </w:tc>
              <w:tc>
                <w:tcPr>
                  <w:tcW w:w="2391" w:type="dxa"/>
                  <w:tcBorders>
                    <w:tl2br w:val="nil"/>
                    <w:tr2bl w:val="nil"/>
                  </w:tcBorders>
                  <w:vAlign w:val="center"/>
                </w:tcPr>
                <w:p>
                  <w:pPr>
                    <w:widowControl/>
                    <w:jc w:val="center"/>
                    <w:textAlignment w:val="center"/>
                    <w:rPr>
                      <w:rFonts w:ascii="宋体" w:hAnsi="宋体" w:eastAsia="宋体" w:cs="宋体"/>
                      <w:bCs/>
                      <w:szCs w:val="21"/>
                      <w:u w:val="single"/>
                    </w:rPr>
                  </w:pPr>
                  <w:r>
                    <w:rPr>
                      <w:rFonts w:hint="eastAsia" w:ascii="宋体" w:hAnsi="宋体" w:eastAsia="宋体" w:cs="宋体"/>
                      <w:kern w:val="0"/>
                      <w:szCs w:val="21"/>
                      <w:u w:val="single"/>
                    </w:rPr>
                    <w:t>NOx</w:t>
                  </w:r>
                </w:p>
              </w:tc>
              <w:tc>
                <w:tcPr>
                  <w:tcW w:w="2151" w:type="dxa"/>
                  <w:tcBorders>
                    <w:tl2br w:val="nil"/>
                    <w:tr2bl w:val="nil"/>
                  </w:tcBorders>
                  <w:vAlign w:val="center"/>
                </w:tcPr>
                <w:p>
                  <w:pPr>
                    <w:widowControl/>
                    <w:jc w:val="center"/>
                    <w:textAlignment w:val="center"/>
                    <w:rPr>
                      <w:rFonts w:ascii="宋体" w:hAnsi="宋体" w:eastAsia="宋体" w:cs="宋体"/>
                      <w:kern w:val="0"/>
                      <w:szCs w:val="21"/>
                      <w:u w:val="single"/>
                    </w:rPr>
                  </w:pPr>
                  <w:r>
                    <w:rPr>
                      <w:rFonts w:hint="eastAsia" w:ascii="宋体" w:hAnsi="宋体" w:eastAsia="宋体" w:cs="宋体"/>
                      <w:kern w:val="0"/>
                      <w:szCs w:val="21"/>
                      <w:u w:val="single"/>
                    </w:rPr>
                    <w:t>0.0775</w:t>
                  </w:r>
                </w:p>
              </w:tc>
              <w:tc>
                <w:tcPr>
                  <w:tcW w:w="2044" w:type="dxa"/>
                  <w:tcBorders>
                    <w:tl2br w:val="nil"/>
                    <w:tr2bl w:val="nil"/>
                  </w:tcBorders>
                  <w:vAlign w:val="center"/>
                </w:tcPr>
                <w:p>
                  <w:pPr>
                    <w:widowControl/>
                    <w:jc w:val="center"/>
                    <w:textAlignment w:val="center"/>
                    <w:rPr>
                      <w:rFonts w:ascii="宋体" w:hAnsi="宋体" w:eastAsia="宋体" w:cs="宋体"/>
                      <w:kern w:val="0"/>
                      <w:szCs w:val="21"/>
                      <w:u w:val="single"/>
                    </w:rPr>
                  </w:pPr>
                  <w:r>
                    <w:rPr>
                      <w:rFonts w:hint="eastAsia" w:ascii="宋体" w:hAnsi="宋体" w:eastAsia="宋体" w:cs="宋体"/>
                      <w:kern w:val="0"/>
                      <w:szCs w:val="21"/>
                      <w:u w:val="single"/>
                    </w:rPr>
                    <w:t>160</w:t>
                  </w:r>
                </w:p>
              </w:tc>
            </w:tr>
          </w:tbl>
          <w:p>
            <w:pPr>
              <w:widowControl/>
              <w:spacing w:line="360" w:lineRule="auto"/>
              <w:jc w:val="center"/>
              <w:rPr>
                <w:b/>
                <w:bCs/>
                <w:sz w:val="24"/>
                <w:u w:val="single"/>
              </w:rPr>
            </w:pPr>
            <w:r>
              <w:rPr>
                <w:rFonts w:hint="eastAsia" w:ascii="宋体" w:hAnsi="宋体" w:cs="宋体"/>
                <w:b/>
                <w:bCs/>
                <w:color w:val="000000"/>
                <w:kern w:val="0"/>
                <w:sz w:val="24"/>
                <w:u w:val="single"/>
              </w:rPr>
              <w:t>表4-5  废气治理措施情况一览表</w:t>
            </w:r>
          </w:p>
          <w:tbl>
            <w:tblPr>
              <w:tblStyle w:val="27"/>
              <w:tblW w:w="8276" w:type="dxa"/>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814"/>
              <w:gridCol w:w="923"/>
              <w:gridCol w:w="1127"/>
              <w:gridCol w:w="1079"/>
              <w:gridCol w:w="738"/>
              <w:gridCol w:w="866"/>
              <w:gridCol w:w="915"/>
              <w:gridCol w:w="1814"/>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27" w:hRule="atLeast"/>
              </w:trPr>
              <w:tc>
                <w:tcPr>
                  <w:tcW w:w="814" w:type="dxa"/>
                  <w:tcBorders>
                    <w:tl2br w:val="nil"/>
                    <w:tr2bl w:val="nil"/>
                  </w:tcBorders>
                  <w:tcMar>
                    <w:top w:w="15" w:type="dxa"/>
                    <w:left w:w="15" w:type="dxa"/>
                    <w:right w:w="15" w:type="dxa"/>
                  </w:tcMar>
                  <w:vAlign w:val="center"/>
                </w:tcPr>
                <w:p>
                  <w:pPr>
                    <w:widowControl/>
                    <w:jc w:val="center"/>
                    <w:textAlignment w:val="center"/>
                    <w:rPr>
                      <w:szCs w:val="21"/>
                    </w:rPr>
                  </w:pPr>
                  <w:r>
                    <w:rPr>
                      <w:rFonts w:hint="eastAsia"/>
                      <w:kern w:val="0"/>
                      <w:szCs w:val="21"/>
                    </w:rPr>
                    <w:t>产污环节</w:t>
                  </w:r>
                </w:p>
              </w:tc>
              <w:tc>
                <w:tcPr>
                  <w:tcW w:w="923" w:type="dxa"/>
                  <w:tcBorders>
                    <w:tl2br w:val="nil"/>
                    <w:tr2bl w:val="nil"/>
                  </w:tcBorders>
                  <w:tcMar>
                    <w:top w:w="15" w:type="dxa"/>
                    <w:left w:w="15" w:type="dxa"/>
                    <w:right w:w="15" w:type="dxa"/>
                  </w:tcMar>
                  <w:vAlign w:val="center"/>
                </w:tcPr>
                <w:p>
                  <w:pPr>
                    <w:widowControl/>
                    <w:jc w:val="center"/>
                    <w:textAlignment w:val="center"/>
                    <w:rPr>
                      <w:szCs w:val="21"/>
                    </w:rPr>
                  </w:pPr>
                  <w:r>
                    <w:rPr>
                      <w:kern w:val="0"/>
                      <w:szCs w:val="21"/>
                    </w:rPr>
                    <w:t>污染物</w:t>
                  </w:r>
                </w:p>
              </w:tc>
              <w:tc>
                <w:tcPr>
                  <w:tcW w:w="1127" w:type="dxa"/>
                  <w:tcBorders>
                    <w:tl2br w:val="nil"/>
                    <w:tr2bl w:val="nil"/>
                  </w:tcBorders>
                  <w:tcMar>
                    <w:top w:w="15" w:type="dxa"/>
                    <w:left w:w="15" w:type="dxa"/>
                    <w:right w:w="15" w:type="dxa"/>
                  </w:tcMar>
                  <w:vAlign w:val="center"/>
                </w:tcPr>
                <w:p>
                  <w:pPr>
                    <w:widowControl/>
                    <w:jc w:val="center"/>
                    <w:textAlignment w:val="center"/>
                    <w:rPr>
                      <w:szCs w:val="21"/>
                    </w:rPr>
                  </w:pPr>
                  <w:r>
                    <w:rPr>
                      <w:rFonts w:hint="eastAsia"/>
                      <w:kern w:val="0"/>
                      <w:szCs w:val="21"/>
                    </w:rPr>
                    <w:t>治理工艺</w:t>
                  </w:r>
                </w:p>
              </w:tc>
              <w:tc>
                <w:tcPr>
                  <w:tcW w:w="1079" w:type="dxa"/>
                  <w:tcBorders>
                    <w:tl2br w:val="nil"/>
                    <w:tr2bl w:val="nil"/>
                  </w:tcBorders>
                  <w:tcMar>
                    <w:top w:w="15" w:type="dxa"/>
                    <w:left w:w="15" w:type="dxa"/>
                    <w:right w:w="15" w:type="dxa"/>
                  </w:tcMar>
                  <w:vAlign w:val="center"/>
                </w:tcPr>
                <w:p>
                  <w:pPr>
                    <w:widowControl/>
                    <w:jc w:val="center"/>
                    <w:textAlignment w:val="center"/>
                    <w:rPr>
                      <w:szCs w:val="21"/>
                    </w:rPr>
                  </w:pPr>
                  <w:r>
                    <w:rPr>
                      <w:rFonts w:hint="eastAsia"/>
                      <w:kern w:val="0"/>
                      <w:szCs w:val="21"/>
                    </w:rPr>
                    <w:t>处理能力m</w:t>
                  </w:r>
                  <w:r>
                    <w:rPr>
                      <w:rFonts w:hint="eastAsia"/>
                      <w:kern w:val="0"/>
                      <w:szCs w:val="21"/>
                      <w:vertAlign w:val="superscript"/>
                    </w:rPr>
                    <w:t>3</w:t>
                  </w:r>
                  <w:r>
                    <w:rPr>
                      <w:rFonts w:hint="eastAsia"/>
                      <w:kern w:val="0"/>
                      <w:szCs w:val="21"/>
                    </w:rPr>
                    <w:t>/a</w:t>
                  </w:r>
                </w:p>
              </w:tc>
              <w:tc>
                <w:tcPr>
                  <w:tcW w:w="738" w:type="dxa"/>
                  <w:tcBorders>
                    <w:tl2br w:val="nil"/>
                    <w:tr2bl w:val="nil"/>
                  </w:tcBorders>
                  <w:tcMar>
                    <w:top w:w="15" w:type="dxa"/>
                    <w:left w:w="15" w:type="dxa"/>
                    <w:right w:w="15" w:type="dxa"/>
                  </w:tcMar>
                  <w:vAlign w:val="center"/>
                </w:tcPr>
                <w:p>
                  <w:pPr>
                    <w:widowControl/>
                    <w:jc w:val="center"/>
                    <w:textAlignment w:val="center"/>
                    <w:rPr>
                      <w:szCs w:val="21"/>
                    </w:rPr>
                  </w:pPr>
                  <w:r>
                    <w:rPr>
                      <w:rFonts w:hint="eastAsia"/>
                      <w:szCs w:val="21"/>
                    </w:rPr>
                    <w:t>收集效率</w:t>
                  </w:r>
                </w:p>
              </w:tc>
              <w:tc>
                <w:tcPr>
                  <w:tcW w:w="866" w:type="dxa"/>
                  <w:tcBorders>
                    <w:tl2br w:val="nil"/>
                    <w:tr2bl w:val="nil"/>
                  </w:tcBorders>
                  <w:tcMar>
                    <w:top w:w="15" w:type="dxa"/>
                    <w:left w:w="15" w:type="dxa"/>
                    <w:right w:w="15" w:type="dxa"/>
                  </w:tcMar>
                  <w:vAlign w:val="center"/>
                </w:tcPr>
                <w:p>
                  <w:pPr>
                    <w:widowControl/>
                    <w:jc w:val="center"/>
                    <w:textAlignment w:val="center"/>
                    <w:rPr>
                      <w:szCs w:val="21"/>
                    </w:rPr>
                  </w:pPr>
                  <w:r>
                    <w:rPr>
                      <w:rFonts w:hint="eastAsia"/>
                      <w:kern w:val="0"/>
                      <w:szCs w:val="21"/>
                    </w:rPr>
                    <w:t>去除率</w:t>
                  </w:r>
                </w:p>
              </w:tc>
              <w:tc>
                <w:tcPr>
                  <w:tcW w:w="915" w:type="dxa"/>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kern w:val="0"/>
                      <w:szCs w:val="21"/>
                    </w:rPr>
                    <w:t>是否为可行技术</w:t>
                  </w:r>
                </w:p>
              </w:tc>
              <w:tc>
                <w:tcPr>
                  <w:tcW w:w="1814" w:type="dxa"/>
                  <w:tcBorders>
                    <w:tl2br w:val="nil"/>
                    <w:tr2bl w:val="nil"/>
                  </w:tcBorders>
                  <w:tcMar>
                    <w:top w:w="15" w:type="dxa"/>
                    <w:left w:w="15" w:type="dxa"/>
                    <w:right w:w="15" w:type="dxa"/>
                  </w:tcMar>
                  <w:vAlign w:val="center"/>
                </w:tcPr>
                <w:p>
                  <w:pPr>
                    <w:widowControl/>
                    <w:jc w:val="center"/>
                    <w:textAlignment w:val="center"/>
                    <w:rPr>
                      <w:rFonts w:cs="宋体"/>
                      <w:kern w:val="0"/>
                      <w:szCs w:val="21"/>
                    </w:rPr>
                  </w:pPr>
                  <w:r>
                    <w:rPr>
                      <w:rFonts w:hint="eastAsia" w:cs="宋体"/>
                      <w:kern w:val="0"/>
                      <w:szCs w:val="21"/>
                    </w:rPr>
                    <w:t>判定依据</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27" w:hRule="atLeast"/>
              </w:trPr>
              <w:tc>
                <w:tcPr>
                  <w:tcW w:w="814" w:type="dxa"/>
                  <w:vMerge w:val="restart"/>
                  <w:tcBorders>
                    <w:tl2br w:val="nil"/>
                    <w:tr2bl w:val="nil"/>
                  </w:tcBorders>
                  <w:tcMar>
                    <w:top w:w="15" w:type="dxa"/>
                    <w:left w:w="15" w:type="dxa"/>
                    <w:right w:w="15" w:type="dxa"/>
                  </w:tcMar>
                  <w:vAlign w:val="center"/>
                </w:tcPr>
                <w:p>
                  <w:pPr>
                    <w:pStyle w:val="54"/>
                    <w:rPr>
                      <w:rFonts w:ascii="Times New Roman" w:hAnsi="Times New Roman" w:cs="Times New Roman"/>
                      <w:szCs w:val="21"/>
                    </w:rPr>
                  </w:pPr>
                  <w:r>
                    <w:rPr>
                      <w:rFonts w:hint="eastAsia" w:ascii="Times New Roman" w:hAnsi="Times New Roman"/>
                      <w:szCs w:val="21"/>
                      <w:lang w:val="en-US"/>
                    </w:rPr>
                    <w:t>锅炉烟气</w:t>
                  </w:r>
                </w:p>
              </w:tc>
              <w:tc>
                <w:tcPr>
                  <w:tcW w:w="923" w:type="dxa"/>
                  <w:tcBorders>
                    <w:tl2br w:val="nil"/>
                    <w:tr2bl w:val="nil"/>
                  </w:tcBorders>
                  <w:tcMar>
                    <w:top w:w="15" w:type="dxa"/>
                    <w:left w:w="15" w:type="dxa"/>
                    <w:right w:w="15" w:type="dxa"/>
                  </w:tcMar>
                  <w:vAlign w:val="center"/>
                </w:tcPr>
                <w:p>
                  <w:pPr>
                    <w:widowControl/>
                    <w:jc w:val="center"/>
                    <w:textAlignment w:val="center"/>
                    <w:rPr>
                      <w:szCs w:val="21"/>
                    </w:rPr>
                  </w:pPr>
                  <w:r>
                    <w:rPr>
                      <w:kern w:val="0"/>
                      <w:szCs w:val="21"/>
                    </w:rPr>
                    <w:t>烟尘</w:t>
                  </w:r>
                </w:p>
              </w:tc>
              <w:tc>
                <w:tcPr>
                  <w:tcW w:w="1127" w:type="dxa"/>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布袋除尘</w:t>
                  </w:r>
                </w:p>
              </w:tc>
              <w:tc>
                <w:tcPr>
                  <w:tcW w:w="1079" w:type="dxa"/>
                  <w:tcBorders>
                    <w:tl2br w:val="nil"/>
                    <w:tr2bl w:val="nil"/>
                  </w:tcBorders>
                  <w:tcMar>
                    <w:top w:w="15" w:type="dxa"/>
                    <w:left w:w="15" w:type="dxa"/>
                    <w:right w:w="15" w:type="dxa"/>
                  </w:tcMar>
                  <w:vAlign w:val="center"/>
                </w:tcPr>
                <w:p>
                  <w:pPr>
                    <w:widowControl/>
                    <w:jc w:val="center"/>
                    <w:textAlignment w:val="center"/>
                    <w:rPr>
                      <w:rFonts w:cs="宋体"/>
                      <w:szCs w:val="21"/>
                    </w:rPr>
                  </w:pPr>
                  <w:r>
                    <w:rPr>
                      <w:rFonts w:cs="宋体"/>
                      <w:szCs w:val="21"/>
                    </w:rPr>
                    <w:t>1.</w:t>
                  </w:r>
                  <w:r>
                    <w:rPr>
                      <w:rFonts w:hint="eastAsia" w:cs="宋体"/>
                      <w:szCs w:val="21"/>
                    </w:rPr>
                    <w:t>209</w:t>
                  </w:r>
                  <w:r>
                    <w:rPr>
                      <w:rFonts w:cs="宋体"/>
                      <w:szCs w:val="21"/>
                    </w:rPr>
                    <w:t>×10</w:t>
                  </w:r>
                  <w:r>
                    <w:rPr>
                      <w:rFonts w:cs="宋体"/>
                      <w:szCs w:val="21"/>
                      <w:vertAlign w:val="superscript"/>
                    </w:rPr>
                    <w:t>6</w:t>
                  </w:r>
                </w:p>
              </w:tc>
              <w:tc>
                <w:tcPr>
                  <w:tcW w:w="738" w:type="dxa"/>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100%</w:t>
                  </w:r>
                </w:p>
              </w:tc>
              <w:tc>
                <w:tcPr>
                  <w:tcW w:w="866" w:type="dxa"/>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szCs w:val="21"/>
                    </w:rPr>
                    <w:t>99%</w:t>
                  </w:r>
                </w:p>
              </w:tc>
              <w:tc>
                <w:tcPr>
                  <w:tcW w:w="915" w:type="dxa"/>
                  <w:tcBorders>
                    <w:tl2br w:val="nil"/>
                    <w:tr2bl w:val="nil"/>
                  </w:tcBorders>
                  <w:tcMar>
                    <w:top w:w="15" w:type="dxa"/>
                    <w:left w:w="15" w:type="dxa"/>
                    <w:right w:w="15" w:type="dxa"/>
                  </w:tcMar>
                  <w:vAlign w:val="center"/>
                </w:tcPr>
                <w:p>
                  <w:pPr>
                    <w:jc w:val="center"/>
                    <w:rPr>
                      <w:rFonts w:cs="宋体"/>
                      <w:szCs w:val="21"/>
                    </w:rPr>
                  </w:pPr>
                  <w:r>
                    <w:rPr>
                      <w:rFonts w:hint="eastAsia" w:cs="宋体"/>
                      <w:szCs w:val="21"/>
                    </w:rPr>
                    <w:t>是</w:t>
                  </w:r>
                </w:p>
              </w:tc>
              <w:tc>
                <w:tcPr>
                  <w:tcW w:w="1814" w:type="dxa"/>
                  <w:vMerge w:val="restart"/>
                  <w:tcBorders>
                    <w:tl2br w:val="nil"/>
                    <w:tr2bl w:val="nil"/>
                  </w:tcBorders>
                  <w:tcMar>
                    <w:top w:w="15" w:type="dxa"/>
                    <w:left w:w="15" w:type="dxa"/>
                    <w:right w:w="15" w:type="dxa"/>
                  </w:tcMar>
                  <w:vAlign w:val="center"/>
                </w:tcPr>
                <w:p>
                  <w:pPr>
                    <w:jc w:val="center"/>
                    <w:rPr>
                      <w:rFonts w:cs="宋体"/>
                      <w:szCs w:val="21"/>
                    </w:rPr>
                  </w:pPr>
                  <w:r>
                    <w:rPr>
                      <w:rFonts w:hint="eastAsia" w:cs="宋体"/>
                      <w:szCs w:val="21"/>
                    </w:rPr>
                    <w:t>排污许可证申请与核发技术规范 锅炉（HJ953-2018）</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27" w:hRule="atLeast"/>
              </w:trPr>
              <w:tc>
                <w:tcPr>
                  <w:tcW w:w="814" w:type="dxa"/>
                  <w:vMerge w:val="continue"/>
                  <w:tcBorders>
                    <w:tl2br w:val="nil"/>
                    <w:tr2bl w:val="nil"/>
                  </w:tcBorders>
                  <w:tcMar>
                    <w:top w:w="15" w:type="dxa"/>
                    <w:left w:w="15" w:type="dxa"/>
                    <w:right w:w="15" w:type="dxa"/>
                  </w:tcMar>
                  <w:vAlign w:val="center"/>
                </w:tcPr>
                <w:p>
                  <w:pPr>
                    <w:widowControl/>
                    <w:jc w:val="center"/>
                    <w:textAlignment w:val="center"/>
                    <w:rPr>
                      <w:kern w:val="0"/>
                      <w:szCs w:val="21"/>
                    </w:rPr>
                  </w:pPr>
                </w:p>
              </w:tc>
              <w:tc>
                <w:tcPr>
                  <w:tcW w:w="923" w:type="dxa"/>
                  <w:tcBorders>
                    <w:tl2br w:val="nil"/>
                    <w:tr2bl w:val="nil"/>
                  </w:tcBorders>
                  <w:tcMar>
                    <w:top w:w="15" w:type="dxa"/>
                    <w:left w:w="15" w:type="dxa"/>
                    <w:right w:w="15" w:type="dxa"/>
                  </w:tcMar>
                  <w:vAlign w:val="center"/>
                </w:tcPr>
                <w:p>
                  <w:pPr>
                    <w:widowControl/>
                    <w:jc w:val="center"/>
                    <w:textAlignment w:val="center"/>
                    <w:rPr>
                      <w:kern w:val="0"/>
                      <w:szCs w:val="21"/>
                    </w:rPr>
                  </w:pPr>
                  <w:r>
                    <w:rPr>
                      <w:kern w:val="0"/>
                      <w:szCs w:val="21"/>
                    </w:rPr>
                    <w:t>SO</w:t>
                  </w:r>
                  <w:r>
                    <w:rPr>
                      <w:kern w:val="0"/>
                      <w:szCs w:val="21"/>
                      <w:vertAlign w:val="subscript"/>
                    </w:rPr>
                    <w:t>2</w:t>
                  </w:r>
                </w:p>
              </w:tc>
              <w:tc>
                <w:tcPr>
                  <w:tcW w:w="1127" w:type="dxa"/>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w:t>
                  </w:r>
                </w:p>
              </w:tc>
              <w:tc>
                <w:tcPr>
                  <w:tcW w:w="1079" w:type="dxa"/>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w:t>
                  </w:r>
                </w:p>
              </w:tc>
              <w:tc>
                <w:tcPr>
                  <w:tcW w:w="738" w:type="dxa"/>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100%</w:t>
                  </w:r>
                </w:p>
              </w:tc>
              <w:tc>
                <w:tcPr>
                  <w:tcW w:w="866" w:type="dxa"/>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w:t>
                  </w:r>
                </w:p>
              </w:tc>
              <w:tc>
                <w:tcPr>
                  <w:tcW w:w="915" w:type="dxa"/>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w:t>
                  </w:r>
                </w:p>
              </w:tc>
              <w:tc>
                <w:tcPr>
                  <w:tcW w:w="1814"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27" w:hRule="atLeast"/>
              </w:trPr>
              <w:tc>
                <w:tcPr>
                  <w:tcW w:w="814" w:type="dxa"/>
                  <w:vMerge w:val="continue"/>
                  <w:tcBorders>
                    <w:tl2br w:val="nil"/>
                    <w:tr2bl w:val="nil"/>
                  </w:tcBorders>
                  <w:tcMar>
                    <w:top w:w="15" w:type="dxa"/>
                    <w:left w:w="15" w:type="dxa"/>
                    <w:right w:w="15" w:type="dxa"/>
                  </w:tcMar>
                  <w:vAlign w:val="center"/>
                </w:tcPr>
                <w:p>
                  <w:pPr>
                    <w:widowControl/>
                    <w:jc w:val="center"/>
                    <w:textAlignment w:val="center"/>
                    <w:rPr>
                      <w:kern w:val="0"/>
                      <w:szCs w:val="21"/>
                    </w:rPr>
                  </w:pPr>
                </w:p>
              </w:tc>
              <w:tc>
                <w:tcPr>
                  <w:tcW w:w="923" w:type="dxa"/>
                  <w:tcBorders>
                    <w:tl2br w:val="nil"/>
                    <w:tr2bl w:val="nil"/>
                  </w:tcBorders>
                  <w:tcMar>
                    <w:top w:w="15" w:type="dxa"/>
                    <w:left w:w="15" w:type="dxa"/>
                    <w:right w:w="15" w:type="dxa"/>
                  </w:tcMar>
                  <w:vAlign w:val="center"/>
                </w:tcPr>
                <w:p>
                  <w:pPr>
                    <w:widowControl/>
                    <w:jc w:val="center"/>
                    <w:textAlignment w:val="center"/>
                    <w:rPr>
                      <w:kern w:val="0"/>
                      <w:szCs w:val="21"/>
                    </w:rPr>
                  </w:pPr>
                  <w:r>
                    <w:rPr>
                      <w:kern w:val="0"/>
                      <w:szCs w:val="21"/>
                    </w:rPr>
                    <w:t>NOx</w:t>
                  </w:r>
                </w:p>
              </w:tc>
              <w:tc>
                <w:tcPr>
                  <w:tcW w:w="1127" w:type="dxa"/>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w:t>
                  </w:r>
                </w:p>
              </w:tc>
              <w:tc>
                <w:tcPr>
                  <w:tcW w:w="1079" w:type="dxa"/>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w:t>
                  </w:r>
                </w:p>
              </w:tc>
              <w:tc>
                <w:tcPr>
                  <w:tcW w:w="738" w:type="dxa"/>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100%</w:t>
                  </w:r>
                </w:p>
              </w:tc>
              <w:tc>
                <w:tcPr>
                  <w:tcW w:w="866" w:type="dxa"/>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w:t>
                  </w:r>
                </w:p>
              </w:tc>
              <w:tc>
                <w:tcPr>
                  <w:tcW w:w="915" w:type="dxa"/>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w:t>
                  </w:r>
                </w:p>
              </w:tc>
              <w:tc>
                <w:tcPr>
                  <w:tcW w:w="1814" w:type="dxa"/>
                  <w:vMerge w:val="continue"/>
                  <w:tcBorders>
                    <w:tl2br w:val="nil"/>
                    <w:tr2bl w:val="nil"/>
                  </w:tcBorders>
                  <w:tcMar>
                    <w:top w:w="15" w:type="dxa"/>
                    <w:left w:w="15" w:type="dxa"/>
                    <w:right w:w="15" w:type="dxa"/>
                  </w:tcMar>
                  <w:vAlign w:val="center"/>
                </w:tcPr>
                <w:p>
                  <w:pPr>
                    <w:widowControl/>
                    <w:jc w:val="center"/>
                    <w:textAlignment w:val="center"/>
                    <w:rPr>
                      <w:rFonts w:cs="宋体"/>
                      <w:szCs w:val="21"/>
                    </w:rPr>
                  </w:pPr>
                </w:p>
              </w:tc>
            </w:tr>
          </w:tbl>
          <w:p>
            <w:pPr>
              <w:widowControl/>
              <w:spacing w:line="360" w:lineRule="auto"/>
              <w:jc w:val="center"/>
              <w:rPr>
                <w:rFonts w:ascii="宋体" w:hAnsi="宋体" w:cs="宋体"/>
                <w:b/>
                <w:bCs/>
                <w:color w:val="000000"/>
                <w:kern w:val="0"/>
                <w:sz w:val="24"/>
                <w:u w:val="single"/>
              </w:rPr>
            </w:pPr>
            <w:r>
              <w:rPr>
                <w:rFonts w:hint="eastAsia" w:ascii="宋体" w:hAnsi="宋体" w:cs="宋体"/>
                <w:b/>
                <w:bCs/>
                <w:color w:val="000000"/>
                <w:kern w:val="0"/>
                <w:sz w:val="24"/>
                <w:u w:val="single"/>
              </w:rPr>
              <w:t>表4-6  废气排放情况一览表</w:t>
            </w:r>
          </w:p>
          <w:tbl>
            <w:tblPr>
              <w:tblStyle w:val="27"/>
              <w:tblW w:w="8283"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8" w:space="0"/>
              </w:tblBorders>
              <w:tblLayout w:type="fixed"/>
              <w:tblCellMar>
                <w:top w:w="0" w:type="dxa"/>
                <w:left w:w="0" w:type="dxa"/>
                <w:bottom w:w="0" w:type="dxa"/>
                <w:right w:w="0" w:type="dxa"/>
              </w:tblCellMar>
            </w:tblPr>
            <w:tblGrid>
              <w:gridCol w:w="262"/>
              <w:gridCol w:w="463"/>
              <w:gridCol w:w="696"/>
              <w:gridCol w:w="692"/>
              <w:gridCol w:w="628"/>
              <w:gridCol w:w="1337"/>
              <w:gridCol w:w="427"/>
              <w:gridCol w:w="399"/>
              <w:gridCol w:w="496"/>
              <w:gridCol w:w="701"/>
              <w:gridCol w:w="683"/>
              <w:gridCol w:w="1499"/>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8" w:space="0"/>
                </w:tblBorders>
                <w:tblCellMar>
                  <w:top w:w="0" w:type="dxa"/>
                  <w:left w:w="0" w:type="dxa"/>
                  <w:bottom w:w="0" w:type="dxa"/>
                  <w:right w:w="0" w:type="dxa"/>
                </w:tblCellMar>
              </w:tblPrEx>
              <w:trPr>
                <w:trHeight w:val="23" w:hRule="atLeast"/>
                <w:jc w:val="center"/>
              </w:trPr>
              <w:tc>
                <w:tcPr>
                  <w:tcW w:w="262"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kern w:val="0"/>
                      <w:szCs w:val="21"/>
                    </w:rPr>
                    <w:t>产污环节</w:t>
                  </w:r>
                </w:p>
              </w:tc>
              <w:tc>
                <w:tcPr>
                  <w:tcW w:w="463" w:type="dxa"/>
                  <w:vMerge w:val="restart"/>
                  <w:tcBorders>
                    <w:tl2br w:val="nil"/>
                    <w:tr2bl w:val="nil"/>
                  </w:tcBorders>
                  <w:tcMar>
                    <w:top w:w="15" w:type="dxa"/>
                    <w:left w:w="15" w:type="dxa"/>
                    <w:right w:w="15" w:type="dxa"/>
                  </w:tcMar>
                  <w:vAlign w:val="center"/>
                </w:tcPr>
                <w:p>
                  <w:pPr>
                    <w:widowControl/>
                    <w:jc w:val="center"/>
                    <w:textAlignment w:val="center"/>
                    <w:rPr>
                      <w:szCs w:val="21"/>
                    </w:rPr>
                  </w:pPr>
                  <w:r>
                    <w:rPr>
                      <w:kern w:val="0"/>
                      <w:szCs w:val="21"/>
                    </w:rPr>
                    <w:t>污染物</w:t>
                  </w:r>
                </w:p>
              </w:tc>
              <w:tc>
                <w:tcPr>
                  <w:tcW w:w="696" w:type="dxa"/>
                  <w:vMerge w:val="restart"/>
                  <w:tcBorders>
                    <w:tl2br w:val="nil"/>
                    <w:tr2bl w:val="nil"/>
                  </w:tcBorders>
                  <w:tcMar>
                    <w:top w:w="15" w:type="dxa"/>
                    <w:left w:w="15" w:type="dxa"/>
                    <w:right w:w="15" w:type="dxa"/>
                  </w:tcMar>
                  <w:vAlign w:val="center"/>
                </w:tcPr>
                <w:p>
                  <w:pPr>
                    <w:widowControl/>
                    <w:jc w:val="center"/>
                    <w:textAlignment w:val="center"/>
                    <w:rPr>
                      <w:szCs w:val="21"/>
                    </w:rPr>
                  </w:pPr>
                  <w:r>
                    <w:rPr>
                      <w:kern w:val="0"/>
                      <w:szCs w:val="21"/>
                    </w:rPr>
                    <w:t>排放浓度</w:t>
                  </w:r>
                  <w:r>
                    <w:rPr>
                      <w:rFonts w:hint="eastAsia" w:cs="宋体"/>
                      <w:kern w:val="0"/>
                      <w:szCs w:val="21"/>
                    </w:rPr>
                    <w:t>mg/m</w:t>
                  </w:r>
                  <w:r>
                    <w:rPr>
                      <w:rStyle w:val="102"/>
                      <w:rFonts w:hint="default" w:ascii="Times New Roman" w:hAnsi="Times New Roman"/>
                      <w:color w:val="auto"/>
                      <w:sz w:val="21"/>
                      <w:szCs w:val="21"/>
                    </w:rPr>
                    <w:t>3</w:t>
                  </w:r>
                </w:p>
              </w:tc>
              <w:tc>
                <w:tcPr>
                  <w:tcW w:w="692" w:type="dxa"/>
                  <w:vMerge w:val="restart"/>
                  <w:tcBorders>
                    <w:tl2br w:val="nil"/>
                    <w:tr2bl w:val="nil"/>
                  </w:tcBorders>
                  <w:tcMar>
                    <w:top w:w="15" w:type="dxa"/>
                    <w:left w:w="15" w:type="dxa"/>
                    <w:right w:w="15" w:type="dxa"/>
                  </w:tcMar>
                  <w:vAlign w:val="center"/>
                </w:tcPr>
                <w:p>
                  <w:pPr>
                    <w:widowControl/>
                    <w:jc w:val="center"/>
                    <w:textAlignment w:val="center"/>
                    <w:rPr>
                      <w:szCs w:val="21"/>
                    </w:rPr>
                  </w:pPr>
                  <w:r>
                    <w:rPr>
                      <w:kern w:val="0"/>
                      <w:szCs w:val="21"/>
                    </w:rPr>
                    <w:t>排放量（</w:t>
                  </w:r>
                  <w:r>
                    <w:rPr>
                      <w:rFonts w:hint="eastAsia" w:cs="宋体"/>
                      <w:kern w:val="0"/>
                      <w:szCs w:val="21"/>
                    </w:rPr>
                    <w:t>t</w:t>
                  </w:r>
                  <w:r>
                    <w:rPr>
                      <w:kern w:val="0"/>
                      <w:szCs w:val="21"/>
                    </w:rPr>
                    <w:t>/</w:t>
                  </w:r>
                  <w:r>
                    <w:rPr>
                      <w:rFonts w:hint="eastAsia" w:cs="宋体"/>
                      <w:kern w:val="0"/>
                      <w:szCs w:val="21"/>
                    </w:rPr>
                    <w:t>a</w:t>
                  </w:r>
                  <w:r>
                    <w:rPr>
                      <w:kern w:val="0"/>
                      <w:szCs w:val="21"/>
                    </w:rPr>
                    <w:t>）</w:t>
                  </w:r>
                </w:p>
              </w:tc>
              <w:tc>
                <w:tcPr>
                  <w:tcW w:w="628"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kern w:val="0"/>
                      <w:szCs w:val="21"/>
                    </w:rPr>
                    <w:t>排放形式</w:t>
                  </w:r>
                </w:p>
              </w:tc>
              <w:tc>
                <w:tcPr>
                  <w:tcW w:w="1337"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kern w:val="0"/>
                      <w:szCs w:val="21"/>
                    </w:rPr>
                    <w:t>排放标准</w:t>
                  </w:r>
                </w:p>
              </w:tc>
              <w:tc>
                <w:tcPr>
                  <w:tcW w:w="4205" w:type="dxa"/>
                  <w:gridSpan w:val="6"/>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kern w:val="0"/>
                      <w:szCs w:val="21"/>
                    </w:rPr>
                    <w:t>排放口信息</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8" w:space="0"/>
                </w:tblBorders>
                <w:tblCellMar>
                  <w:top w:w="0" w:type="dxa"/>
                  <w:left w:w="0" w:type="dxa"/>
                  <w:bottom w:w="0" w:type="dxa"/>
                  <w:right w:w="0" w:type="dxa"/>
                </w:tblCellMar>
              </w:tblPrEx>
              <w:trPr>
                <w:trHeight w:val="23" w:hRule="atLeast"/>
                <w:jc w:val="center"/>
              </w:trPr>
              <w:tc>
                <w:tcPr>
                  <w:tcW w:w="262" w:type="dxa"/>
                  <w:vMerge w:val="continue"/>
                  <w:tcBorders>
                    <w:tl2br w:val="nil"/>
                    <w:tr2bl w:val="nil"/>
                  </w:tcBorders>
                  <w:tcMar>
                    <w:top w:w="15" w:type="dxa"/>
                    <w:left w:w="15" w:type="dxa"/>
                    <w:right w:w="15" w:type="dxa"/>
                  </w:tcMar>
                  <w:vAlign w:val="center"/>
                </w:tcPr>
                <w:p>
                  <w:pPr>
                    <w:jc w:val="center"/>
                    <w:rPr>
                      <w:rFonts w:cs="宋体"/>
                      <w:szCs w:val="21"/>
                    </w:rPr>
                  </w:pPr>
                </w:p>
              </w:tc>
              <w:tc>
                <w:tcPr>
                  <w:tcW w:w="463" w:type="dxa"/>
                  <w:vMerge w:val="continue"/>
                  <w:tcBorders>
                    <w:tl2br w:val="nil"/>
                    <w:tr2bl w:val="nil"/>
                  </w:tcBorders>
                  <w:tcMar>
                    <w:top w:w="15" w:type="dxa"/>
                    <w:left w:w="15" w:type="dxa"/>
                    <w:right w:w="15" w:type="dxa"/>
                  </w:tcMar>
                  <w:vAlign w:val="center"/>
                </w:tcPr>
                <w:p>
                  <w:pPr>
                    <w:jc w:val="center"/>
                    <w:rPr>
                      <w:szCs w:val="21"/>
                    </w:rPr>
                  </w:pPr>
                </w:p>
              </w:tc>
              <w:tc>
                <w:tcPr>
                  <w:tcW w:w="696" w:type="dxa"/>
                  <w:vMerge w:val="continue"/>
                  <w:tcBorders>
                    <w:tl2br w:val="nil"/>
                    <w:tr2bl w:val="nil"/>
                  </w:tcBorders>
                  <w:tcMar>
                    <w:top w:w="15" w:type="dxa"/>
                    <w:left w:w="15" w:type="dxa"/>
                    <w:right w:w="15" w:type="dxa"/>
                  </w:tcMar>
                  <w:vAlign w:val="center"/>
                </w:tcPr>
                <w:p>
                  <w:pPr>
                    <w:jc w:val="center"/>
                    <w:rPr>
                      <w:szCs w:val="21"/>
                    </w:rPr>
                  </w:pPr>
                </w:p>
              </w:tc>
              <w:tc>
                <w:tcPr>
                  <w:tcW w:w="692" w:type="dxa"/>
                  <w:vMerge w:val="continue"/>
                  <w:tcBorders>
                    <w:tl2br w:val="nil"/>
                    <w:tr2bl w:val="nil"/>
                  </w:tcBorders>
                  <w:tcMar>
                    <w:top w:w="15" w:type="dxa"/>
                    <w:left w:w="15" w:type="dxa"/>
                    <w:right w:w="15" w:type="dxa"/>
                  </w:tcMar>
                  <w:vAlign w:val="center"/>
                </w:tcPr>
                <w:p>
                  <w:pPr>
                    <w:widowControl/>
                    <w:jc w:val="center"/>
                    <w:textAlignment w:val="center"/>
                    <w:rPr>
                      <w:szCs w:val="21"/>
                    </w:rPr>
                  </w:pPr>
                </w:p>
              </w:tc>
              <w:tc>
                <w:tcPr>
                  <w:tcW w:w="628" w:type="dxa"/>
                  <w:vMerge w:val="continue"/>
                  <w:tcBorders>
                    <w:tl2br w:val="nil"/>
                    <w:tr2bl w:val="nil"/>
                  </w:tcBorders>
                  <w:tcMar>
                    <w:top w:w="15" w:type="dxa"/>
                    <w:left w:w="15" w:type="dxa"/>
                    <w:right w:w="15" w:type="dxa"/>
                  </w:tcMar>
                  <w:vAlign w:val="center"/>
                </w:tcPr>
                <w:p>
                  <w:pPr>
                    <w:jc w:val="center"/>
                    <w:rPr>
                      <w:rFonts w:cs="宋体"/>
                      <w:szCs w:val="21"/>
                    </w:rPr>
                  </w:pPr>
                </w:p>
              </w:tc>
              <w:tc>
                <w:tcPr>
                  <w:tcW w:w="1337" w:type="dxa"/>
                  <w:vMerge w:val="continue"/>
                  <w:tcBorders>
                    <w:tl2br w:val="nil"/>
                    <w:tr2bl w:val="nil"/>
                  </w:tcBorders>
                  <w:tcMar>
                    <w:top w:w="15" w:type="dxa"/>
                    <w:left w:w="15" w:type="dxa"/>
                    <w:right w:w="15" w:type="dxa"/>
                  </w:tcMar>
                  <w:vAlign w:val="center"/>
                </w:tcPr>
                <w:p>
                  <w:pPr>
                    <w:jc w:val="center"/>
                    <w:rPr>
                      <w:rFonts w:cs="宋体"/>
                      <w:szCs w:val="21"/>
                    </w:rPr>
                  </w:pPr>
                </w:p>
              </w:tc>
              <w:tc>
                <w:tcPr>
                  <w:tcW w:w="427" w:type="dxa"/>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kern w:val="0"/>
                      <w:szCs w:val="21"/>
                    </w:rPr>
                    <w:t>高度m</w:t>
                  </w:r>
                </w:p>
              </w:tc>
              <w:tc>
                <w:tcPr>
                  <w:tcW w:w="399" w:type="dxa"/>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kern w:val="0"/>
                      <w:szCs w:val="21"/>
                    </w:rPr>
                    <w:t>内径m</w:t>
                  </w:r>
                </w:p>
              </w:tc>
              <w:tc>
                <w:tcPr>
                  <w:tcW w:w="496" w:type="dxa"/>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kern w:val="0"/>
                      <w:szCs w:val="21"/>
                    </w:rPr>
                    <w:t>温度℃</w:t>
                  </w:r>
                </w:p>
              </w:tc>
              <w:tc>
                <w:tcPr>
                  <w:tcW w:w="701" w:type="dxa"/>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kern w:val="0"/>
                      <w:szCs w:val="21"/>
                    </w:rPr>
                    <w:t>编号及名称</w:t>
                  </w:r>
                </w:p>
              </w:tc>
              <w:tc>
                <w:tcPr>
                  <w:tcW w:w="683" w:type="dxa"/>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kern w:val="0"/>
                      <w:szCs w:val="21"/>
                    </w:rPr>
                    <w:t>类型</w:t>
                  </w:r>
                </w:p>
              </w:tc>
              <w:tc>
                <w:tcPr>
                  <w:tcW w:w="1499" w:type="dxa"/>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kern w:val="0"/>
                      <w:szCs w:val="21"/>
                    </w:rPr>
                    <w:t>坐标</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8" w:space="0"/>
                </w:tblBorders>
                <w:tblCellMar>
                  <w:top w:w="0" w:type="dxa"/>
                  <w:left w:w="0" w:type="dxa"/>
                  <w:bottom w:w="0" w:type="dxa"/>
                  <w:right w:w="0" w:type="dxa"/>
                </w:tblCellMar>
              </w:tblPrEx>
              <w:trPr>
                <w:trHeight w:val="261" w:hRule="atLeast"/>
                <w:jc w:val="center"/>
              </w:trPr>
              <w:tc>
                <w:tcPr>
                  <w:tcW w:w="262" w:type="dxa"/>
                  <w:vMerge w:val="restart"/>
                  <w:tcBorders>
                    <w:tl2br w:val="nil"/>
                    <w:tr2bl w:val="nil"/>
                  </w:tcBorders>
                  <w:tcMar>
                    <w:top w:w="15" w:type="dxa"/>
                    <w:left w:w="15" w:type="dxa"/>
                    <w:right w:w="15" w:type="dxa"/>
                  </w:tcMar>
                  <w:vAlign w:val="center"/>
                </w:tcPr>
                <w:p>
                  <w:pPr>
                    <w:pStyle w:val="54"/>
                    <w:rPr>
                      <w:rFonts w:ascii="Times New Roman" w:hAnsi="Times New Roman"/>
                      <w:szCs w:val="21"/>
                    </w:rPr>
                  </w:pPr>
                  <w:r>
                    <w:rPr>
                      <w:rFonts w:hint="eastAsia" w:ascii="Times New Roman" w:hAnsi="Times New Roman"/>
                      <w:szCs w:val="21"/>
                      <w:lang w:val="en-US"/>
                    </w:rPr>
                    <w:t>锅炉烟气</w:t>
                  </w:r>
                </w:p>
              </w:tc>
              <w:tc>
                <w:tcPr>
                  <w:tcW w:w="463" w:type="dxa"/>
                  <w:tcBorders>
                    <w:tl2br w:val="nil"/>
                    <w:tr2bl w:val="nil"/>
                  </w:tcBorders>
                  <w:tcMar>
                    <w:top w:w="15" w:type="dxa"/>
                    <w:left w:w="15" w:type="dxa"/>
                    <w:right w:w="15" w:type="dxa"/>
                  </w:tcMar>
                  <w:vAlign w:val="center"/>
                </w:tcPr>
                <w:p>
                  <w:pPr>
                    <w:widowControl/>
                    <w:jc w:val="center"/>
                    <w:textAlignment w:val="center"/>
                    <w:rPr>
                      <w:szCs w:val="21"/>
                    </w:rPr>
                  </w:pPr>
                  <w:r>
                    <w:rPr>
                      <w:kern w:val="0"/>
                      <w:szCs w:val="21"/>
                    </w:rPr>
                    <w:t>烟尘</w:t>
                  </w:r>
                </w:p>
              </w:tc>
              <w:tc>
                <w:tcPr>
                  <w:tcW w:w="696" w:type="dxa"/>
                  <w:tcBorders>
                    <w:tl2br w:val="nil"/>
                    <w:tr2bl w:val="nil"/>
                  </w:tcBorders>
                  <w:tcMar>
                    <w:top w:w="15" w:type="dxa"/>
                    <w:left w:w="15" w:type="dxa"/>
                    <w:right w:w="15" w:type="dxa"/>
                  </w:tcMar>
                  <w:vAlign w:val="center"/>
                </w:tcPr>
                <w:p>
                  <w:pPr>
                    <w:widowControl/>
                    <w:jc w:val="center"/>
                    <w:textAlignment w:val="center"/>
                    <w:rPr>
                      <w:szCs w:val="21"/>
                    </w:rPr>
                  </w:pPr>
                  <w:r>
                    <w:rPr>
                      <w:rFonts w:hint="eastAsia"/>
                      <w:kern w:val="0"/>
                      <w:szCs w:val="21"/>
                    </w:rPr>
                    <w:t>35.88</w:t>
                  </w:r>
                </w:p>
              </w:tc>
              <w:tc>
                <w:tcPr>
                  <w:tcW w:w="692" w:type="dxa"/>
                  <w:tcBorders>
                    <w:tl2br w:val="nil"/>
                    <w:tr2bl w:val="nil"/>
                  </w:tcBorders>
                  <w:tcMar>
                    <w:top w:w="15" w:type="dxa"/>
                    <w:left w:w="15" w:type="dxa"/>
                    <w:right w:w="15" w:type="dxa"/>
                  </w:tcMar>
                  <w:vAlign w:val="center"/>
                </w:tcPr>
                <w:p>
                  <w:pPr>
                    <w:widowControl/>
                    <w:jc w:val="center"/>
                    <w:textAlignment w:val="center"/>
                    <w:rPr>
                      <w:szCs w:val="21"/>
                    </w:rPr>
                  </w:pPr>
                  <w:r>
                    <w:rPr>
                      <w:rFonts w:hint="eastAsia"/>
                      <w:kern w:val="0"/>
                      <w:szCs w:val="21"/>
                    </w:rPr>
                    <w:t>0.038</w:t>
                  </w:r>
                </w:p>
              </w:tc>
              <w:tc>
                <w:tcPr>
                  <w:tcW w:w="628"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kern w:val="0"/>
                      <w:szCs w:val="21"/>
                    </w:rPr>
                    <w:t>有组织</w:t>
                  </w:r>
                </w:p>
              </w:tc>
              <w:tc>
                <w:tcPr>
                  <w:tcW w:w="1337"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GB13271-2014</w:t>
                  </w:r>
                </w:p>
              </w:tc>
              <w:tc>
                <w:tcPr>
                  <w:tcW w:w="427"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kern w:val="0"/>
                      <w:szCs w:val="21"/>
                    </w:rPr>
                    <w:t>30</w:t>
                  </w:r>
                </w:p>
              </w:tc>
              <w:tc>
                <w:tcPr>
                  <w:tcW w:w="399"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kern w:val="0"/>
                      <w:szCs w:val="21"/>
                    </w:rPr>
                    <w:t>0.3</w:t>
                  </w:r>
                </w:p>
              </w:tc>
              <w:tc>
                <w:tcPr>
                  <w:tcW w:w="496"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kern w:val="0"/>
                      <w:szCs w:val="21"/>
                    </w:rPr>
                    <w:t>85</w:t>
                  </w:r>
                </w:p>
              </w:tc>
              <w:tc>
                <w:tcPr>
                  <w:tcW w:w="701"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kern w:val="0"/>
                      <w:szCs w:val="21"/>
                    </w:rPr>
                    <w:t>DA001锅炉烟囱</w:t>
                  </w:r>
                </w:p>
              </w:tc>
              <w:tc>
                <w:tcPr>
                  <w:tcW w:w="683"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kern w:val="0"/>
                      <w:szCs w:val="21"/>
                    </w:rPr>
                    <w:t>一般排放口</w:t>
                  </w:r>
                </w:p>
              </w:tc>
              <w:tc>
                <w:tcPr>
                  <w:tcW w:w="1499" w:type="dxa"/>
                  <w:vMerge w:val="restart"/>
                  <w:tcBorders>
                    <w:tl2br w:val="nil"/>
                    <w:tr2bl w:val="nil"/>
                  </w:tcBorders>
                  <w:tcMar>
                    <w:top w:w="15" w:type="dxa"/>
                    <w:left w:w="15" w:type="dxa"/>
                    <w:right w:w="15" w:type="dxa"/>
                  </w:tcMar>
                  <w:vAlign w:val="center"/>
                </w:tcPr>
                <w:p>
                  <w:pPr>
                    <w:widowControl/>
                    <w:jc w:val="center"/>
                    <w:textAlignment w:val="center"/>
                    <w:rPr>
                      <w:rFonts w:cs="宋体"/>
                      <w:szCs w:val="21"/>
                    </w:rPr>
                  </w:pPr>
                  <w:r>
                    <w:rPr>
                      <w:rFonts w:hint="eastAsia" w:cs="宋体"/>
                      <w:szCs w:val="21"/>
                    </w:rPr>
                    <w:t>125°57'43.97"，42°17'07.09"</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8" w:space="0"/>
                </w:tblBorders>
                <w:tblCellMar>
                  <w:top w:w="0" w:type="dxa"/>
                  <w:left w:w="0" w:type="dxa"/>
                  <w:bottom w:w="0" w:type="dxa"/>
                  <w:right w:w="0" w:type="dxa"/>
                </w:tblCellMar>
              </w:tblPrEx>
              <w:trPr>
                <w:trHeight w:val="23" w:hRule="atLeast"/>
                <w:jc w:val="center"/>
              </w:trPr>
              <w:tc>
                <w:tcPr>
                  <w:tcW w:w="262" w:type="dxa"/>
                  <w:vMerge w:val="continue"/>
                  <w:tcBorders>
                    <w:tl2br w:val="nil"/>
                    <w:tr2bl w:val="nil"/>
                  </w:tcBorders>
                  <w:tcMar>
                    <w:top w:w="15" w:type="dxa"/>
                    <w:left w:w="15" w:type="dxa"/>
                    <w:right w:w="15" w:type="dxa"/>
                  </w:tcMar>
                  <w:vAlign w:val="center"/>
                </w:tcPr>
                <w:p>
                  <w:pPr>
                    <w:jc w:val="center"/>
                    <w:rPr>
                      <w:rFonts w:cs="宋体"/>
                      <w:szCs w:val="21"/>
                    </w:rPr>
                  </w:pPr>
                </w:p>
              </w:tc>
              <w:tc>
                <w:tcPr>
                  <w:tcW w:w="463" w:type="dxa"/>
                  <w:tcBorders>
                    <w:tl2br w:val="nil"/>
                    <w:tr2bl w:val="nil"/>
                  </w:tcBorders>
                  <w:tcMar>
                    <w:top w:w="15" w:type="dxa"/>
                    <w:left w:w="15" w:type="dxa"/>
                    <w:right w:w="15" w:type="dxa"/>
                  </w:tcMar>
                  <w:vAlign w:val="center"/>
                </w:tcPr>
                <w:p>
                  <w:pPr>
                    <w:widowControl/>
                    <w:jc w:val="center"/>
                    <w:textAlignment w:val="center"/>
                    <w:rPr>
                      <w:szCs w:val="21"/>
                    </w:rPr>
                  </w:pPr>
                  <w:r>
                    <w:rPr>
                      <w:kern w:val="0"/>
                      <w:szCs w:val="21"/>
                    </w:rPr>
                    <w:t>SO</w:t>
                  </w:r>
                  <w:r>
                    <w:rPr>
                      <w:kern w:val="0"/>
                      <w:szCs w:val="21"/>
                      <w:vertAlign w:val="subscript"/>
                    </w:rPr>
                    <w:t>2</w:t>
                  </w:r>
                </w:p>
              </w:tc>
              <w:tc>
                <w:tcPr>
                  <w:tcW w:w="696" w:type="dxa"/>
                  <w:tcBorders>
                    <w:tl2br w:val="nil"/>
                    <w:tr2bl w:val="nil"/>
                  </w:tcBorders>
                  <w:tcMar>
                    <w:top w:w="15" w:type="dxa"/>
                    <w:left w:w="15" w:type="dxa"/>
                    <w:right w:w="15" w:type="dxa"/>
                  </w:tcMar>
                  <w:vAlign w:val="center"/>
                </w:tcPr>
                <w:p>
                  <w:pPr>
                    <w:widowControl/>
                    <w:jc w:val="center"/>
                    <w:textAlignment w:val="center"/>
                    <w:rPr>
                      <w:szCs w:val="21"/>
                    </w:rPr>
                  </w:pPr>
                  <w:r>
                    <w:rPr>
                      <w:rFonts w:hint="eastAsia"/>
                      <w:kern w:val="0"/>
                      <w:szCs w:val="21"/>
                    </w:rPr>
                    <w:t>55</w:t>
                  </w:r>
                </w:p>
              </w:tc>
              <w:tc>
                <w:tcPr>
                  <w:tcW w:w="692" w:type="dxa"/>
                  <w:tcBorders>
                    <w:tl2br w:val="nil"/>
                    <w:tr2bl w:val="nil"/>
                  </w:tcBorders>
                  <w:tcMar>
                    <w:top w:w="15" w:type="dxa"/>
                    <w:left w:w="15" w:type="dxa"/>
                    <w:right w:w="15" w:type="dxa"/>
                  </w:tcMar>
                  <w:vAlign w:val="center"/>
                </w:tcPr>
                <w:p>
                  <w:pPr>
                    <w:widowControl/>
                    <w:jc w:val="center"/>
                    <w:textAlignment w:val="center"/>
                    <w:rPr>
                      <w:szCs w:val="21"/>
                    </w:rPr>
                  </w:pPr>
                  <w:r>
                    <w:rPr>
                      <w:rFonts w:hint="eastAsia"/>
                      <w:kern w:val="0"/>
                      <w:szCs w:val="21"/>
                    </w:rPr>
                    <w:t>0.0583</w:t>
                  </w:r>
                </w:p>
              </w:tc>
              <w:tc>
                <w:tcPr>
                  <w:tcW w:w="628" w:type="dxa"/>
                  <w:vMerge w:val="continue"/>
                  <w:tcBorders>
                    <w:tl2br w:val="nil"/>
                    <w:tr2bl w:val="nil"/>
                  </w:tcBorders>
                  <w:tcMar>
                    <w:top w:w="15" w:type="dxa"/>
                    <w:left w:w="15" w:type="dxa"/>
                    <w:right w:w="15" w:type="dxa"/>
                  </w:tcMar>
                  <w:vAlign w:val="center"/>
                </w:tcPr>
                <w:p>
                  <w:pPr>
                    <w:jc w:val="center"/>
                    <w:rPr>
                      <w:rFonts w:cs="宋体"/>
                      <w:szCs w:val="21"/>
                    </w:rPr>
                  </w:pPr>
                </w:p>
              </w:tc>
              <w:tc>
                <w:tcPr>
                  <w:tcW w:w="1337" w:type="dxa"/>
                  <w:vMerge w:val="continue"/>
                  <w:tcBorders>
                    <w:tl2br w:val="nil"/>
                    <w:tr2bl w:val="nil"/>
                  </w:tcBorders>
                  <w:tcMar>
                    <w:top w:w="15" w:type="dxa"/>
                    <w:left w:w="15" w:type="dxa"/>
                    <w:right w:w="15" w:type="dxa"/>
                  </w:tcMar>
                  <w:vAlign w:val="center"/>
                </w:tcPr>
                <w:p>
                  <w:pPr>
                    <w:jc w:val="center"/>
                    <w:rPr>
                      <w:rFonts w:cs="宋体"/>
                      <w:szCs w:val="21"/>
                    </w:rPr>
                  </w:pPr>
                </w:p>
              </w:tc>
              <w:tc>
                <w:tcPr>
                  <w:tcW w:w="427" w:type="dxa"/>
                  <w:vMerge w:val="continue"/>
                  <w:tcBorders>
                    <w:tl2br w:val="nil"/>
                    <w:tr2bl w:val="nil"/>
                  </w:tcBorders>
                  <w:tcMar>
                    <w:top w:w="15" w:type="dxa"/>
                    <w:left w:w="15" w:type="dxa"/>
                    <w:right w:w="15" w:type="dxa"/>
                  </w:tcMar>
                  <w:vAlign w:val="center"/>
                </w:tcPr>
                <w:p>
                  <w:pPr>
                    <w:jc w:val="center"/>
                    <w:rPr>
                      <w:rFonts w:cs="宋体"/>
                      <w:szCs w:val="21"/>
                    </w:rPr>
                  </w:pPr>
                </w:p>
              </w:tc>
              <w:tc>
                <w:tcPr>
                  <w:tcW w:w="399" w:type="dxa"/>
                  <w:vMerge w:val="continue"/>
                  <w:tcBorders>
                    <w:tl2br w:val="nil"/>
                    <w:tr2bl w:val="nil"/>
                  </w:tcBorders>
                  <w:tcMar>
                    <w:top w:w="15" w:type="dxa"/>
                    <w:left w:w="15" w:type="dxa"/>
                    <w:right w:w="15" w:type="dxa"/>
                  </w:tcMar>
                  <w:vAlign w:val="center"/>
                </w:tcPr>
                <w:p>
                  <w:pPr>
                    <w:jc w:val="center"/>
                    <w:rPr>
                      <w:rFonts w:cs="宋体"/>
                      <w:szCs w:val="21"/>
                    </w:rPr>
                  </w:pPr>
                </w:p>
              </w:tc>
              <w:tc>
                <w:tcPr>
                  <w:tcW w:w="496" w:type="dxa"/>
                  <w:vMerge w:val="continue"/>
                  <w:tcBorders>
                    <w:tl2br w:val="nil"/>
                    <w:tr2bl w:val="nil"/>
                  </w:tcBorders>
                  <w:tcMar>
                    <w:top w:w="15" w:type="dxa"/>
                    <w:left w:w="15" w:type="dxa"/>
                    <w:right w:w="15" w:type="dxa"/>
                  </w:tcMar>
                  <w:vAlign w:val="center"/>
                </w:tcPr>
                <w:p>
                  <w:pPr>
                    <w:jc w:val="center"/>
                    <w:rPr>
                      <w:rFonts w:cs="宋体"/>
                      <w:szCs w:val="21"/>
                    </w:rPr>
                  </w:pPr>
                </w:p>
              </w:tc>
              <w:tc>
                <w:tcPr>
                  <w:tcW w:w="701" w:type="dxa"/>
                  <w:vMerge w:val="continue"/>
                  <w:tcBorders>
                    <w:tl2br w:val="nil"/>
                    <w:tr2bl w:val="nil"/>
                  </w:tcBorders>
                  <w:tcMar>
                    <w:top w:w="15" w:type="dxa"/>
                    <w:left w:w="15" w:type="dxa"/>
                    <w:right w:w="15" w:type="dxa"/>
                  </w:tcMar>
                  <w:vAlign w:val="center"/>
                </w:tcPr>
                <w:p>
                  <w:pPr>
                    <w:jc w:val="center"/>
                    <w:rPr>
                      <w:rFonts w:cs="宋体"/>
                      <w:szCs w:val="21"/>
                    </w:rPr>
                  </w:pPr>
                </w:p>
              </w:tc>
              <w:tc>
                <w:tcPr>
                  <w:tcW w:w="683" w:type="dxa"/>
                  <w:vMerge w:val="continue"/>
                  <w:tcBorders>
                    <w:tl2br w:val="nil"/>
                    <w:tr2bl w:val="nil"/>
                  </w:tcBorders>
                  <w:tcMar>
                    <w:top w:w="15" w:type="dxa"/>
                    <w:left w:w="15" w:type="dxa"/>
                    <w:right w:w="15" w:type="dxa"/>
                  </w:tcMar>
                  <w:vAlign w:val="center"/>
                </w:tcPr>
                <w:p>
                  <w:pPr>
                    <w:jc w:val="center"/>
                    <w:rPr>
                      <w:rFonts w:cs="宋体"/>
                      <w:szCs w:val="21"/>
                    </w:rPr>
                  </w:pPr>
                </w:p>
              </w:tc>
              <w:tc>
                <w:tcPr>
                  <w:tcW w:w="1499" w:type="dxa"/>
                  <w:vMerge w:val="continue"/>
                  <w:tcBorders>
                    <w:tl2br w:val="nil"/>
                    <w:tr2bl w:val="nil"/>
                  </w:tcBorders>
                  <w:tcMar>
                    <w:top w:w="15" w:type="dxa"/>
                    <w:left w:w="15" w:type="dxa"/>
                    <w:right w:w="15" w:type="dxa"/>
                  </w:tcMar>
                  <w:vAlign w:val="center"/>
                </w:tcPr>
                <w:p>
                  <w:pPr>
                    <w:jc w:val="center"/>
                    <w:rPr>
                      <w:rFonts w:cs="宋体"/>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8" w:space="0"/>
                </w:tblBorders>
                <w:tblCellMar>
                  <w:top w:w="0" w:type="dxa"/>
                  <w:left w:w="0" w:type="dxa"/>
                  <w:bottom w:w="0" w:type="dxa"/>
                  <w:right w:w="0" w:type="dxa"/>
                </w:tblCellMar>
              </w:tblPrEx>
              <w:trPr>
                <w:trHeight w:val="90" w:hRule="atLeast"/>
                <w:jc w:val="center"/>
              </w:trPr>
              <w:tc>
                <w:tcPr>
                  <w:tcW w:w="262" w:type="dxa"/>
                  <w:vMerge w:val="continue"/>
                  <w:tcBorders>
                    <w:tl2br w:val="nil"/>
                    <w:tr2bl w:val="nil"/>
                  </w:tcBorders>
                  <w:tcMar>
                    <w:top w:w="15" w:type="dxa"/>
                    <w:left w:w="15" w:type="dxa"/>
                    <w:right w:w="15" w:type="dxa"/>
                  </w:tcMar>
                  <w:vAlign w:val="center"/>
                </w:tcPr>
                <w:p>
                  <w:pPr>
                    <w:jc w:val="center"/>
                    <w:rPr>
                      <w:rFonts w:cs="宋体"/>
                      <w:szCs w:val="21"/>
                    </w:rPr>
                  </w:pPr>
                </w:p>
              </w:tc>
              <w:tc>
                <w:tcPr>
                  <w:tcW w:w="463" w:type="dxa"/>
                  <w:tcBorders>
                    <w:tl2br w:val="nil"/>
                    <w:tr2bl w:val="nil"/>
                  </w:tcBorders>
                  <w:tcMar>
                    <w:top w:w="15" w:type="dxa"/>
                    <w:left w:w="15" w:type="dxa"/>
                    <w:right w:w="15" w:type="dxa"/>
                  </w:tcMar>
                  <w:vAlign w:val="center"/>
                </w:tcPr>
                <w:p>
                  <w:pPr>
                    <w:widowControl/>
                    <w:jc w:val="center"/>
                    <w:textAlignment w:val="center"/>
                    <w:rPr>
                      <w:szCs w:val="21"/>
                    </w:rPr>
                  </w:pPr>
                  <w:r>
                    <w:rPr>
                      <w:kern w:val="0"/>
                      <w:szCs w:val="21"/>
                    </w:rPr>
                    <w:t>NOx</w:t>
                  </w:r>
                </w:p>
              </w:tc>
              <w:tc>
                <w:tcPr>
                  <w:tcW w:w="696" w:type="dxa"/>
                  <w:tcBorders>
                    <w:tl2br w:val="nil"/>
                    <w:tr2bl w:val="nil"/>
                  </w:tcBorders>
                  <w:tcMar>
                    <w:top w:w="15" w:type="dxa"/>
                    <w:left w:w="15" w:type="dxa"/>
                    <w:right w:w="15" w:type="dxa"/>
                  </w:tcMar>
                  <w:vAlign w:val="center"/>
                </w:tcPr>
                <w:p>
                  <w:pPr>
                    <w:widowControl/>
                    <w:jc w:val="center"/>
                    <w:textAlignment w:val="center"/>
                    <w:rPr>
                      <w:szCs w:val="21"/>
                    </w:rPr>
                  </w:pPr>
                  <w:r>
                    <w:rPr>
                      <w:rFonts w:hint="eastAsia"/>
                      <w:kern w:val="0"/>
                      <w:szCs w:val="21"/>
                    </w:rPr>
                    <w:t>160</w:t>
                  </w:r>
                </w:p>
              </w:tc>
              <w:tc>
                <w:tcPr>
                  <w:tcW w:w="692" w:type="dxa"/>
                  <w:tcBorders>
                    <w:tl2br w:val="nil"/>
                    <w:tr2bl w:val="nil"/>
                  </w:tcBorders>
                  <w:tcMar>
                    <w:top w:w="15" w:type="dxa"/>
                    <w:left w:w="15" w:type="dxa"/>
                    <w:right w:w="15" w:type="dxa"/>
                  </w:tcMar>
                  <w:vAlign w:val="center"/>
                </w:tcPr>
                <w:p>
                  <w:pPr>
                    <w:widowControl/>
                    <w:jc w:val="center"/>
                    <w:textAlignment w:val="center"/>
                    <w:rPr>
                      <w:szCs w:val="21"/>
                    </w:rPr>
                  </w:pPr>
                  <w:r>
                    <w:rPr>
                      <w:rFonts w:hint="eastAsia"/>
                      <w:kern w:val="0"/>
                      <w:szCs w:val="21"/>
                    </w:rPr>
                    <w:t>0.0775</w:t>
                  </w:r>
                </w:p>
              </w:tc>
              <w:tc>
                <w:tcPr>
                  <w:tcW w:w="628" w:type="dxa"/>
                  <w:vMerge w:val="continue"/>
                  <w:tcBorders>
                    <w:tl2br w:val="nil"/>
                    <w:tr2bl w:val="nil"/>
                  </w:tcBorders>
                  <w:tcMar>
                    <w:top w:w="15" w:type="dxa"/>
                    <w:left w:w="15" w:type="dxa"/>
                    <w:right w:w="15" w:type="dxa"/>
                  </w:tcMar>
                  <w:vAlign w:val="center"/>
                </w:tcPr>
                <w:p>
                  <w:pPr>
                    <w:jc w:val="center"/>
                    <w:rPr>
                      <w:rFonts w:cs="宋体"/>
                      <w:szCs w:val="21"/>
                    </w:rPr>
                  </w:pPr>
                </w:p>
              </w:tc>
              <w:tc>
                <w:tcPr>
                  <w:tcW w:w="1337" w:type="dxa"/>
                  <w:vMerge w:val="continue"/>
                  <w:tcBorders>
                    <w:tl2br w:val="nil"/>
                    <w:tr2bl w:val="nil"/>
                  </w:tcBorders>
                  <w:tcMar>
                    <w:top w:w="15" w:type="dxa"/>
                    <w:left w:w="15" w:type="dxa"/>
                    <w:right w:w="15" w:type="dxa"/>
                  </w:tcMar>
                  <w:vAlign w:val="center"/>
                </w:tcPr>
                <w:p>
                  <w:pPr>
                    <w:jc w:val="center"/>
                    <w:rPr>
                      <w:rFonts w:cs="宋体"/>
                      <w:szCs w:val="21"/>
                    </w:rPr>
                  </w:pPr>
                </w:p>
              </w:tc>
              <w:tc>
                <w:tcPr>
                  <w:tcW w:w="427" w:type="dxa"/>
                  <w:vMerge w:val="continue"/>
                  <w:tcBorders>
                    <w:tl2br w:val="nil"/>
                    <w:tr2bl w:val="nil"/>
                  </w:tcBorders>
                  <w:tcMar>
                    <w:top w:w="15" w:type="dxa"/>
                    <w:left w:w="15" w:type="dxa"/>
                    <w:right w:w="15" w:type="dxa"/>
                  </w:tcMar>
                  <w:vAlign w:val="center"/>
                </w:tcPr>
                <w:p>
                  <w:pPr>
                    <w:jc w:val="center"/>
                    <w:rPr>
                      <w:rFonts w:cs="宋体"/>
                      <w:szCs w:val="21"/>
                    </w:rPr>
                  </w:pPr>
                </w:p>
              </w:tc>
              <w:tc>
                <w:tcPr>
                  <w:tcW w:w="399" w:type="dxa"/>
                  <w:vMerge w:val="continue"/>
                  <w:tcBorders>
                    <w:tl2br w:val="nil"/>
                    <w:tr2bl w:val="nil"/>
                  </w:tcBorders>
                  <w:tcMar>
                    <w:top w:w="15" w:type="dxa"/>
                    <w:left w:w="15" w:type="dxa"/>
                    <w:right w:w="15" w:type="dxa"/>
                  </w:tcMar>
                  <w:vAlign w:val="center"/>
                </w:tcPr>
                <w:p>
                  <w:pPr>
                    <w:jc w:val="center"/>
                    <w:rPr>
                      <w:rFonts w:cs="宋体"/>
                      <w:szCs w:val="21"/>
                    </w:rPr>
                  </w:pPr>
                </w:p>
              </w:tc>
              <w:tc>
                <w:tcPr>
                  <w:tcW w:w="496" w:type="dxa"/>
                  <w:vMerge w:val="continue"/>
                  <w:tcBorders>
                    <w:tl2br w:val="nil"/>
                    <w:tr2bl w:val="nil"/>
                  </w:tcBorders>
                  <w:tcMar>
                    <w:top w:w="15" w:type="dxa"/>
                    <w:left w:w="15" w:type="dxa"/>
                    <w:right w:w="15" w:type="dxa"/>
                  </w:tcMar>
                  <w:vAlign w:val="center"/>
                </w:tcPr>
                <w:p>
                  <w:pPr>
                    <w:jc w:val="center"/>
                    <w:rPr>
                      <w:rFonts w:cs="宋体"/>
                      <w:szCs w:val="21"/>
                    </w:rPr>
                  </w:pPr>
                </w:p>
              </w:tc>
              <w:tc>
                <w:tcPr>
                  <w:tcW w:w="701" w:type="dxa"/>
                  <w:vMerge w:val="continue"/>
                  <w:tcBorders>
                    <w:tl2br w:val="nil"/>
                    <w:tr2bl w:val="nil"/>
                  </w:tcBorders>
                  <w:tcMar>
                    <w:top w:w="15" w:type="dxa"/>
                    <w:left w:w="15" w:type="dxa"/>
                    <w:right w:w="15" w:type="dxa"/>
                  </w:tcMar>
                  <w:vAlign w:val="center"/>
                </w:tcPr>
                <w:p>
                  <w:pPr>
                    <w:jc w:val="center"/>
                    <w:rPr>
                      <w:rFonts w:cs="宋体"/>
                      <w:szCs w:val="21"/>
                    </w:rPr>
                  </w:pPr>
                </w:p>
              </w:tc>
              <w:tc>
                <w:tcPr>
                  <w:tcW w:w="683" w:type="dxa"/>
                  <w:vMerge w:val="continue"/>
                  <w:tcBorders>
                    <w:tl2br w:val="nil"/>
                    <w:tr2bl w:val="nil"/>
                  </w:tcBorders>
                  <w:tcMar>
                    <w:top w:w="15" w:type="dxa"/>
                    <w:left w:w="15" w:type="dxa"/>
                    <w:right w:w="15" w:type="dxa"/>
                  </w:tcMar>
                  <w:vAlign w:val="center"/>
                </w:tcPr>
                <w:p>
                  <w:pPr>
                    <w:jc w:val="center"/>
                    <w:rPr>
                      <w:rFonts w:cs="宋体"/>
                      <w:szCs w:val="21"/>
                    </w:rPr>
                  </w:pPr>
                </w:p>
              </w:tc>
              <w:tc>
                <w:tcPr>
                  <w:tcW w:w="1499" w:type="dxa"/>
                  <w:vMerge w:val="continue"/>
                  <w:tcBorders>
                    <w:tl2br w:val="nil"/>
                    <w:tr2bl w:val="nil"/>
                  </w:tcBorders>
                  <w:tcMar>
                    <w:top w:w="15" w:type="dxa"/>
                    <w:left w:w="15" w:type="dxa"/>
                    <w:right w:w="15" w:type="dxa"/>
                  </w:tcMar>
                  <w:vAlign w:val="center"/>
                </w:tcPr>
                <w:p>
                  <w:pPr>
                    <w:jc w:val="center"/>
                    <w:rPr>
                      <w:rFonts w:cs="宋体"/>
                      <w:szCs w:val="21"/>
                    </w:rPr>
                  </w:pPr>
                </w:p>
              </w:tc>
            </w:tr>
          </w:tbl>
          <w:p>
            <w:pPr>
              <w:snapToGrid w:val="0"/>
              <w:spacing w:line="360" w:lineRule="auto"/>
              <w:ind w:firstLine="480" w:firstLineChars="200"/>
              <w:jc w:val="left"/>
              <w:rPr>
                <w:kern w:val="0"/>
                <w:sz w:val="24"/>
                <w:szCs w:val="22"/>
              </w:rPr>
            </w:pPr>
            <w:r>
              <w:rPr>
                <w:kern w:val="0"/>
                <w:sz w:val="24"/>
                <w:szCs w:val="22"/>
              </w:rPr>
              <w:t>由</w:t>
            </w:r>
            <w:r>
              <w:rPr>
                <w:rFonts w:hint="eastAsia"/>
                <w:kern w:val="0"/>
                <w:sz w:val="24"/>
                <w:szCs w:val="22"/>
              </w:rPr>
              <w:t>以上分析</w:t>
            </w:r>
            <w:r>
              <w:rPr>
                <w:kern w:val="0"/>
                <w:sz w:val="24"/>
                <w:szCs w:val="22"/>
              </w:rPr>
              <w:t>可知，本项目</w:t>
            </w:r>
            <w:r>
              <w:rPr>
                <w:rFonts w:hint="eastAsia"/>
                <w:kern w:val="0"/>
                <w:sz w:val="24"/>
                <w:szCs w:val="22"/>
              </w:rPr>
              <w:t>烟气</w:t>
            </w:r>
            <w:r>
              <w:rPr>
                <w:kern w:val="0"/>
                <w:sz w:val="24"/>
                <w:szCs w:val="22"/>
              </w:rPr>
              <w:t>污染物主要为</w:t>
            </w:r>
            <w:r>
              <w:rPr>
                <w:rFonts w:hint="eastAsia"/>
                <w:kern w:val="0"/>
                <w:sz w:val="24"/>
                <w:szCs w:val="22"/>
              </w:rPr>
              <w:t>烟尘、二氧化硫、氮氧化物</w:t>
            </w:r>
            <w:r>
              <w:rPr>
                <w:kern w:val="0"/>
                <w:sz w:val="24"/>
                <w:szCs w:val="22"/>
              </w:rPr>
              <w:t>，</w:t>
            </w:r>
            <w:r>
              <w:rPr>
                <w:rFonts w:hint="eastAsia"/>
                <w:kern w:val="0"/>
                <w:sz w:val="24"/>
                <w:szCs w:val="22"/>
              </w:rPr>
              <w:t>其</w:t>
            </w:r>
            <w:r>
              <w:rPr>
                <w:kern w:val="0"/>
                <w:sz w:val="24"/>
                <w:szCs w:val="22"/>
              </w:rPr>
              <w:t>排放浓度</w:t>
            </w:r>
            <w:r>
              <w:rPr>
                <w:rFonts w:hint="eastAsia"/>
                <w:kern w:val="0"/>
                <w:sz w:val="24"/>
                <w:szCs w:val="22"/>
              </w:rPr>
              <w:t>分别</w:t>
            </w:r>
            <w:r>
              <w:rPr>
                <w:kern w:val="0"/>
                <w:sz w:val="24"/>
                <w:szCs w:val="22"/>
              </w:rPr>
              <w:t>为</w:t>
            </w:r>
            <w:r>
              <w:rPr>
                <w:rFonts w:hint="eastAsia"/>
                <w:kern w:val="0"/>
                <w:sz w:val="24"/>
                <w:szCs w:val="22"/>
              </w:rPr>
              <w:t>35..88</w:t>
            </w:r>
            <w:r>
              <w:rPr>
                <w:kern w:val="0"/>
                <w:sz w:val="24"/>
                <w:szCs w:val="22"/>
              </w:rPr>
              <w:t>mg/m</w:t>
            </w:r>
            <w:r>
              <w:rPr>
                <w:kern w:val="0"/>
                <w:sz w:val="24"/>
                <w:szCs w:val="22"/>
                <w:vertAlign w:val="superscript"/>
              </w:rPr>
              <w:t>3</w:t>
            </w:r>
            <w:r>
              <w:rPr>
                <w:rFonts w:hint="eastAsia"/>
                <w:kern w:val="0"/>
                <w:sz w:val="24"/>
                <w:szCs w:val="22"/>
              </w:rPr>
              <w:t>、55</w:t>
            </w:r>
            <w:r>
              <w:rPr>
                <w:kern w:val="0"/>
                <w:sz w:val="24"/>
                <w:szCs w:val="22"/>
              </w:rPr>
              <w:t>mg/m</w:t>
            </w:r>
            <w:r>
              <w:rPr>
                <w:kern w:val="0"/>
                <w:sz w:val="24"/>
                <w:szCs w:val="22"/>
                <w:vertAlign w:val="superscript"/>
              </w:rPr>
              <w:t>3</w:t>
            </w:r>
            <w:r>
              <w:rPr>
                <w:rFonts w:hint="eastAsia"/>
                <w:kern w:val="0"/>
                <w:sz w:val="24"/>
                <w:szCs w:val="22"/>
              </w:rPr>
              <w:t>、160</w:t>
            </w:r>
            <w:r>
              <w:rPr>
                <w:kern w:val="0"/>
                <w:sz w:val="24"/>
                <w:szCs w:val="22"/>
              </w:rPr>
              <w:t>mg/m</w:t>
            </w:r>
            <w:r>
              <w:rPr>
                <w:kern w:val="0"/>
                <w:sz w:val="24"/>
                <w:szCs w:val="22"/>
                <w:vertAlign w:val="superscript"/>
              </w:rPr>
              <w:t>3</w:t>
            </w:r>
            <w:r>
              <w:rPr>
                <w:kern w:val="0"/>
                <w:sz w:val="24"/>
                <w:szCs w:val="22"/>
              </w:rPr>
              <w:t>，均能够满足</w:t>
            </w:r>
            <w:r>
              <w:rPr>
                <w:rFonts w:hint="eastAsia"/>
                <w:sz w:val="24"/>
              </w:rPr>
              <w:t>《锅炉大气污染物排放标准》（GB13271-2014）中表3规定的大气污染物燃煤锅炉排放限值</w:t>
            </w:r>
            <w:r>
              <w:rPr>
                <w:rFonts w:hint="eastAsia"/>
                <w:bCs/>
                <w:kern w:val="0"/>
                <w:sz w:val="24"/>
                <w:szCs w:val="20"/>
              </w:rPr>
              <w:t>。（有组织：烟尘</w:t>
            </w:r>
            <w:r>
              <w:rPr>
                <w:rFonts w:hint="eastAsia"/>
                <w:kern w:val="0"/>
                <w:sz w:val="24"/>
                <w:szCs w:val="22"/>
              </w:rPr>
              <w:t>50</w:t>
            </w:r>
            <w:r>
              <w:rPr>
                <w:kern w:val="0"/>
                <w:sz w:val="24"/>
                <w:szCs w:val="22"/>
              </w:rPr>
              <w:t>mg/m</w:t>
            </w:r>
            <w:r>
              <w:rPr>
                <w:kern w:val="0"/>
                <w:sz w:val="24"/>
                <w:szCs w:val="22"/>
                <w:vertAlign w:val="superscript"/>
              </w:rPr>
              <w:t>3</w:t>
            </w:r>
            <w:r>
              <w:rPr>
                <w:rFonts w:hint="eastAsia"/>
                <w:kern w:val="0"/>
                <w:sz w:val="24"/>
                <w:szCs w:val="22"/>
              </w:rPr>
              <w:t>、二氧化硫300</w:t>
            </w:r>
            <w:r>
              <w:rPr>
                <w:kern w:val="0"/>
                <w:sz w:val="24"/>
                <w:szCs w:val="22"/>
              </w:rPr>
              <w:t>mg/m</w:t>
            </w:r>
            <w:r>
              <w:rPr>
                <w:kern w:val="0"/>
                <w:sz w:val="24"/>
                <w:szCs w:val="22"/>
                <w:vertAlign w:val="superscript"/>
              </w:rPr>
              <w:t>3</w:t>
            </w:r>
            <w:r>
              <w:rPr>
                <w:rFonts w:hint="eastAsia"/>
                <w:kern w:val="0"/>
                <w:sz w:val="24"/>
                <w:szCs w:val="22"/>
              </w:rPr>
              <w:t>、氮氧化物300</w:t>
            </w:r>
            <w:r>
              <w:rPr>
                <w:kern w:val="0"/>
                <w:sz w:val="24"/>
                <w:szCs w:val="22"/>
              </w:rPr>
              <w:t>mg/m</w:t>
            </w:r>
            <w:r>
              <w:rPr>
                <w:kern w:val="0"/>
                <w:sz w:val="24"/>
                <w:szCs w:val="22"/>
                <w:vertAlign w:val="superscript"/>
              </w:rPr>
              <w:t>3</w:t>
            </w:r>
            <w:r>
              <w:rPr>
                <w:rFonts w:hint="eastAsia"/>
                <w:bCs/>
                <w:kern w:val="0"/>
                <w:sz w:val="24"/>
                <w:szCs w:val="20"/>
              </w:rPr>
              <w:t>）</w:t>
            </w:r>
            <w:r>
              <w:rPr>
                <w:kern w:val="0"/>
                <w:sz w:val="24"/>
                <w:szCs w:val="22"/>
              </w:rPr>
              <w:t>。</w:t>
            </w:r>
          </w:p>
          <w:p>
            <w:pPr>
              <w:snapToGrid w:val="0"/>
              <w:spacing w:line="360" w:lineRule="auto"/>
              <w:ind w:firstLine="480" w:firstLineChars="200"/>
              <w:rPr>
                <w:kern w:val="0"/>
                <w:sz w:val="24"/>
                <w:szCs w:val="22"/>
              </w:rPr>
            </w:pPr>
            <w:r>
              <w:rPr>
                <w:rFonts w:hint="eastAsia"/>
                <w:kern w:val="0"/>
                <w:sz w:val="24"/>
                <w:szCs w:val="22"/>
              </w:rPr>
              <w:t>根据</w:t>
            </w:r>
            <w:r>
              <w:rPr>
                <w:rFonts w:hint="eastAsia"/>
                <w:sz w:val="24"/>
              </w:rPr>
              <w:t>《排污许可申请与核发技术规范 锅炉》(HJ953—2018)、《排污许可证申请与核发技术规范 食品制造工业-方便食品、食品及饲料添加剂制造工业》（HJ1030.3-2019）以及</w:t>
            </w:r>
            <w:r>
              <w:rPr>
                <w:rFonts w:hint="eastAsia"/>
                <w:kern w:val="0"/>
                <w:sz w:val="24"/>
                <w:szCs w:val="22"/>
              </w:rPr>
              <w:t>国内相同或相似项目竣工环境保护验收情况，包括建设规模、生产工艺、运行方式及污染防治措施等，本项目燃料为生物质，含硫量比较低，燃煤锅炉烟尘采用布袋除尘为可行技术，环保措施能够确保污染物达标排放，治理措施可行。</w:t>
            </w:r>
          </w:p>
          <w:p>
            <w:pPr>
              <w:snapToGrid w:val="0"/>
              <w:spacing w:line="360" w:lineRule="auto"/>
              <w:ind w:firstLine="480" w:firstLineChars="200"/>
              <w:rPr>
                <w:rStyle w:val="98"/>
                <w:rFonts w:ascii="Times New Roman" w:hAnsi="Times New Roman" w:cs="宋体"/>
                <w:szCs w:val="24"/>
              </w:rPr>
            </w:pPr>
            <w:r>
              <w:rPr>
                <w:rFonts w:hint="eastAsia"/>
                <w:kern w:val="0"/>
                <w:sz w:val="24"/>
                <w:szCs w:val="22"/>
              </w:rPr>
              <w:t>本项目位于</w:t>
            </w:r>
            <w:r>
              <w:rPr>
                <w:rFonts w:hint="eastAsia"/>
                <w:sz w:val="24"/>
              </w:rPr>
              <w:t>时家店乡中心校旧址</w:t>
            </w:r>
            <w:r>
              <w:rPr>
                <w:rFonts w:hint="eastAsia"/>
                <w:kern w:val="0"/>
                <w:sz w:val="24"/>
                <w:szCs w:val="22"/>
              </w:rPr>
              <w:t>，大气污染物达标排放。项目所在地为农村，地域开阔，空气扩散条件良好。因此，项目产生废气不会对区域空气环境产生</w:t>
            </w:r>
            <w:r>
              <w:rPr>
                <w:rFonts w:hint="eastAsia"/>
                <w:sz w:val="24"/>
              </w:rPr>
              <w:t>明显</w:t>
            </w:r>
            <w:r>
              <w:rPr>
                <w:rFonts w:hint="eastAsia"/>
                <w:kern w:val="0"/>
                <w:sz w:val="24"/>
                <w:szCs w:val="22"/>
              </w:rPr>
              <w:t>的影响。</w:t>
            </w:r>
          </w:p>
          <w:p>
            <w:pPr>
              <w:pStyle w:val="5"/>
              <w:spacing w:line="360" w:lineRule="auto"/>
              <w:ind w:firstLine="480" w:firstLineChars="200"/>
              <w:rPr>
                <w:b w:val="0"/>
                <w:bCs w:val="0"/>
                <w:kern w:val="0"/>
                <w:sz w:val="24"/>
                <w:szCs w:val="22"/>
                <w:u w:val="single"/>
              </w:rPr>
            </w:pPr>
            <w:r>
              <w:rPr>
                <w:rFonts w:hint="eastAsia"/>
                <w:b w:val="0"/>
                <w:bCs w:val="0"/>
                <w:kern w:val="0"/>
                <w:sz w:val="24"/>
                <w:szCs w:val="22"/>
                <w:u w:val="single"/>
              </w:rPr>
              <w:t>⑵蒸煮异味</w:t>
            </w:r>
          </w:p>
          <w:p>
            <w:pPr>
              <w:pStyle w:val="5"/>
              <w:spacing w:line="360" w:lineRule="auto"/>
              <w:ind w:firstLine="480" w:firstLineChars="200"/>
              <w:rPr>
                <w:b w:val="0"/>
                <w:bCs w:val="0"/>
                <w:kern w:val="0"/>
                <w:sz w:val="24"/>
                <w:szCs w:val="22"/>
                <w:u w:val="single"/>
              </w:rPr>
            </w:pPr>
            <w:r>
              <w:rPr>
                <w:rFonts w:hint="eastAsia"/>
                <w:b w:val="0"/>
                <w:bCs w:val="0"/>
                <w:kern w:val="0"/>
                <w:sz w:val="24"/>
                <w:szCs w:val="22"/>
                <w:u w:val="single"/>
              </w:rPr>
              <w:t>企业生产的鲜食玉米，工艺上是先装袋后蒸煮杀菌。所以无蒸煮异味产生。</w:t>
            </w:r>
          </w:p>
          <w:p>
            <w:pPr>
              <w:rPr>
                <w:kern w:val="0"/>
                <w:sz w:val="24"/>
                <w:szCs w:val="22"/>
              </w:rPr>
            </w:pPr>
          </w:p>
          <w:p>
            <w:pPr>
              <w:pStyle w:val="5"/>
              <w:spacing w:line="360" w:lineRule="auto"/>
              <w:ind w:firstLine="482" w:firstLineChars="200"/>
              <w:rPr>
                <w:sz w:val="21"/>
                <w:szCs w:val="21"/>
                <w:u w:val="single"/>
              </w:rPr>
            </w:pPr>
            <w:r>
              <w:rPr>
                <w:rFonts w:hint="eastAsia"/>
                <w:sz w:val="24"/>
                <w:szCs w:val="24"/>
              </w:rPr>
              <w:t>2、监测要求</w:t>
            </w:r>
          </w:p>
          <w:p>
            <w:pPr>
              <w:widowControl/>
              <w:spacing w:line="360" w:lineRule="auto"/>
              <w:jc w:val="center"/>
              <w:rPr>
                <w:rStyle w:val="98"/>
                <w:rFonts w:ascii="Times New Roman" w:hAnsi="Times New Roman"/>
                <w:szCs w:val="24"/>
              </w:rPr>
            </w:pPr>
            <w:r>
              <w:rPr>
                <w:rFonts w:ascii="宋体" w:hAnsi="宋体" w:cs="宋体"/>
                <w:b/>
                <w:bCs/>
                <w:color w:val="000000"/>
                <w:kern w:val="0"/>
                <w:sz w:val="24"/>
                <w:u w:val="single"/>
              </w:rPr>
              <w:t>表</w:t>
            </w:r>
            <w:r>
              <w:rPr>
                <w:rFonts w:hint="eastAsia" w:ascii="宋体" w:hAnsi="宋体" w:cs="宋体"/>
                <w:b/>
                <w:bCs/>
                <w:color w:val="000000"/>
                <w:kern w:val="0"/>
                <w:sz w:val="24"/>
                <w:u w:val="single"/>
              </w:rPr>
              <w:t>4-7</w:t>
            </w:r>
            <w:r>
              <w:rPr>
                <w:rFonts w:ascii="宋体" w:hAnsi="宋体" w:cs="宋体"/>
                <w:b/>
                <w:bCs/>
                <w:color w:val="000000"/>
                <w:kern w:val="0"/>
                <w:sz w:val="24"/>
                <w:u w:val="single"/>
              </w:rPr>
              <w:t xml:space="preserve">  </w:t>
            </w:r>
            <w:r>
              <w:rPr>
                <w:rFonts w:hint="eastAsia" w:ascii="宋体" w:hAnsi="宋体" w:cs="宋体"/>
                <w:b/>
                <w:bCs/>
                <w:color w:val="000000"/>
                <w:kern w:val="0"/>
                <w:sz w:val="24"/>
                <w:u w:val="single"/>
              </w:rPr>
              <w:t>废气监测要求</w:t>
            </w:r>
          </w:p>
          <w:tbl>
            <w:tblPr>
              <w:tblStyle w:val="27"/>
              <w:tblW w:w="8283"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893"/>
              <w:gridCol w:w="1532"/>
              <w:gridCol w:w="1975"/>
              <w:gridCol w:w="2637"/>
              <w:gridCol w:w="124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27" w:hRule="atLeast"/>
                <w:jc w:val="center"/>
              </w:trPr>
              <w:tc>
                <w:tcPr>
                  <w:tcW w:w="893" w:type="dxa"/>
                  <w:tcBorders>
                    <w:tl2br w:val="nil"/>
                    <w:tr2bl w:val="nil"/>
                  </w:tcBorders>
                  <w:vAlign w:val="center"/>
                </w:tcPr>
                <w:p>
                  <w:pPr>
                    <w:pStyle w:val="53"/>
                    <w:spacing w:line="240" w:lineRule="auto"/>
                    <w:rPr>
                      <w:bCs/>
                      <w:sz w:val="21"/>
                      <w:szCs w:val="21"/>
                    </w:rPr>
                  </w:pPr>
                  <w:r>
                    <w:rPr>
                      <w:bCs/>
                      <w:sz w:val="21"/>
                      <w:szCs w:val="21"/>
                    </w:rPr>
                    <w:t>类别</w:t>
                  </w:r>
                </w:p>
              </w:tc>
              <w:tc>
                <w:tcPr>
                  <w:tcW w:w="1532" w:type="dxa"/>
                  <w:tcBorders>
                    <w:tl2br w:val="nil"/>
                    <w:tr2bl w:val="nil"/>
                  </w:tcBorders>
                  <w:vAlign w:val="center"/>
                </w:tcPr>
                <w:p>
                  <w:pPr>
                    <w:pStyle w:val="53"/>
                    <w:spacing w:line="240" w:lineRule="auto"/>
                    <w:rPr>
                      <w:bCs/>
                      <w:sz w:val="21"/>
                      <w:szCs w:val="21"/>
                    </w:rPr>
                  </w:pPr>
                  <w:r>
                    <w:rPr>
                      <w:rFonts w:hint="eastAsia"/>
                      <w:bCs/>
                      <w:sz w:val="21"/>
                      <w:szCs w:val="21"/>
                    </w:rPr>
                    <w:t>污染源</w:t>
                  </w:r>
                </w:p>
              </w:tc>
              <w:tc>
                <w:tcPr>
                  <w:tcW w:w="1975" w:type="dxa"/>
                  <w:tcBorders>
                    <w:tl2br w:val="nil"/>
                    <w:tr2bl w:val="nil"/>
                  </w:tcBorders>
                  <w:vAlign w:val="center"/>
                </w:tcPr>
                <w:p>
                  <w:pPr>
                    <w:pStyle w:val="53"/>
                    <w:spacing w:line="240" w:lineRule="auto"/>
                    <w:rPr>
                      <w:bCs/>
                      <w:sz w:val="21"/>
                      <w:szCs w:val="21"/>
                    </w:rPr>
                  </w:pPr>
                  <w:r>
                    <w:rPr>
                      <w:rFonts w:hint="eastAsia"/>
                      <w:bCs/>
                      <w:sz w:val="21"/>
                      <w:szCs w:val="21"/>
                    </w:rPr>
                    <w:t>监测点位</w:t>
                  </w:r>
                </w:p>
              </w:tc>
              <w:tc>
                <w:tcPr>
                  <w:tcW w:w="2637" w:type="dxa"/>
                  <w:tcBorders>
                    <w:tl2br w:val="nil"/>
                    <w:tr2bl w:val="nil"/>
                  </w:tcBorders>
                  <w:vAlign w:val="center"/>
                </w:tcPr>
                <w:p>
                  <w:pPr>
                    <w:pStyle w:val="53"/>
                    <w:spacing w:line="240" w:lineRule="auto"/>
                    <w:rPr>
                      <w:bCs/>
                      <w:sz w:val="21"/>
                      <w:szCs w:val="21"/>
                    </w:rPr>
                  </w:pPr>
                  <w:r>
                    <w:rPr>
                      <w:bCs/>
                      <w:sz w:val="21"/>
                      <w:szCs w:val="21"/>
                    </w:rPr>
                    <w:t>监测</w:t>
                  </w:r>
                  <w:r>
                    <w:rPr>
                      <w:rFonts w:hint="eastAsia"/>
                      <w:bCs/>
                      <w:sz w:val="21"/>
                      <w:szCs w:val="21"/>
                    </w:rPr>
                    <w:t>因子</w:t>
                  </w:r>
                </w:p>
              </w:tc>
              <w:tc>
                <w:tcPr>
                  <w:tcW w:w="1246" w:type="dxa"/>
                  <w:tcBorders>
                    <w:tl2br w:val="nil"/>
                    <w:tr2bl w:val="nil"/>
                  </w:tcBorders>
                  <w:vAlign w:val="center"/>
                </w:tcPr>
                <w:p>
                  <w:pPr>
                    <w:pStyle w:val="53"/>
                    <w:spacing w:line="240" w:lineRule="auto"/>
                    <w:rPr>
                      <w:bCs/>
                      <w:sz w:val="21"/>
                      <w:szCs w:val="21"/>
                    </w:rPr>
                  </w:pPr>
                  <w:r>
                    <w:rPr>
                      <w:bCs/>
                      <w:sz w:val="21"/>
                      <w:szCs w:val="21"/>
                    </w:rPr>
                    <w:t>监测频次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6" w:hRule="atLeast"/>
                <w:jc w:val="center"/>
              </w:trPr>
              <w:tc>
                <w:tcPr>
                  <w:tcW w:w="893" w:type="dxa"/>
                  <w:vMerge w:val="restart"/>
                  <w:tcBorders>
                    <w:tl2br w:val="nil"/>
                    <w:tr2bl w:val="nil"/>
                  </w:tcBorders>
                  <w:vAlign w:val="center"/>
                </w:tcPr>
                <w:p>
                  <w:pPr>
                    <w:pStyle w:val="53"/>
                    <w:spacing w:line="240" w:lineRule="auto"/>
                    <w:rPr>
                      <w:sz w:val="21"/>
                      <w:szCs w:val="21"/>
                    </w:rPr>
                  </w:pPr>
                  <w:r>
                    <w:rPr>
                      <w:rFonts w:hint="eastAsia"/>
                      <w:sz w:val="21"/>
                      <w:szCs w:val="21"/>
                    </w:rPr>
                    <w:t>废气</w:t>
                  </w:r>
                </w:p>
              </w:tc>
              <w:tc>
                <w:tcPr>
                  <w:tcW w:w="1532" w:type="dxa"/>
                  <w:tcBorders>
                    <w:tl2br w:val="nil"/>
                    <w:tr2bl w:val="nil"/>
                  </w:tcBorders>
                  <w:vAlign w:val="center"/>
                </w:tcPr>
                <w:p>
                  <w:pPr>
                    <w:pStyle w:val="53"/>
                    <w:spacing w:line="240" w:lineRule="auto"/>
                    <w:rPr>
                      <w:sz w:val="21"/>
                      <w:szCs w:val="21"/>
                    </w:rPr>
                  </w:pPr>
                  <w:r>
                    <w:rPr>
                      <w:rFonts w:hint="eastAsia" w:cs="宋体"/>
                      <w:sz w:val="21"/>
                      <w:szCs w:val="21"/>
                    </w:rPr>
                    <w:t>锅炉</w:t>
                  </w:r>
                </w:p>
              </w:tc>
              <w:tc>
                <w:tcPr>
                  <w:tcW w:w="1975" w:type="dxa"/>
                  <w:tcBorders>
                    <w:tl2br w:val="nil"/>
                    <w:tr2bl w:val="nil"/>
                  </w:tcBorders>
                  <w:vAlign w:val="center"/>
                </w:tcPr>
                <w:p>
                  <w:pPr>
                    <w:pStyle w:val="53"/>
                    <w:spacing w:line="240" w:lineRule="auto"/>
                    <w:rPr>
                      <w:sz w:val="21"/>
                      <w:szCs w:val="21"/>
                    </w:rPr>
                  </w:pPr>
                  <w:r>
                    <w:rPr>
                      <w:rFonts w:hint="eastAsia"/>
                      <w:sz w:val="21"/>
                      <w:szCs w:val="21"/>
                    </w:rPr>
                    <w:t>锅炉烟囱（DA001）</w:t>
                  </w:r>
                </w:p>
              </w:tc>
              <w:tc>
                <w:tcPr>
                  <w:tcW w:w="2637" w:type="dxa"/>
                  <w:tcBorders>
                    <w:tl2br w:val="nil"/>
                    <w:tr2bl w:val="nil"/>
                  </w:tcBorders>
                  <w:vAlign w:val="center"/>
                </w:tcPr>
                <w:p>
                  <w:pPr>
                    <w:pStyle w:val="53"/>
                    <w:spacing w:line="240" w:lineRule="auto"/>
                    <w:rPr>
                      <w:sz w:val="21"/>
                      <w:szCs w:val="21"/>
                    </w:rPr>
                  </w:pPr>
                  <w:r>
                    <w:rPr>
                      <w:rFonts w:hint="eastAsia"/>
                      <w:sz w:val="21"/>
                      <w:szCs w:val="21"/>
                    </w:rPr>
                    <w:t>烟尘、二氧化硫、氮氧化物、烟气黑度</w:t>
                  </w:r>
                </w:p>
              </w:tc>
              <w:tc>
                <w:tcPr>
                  <w:tcW w:w="1246" w:type="dxa"/>
                  <w:tcBorders>
                    <w:tl2br w:val="nil"/>
                    <w:tr2bl w:val="nil"/>
                  </w:tcBorders>
                  <w:vAlign w:val="center"/>
                </w:tcPr>
                <w:p>
                  <w:pPr>
                    <w:pStyle w:val="53"/>
                    <w:spacing w:line="240" w:lineRule="auto"/>
                    <w:rPr>
                      <w:sz w:val="21"/>
                      <w:szCs w:val="21"/>
                    </w:rPr>
                  </w:pPr>
                  <w:r>
                    <w:rPr>
                      <w:sz w:val="21"/>
                      <w:szCs w:val="21"/>
                    </w:rPr>
                    <w:t>1次/</w:t>
                  </w:r>
                  <w:r>
                    <w:rPr>
                      <w:rFonts w:hint="eastAsia"/>
                      <w:sz w:val="21"/>
                      <w:szCs w:val="21"/>
                    </w:rPr>
                    <w:t>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89" w:hRule="atLeast"/>
                <w:jc w:val="center"/>
              </w:trPr>
              <w:tc>
                <w:tcPr>
                  <w:tcW w:w="893" w:type="dxa"/>
                  <w:vMerge w:val="continue"/>
                  <w:tcBorders>
                    <w:tl2br w:val="nil"/>
                    <w:tr2bl w:val="nil"/>
                  </w:tcBorders>
                  <w:vAlign w:val="center"/>
                </w:tcPr>
                <w:p>
                  <w:pPr>
                    <w:pStyle w:val="53"/>
                    <w:spacing w:line="240" w:lineRule="auto"/>
                    <w:rPr>
                      <w:sz w:val="21"/>
                      <w:szCs w:val="21"/>
                    </w:rPr>
                  </w:pPr>
                </w:p>
              </w:tc>
              <w:tc>
                <w:tcPr>
                  <w:tcW w:w="1532" w:type="dxa"/>
                  <w:tcBorders>
                    <w:tl2br w:val="nil"/>
                    <w:tr2bl w:val="nil"/>
                  </w:tcBorders>
                  <w:vAlign w:val="center"/>
                </w:tcPr>
                <w:p>
                  <w:pPr>
                    <w:pStyle w:val="53"/>
                    <w:spacing w:line="240" w:lineRule="auto"/>
                    <w:rPr>
                      <w:sz w:val="21"/>
                      <w:szCs w:val="21"/>
                    </w:rPr>
                  </w:pPr>
                  <w:r>
                    <w:rPr>
                      <w:rFonts w:hint="eastAsia"/>
                      <w:sz w:val="21"/>
                      <w:szCs w:val="21"/>
                    </w:rPr>
                    <w:t>无组织废气</w:t>
                  </w:r>
                </w:p>
              </w:tc>
              <w:tc>
                <w:tcPr>
                  <w:tcW w:w="1975" w:type="dxa"/>
                  <w:tcBorders>
                    <w:tl2br w:val="nil"/>
                    <w:tr2bl w:val="nil"/>
                  </w:tcBorders>
                  <w:vAlign w:val="center"/>
                </w:tcPr>
                <w:p>
                  <w:pPr>
                    <w:pStyle w:val="53"/>
                    <w:spacing w:line="240" w:lineRule="auto"/>
                    <w:rPr>
                      <w:sz w:val="21"/>
                      <w:szCs w:val="21"/>
                    </w:rPr>
                  </w:pPr>
                  <w:r>
                    <w:rPr>
                      <w:rFonts w:hint="eastAsia"/>
                      <w:sz w:val="21"/>
                      <w:szCs w:val="21"/>
                    </w:rPr>
                    <w:t>厂界</w:t>
                  </w:r>
                </w:p>
              </w:tc>
              <w:tc>
                <w:tcPr>
                  <w:tcW w:w="2637" w:type="dxa"/>
                  <w:tcBorders>
                    <w:tl2br w:val="nil"/>
                    <w:tr2bl w:val="nil"/>
                  </w:tcBorders>
                  <w:vAlign w:val="center"/>
                </w:tcPr>
                <w:p>
                  <w:pPr>
                    <w:pStyle w:val="53"/>
                    <w:spacing w:line="240" w:lineRule="auto"/>
                    <w:rPr>
                      <w:sz w:val="21"/>
                      <w:szCs w:val="21"/>
                    </w:rPr>
                  </w:pPr>
                  <w:r>
                    <w:rPr>
                      <w:rFonts w:hint="eastAsia"/>
                      <w:sz w:val="21"/>
                      <w:szCs w:val="21"/>
                    </w:rPr>
                    <w:t>颗粒物</w:t>
                  </w:r>
                </w:p>
              </w:tc>
              <w:tc>
                <w:tcPr>
                  <w:tcW w:w="1246" w:type="dxa"/>
                  <w:tcBorders>
                    <w:tl2br w:val="nil"/>
                    <w:tr2bl w:val="nil"/>
                  </w:tcBorders>
                  <w:vAlign w:val="center"/>
                </w:tcPr>
                <w:p>
                  <w:pPr>
                    <w:pStyle w:val="53"/>
                    <w:spacing w:line="240" w:lineRule="auto"/>
                    <w:rPr>
                      <w:sz w:val="21"/>
                      <w:szCs w:val="21"/>
                    </w:rPr>
                  </w:pPr>
                  <w:r>
                    <w:rPr>
                      <w:sz w:val="21"/>
                      <w:szCs w:val="21"/>
                    </w:rPr>
                    <w:t>1次/</w:t>
                  </w:r>
                  <w:r>
                    <w:rPr>
                      <w:rFonts w:hint="eastAsia"/>
                      <w:sz w:val="21"/>
                      <w:szCs w:val="21"/>
                    </w:rPr>
                    <w:t>季</w:t>
                  </w:r>
                </w:p>
              </w:tc>
            </w:tr>
          </w:tbl>
          <w:p>
            <w:pPr>
              <w:rPr>
                <w:sz w:val="24"/>
              </w:rPr>
            </w:pPr>
          </w:p>
          <w:p>
            <w:pPr>
              <w:pStyle w:val="5"/>
              <w:spacing w:line="360" w:lineRule="auto"/>
              <w:ind w:firstLine="482" w:firstLineChars="200"/>
              <w:rPr>
                <w:sz w:val="24"/>
                <w:szCs w:val="24"/>
              </w:rPr>
            </w:pPr>
            <w:bookmarkStart w:id="33" w:name="_Toc20337"/>
            <w:bookmarkStart w:id="34" w:name="_Toc21459"/>
            <w:r>
              <w:rPr>
                <w:rFonts w:hint="eastAsia"/>
                <w:sz w:val="24"/>
                <w:szCs w:val="24"/>
              </w:rPr>
              <w:t>3、非正常工况污染源分析</w:t>
            </w:r>
            <w:bookmarkEnd w:id="33"/>
            <w:bookmarkEnd w:id="34"/>
          </w:p>
          <w:p>
            <w:pPr>
              <w:autoSpaceDE w:val="0"/>
              <w:autoSpaceDN w:val="0"/>
              <w:adjustRightInd w:val="0"/>
              <w:spacing w:line="360" w:lineRule="auto"/>
              <w:ind w:firstLine="480" w:firstLineChars="200"/>
              <w:rPr>
                <w:rFonts w:cs="宋体"/>
                <w:kern w:val="0"/>
                <w:sz w:val="24"/>
              </w:rPr>
            </w:pPr>
            <w:r>
              <w:rPr>
                <w:rFonts w:hint="eastAsia" w:cs="宋体"/>
                <w:sz w:val="24"/>
              </w:rPr>
              <w:t>项目在运行过程中可能发生的事故排污有两种情况：一种为除尘器在实际运行中受多方面因素影响除尘效率下降，而导致污染物排放量增加。根据类比调查，</w:t>
            </w:r>
            <w:r>
              <w:rPr>
                <w:rFonts w:hint="eastAsia" w:cs="宋体"/>
                <w:kern w:val="0"/>
                <w:sz w:val="24"/>
              </w:rPr>
              <w:t>此种情况下除尘器除尘效率多为70％左右，另一种为最不利情况，即</w:t>
            </w:r>
            <w:r>
              <w:rPr>
                <w:rFonts w:hint="eastAsia" w:cs="宋体"/>
                <w:sz w:val="24"/>
              </w:rPr>
              <w:t>除尘器装置</w:t>
            </w:r>
            <w:r>
              <w:rPr>
                <w:rFonts w:hint="eastAsia" w:cs="宋体"/>
                <w:kern w:val="0"/>
                <w:sz w:val="24"/>
              </w:rPr>
              <w:t>出现故障，此种情况下，效率为0。各种情况下的排污源强详见下表。</w:t>
            </w:r>
          </w:p>
          <w:p>
            <w:pPr>
              <w:widowControl/>
              <w:spacing w:line="360" w:lineRule="auto"/>
              <w:jc w:val="center"/>
              <w:rPr>
                <w:b/>
                <w:bCs/>
                <w:sz w:val="24"/>
                <w:u w:val="single"/>
              </w:rPr>
            </w:pPr>
            <w:r>
              <w:rPr>
                <w:rFonts w:hint="eastAsia" w:ascii="宋体" w:hAnsi="宋体" w:cs="宋体"/>
                <w:b/>
                <w:bCs/>
                <w:color w:val="000000"/>
                <w:kern w:val="0"/>
                <w:sz w:val="24"/>
                <w:u w:val="single"/>
              </w:rPr>
              <w:t>表4-8  非正常工况下污染物排放情况一览表</w:t>
            </w:r>
          </w:p>
          <w:tbl>
            <w:tblPr>
              <w:tblStyle w:val="27"/>
              <w:tblW w:w="8280" w:type="dxa"/>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1009"/>
              <w:gridCol w:w="869"/>
              <w:gridCol w:w="874"/>
              <w:gridCol w:w="848"/>
              <w:gridCol w:w="1196"/>
              <w:gridCol w:w="1131"/>
              <w:gridCol w:w="1040"/>
              <w:gridCol w:w="1313"/>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1009" w:type="dxa"/>
                  <w:tcBorders>
                    <w:tl2br w:val="nil"/>
                    <w:tr2bl w:val="nil"/>
                  </w:tcBorders>
                  <w:tcMar>
                    <w:top w:w="15" w:type="dxa"/>
                    <w:left w:w="15" w:type="dxa"/>
                    <w:right w:w="15" w:type="dxa"/>
                  </w:tcMar>
                  <w:vAlign w:val="center"/>
                </w:tcPr>
                <w:p>
                  <w:pPr>
                    <w:widowControl/>
                    <w:jc w:val="center"/>
                    <w:textAlignment w:val="center"/>
                    <w:rPr>
                      <w:szCs w:val="21"/>
                    </w:rPr>
                  </w:pPr>
                  <w:r>
                    <w:rPr>
                      <w:rFonts w:hint="eastAsia"/>
                      <w:kern w:val="0"/>
                      <w:szCs w:val="21"/>
                    </w:rPr>
                    <w:t>产污环节</w:t>
                  </w:r>
                </w:p>
              </w:tc>
              <w:tc>
                <w:tcPr>
                  <w:tcW w:w="869" w:type="dxa"/>
                  <w:tcBorders>
                    <w:tl2br w:val="nil"/>
                    <w:tr2bl w:val="nil"/>
                  </w:tcBorders>
                  <w:tcMar>
                    <w:top w:w="15" w:type="dxa"/>
                    <w:left w:w="15" w:type="dxa"/>
                    <w:right w:w="15" w:type="dxa"/>
                  </w:tcMar>
                  <w:vAlign w:val="center"/>
                </w:tcPr>
                <w:p>
                  <w:pPr>
                    <w:widowControl/>
                    <w:jc w:val="center"/>
                    <w:textAlignment w:val="center"/>
                    <w:rPr>
                      <w:szCs w:val="21"/>
                    </w:rPr>
                  </w:pPr>
                  <w:r>
                    <w:rPr>
                      <w:kern w:val="0"/>
                      <w:szCs w:val="21"/>
                    </w:rPr>
                    <w:t>污染物</w:t>
                  </w:r>
                </w:p>
              </w:tc>
              <w:tc>
                <w:tcPr>
                  <w:tcW w:w="874" w:type="dxa"/>
                  <w:tcBorders>
                    <w:tl2br w:val="nil"/>
                    <w:tr2bl w:val="nil"/>
                  </w:tcBorders>
                  <w:tcMar>
                    <w:top w:w="15" w:type="dxa"/>
                    <w:left w:w="15" w:type="dxa"/>
                    <w:right w:w="15" w:type="dxa"/>
                  </w:tcMar>
                  <w:vAlign w:val="center"/>
                </w:tcPr>
                <w:p>
                  <w:pPr>
                    <w:widowControl/>
                    <w:jc w:val="center"/>
                    <w:textAlignment w:val="center"/>
                    <w:rPr>
                      <w:kern w:val="0"/>
                      <w:szCs w:val="21"/>
                    </w:rPr>
                  </w:pPr>
                  <w:r>
                    <w:rPr>
                      <w:rFonts w:hint="eastAsia"/>
                      <w:kern w:val="0"/>
                      <w:szCs w:val="21"/>
                    </w:rPr>
                    <w:t>频次</w:t>
                  </w:r>
                </w:p>
              </w:tc>
              <w:tc>
                <w:tcPr>
                  <w:tcW w:w="848" w:type="dxa"/>
                  <w:tcBorders>
                    <w:tl2br w:val="nil"/>
                    <w:tr2bl w:val="nil"/>
                  </w:tcBorders>
                  <w:tcMar>
                    <w:top w:w="15" w:type="dxa"/>
                    <w:left w:w="15" w:type="dxa"/>
                    <w:right w:w="15" w:type="dxa"/>
                  </w:tcMar>
                  <w:vAlign w:val="center"/>
                </w:tcPr>
                <w:p>
                  <w:pPr>
                    <w:widowControl/>
                    <w:jc w:val="center"/>
                    <w:textAlignment w:val="center"/>
                    <w:rPr>
                      <w:kern w:val="0"/>
                      <w:szCs w:val="21"/>
                    </w:rPr>
                  </w:pPr>
                  <w:r>
                    <w:rPr>
                      <w:rFonts w:hint="eastAsia"/>
                      <w:kern w:val="0"/>
                      <w:szCs w:val="21"/>
                    </w:rPr>
                    <w:t>去除效率</w:t>
                  </w:r>
                </w:p>
              </w:tc>
              <w:tc>
                <w:tcPr>
                  <w:tcW w:w="1196" w:type="dxa"/>
                  <w:tcBorders>
                    <w:tl2br w:val="nil"/>
                    <w:tr2bl w:val="nil"/>
                  </w:tcBorders>
                  <w:tcMar>
                    <w:top w:w="15" w:type="dxa"/>
                    <w:left w:w="15" w:type="dxa"/>
                    <w:right w:w="15" w:type="dxa"/>
                  </w:tcMar>
                  <w:vAlign w:val="center"/>
                </w:tcPr>
                <w:p>
                  <w:pPr>
                    <w:widowControl/>
                    <w:jc w:val="center"/>
                    <w:textAlignment w:val="center"/>
                    <w:rPr>
                      <w:szCs w:val="21"/>
                    </w:rPr>
                  </w:pPr>
                  <w:r>
                    <w:rPr>
                      <w:szCs w:val="21"/>
                    </w:rPr>
                    <w:t>排放浓度</w:t>
                  </w:r>
                  <w:r>
                    <w:rPr>
                      <w:rFonts w:hint="eastAsia"/>
                      <w:szCs w:val="21"/>
                    </w:rPr>
                    <w:t>/</w:t>
                  </w:r>
                  <w:r>
                    <w:rPr>
                      <w:rFonts w:hint="eastAsia" w:cs="宋体"/>
                      <w:kern w:val="0"/>
                      <w:szCs w:val="21"/>
                    </w:rPr>
                    <w:t>mg/m</w:t>
                  </w:r>
                  <w:r>
                    <w:rPr>
                      <w:rFonts w:hint="eastAsia" w:cs="宋体"/>
                      <w:kern w:val="0"/>
                      <w:szCs w:val="21"/>
                      <w:vertAlign w:val="superscript"/>
                    </w:rPr>
                    <w:t>3</w:t>
                  </w:r>
                </w:p>
              </w:tc>
              <w:tc>
                <w:tcPr>
                  <w:tcW w:w="1131" w:type="dxa"/>
                  <w:tcBorders>
                    <w:tl2br w:val="nil"/>
                    <w:tr2bl w:val="nil"/>
                  </w:tcBorders>
                  <w:tcMar>
                    <w:top w:w="15" w:type="dxa"/>
                    <w:left w:w="15" w:type="dxa"/>
                    <w:right w:w="15" w:type="dxa"/>
                  </w:tcMar>
                  <w:vAlign w:val="center"/>
                </w:tcPr>
                <w:p>
                  <w:pPr>
                    <w:widowControl/>
                    <w:jc w:val="center"/>
                    <w:textAlignment w:val="center"/>
                    <w:rPr>
                      <w:kern w:val="0"/>
                      <w:szCs w:val="21"/>
                    </w:rPr>
                  </w:pPr>
                  <w:r>
                    <w:rPr>
                      <w:rFonts w:hint="eastAsia"/>
                      <w:kern w:val="0"/>
                      <w:szCs w:val="21"/>
                    </w:rPr>
                    <w:t>持续时间（h）</w:t>
                  </w:r>
                </w:p>
              </w:tc>
              <w:tc>
                <w:tcPr>
                  <w:tcW w:w="1040" w:type="dxa"/>
                  <w:tcBorders>
                    <w:tl2br w:val="nil"/>
                    <w:tr2bl w:val="nil"/>
                  </w:tcBorders>
                  <w:tcMar>
                    <w:top w:w="15" w:type="dxa"/>
                    <w:left w:w="15" w:type="dxa"/>
                    <w:right w:w="15" w:type="dxa"/>
                  </w:tcMar>
                  <w:vAlign w:val="center"/>
                </w:tcPr>
                <w:p>
                  <w:pPr>
                    <w:widowControl/>
                    <w:jc w:val="center"/>
                    <w:textAlignment w:val="center"/>
                    <w:rPr>
                      <w:szCs w:val="21"/>
                    </w:rPr>
                  </w:pPr>
                  <w:r>
                    <w:rPr>
                      <w:kern w:val="0"/>
                      <w:szCs w:val="21"/>
                    </w:rPr>
                    <w:t>排放量（</w:t>
                  </w:r>
                  <w:r>
                    <w:rPr>
                      <w:rFonts w:hint="eastAsia" w:cs="宋体"/>
                      <w:kern w:val="0"/>
                      <w:szCs w:val="21"/>
                    </w:rPr>
                    <w:t>t</w:t>
                  </w:r>
                  <w:r>
                    <w:rPr>
                      <w:kern w:val="0"/>
                      <w:szCs w:val="21"/>
                    </w:rPr>
                    <w:t>）</w:t>
                  </w:r>
                </w:p>
              </w:tc>
              <w:tc>
                <w:tcPr>
                  <w:tcW w:w="1313" w:type="dxa"/>
                  <w:tcBorders>
                    <w:tl2br w:val="nil"/>
                    <w:tr2bl w:val="nil"/>
                  </w:tcBorders>
                  <w:tcMar>
                    <w:top w:w="15" w:type="dxa"/>
                    <w:left w:w="15" w:type="dxa"/>
                    <w:right w:w="15" w:type="dxa"/>
                  </w:tcMar>
                  <w:vAlign w:val="center"/>
                </w:tcPr>
                <w:p>
                  <w:pPr>
                    <w:widowControl/>
                    <w:jc w:val="center"/>
                    <w:textAlignment w:val="center"/>
                    <w:rPr>
                      <w:kern w:val="0"/>
                      <w:szCs w:val="21"/>
                    </w:rPr>
                  </w:pPr>
                  <w:r>
                    <w:rPr>
                      <w:rFonts w:hint="eastAsia"/>
                      <w:kern w:val="0"/>
                      <w:szCs w:val="21"/>
                    </w:rPr>
                    <w:t>措施</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8280" w:type="dxa"/>
                  <w:gridSpan w:val="8"/>
                  <w:tcBorders>
                    <w:tl2br w:val="nil"/>
                    <w:tr2bl w:val="nil"/>
                  </w:tcBorders>
                  <w:tcMar>
                    <w:top w:w="15" w:type="dxa"/>
                    <w:left w:w="15" w:type="dxa"/>
                    <w:right w:w="15" w:type="dxa"/>
                  </w:tcMar>
                  <w:vAlign w:val="center"/>
                </w:tcPr>
                <w:p>
                  <w:pPr>
                    <w:widowControl/>
                    <w:jc w:val="center"/>
                    <w:textAlignment w:val="center"/>
                    <w:rPr>
                      <w:kern w:val="0"/>
                      <w:szCs w:val="21"/>
                    </w:rPr>
                  </w:pPr>
                  <w:r>
                    <w:rPr>
                      <w:rFonts w:hint="eastAsia" w:cs="宋体"/>
                      <w:kern w:val="0"/>
                      <w:szCs w:val="21"/>
                    </w:rPr>
                    <w:t>污染防治设施</w:t>
                  </w:r>
                  <w:r>
                    <w:rPr>
                      <w:rFonts w:hint="eastAsia" w:cs="宋体"/>
                      <w:szCs w:val="21"/>
                    </w:rPr>
                    <w:t>效率下降</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27" w:hRule="atLeast"/>
              </w:trPr>
              <w:tc>
                <w:tcPr>
                  <w:tcW w:w="1009" w:type="dxa"/>
                  <w:tcBorders>
                    <w:tl2br w:val="nil"/>
                    <w:tr2bl w:val="nil"/>
                  </w:tcBorders>
                  <w:tcMar>
                    <w:top w:w="15" w:type="dxa"/>
                    <w:left w:w="15" w:type="dxa"/>
                    <w:right w:w="15" w:type="dxa"/>
                  </w:tcMar>
                  <w:vAlign w:val="center"/>
                </w:tcPr>
                <w:p>
                  <w:pPr>
                    <w:jc w:val="center"/>
                    <w:rPr>
                      <w:bCs/>
                      <w:szCs w:val="21"/>
                    </w:rPr>
                  </w:pPr>
                  <w:r>
                    <w:rPr>
                      <w:rFonts w:hint="eastAsia"/>
                      <w:bCs/>
                      <w:szCs w:val="21"/>
                    </w:rPr>
                    <w:t>锅炉烟气</w:t>
                  </w:r>
                </w:p>
              </w:tc>
              <w:tc>
                <w:tcPr>
                  <w:tcW w:w="869" w:type="dxa"/>
                  <w:tcBorders>
                    <w:tl2br w:val="nil"/>
                    <w:tr2bl w:val="nil"/>
                  </w:tcBorders>
                  <w:tcMar>
                    <w:top w:w="15" w:type="dxa"/>
                    <w:left w:w="15" w:type="dxa"/>
                    <w:right w:w="15" w:type="dxa"/>
                  </w:tcMar>
                  <w:vAlign w:val="center"/>
                </w:tcPr>
                <w:p>
                  <w:pPr>
                    <w:jc w:val="center"/>
                    <w:rPr>
                      <w:bCs/>
                      <w:szCs w:val="21"/>
                    </w:rPr>
                  </w:pPr>
                  <w:r>
                    <w:rPr>
                      <w:rFonts w:hint="eastAsia"/>
                      <w:bCs/>
                      <w:szCs w:val="21"/>
                    </w:rPr>
                    <w:t>颗粒物</w:t>
                  </w:r>
                </w:p>
              </w:tc>
              <w:tc>
                <w:tcPr>
                  <w:tcW w:w="874" w:type="dxa"/>
                  <w:tcBorders>
                    <w:tl2br w:val="nil"/>
                    <w:tr2bl w:val="nil"/>
                  </w:tcBorders>
                  <w:tcMar>
                    <w:top w:w="15" w:type="dxa"/>
                    <w:left w:w="15" w:type="dxa"/>
                    <w:right w:w="15" w:type="dxa"/>
                  </w:tcMar>
                  <w:vAlign w:val="center"/>
                </w:tcPr>
                <w:p>
                  <w:pPr>
                    <w:jc w:val="center"/>
                    <w:rPr>
                      <w:bCs/>
                      <w:szCs w:val="21"/>
                    </w:rPr>
                  </w:pPr>
                  <w:r>
                    <w:rPr>
                      <w:rFonts w:hint="eastAsia"/>
                      <w:bCs/>
                      <w:szCs w:val="21"/>
                    </w:rPr>
                    <w:t>1次/年</w:t>
                  </w:r>
                </w:p>
              </w:tc>
              <w:tc>
                <w:tcPr>
                  <w:tcW w:w="848" w:type="dxa"/>
                  <w:tcBorders>
                    <w:tl2br w:val="nil"/>
                    <w:tr2bl w:val="nil"/>
                  </w:tcBorders>
                  <w:tcMar>
                    <w:top w:w="15" w:type="dxa"/>
                    <w:left w:w="15" w:type="dxa"/>
                    <w:right w:w="15" w:type="dxa"/>
                  </w:tcMar>
                  <w:vAlign w:val="center"/>
                </w:tcPr>
                <w:p>
                  <w:pPr>
                    <w:jc w:val="center"/>
                    <w:rPr>
                      <w:bCs/>
                      <w:szCs w:val="21"/>
                    </w:rPr>
                  </w:pPr>
                  <w:r>
                    <w:rPr>
                      <w:rFonts w:hint="eastAsia"/>
                      <w:bCs/>
                      <w:szCs w:val="21"/>
                    </w:rPr>
                    <w:t>70%</w:t>
                  </w:r>
                </w:p>
              </w:tc>
              <w:tc>
                <w:tcPr>
                  <w:tcW w:w="1196" w:type="dxa"/>
                  <w:tcBorders>
                    <w:tl2br w:val="nil"/>
                    <w:tr2bl w:val="nil"/>
                  </w:tcBorders>
                  <w:tcMar>
                    <w:top w:w="15" w:type="dxa"/>
                    <w:left w:w="15" w:type="dxa"/>
                    <w:right w:w="15" w:type="dxa"/>
                  </w:tcMar>
                  <w:vAlign w:val="center"/>
                </w:tcPr>
                <w:p>
                  <w:pPr>
                    <w:jc w:val="center"/>
                    <w:rPr>
                      <w:bCs/>
                      <w:szCs w:val="21"/>
                    </w:rPr>
                  </w:pPr>
                  <w:r>
                    <w:rPr>
                      <w:rFonts w:hint="eastAsia"/>
                      <w:bCs/>
                      <w:szCs w:val="21"/>
                    </w:rPr>
                    <w:t>1076.4</w:t>
                  </w:r>
                </w:p>
              </w:tc>
              <w:tc>
                <w:tcPr>
                  <w:tcW w:w="1131" w:type="dxa"/>
                  <w:tcBorders>
                    <w:tl2br w:val="nil"/>
                    <w:tr2bl w:val="nil"/>
                  </w:tcBorders>
                  <w:tcMar>
                    <w:top w:w="15" w:type="dxa"/>
                    <w:left w:w="15" w:type="dxa"/>
                    <w:right w:w="15" w:type="dxa"/>
                  </w:tcMar>
                  <w:vAlign w:val="center"/>
                </w:tcPr>
                <w:p>
                  <w:pPr>
                    <w:jc w:val="center"/>
                    <w:rPr>
                      <w:bCs/>
                      <w:szCs w:val="21"/>
                    </w:rPr>
                  </w:pPr>
                  <w:r>
                    <w:rPr>
                      <w:rFonts w:hint="eastAsia"/>
                      <w:bCs/>
                      <w:szCs w:val="21"/>
                    </w:rPr>
                    <w:t>2</w:t>
                  </w:r>
                </w:p>
              </w:tc>
              <w:tc>
                <w:tcPr>
                  <w:tcW w:w="1040" w:type="dxa"/>
                  <w:tcBorders>
                    <w:tl2br w:val="nil"/>
                    <w:tr2bl w:val="nil"/>
                  </w:tcBorders>
                  <w:tcMar>
                    <w:top w:w="15" w:type="dxa"/>
                    <w:left w:w="15" w:type="dxa"/>
                    <w:right w:w="15" w:type="dxa"/>
                  </w:tcMar>
                  <w:vAlign w:val="center"/>
                </w:tcPr>
                <w:p>
                  <w:pPr>
                    <w:jc w:val="center"/>
                    <w:rPr>
                      <w:bCs/>
                      <w:szCs w:val="21"/>
                    </w:rPr>
                  </w:pPr>
                  <w:r>
                    <w:rPr>
                      <w:rFonts w:hint="eastAsia"/>
                      <w:bCs/>
                      <w:szCs w:val="21"/>
                    </w:rPr>
                    <w:t>0.0038</w:t>
                  </w:r>
                </w:p>
              </w:tc>
              <w:tc>
                <w:tcPr>
                  <w:tcW w:w="1313" w:type="dxa"/>
                  <w:tcBorders>
                    <w:tl2br w:val="nil"/>
                    <w:tr2bl w:val="nil"/>
                  </w:tcBorders>
                  <w:tcMar>
                    <w:top w:w="15" w:type="dxa"/>
                    <w:left w:w="15" w:type="dxa"/>
                    <w:right w:w="15" w:type="dxa"/>
                  </w:tcMar>
                  <w:vAlign w:val="center"/>
                </w:tcPr>
                <w:p>
                  <w:pPr>
                    <w:jc w:val="center"/>
                    <w:rPr>
                      <w:bCs/>
                      <w:szCs w:val="21"/>
                    </w:rPr>
                  </w:pPr>
                  <w:r>
                    <w:rPr>
                      <w:rFonts w:hint="eastAsia"/>
                      <w:bCs/>
                      <w:szCs w:val="21"/>
                    </w:rPr>
                    <w:t>停产修复</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27" w:hRule="atLeast"/>
              </w:trPr>
              <w:tc>
                <w:tcPr>
                  <w:tcW w:w="8280" w:type="dxa"/>
                  <w:gridSpan w:val="8"/>
                  <w:tcBorders>
                    <w:tl2br w:val="nil"/>
                    <w:tr2bl w:val="nil"/>
                  </w:tcBorders>
                  <w:tcMar>
                    <w:top w:w="15" w:type="dxa"/>
                    <w:left w:w="15" w:type="dxa"/>
                    <w:right w:w="15" w:type="dxa"/>
                  </w:tcMar>
                  <w:vAlign w:val="center"/>
                </w:tcPr>
                <w:p>
                  <w:pPr>
                    <w:jc w:val="center"/>
                    <w:rPr>
                      <w:szCs w:val="21"/>
                    </w:rPr>
                  </w:pPr>
                  <w:r>
                    <w:rPr>
                      <w:rFonts w:hint="eastAsia"/>
                      <w:bCs/>
                      <w:szCs w:val="21"/>
                    </w:rPr>
                    <w:t>污染防治设施故障</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27" w:hRule="atLeast"/>
              </w:trPr>
              <w:tc>
                <w:tcPr>
                  <w:tcW w:w="1009" w:type="dxa"/>
                  <w:tcBorders>
                    <w:tl2br w:val="nil"/>
                    <w:tr2bl w:val="nil"/>
                  </w:tcBorders>
                  <w:tcMar>
                    <w:top w:w="15" w:type="dxa"/>
                    <w:left w:w="15" w:type="dxa"/>
                    <w:right w:w="15" w:type="dxa"/>
                  </w:tcMar>
                  <w:vAlign w:val="center"/>
                </w:tcPr>
                <w:p>
                  <w:pPr>
                    <w:jc w:val="center"/>
                    <w:rPr>
                      <w:bCs/>
                      <w:szCs w:val="21"/>
                    </w:rPr>
                  </w:pPr>
                  <w:r>
                    <w:rPr>
                      <w:rFonts w:hint="eastAsia"/>
                      <w:bCs/>
                      <w:szCs w:val="21"/>
                    </w:rPr>
                    <w:t>锅炉烟气</w:t>
                  </w:r>
                </w:p>
              </w:tc>
              <w:tc>
                <w:tcPr>
                  <w:tcW w:w="869" w:type="dxa"/>
                  <w:tcBorders>
                    <w:tl2br w:val="nil"/>
                    <w:tr2bl w:val="nil"/>
                  </w:tcBorders>
                  <w:tcMar>
                    <w:top w:w="15" w:type="dxa"/>
                    <w:left w:w="15" w:type="dxa"/>
                    <w:right w:w="15" w:type="dxa"/>
                  </w:tcMar>
                  <w:vAlign w:val="center"/>
                </w:tcPr>
                <w:p>
                  <w:pPr>
                    <w:jc w:val="center"/>
                    <w:rPr>
                      <w:bCs/>
                      <w:szCs w:val="21"/>
                    </w:rPr>
                  </w:pPr>
                  <w:r>
                    <w:rPr>
                      <w:rFonts w:hint="eastAsia"/>
                      <w:bCs/>
                      <w:szCs w:val="21"/>
                    </w:rPr>
                    <w:t>颗粒物</w:t>
                  </w:r>
                </w:p>
              </w:tc>
              <w:tc>
                <w:tcPr>
                  <w:tcW w:w="874" w:type="dxa"/>
                  <w:tcBorders>
                    <w:tl2br w:val="nil"/>
                    <w:tr2bl w:val="nil"/>
                  </w:tcBorders>
                  <w:tcMar>
                    <w:top w:w="15" w:type="dxa"/>
                    <w:left w:w="15" w:type="dxa"/>
                    <w:right w:w="15" w:type="dxa"/>
                  </w:tcMar>
                  <w:vAlign w:val="center"/>
                </w:tcPr>
                <w:p>
                  <w:pPr>
                    <w:jc w:val="center"/>
                    <w:rPr>
                      <w:bCs/>
                      <w:szCs w:val="21"/>
                    </w:rPr>
                  </w:pPr>
                  <w:r>
                    <w:rPr>
                      <w:rFonts w:hint="eastAsia"/>
                      <w:bCs/>
                      <w:szCs w:val="21"/>
                    </w:rPr>
                    <w:t>1次/年</w:t>
                  </w:r>
                </w:p>
              </w:tc>
              <w:tc>
                <w:tcPr>
                  <w:tcW w:w="848" w:type="dxa"/>
                  <w:tcBorders>
                    <w:tl2br w:val="nil"/>
                    <w:tr2bl w:val="nil"/>
                  </w:tcBorders>
                  <w:tcMar>
                    <w:top w:w="15" w:type="dxa"/>
                    <w:left w:w="15" w:type="dxa"/>
                    <w:right w:w="15" w:type="dxa"/>
                  </w:tcMar>
                  <w:vAlign w:val="center"/>
                </w:tcPr>
                <w:p>
                  <w:pPr>
                    <w:pStyle w:val="54"/>
                    <w:rPr>
                      <w:rFonts w:ascii="Times New Roman" w:hAnsi="Times New Roman"/>
                      <w:bCs/>
                      <w:szCs w:val="21"/>
                      <w:lang w:val="en-US"/>
                    </w:rPr>
                  </w:pPr>
                  <w:r>
                    <w:rPr>
                      <w:rFonts w:hint="eastAsia" w:ascii="Times New Roman" w:hAnsi="Times New Roman"/>
                      <w:bCs/>
                      <w:szCs w:val="21"/>
                      <w:lang w:val="en-US"/>
                    </w:rPr>
                    <w:t>0</w:t>
                  </w:r>
                </w:p>
              </w:tc>
              <w:tc>
                <w:tcPr>
                  <w:tcW w:w="1196" w:type="dxa"/>
                  <w:tcBorders>
                    <w:tl2br w:val="nil"/>
                    <w:tr2bl w:val="nil"/>
                  </w:tcBorders>
                  <w:tcMar>
                    <w:top w:w="15" w:type="dxa"/>
                    <w:left w:w="15" w:type="dxa"/>
                    <w:right w:w="15" w:type="dxa"/>
                  </w:tcMar>
                  <w:vAlign w:val="center"/>
                </w:tcPr>
                <w:p>
                  <w:pPr>
                    <w:jc w:val="center"/>
                    <w:rPr>
                      <w:bCs/>
                      <w:szCs w:val="21"/>
                    </w:rPr>
                  </w:pPr>
                  <w:r>
                    <w:rPr>
                      <w:rFonts w:hint="eastAsia"/>
                      <w:bCs/>
                      <w:szCs w:val="21"/>
                    </w:rPr>
                    <w:t>3588.19</w:t>
                  </w:r>
                </w:p>
              </w:tc>
              <w:tc>
                <w:tcPr>
                  <w:tcW w:w="1131" w:type="dxa"/>
                  <w:tcBorders>
                    <w:tl2br w:val="nil"/>
                    <w:tr2bl w:val="nil"/>
                  </w:tcBorders>
                  <w:tcMar>
                    <w:top w:w="15" w:type="dxa"/>
                    <w:left w:w="15" w:type="dxa"/>
                    <w:right w:w="15" w:type="dxa"/>
                  </w:tcMar>
                  <w:vAlign w:val="center"/>
                </w:tcPr>
                <w:p>
                  <w:pPr>
                    <w:jc w:val="center"/>
                    <w:rPr>
                      <w:bCs/>
                      <w:szCs w:val="21"/>
                    </w:rPr>
                  </w:pPr>
                  <w:r>
                    <w:rPr>
                      <w:rFonts w:hint="eastAsia"/>
                      <w:bCs/>
                      <w:szCs w:val="21"/>
                    </w:rPr>
                    <w:t>2</w:t>
                  </w:r>
                </w:p>
              </w:tc>
              <w:tc>
                <w:tcPr>
                  <w:tcW w:w="1040" w:type="dxa"/>
                  <w:tcBorders>
                    <w:tl2br w:val="nil"/>
                    <w:tr2bl w:val="nil"/>
                  </w:tcBorders>
                  <w:tcMar>
                    <w:top w:w="15" w:type="dxa"/>
                    <w:left w:w="15" w:type="dxa"/>
                    <w:right w:w="15" w:type="dxa"/>
                  </w:tcMar>
                  <w:vAlign w:val="center"/>
                </w:tcPr>
                <w:p>
                  <w:pPr>
                    <w:jc w:val="center"/>
                    <w:rPr>
                      <w:bCs/>
                      <w:szCs w:val="21"/>
                    </w:rPr>
                  </w:pPr>
                  <w:r>
                    <w:rPr>
                      <w:rFonts w:hint="eastAsia"/>
                      <w:bCs/>
                      <w:szCs w:val="21"/>
                    </w:rPr>
                    <w:t>0.0127</w:t>
                  </w:r>
                </w:p>
              </w:tc>
              <w:tc>
                <w:tcPr>
                  <w:tcW w:w="1313" w:type="dxa"/>
                  <w:tcBorders>
                    <w:tl2br w:val="nil"/>
                    <w:tr2bl w:val="nil"/>
                  </w:tcBorders>
                  <w:tcMar>
                    <w:top w:w="15" w:type="dxa"/>
                    <w:left w:w="15" w:type="dxa"/>
                    <w:right w:w="15" w:type="dxa"/>
                  </w:tcMar>
                  <w:vAlign w:val="center"/>
                </w:tcPr>
                <w:p>
                  <w:pPr>
                    <w:jc w:val="center"/>
                    <w:rPr>
                      <w:bCs/>
                      <w:szCs w:val="21"/>
                    </w:rPr>
                  </w:pPr>
                  <w:r>
                    <w:rPr>
                      <w:rFonts w:hint="eastAsia"/>
                      <w:bCs/>
                      <w:szCs w:val="21"/>
                    </w:rPr>
                    <w:t>停产修复</w:t>
                  </w:r>
                </w:p>
              </w:tc>
            </w:tr>
          </w:tbl>
          <w:p>
            <w:pPr>
              <w:spacing w:line="360" w:lineRule="auto"/>
              <w:rPr>
                <w:sz w:val="24"/>
              </w:rPr>
            </w:pPr>
            <w:r>
              <w:rPr>
                <w:rFonts w:hint="eastAsia"/>
                <w:b/>
                <w:bCs/>
                <w:sz w:val="24"/>
              </w:rPr>
              <w:t>4.2.3噪声</w:t>
            </w:r>
          </w:p>
          <w:p>
            <w:pPr>
              <w:spacing w:line="360" w:lineRule="auto"/>
              <w:ind w:firstLine="470" w:firstLineChars="196"/>
              <w:rPr>
                <w:sz w:val="24"/>
              </w:rPr>
            </w:pPr>
            <w:r>
              <w:rPr>
                <w:rFonts w:hint="eastAsia" w:ascii="宋体" w:hAnsi="宋体" w:cs="宋体"/>
                <w:sz w:val="24"/>
              </w:rPr>
              <w:t>⑴</w:t>
            </w:r>
            <w:r>
              <w:rPr>
                <w:rFonts w:hint="eastAsia"/>
                <w:sz w:val="24"/>
              </w:rPr>
              <w:t>预测内容</w:t>
            </w:r>
          </w:p>
          <w:p>
            <w:pPr>
              <w:spacing w:line="360" w:lineRule="auto"/>
              <w:ind w:firstLine="470" w:firstLineChars="196"/>
              <w:rPr>
                <w:sz w:val="24"/>
              </w:rPr>
            </w:pPr>
            <w:r>
              <w:rPr>
                <w:rFonts w:hint="eastAsia"/>
                <w:sz w:val="24"/>
              </w:rPr>
              <w:t>运行期间昼夜厂界噪声和敏感点噪声。</w:t>
            </w:r>
          </w:p>
          <w:p>
            <w:pPr>
              <w:spacing w:line="360" w:lineRule="auto"/>
              <w:ind w:firstLine="470" w:firstLineChars="196"/>
              <w:rPr>
                <w:sz w:val="24"/>
              </w:rPr>
            </w:pPr>
            <w:r>
              <w:rPr>
                <w:rFonts w:hint="eastAsia" w:ascii="宋体" w:hAnsi="宋体" w:cs="宋体"/>
                <w:sz w:val="24"/>
              </w:rPr>
              <w:t>⑵</w:t>
            </w:r>
            <w:r>
              <w:rPr>
                <w:rFonts w:hint="eastAsia"/>
                <w:sz w:val="24"/>
              </w:rPr>
              <w:t>噪声源强</w:t>
            </w:r>
          </w:p>
          <w:p>
            <w:pPr>
              <w:spacing w:line="360" w:lineRule="auto"/>
              <w:ind w:firstLine="470" w:firstLineChars="196"/>
              <w:rPr>
                <w:szCs w:val="21"/>
              </w:rPr>
            </w:pPr>
            <w:r>
              <w:rPr>
                <w:rFonts w:hint="eastAsia"/>
                <w:sz w:val="24"/>
              </w:rPr>
              <w:t>本项目主要噪声源来自扒皮机、切头机、锅炉等设备运行时噪声，为持续噪声源，噪声源强为60-85dB(A)。</w:t>
            </w:r>
          </w:p>
          <w:p>
            <w:pPr>
              <w:widowControl/>
              <w:spacing w:line="360" w:lineRule="auto"/>
              <w:jc w:val="center"/>
              <w:rPr>
                <w:b/>
                <w:bCs/>
                <w:sz w:val="24"/>
                <w:u w:val="single"/>
              </w:rPr>
            </w:pPr>
            <w:r>
              <w:rPr>
                <w:rFonts w:ascii="宋体" w:hAnsi="宋体" w:cs="宋体"/>
                <w:b/>
                <w:bCs/>
                <w:color w:val="000000"/>
                <w:kern w:val="0"/>
                <w:sz w:val="24"/>
                <w:u w:val="single"/>
              </w:rPr>
              <w:t>表</w:t>
            </w:r>
            <w:r>
              <w:rPr>
                <w:rFonts w:hint="eastAsia" w:ascii="宋体" w:hAnsi="宋体" w:cs="宋体"/>
                <w:b/>
                <w:bCs/>
                <w:color w:val="000000"/>
                <w:kern w:val="0"/>
                <w:sz w:val="24"/>
                <w:u w:val="single"/>
              </w:rPr>
              <w:t>4-9</w:t>
            </w:r>
            <w:r>
              <w:rPr>
                <w:rFonts w:ascii="宋体" w:hAnsi="宋体" w:cs="宋体"/>
                <w:b/>
                <w:bCs/>
                <w:color w:val="000000"/>
                <w:kern w:val="0"/>
                <w:sz w:val="24"/>
                <w:u w:val="single"/>
              </w:rPr>
              <w:t xml:space="preserve">  项目主要噪声源强防治措施及效果</w:t>
            </w:r>
          </w:p>
          <w:tbl>
            <w:tblPr>
              <w:tblStyle w:val="27"/>
              <w:tblW w:w="8271" w:type="dxa"/>
              <w:jc w:val="center"/>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fixed"/>
              <w:tblCellMar>
                <w:top w:w="0" w:type="dxa"/>
                <w:left w:w="0" w:type="dxa"/>
                <w:bottom w:w="0" w:type="dxa"/>
                <w:right w:w="0" w:type="dxa"/>
              </w:tblCellMar>
            </w:tblPr>
            <w:tblGrid>
              <w:gridCol w:w="426"/>
              <w:gridCol w:w="1362"/>
              <w:gridCol w:w="774"/>
              <w:gridCol w:w="1032"/>
              <w:gridCol w:w="1065"/>
              <w:gridCol w:w="777"/>
              <w:gridCol w:w="794"/>
              <w:gridCol w:w="948"/>
              <w:gridCol w:w="1093"/>
            </w:tblGrid>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426" w:type="dxa"/>
                  <w:tcBorders>
                    <w:tl2br w:val="nil"/>
                    <w:tr2bl w:val="nil"/>
                  </w:tcBorders>
                  <w:vAlign w:val="center"/>
                </w:tcPr>
                <w:p>
                  <w:pPr>
                    <w:pStyle w:val="68"/>
                    <w:autoSpaceDE w:val="0"/>
                    <w:autoSpaceDN w:val="0"/>
                    <w:spacing w:before="0" w:after="0" w:line="240" w:lineRule="auto"/>
                    <w:ind w:firstLine="0" w:firstLineChars="0"/>
                    <w:jc w:val="center"/>
                    <w:rPr>
                      <w:rFonts w:eastAsia="宋体"/>
                      <w:color w:val="auto"/>
                      <w:sz w:val="21"/>
                      <w:szCs w:val="21"/>
                    </w:rPr>
                  </w:pPr>
                  <w:r>
                    <w:rPr>
                      <w:rFonts w:hint="eastAsia" w:eastAsia="宋体"/>
                      <w:color w:val="auto"/>
                      <w:sz w:val="21"/>
                      <w:szCs w:val="21"/>
                    </w:rPr>
                    <w:t>序号</w:t>
                  </w:r>
                </w:p>
              </w:tc>
              <w:tc>
                <w:tcPr>
                  <w:tcW w:w="1362" w:type="dxa"/>
                  <w:tcBorders>
                    <w:tl2br w:val="nil"/>
                    <w:tr2bl w:val="nil"/>
                  </w:tcBorders>
                  <w:vAlign w:val="center"/>
                </w:tcPr>
                <w:p>
                  <w:pPr>
                    <w:pStyle w:val="68"/>
                    <w:autoSpaceDE w:val="0"/>
                    <w:autoSpaceDN w:val="0"/>
                    <w:spacing w:before="0" w:after="0" w:line="240" w:lineRule="auto"/>
                    <w:ind w:firstLine="0" w:firstLineChars="0"/>
                    <w:jc w:val="center"/>
                    <w:rPr>
                      <w:rFonts w:eastAsia="宋体"/>
                      <w:color w:val="auto"/>
                      <w:sz w:val="21"/>
                      <w:szCs w:val="21"/>
                    </w:rPr>
                  </w:pPr>
                  <w:r>
                    <w:rPr>
                      <w:rFonts w:hint="eastAsia" w:eastAsia="宋体"/>
                      <w:color w:val="auto"/>
                      <w:sz w:val="21"/>
                      <w:szCs w:val="21"/>
                    </w:rPr>
                    <w:t>设备名称</w:t>
                  </w:r>
                </w:p>
              </w:tc>
              <w:tc>
                <w:tcPr>
                  <w:tcW w:w="774" w:type="dxa"/>
                  <w:tcBorders>
                    <w:tl2br w:val="nil"/>
                    <w:tr2bl w:val="nil"/>
                  </w:tcBorders>
                  <w:vAlign w:val="center"/>
                </w:tcPr>
                <w:p>
                  <w:pPr>
                    <w:pStyle w:val="68"/>
                    <w:autoSpaceDE w:val="0"/>
                    <w:autoSpaceDN w:val="0"/>
                    <w:spacing w:before="0" w:after="0" w:line="240" w:lineRule="auto"/>
                    <w:ind w:firstLine="0" w:firstLineChars="0"/>
                    <w:jc w:val="center"/>
                    <w:rPr>
                      <w:rFonts w:eastAsia="宋体"/>
                      <w:color w:val="auto"/>
                      <w:sz w:val="21"/>
                      <w:szCs w:val="21"/>
                    </w:rPr>
                  </w:pPr>
                  <w:r>
                    <w:rPr>
                      <w:rFonts w:hint="eastAsia" w:eastAsia="宋体"/>
                      <w:color w:val="auto"/>
                      <w:sz w:val="21"/>
                      <w:szCs w:val="21"/>
                    </w:rPr>
                    <w:t>数量（台）</w:t>
                  </w:r>
                </w:p>
              </w:tc>
              <w:tc>
                <w:tcPr>
                  <w:tcW w:w="1032" w:type="dxa"/>
                  <w:tcBorders>
                    <w:tl2br w:val="nil"/>
                    <w:tr2bl w:val="nil"/>
                  </w:tcBorders>
                  <w:vAlign w:val="center"/>
                </w:tcPr>
                <w:p>
                  <w:pPr>
                    <w:pStyle w:val="68"/>
                    <w:autoSpaceDE w:val="0"/>
                    <w:autoSpaceDN w:val="0"/>
                    <w:spacing w:before="0" w:after="0" w:line="240" w:lineRule="auto"/>
                    <w:ind w:firstLine="0" w:firstLineChars="0"/>
                    <w:jc w:val="center"/>
                    <w:rPr>
                      <w:rFonts w:eastAsia="宋体"/>
                      <w:color w:val="auto"/>
                      <w:sz w:val="21"/>
                      <w:szCs w:val="21"/>
                    </w:rPr>
                  </w:pPr>
                  <w:r>
                    <w:rPr>
                      <w:rFonts w:hint="eastAsia" w:eastAsia="宋体"/>
                      <w:color w:val="auto"/>
                      <w:sz w:val="21"/>
                      <w:szCs w:val="21"/>
                    </w:rPr>
                    <w:t>噪声源强</w:t>
                  </w:r>
                </w:p>
                <w:p>
                  <w:pPr>
                    <w:pStyle w:val="68"/>
                    <w:autoSpaceDE w:val="0"/>
                    <w:autoSpaceDN w:val="0"/>
                    <w:spacing w:before="0" w:after="0" w:line="240" w:lineRule="auto"/>
                    <w:ind w:firstLine="0" w:firstLineChars="0"/>
                    <w:jc w:val="center"/>
                    <w:rPr>
                      <w:rFonts w:eastAsia="宋体"/>
                      <w:color w:val="auto"/>
                      <w:sz w:val="21"/>
                      <w:szCs w:val="21"/>
                    </w:rPr>
                  </w:pPr>
                  <w:r>
                    <w:rPr>
                      <w:rFonts w:hint="eastAsia" w:eastAsia="宋体"/>
                      <w:color w:val="auto"/>
                      <w:sz w:val="21"/>
                      <w:szCs w:val="21"/>
                    </w:rPr>
                    <w:t>[dB（A）]</w:t>
                  </w:r>
                </w:p>
              </w:tc>
              <w:tc>
                <w:tcPr>
                  <w:tcW w:w="1065" w:type="dxa"/>
                  <w:tcBorders>
                    <w:tl2br w:val="nil"/>
                    <w:tr2bl w:val="nil"/>
                  </w:tcBorders>
                  <w:vAlign w:val="center"/>
                </w:tcPr>
                <w:p>
                  <w:pPr>
                    <w:pStyle w:val="68"/>
                    <w:autoSpaceDE w:val="0"/>
                    <w:autoSpaceDN w:val="0"/>
                    <w:spacing w:before="0" w:after="0" w:line="240" w:lineRule="auto"/>
                    <w:ind w:firstLine="0" w:firstLineChars="0"/>
                    <w:jc w:val="center"/>
                    <w:rPr>
                      <w:rFonts w:eastAsia="宋体"/>
                      <w:color w:val="auto"/>
                      <w:sz w:val="21"/>
                      <w:szCs w:val="21"/>
                    </w:rPr>
                  </w:pPr>
                  <w:r>
                    <w:rPr>
                      <w:rFonts w:hint="eastAsia" w:eastAsia="宋体"/>
                      <w:color w:val="auto"/>
                      <w:sz w:val="21"/>
                      <w:szCs w:val="21"/>
                    </w:rPr>
                    <w:t>声源位置</w:t>
                  </w:r>
                </w:p>
              </w:tc>
              <w:tc>
                <w:tcPr>
                  <w:tcW w:w="777" w:type="dxa"/>
                  <w:tcBorders>
                    <w:tl2br w:val="nil"/>
                    <w:tr2bl w:val="nil"/>
                  </w:tcBorders>
                  <w:vAlign w:val="center"/>
                </w:tcPr>
                <w:p>
                  <w:pPr>
                    <w:pStyle w:val="68"/>
                    <w:autoSpaceDE w:val="0"/>
                    <w:autoSpaceDN w:val="0"/>
                    <w:spacing w:before="0" w:after="0" w:line="240" w:lineRule="auto"/>
                    <w:ind w:firstLine="0" w:firstLineChars="0"/>
                    <w:jc w:val="center"/>
                    <w:rPr>
                      <w:rFonts w:eastAsia="宋体"/>
                      <w:color w:val="auto"/>
                      <w:sz w:val="21"/>
                      <w:szCs w:val="21"/>
                    </w:rPr>
                  </w:pPr>
                  <w:r>
                    <w:rPr>
                      <w:rFonts w:hint="eastAsia" w:eastAsia="宋体"/>
                      <w:color w:val="auto"/>
                      <w:sz w:val="21"/>
                      <w:szCs w:val="21"/>
                    </w:rPr>
                    <w:t>降噪措施</w:t>
                  </w:r>
                </w:p>
              </w:tc>
              <w:tc>
                <w:tcPr>
                  <w:tcW w:w="794" w:type="dxa"/>
                  <w:tcBorders>
                    <w:tl2br w:val="nil"/>
                    <w:tr2bl w:val="nil"/>
                  </w:tcBorders>
                  <w:vAlign w:val="center"/>
                </w:tcPr>
                <w:p>
                  <w:pPr>
                    <w:pStyle w:val="68"/>
                    <w:autoSpaceDE w:val="0"/>
                    <w:autoSpaceDN w:val="0"/>
                    <w:spacing w:before="0" w:after="0" w:line="240" w:lineRule="auto"/>
                    <w:ind w:firstLine="0" w:firstLineChars="0"/>
                    <w:jc w:val="center"/>
                    <w:rPr>
                      <w:rFonts w:eastAsia="宋体"/>
                      <w:color w:val="auto"/>
                      <w:sz w:val="21"/>
                      <w:szCs w:val="21"/>
                    </w:rPr>
                  </w:pPr>
                  <w:r>
                    <w:rPr>
                      <w:rFonts w:hint="eastAsia" w:eastAsia="宋体"/>
                      <w:color w:val="auto"/>
                      <w:sz w:val="21"/>
                      <w:szCs w:val="21"/>
                    </w:rPr>
                    <w:t>降噪量</w:t>
                  </w:r>
                </w:p>
              </w:tc>
              <w:tc>
                <w:tcPr>
                  <w:tcW w:w="948" w:type="dxa"/>
                  <w:tcBorders>
                    <w:tl2br w:val="nil"/>
                    <w:tr2bl w:val="nil"/>
                  </w:tcBorders>
                  <w:vAlign w:val="center"/>
                </w:tcPr>
                <w:p>
                  <w:pPr>
                    <w:jc w:val="center"/>
                    <w:rPr>
                      <w:rFonts w:ascii="宋体" w:hAnsi="宋体" w:cs="宋体"/>
                      <w:b/>
                      <w:bCs/>
                      <w:szCs w:val="21"/>
                    </w:rPr>
                  </w:pPr>
                  <w:r>
                    <w:rPr>
                      <w:rFonts w:hint="eastAsia" w:ascii="宋体" w:hAnsi="宋体" w:cs="宋体"/>
                      <w:b/>
                      <w:bCs/>
                      <w:szCs w:val="21"/>
                    </w:rPr>
                    <w:t>治理后噪声值</w:t>
                  </w:r>
                </w:p>
              </w:tc>
              <w:tc>
                <w:tcPr>
                  <w:tcW w:w="1093" w:type="dxa"/>
                  <w:tcBorders>
                    <w:tl2br w:val="nil"/>
                    <w:tr2bl w:val="nil"/>
                  </w:tcBorders>
                  <w:vAlign w:val="center"/>
                </w:tcPr>
                <w:p>
                  <w:pPr>
                    <w:jc w:val="center"/>
                    <w:rPr>
                      <w:rFonts w:ascii="宋体" w:hAnsi="宋体" w:cs="宋体"/>
                      <w:b/>
                      <w:bCs/>
                      <w:szCs w:val="21"/>
                    </w:rPr>
                  </w:pPr>
                  <w:r>
                    <w:rPr>
                      <w:rFonts w:hint="eastAsia" w:ascii="宋体" w:hAnsi="宋体" w:cs="宋体"/>
                      <w:b/>
                      <w:bCs/>
                      <w:szCs w:val="21"/>
                    </w:rPr>
                    <w:t>持续时间</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426"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1</w:t>
                  </w:r>
                </w:p>
              </w:tc>
              <w:tc>
                <w:tcPr>
                  <w:tcW w:w="1362" w:type="dxa"/>
                  <w:tcBorders>
                    <w:tl2br w:val="nil"/>
                    <w:tr2bl w:val="nil"/>
                  </w:tcBorders>
                  <w:vAlign w:val="center"/>
                </w:tcPr>
                <w:p>
                  <w:pPr>
                    <w:jc w:val="center"/>
                    <w:textAlignment w:val="center"/>
                    <w:rPr>
                      <w:rFonts w:ascii="宋体" w:hAnsi="宋体" w:cs="宋体"/>
                      <w:szCs w:val="21"/>
                    </w:rPr>
                  </w:pPr>
                  <w:r>
                    <w:rPr>
                      <w:rFonts w:hint="eastAsia" w:ascii="宋体" w:hAnsi="宋体" w:cs="宋体"/>
                      <w:kern w:val="0"/>
                      <w:szCs w:val="21"/>
                    </w:rPr>
                    <w:t>扒皮机</w:t>
                  </w:r>
                </w:p>
              </w:tc>
              <w:tc>
                <w:tcPr>
                  <w:tcW w:w="774" w:type="dxa"/>
                  <w:tcBorders>
                    <w:tl2br w:val="nil"/>
                    <w:tr2bl w:val="nil"/>
                  </w:tcBorders>
                  <w:vAlign w:val="center"/>
                </w:tcPr>
                <w:p>
                  <w:pPr>
                    <w:jc w:val="center"/>
                    <w:textAlignment w:val="center"/>
                    <w:rPr>
                      <w:rFonts w:ascii="宋体" w:hAnsi="宋体" w:cs="宋体"/>
                      <w:szCs w:val="21"/>
                    </w:rPr>
                  </w:pPr>
                  <w:r>
                    <w:rPr>
                      <w:rFonts w:hint="eastAsia" w:ascii="宋体" w:hAnsi="宋体" w:cs="宋体"/>
                      <w:kern w:val="0"/>
                      <w:szCs w:val="21"/>
                    </w:rPr>
                    <w:t>1</w:t>
                  </w:r>
                </w:p>
              </w:tc>
              <w:tc>
                <w:tcPr>
                  <w:tcW w:w="1032"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85</w:t>
                  </w:r>
                </w:p>
              </w:tc>
              <w:tc>
                <w:tcPr>
                  <w:tcW w:w="1065" w:type="dxa"/>
                  <w:vMerge w:val="restart"/>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生产车间</w:t>
                  </w:r>
                </w:p>
              </w:tc>
              <w:tc>
                <w:tcPr>
                  <w:tcW w:w="777" w:type="dxa"/>
                  <w:vMerge w:val="restart"/>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低噪声设备、减振、隔声、软连接</w:t>
                  </w:r>
                </w:p>
              </w:tc>
              <w:tc>
                <w:tcPr>
                  <w:tcW w:w="794" w:type="dxa"/>
                  <w:vMerge w:val="restart"/>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15dB（A）</w:t>
                  </w:r>
                </w:p>
              </w:tc>
              <w:tc>
                <w:tcPr>
                  <w:tcW w:w="948"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70</w:t>
                  </w:r>
                </w:p>
              </w:tc>
              <w:tc>
                <w:tcPr>
                  <w:tcW w:w="1093" w:type="dxa"/>
                  <w:vMerge w:val="restart"/>
                  <w:tcBorders>
                    <w:tl2br w:val="nil"/>
                    <w:tr2bl w:val="nil"/>
                  </w:tcBorders>
                  <w:vAlign w:val="center"/>
                </w:tcPr>
                <w:p>
                  <w:pPr>
                    <w:jc w:val="center"/>
                    <w:rPr>
                      <w:rFonts w:ascii="宋体" w:hAnsi="宋体" w:cs="宋体"/>
                      <w:szCs w:val="21"/>
                    </w:rPr>
                  </w:pPr>
                  <w:r>
                    <w:rPr>
                      <w:rFonts w:hint="eastAsia" w:ascii="宋体" w:hAnsi="宋体" w:cs="宋体"/>
                      <w:szCs w:val="21"/>
                    </w:rPr>
                    <w:t>6:00-18:00</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426"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2</w:t>
                  </w:r>
                </w:p>
              </w:tc>
              <w:tc>
                <w:tcPr>
                  <w:tcW w:w="1362" w:type="dxa"/>
                  <w:tcBorders>
                    <w:tl2br w:val="nil"/>
                    <w:tr2bl w:val="nil"/>
                  </w:tcBorders>
                  <w:vAlign w:val="center"/>
                </w:tcPr>
                <w:p>
                  <w:pPr>
                    <w:jc w:val="center"/>
                    <w:textAlignment w:val="center"/>
                    <w:rPr>
                      <w:rFonts w:ascii="宋体" w:hAnsi="宋体" w:cs="宋体"/>
                      <w:szCs w:val="21"/>
                    </w:rPr>
                  </w:pPr>
                  <w:r>
                    <w:rPr>
                      <w:rFonts w:hint="eastAsia" w:ascii="宋体" w:hAnsi="宋体" w:cs="宋体"/>
                      <w:kern w:val="0"/>
                      <w:szCs w:val="21"/>
                    </w:rPr>
                    <w:t>切头机</w:t>
                  </w:r>
                </w:p>
              </w:tc>
              <w:tc>
                <w:tcPr>
                  <w:tcW w:w="774" w:type="dxa"/>
                  <w:tcBorders>
                    <w:tl2br w:val="nil"/>
                    <w:tr2bl w:val="nil"/>
                  </w:tcBorders>
                  <w:vAlign w:val="center"/>
                </w:tcPr>
                <w:p>
                  <w:pPr>
                    <w:jc w:val="center"/>
                    <w:textAlignment w:val="center"/>
                    <w:rPr>
                      <w:rFonts w:ascii="宋体" w:hAnsi="宋体" w:cs="宋体"/>
                      <w:szCs w:val="21"/>
                    </w:rPr>
                  </w:pPr>
                  <w:r>
                    <w:rPr>
                      <w:rFonts w:hint="eastAsia" w:ascii="宋体" w:hAnsi="宋体" w:cs="宋体"/>
                      <w:kern w:val="0"/>
                      <w:szCs w:val="21"/>
                    </w:rPr>
                    <w:t>1</w:t>
                  </w:r>
                </w:p>
              </w:tc>
              <w:tc>
                <w:tcPr>
                  <w:tcW w:w="1032"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80</w:t>
                  </w:r>
                </w:p>
              </w:tc>
              <w:tc>
                <w:tcPr>
                  <w:tcW w:w="1065" w:type="dxa"/>
                  <w:vMerge w:val="continue"/>
                  <w:tcBorders>
                    <w:tl2br w:val="nil"/>
                    <w:tr2bl w:val="nil"/>
                  </w:tcBorders>
                  <w:vAlign w:val="center"/>
                </w:tcPr>
                <w:p>
                  <w:pPr>
                    <w:autoSpaceDE w:val="0"/>
                    <w:autoSpaceDN w:val="0"/>
                    <w:jc w:val="center"/>
                    <w:rPr>
                      <w:rFonts w:ascii="宋体" w:hAnsi="宋体" w:cs="宋体"/>
                      <w:szCs w:val="21"/>
                    </w:rPr>
                  </w:pPr>
                </w:p>
              </w:tc>
              <w:tc>
                <w:tcPr>
                  <w:tcW w:w="777" w:type="dxa"/>
                  <w:vMerge w:val="continue"/>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p>
              </w:tc>
              <w:tc>
                <w:tcPr>
                  <w:tcW w:w="794" w:type="dxa"/>
                  <w:vMerge w:val="continue"/>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p>
              </w:tc>
              <w:tc>
                <w:tcPr>
                  <w:tcW w:w="948"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65</w:t>
                  </w:r>
                </w:p>
              </w:tc>
              <w:tc>
                <w:tcPr>
                  <w:tcW w:w="1093" w:type="dxa"/>
                  <w:vMerge w:val="continue"/>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426"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3</w:t>
                  </w:r>
                </w:p>
              </w:tc>
              <w:tc>
                <w:tcPr>
                  <w:tcW w:w="1362" w:type="dxa"/>
                  <w:tcBorders>
                    <w:tl2br w:val="nil"/>
                    <w:tr2bl w:val="nil"/>
                  </w:tcBorders>
                  <w:vAlign w:val="center"/>
                </w:tcPr>
                <w:p>
                  <w:pPr>
                    <w:jc w:val="center"/>
                    <w:textAlignment w:val="center"/>
                    <w:rPr>
                      <w:rFonts w:ascii="宋体" w:hAnsi="宋体" w:cs="宋体"/>
                      <w:szCs w:val="21"/>
                    </w:rPr>
                  </w:pPr>
                  <w:r>
                    <w:rPr>
                      <w:rFonts w:hint="eastAsia" w:ascii="宋体" w:hAnsi="宋体" w:cs="宋体"/>
                      <w:kern w:val="0"/>
                      <w:szCs w:val="21"/>
                    </w:rPr>
                    <w:t>提升机</w:t>
                  </w:r>
                </w:p>
              </w:tc>
              <w:tc>
                <w:tcPr>
                  <w:tcW w:w="774" w:type="dxa"/>
                  <w:tcBorders>
                    <w:tl2br w:val="nil"/>
                    <w:tr2bl w:val="nil"/>
                  </w:tcBorders>
                  <w:vAlign w:val="center"/>
                </w:tcPr>
                <w:p>
                  <w:pPr>
                    <w:jc w:val="center"/>
                    <w:textAlignment w:val="center"/>
                    <w:rPr>
                      <w:rFonts w:ascii="宋体" w:hAnsi="宋体" w:cs="宋体"/>
                      <w:szCs w:val="21"/>
                    </w:rPr>
                  </w:pPr>
                  <w:r>
                    <w:rPr>
                      <w:rFonts w:hint="eastAsia" w:ascii="宋体" w:hAnsi="宋体" w:cs="宋体"/>
                      <w:kern w:val="0"/>
                      <w:szCs w:val="21"/>
                    </w:rPr>
                    <w:t>1</w:t>
                  </w:r>
                </w:p>
              </w:tc>
              <w:tc>
                <w:tcPr>
                  <w:tcW w:w="1032"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75</w:t>
                  </w:r>
                </w:p>
              </w:tc>
              <w:tc>
                <w:tcPr>
                  <w:tcW w:w="1065" w:type="dxa"/>
                  <w:vMerge w:val="continue"/>
                  <w:tcBorders>
                    <w:tl2br w:val="nil"/>
                    <w:tr2bl w:val="nil"/>
                  </w:tcBorders>
                  <w:vAlign w:val="center"/>
                </w:tcPr>
                <w:p>
                  <w:pPr>
                    <w:autoSpaceDE w:val="0"/>
                    <w:autoSpaceDN w:val="0"/>
                    <w:jc w:val="center"/>
                    <w:rPr>
                      <w:rFonts w:ascii="宋体" w:hAnsi="宋体" w:cs="宋体"/>
                      <w:szCs w:val="21"/>
                    </w:rPr>
                  </w:pPr>
                </w:p>
              </w:tc>
              <w:tc>
                <w:tcPr>
                  <w:tcW w:w="777" w:type="dxa"/>
                  <w:vMerge w:val="continue"/>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p>
              </w:tc>
              <w:tc>
                <w:tcPr>
                  <w:tcW w:w="794" w:type="dxa"/>
                  <w:vMerge w:val="continue"/>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p>
              </w:tc>
              <w:tc>
                <w:tcPr>
                  <w:tcW w:w="948"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60</w:t>
                  </w:r>
                </w:p>
              </w:tc>
              <w:tc>
                <w:tcPr>
                  <w:tcW w:w="1093" w:type="dxa"/>
                  <w:vMerge w:val="continue"/>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426"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4</w:t>
                  </w:r>
                </w:p>
              </w:tc>
              <w:tc>
                <w:tcPr>
                  <w:tcW w:w="1362" w:type="dxa"/>
                  <w:tcBorders>
                    <w:tl2br w:val="nil"/>
                    <w:tr2bl w:val="nil"/>
                  </w:tcBorders>
                  <w:vAlign w:val="center"/>
                </w:tcPr>
                <w:p>
                  <w:pPr>
                    <w:jc w:val="center"/>
                    <w:textAlignment w:val="center"/>
                    <w:rPr>
                      <w:rFonts w:ascii="宋体" w:hAnsi="宋体" w:cs="宋体"/>
                      <w:szCs w:val="21"/>
                    </w:rPr>
                  </w:pPr>
                  <w:r>
                    <w:rPr>
                      <w:rFonts w:hint="eastAsia" w:ascii="宋体" w:hAnsi="宋体" w:cs="宋体"/>
                      <w:kern w:val="0"/>
                      <w:szCs w:val="21"/>
                    </w:rPr>
                    <w:t>滚杠清洗</w:t>
                  </w:r>
                </w:p>
              </w:tc>
              <w:tc>
                <w:tcPr>
                  <w:tcW w:w="774" w:type="dxa"/>
                  <w:tcBorders>
                    <w:tl2br w:val="nil"/>
                    <w:tr2bl w:val="nil"/>
                  </w:tcBorders>
                  <w:vAlign w:val="center"/>
                </w:tcPr>
                <w:p>
                  <w:pPr>
                    <w:jc w:val="center"/>
                    <w:textAlignment w:val="center"/>
                    <w:rPr>
                      <w:rFonts w:ascii="宋体" w:hAnsi="宋体" w:cs="宋体"/>
                      <w:szCs w:val="21"/>
                    </w:rPr>
                  </w:pPr>
                  <w:r>
                    <w:rPr>
                      <w:rFonts w:hint="eastAsia" w:ascii="宋体" w:hAnsi="宋体" w:cs="宋体"/>
                      <w:kern w:val="0"/>
                      <w:szCs w:val="21"/>
                    </w:rPr>
                    <w:t>1</w:t>
                  </w:r>
                </w:p>
              </w:tc>
              <w:tc>
                <w:tcPr>
                  <w:tcW w:w="1032"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80</w:t>
                  </w:r>
                </w:p>
              </w:tc>
              <w:tc>
                <w:tcPr>
                  <w:tcW w:w="1065" w:type="dxa"/>
                  <w:vMerge w:val="continue"/>
                  <w:tcBorders>
                    <w:tl2br w:val="nil"/>
                    <w:tr2bl w:val="nil"/>
                  </w:tcBorders>
                  <w:vAlign w:val="center"/>
                </w:tcPr>
                <w:p>
                  <w:pPr>
                    <w:autoSpaceDE w:val="0"/>
                    <w:autoSpaceDN w:val="0"/>
                    <w:jc w:val="center"/>
                    <w:rPr>
                      <w:rFonts w:ascii="宋体" w:hAnsi="宋体" w:cs="宋体"/>
                      <w:szCs w:val="21"/>
                    </w:rPr>
                  </w:pPr>
                </w:p>
              </w:tc>
              <w:tc>
                <w:tcPr>
                  <w:tcW w:w="777" w:type="dxa"/>
                  <w:vMerge w:val="continue"/>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p>
              </w:tc>
              <w:tc>
                <w:tcPr>
                  <w:tcW w:w="794" w:type="dxa"/>
                  <w:vMerge w:val="continue"/>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p>
              </w:tc>
              <w:tc>
                <w:tcPr>
                  <w:tcW w:w="948"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65</w:t>
                  </w:r>
                </w:p>
              </w:tc>
              <w:tc>
                <w:tcPr>
                  <w:tcW w:w="1093" w:type="dxa"/>
                  <w:vMerge w:val="continue"/>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426"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5</w:t>
                  </w:r>
                </w:p>
              </w:tc>
              <w:tc>
                <w:tcPr>
                  <w:tcW w:w="1362" w:type="dxa"/>
                  <w:tcBorders>
                    <w:tl2br w:val="nil"/>
                    <w:tr2bl w:val="nil"/>
                  </w:tcBorders>
                  <w:vAlign w:val="center"/>
                </w:tcPr>
                <w:p>
                  <w:pPr>
                    <w:jc w:val="center"/>
                    <w:textAlignment w:val="center"/>
                    <w:rPr>
                      <w:rFonts w:ascii="宋体" w:hAnsi="宋体" w:cs="宋体"/>
                      <w:kern w:val="0"/>
                      <w:szCs w:val="21"/>
                    </w:rPr>
                  </w:pPr>
                  <w:r>
                    <w:rPr>
                      <w:rFonts w:hint="eastAsia" w:ascii="宋体" w:hAnsi="宋体" w:cs="宋体"/>
                      <w:kern w:val="0"/>
                      <w:szCs w:val="21"/>
                    </w:rPr>
                    <w:t>气泡清洗</w:t>
                  </w:r>
                </w:p>
              </w:tc>
              <w:tc>
                <w:tcPr>
                  <w:tcW w:w="774" w:type="dxa"/>
                  <w:tcBorders>
                    <w:tl2br w:val="nil"/>
                    <w:tr2bl w:val="nil"/>
                  </w:tcBorders>
                  <w:vAlign w:val="center"/>
                </w:tcPr>
                <w:p>
                  <w:pPr>
                    <w:jc w:val="center"/>
                    <w:textAlignment w:val="center"/>
                    <w:rPr>
                      <w:rFonts w:ascii="宋体" w:hAnsi="宋体" w:cs="宋体"/>
                      <w:szCs w:val="21"/>
                    </w:rPr>
                  </w:pPr>
                  <w:r>
                    <w:rPr>
                      <w:rFonts w:hint="eastAsia" w:ascii="宋体" w:hAnsi="宋体" w:cs="宋体"/>
                      <w:kern w:val="0"/>
                      <w:szCs w:val="21"/>
                    </w:rPr>
                    <w:t>1</w:t>
                  </w:r>
                </w:p>
              </w:tc>
              <w:tc>
                <w:tcPr>
                  <w:tcW w:w="1032"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80</w:t>
                  </w:r>
                </w:p>
              </w:tc>
              <w:tc>
                <w:tcPr>
                  <w:tcW w:w="1065" w:type="dxa"/>
                  <w:vMerge w:val="continue"/>
                  <w:tcBorders>
                    <w:tl2br w:val="nil"/>
                    <w:tr2bl w:val="nil"/>
                  </w:tcBorders>
                  <w:vAlign w:val="center"/>
                </w:tcPr>
                <w:p>
                  <w:pPr>
                    <w:autoSpaceDE w:val="0"/>
                    <w:autoSpaceDN w:val="0"/>
                    <w:jc w:val="center"/>
                    <w:rPr>
                      <w:rFonts w:ascii="宋体" w:hAnsi="宋体" w:cs="宋体"/>
                      <w:szCs w:val="21"/>
                    </w:rPr>
                  </w:pPr>
                </w:p>
              </w:tc>
              <w:tc>
                <w:tcPr>
                  <w:tcW w:w="777" w:type="dxa"/>
                  <w:vMerge w:val="continue"/>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p>
              </w:tc>
              <w:tc>
                <w:tcPr>
                  <w:tcW w:w="794" w:type="dxa"/>
                  <w:vMerge w:val="continue"/>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p>
              </w:tc>
              <w:tc>
                <w:tcPr>
                  <w:tcW w:w="948"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65</w:t>
                  </w:r>
                </w:p>
              </w:tc>
              <w:tc>
                <w:tcPr>
                  <w:tcW w:w="1093" w:type="dxa"/>
                  <w:vMerge w:val="continue"/>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426"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6</w:t>
                  </w:r>
                </w:p>
              </w:tc>
              <w:tc>
                <w:tcPr>
                  <w:tcW w:w="1362" w:type="dxa"/>
                  <w:tcBorders>
                    <w:tl2br w:val="nil"/>
                    <w:tr2bl w:val="nil"/>
                  </w:tcBorders>
                  <w:vAlign w:val="center"/>
                </w:tcPr>
                <w:p>
                  <w:pPr>
                    <w:jc w:val="center"/>
                    <w:textAlignment w:val="center"/>
                    <w:rPr>
                      <w:rFonts w:ascii="宋体" w:hAnsi="宋体" w:cs="宋体"/>
                      <w:szCs w:val="21"/>
                    </w:rPr>
                  </w:pPr>
                  <w:r>
                    <w:rPr>
                      <w:rFonts w:hint="eastAsia" w:ascii="宋体" w:hAnsi="宋体" w:cs="宋体"/>
                      <w:kern w:val="0"/>
                      <w:szCs w:val="21"/>
                    </w:rPr>
                    <w:t>包装机</w:t>
                  </w:r>
                </w:p>
              </w:tc>
              <w:tc>
                <w:tcPr>
                  <w:tcW w:w="774" w:type="dxa"/>
                  <w:tcBorders>
                    <w:tl2br w:val="nil"/>
                    <w:tr2bl w:val="nil"/>
                  </w:tcBorders>
                  <w:vAlign w:val="center"/>
                </w:tcPr>
                <w:p>
                  <w:pPr>
                    <w:jc w:val="center"/>
                    <w:textAlignment w:val="center"/>
                    <w:rPr>
                      <w:rFonts w:ascii="宋体" w:hAnsi="宋体" w:cs="宋体"/>
                      <w:szCs w:val="21"/>
                    </w:rPr>
                  </w:pPr>
                  <w:r>
                    <w:rPr>
                      <w:rFonts w:hint="eastAsia" w:ascii="宋体" w:hAnsi="宋体" w:cs="宋体"/>
                      <w:kern w:val="0"/>
                      <w:szCs w:val="21"/>
                    </w:rPr>
                    <w:t>3</w:t>
                  </w:r>
                </w:p>
              </w:tc>
              <w:tc>
                <w:tcPr>
                  <w:tcW w:w="1032"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65</w:t>
                  </w:r>
                </w:p>
              </w:tc>
              <w:tc>
                <w:tcPr>
                  <w:tcW w:w="1065" w:type="dxa"/>
                  <w:vMerge w:val="continue"/>
                  <w:tcBorders>
                    <w:tl2br w:val="nil"/>
                    <w:tr2bl w:val="nil"/>
                  </w:tcBorders>
                  <w:vAlign w:val="center"/>
                </w:tcPr>
                <w:p>
                  <w:pPr>
                    <w:autoSpaceDE w:val="0"/>
                    <w:autoSpaceDN w:val="0"/>
                    <w:jc w:val="center"/>
                    <w:rPr>
                      <w:rFonts w:ascii="宋体" w:hAnsi="宋体" w:cs="宋体"/>
                      <w:szCs w:val="21"/>
                    </w:rPr>
                  </w:pPr>
                </w:p>
              </w:tc>
              <w:tc>
                <w:tcPr>
                  <w:tcW w:w="777" w:type="dxa"/>
                  <w:vMerge w:val="continue"/>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p>
              </w:tc>
              <w:tc>
                <w:tcPr>
                  <w:tcW w:w="794" w:type="dxa"/>
                  <w:vMerge w:val="continue"/>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p>
              </w:tc>
              <w:tc>
                <w:tcPr>
                  <w:tcW w:w="948"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50</w:t>
                  </w:r>
                </w:p>
              </w:tc>
              <w:tc>
                <w:tcPr>
                  <w:tcW w:w="1093" w:type="dxa"/>
                  <w:vMerge w:val="continue"/>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426"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7</w:t>
                  </w:r>
                </w:p>
              </w:tc>
              <w:tc>
                <w:tcPr>
                  <w:tcW w:w="1362" w:type="dxa"/>
                  <w:tcBorders>
                    <w:tl2br w:val="nil"/>
                    <w:tr2bl w:val="nil"/>
                  </w:tcBorders>
                  <w:vAlign w:val="center"/>
                </w:tcPr>
                <w:p>
                  <w:pPr>
                    <w:jc w:val="center"/>
                    <w:textAlignment w:val="center"/>
                    <w:rPr>
                      <w:rFonts w:ascii="宋体" w:hAnsi="宋体" w:cs="宋体"/>
                      <w:szCs w:val="21"/>
                    </w:rPr>
                  </w:pPr>
                  <w:r>
                    <w:rPr>
                      <w:rFonts w:hint="eastAsia" w:ascii="宋体" w:hAnsi="宋体" w:cs="宋体"/>
                      <w:kern w:val="0"/>
                      <w:szCs w:val="21"/>
                    </w:rPr>
                    <w:t>杀菌锅</w:t>
                  </w:r>
                </w:p>
              </w:tc>
              <w:tc>
                <w:tcPr>
                  <w:tcW w:w="774" w:type="dxa"/>
                  <w:tcBorders>
                    <w:tl2br w:val="nil"/>
                    <w:tr2bl w:val="nil"/>
                  </w:tcBorders>
                  <w:vAlign w:val="center"/>
                </w:tcPr>
                <w:p>
                  <w:pPr>
                    <w:jc w:val="center"/>
                    <w:textAlignment w:val="center"/>
                    <w:rPr>
                      <w:rFonts w:ascii="宋体" w:hAnsi="宋体" w:cs="宋体"/>
                      <w:szCs w:val="21"/>
                    </w:rPr>
                  </w:pPr>
                  <w:r>
                    <w:rPr>
                      <w:rFonts w:hint="eastAsia" w:ascii="宋体" w:hAnsi="宋体" w:cs="宋体"/>
                      <w:kern w:val="0"/>
                      <w:szCs w:val="21"/>
                    </w:rPr>
                    <w:t>2</w:t>
                  </w:r>
                </w:p>
              </w:tc>
              <w:tc>
                <w:tcPr>
                  <w:tcW w:w="1032"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70</w:t>
                  </w:r>
                </w:p>
              </w:tc>
              <w:tc>
                <w:tcPr>
                  <w:tcW w:w="1065" w:type="dxa"/>
                  <w:vMerge w:val="continue"/>
                  <w:tcBorders>
                    <w:tl2br w:val="nil"/>
                    <w:tr2bl w:val="nil"/>
                  </w:tcBorders>
                  <w:vAlign w:val="center"/>
                </w:tcPr>
                <w:p>
                  <w:pPr>
                    <w:autoSpaceDE w:val="0"/>
                    <w:autoSpaceDN w:val="0"/>
                    <w:jc w:val="center"/>
                    <w:rPr>
                      <w:rFonts w:ascii="宋体" w:hAnsi="宋体" w:cs="宋体"/>
                      <w:szCs w:val="21"/>
                    </w:rPr>
                  </w:pPr>
                </w:p>
              </w:tc>
              <w:tc>
                <w:tcPr>
                  <w:tcW w:w="777" w:type="dxa"/>
                  <w:vMerge w:val="continue"/>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p>
              </w:tc>
              <w:tc>
                <w:tcPr>
                  <w:tcW w:w="794" w:type="dxa"/>
                  <w:vMerge w:val="continue"/>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p>
              </w:tc>
              <w:tc>
                <w:tcPr>
                  <w:tcW w:w="948"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55</w:t>
                  </w:r>
                </w:p>
              </w:tc>
              <w:tc>
                <w:tcPr>
                  <w:tcW w:w="1093" w:type="dxa"/>
                  <w:vMerge w:val="continue"/>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426"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8</w:t>
                  </w:r>
                </w:p>
              </w:tc>
              <w:tc>
                <w:tcPr>
                  <w:tcW w:w="1362" w:type="dxa"/>
                  <w:tcBorders>
                    <w:tl2br w:val="nil"/>
                    <w:tr2bl w:val="nil"/>
                  </w:tcBorders>
                  <w:vAlign w:val="center"/>
                </w:tcPr>
                <w:p>
                  <w:pPr>
                    <w:widowControl/>
                    <w:snapToGrid w:val="0"/>
                    <w:jc w:val="center"/>
                    <w:rPr>
                      <w:rFonts w:ascii="宋体" w:hAnsi="宋体" w:cs="宋体"/>
                      <w:szCs w:val="21"/>
                    </w:rPr>
                  </w:pPr>
                  <w:r>
                    <w:rPr>
                      <w:rFonts w:hint="eastAsia" w:ascii="宋体" w:hAnsi="宋体" w:cs="宋体"/>
                      <w:kern w:val="0"/>
                      <w:szCs w:val="21"/>
                    </w:rPr>
                    <w:t>风干机</w:t>
                  </w:r>
                </w:p>
              </w:tc>
              <w:tc>
                <w:tcPr>
                  <w:tcW w:w="774" w:type="dxa"/>
                  <w:tcBorders>
                    <w:tl2br w:val="nil"/>
                    <w:tr2bl w:val="nil"/>
                  </w:tcBorders>
                  <w:vAlign w:val="center"/>
                </w:tcPr>
                <w:p>
                  <w:pPr>
                    <w:autoSpaceDE w:val="0"/>
                    <w:autoSpaceDN w:val="0"/>
                    <w:jc w:val="center"/>
                    <w:rPr>
                      <w:rFonts w:ascii="宋体" w:hAnsi="宋体" w:cs="宋体"/>
                      <w:szCs w:val="21"/>
                    </w:rPr>
                  </w:pPr>
                  <w:r>
                    <w:rPr>
                      <w:rFonts w:hint="eastAsia" w:ascii="宋体" w:hAnsi="宋体" w:cs="宋体"/>
                      <w:szCs w:val="21"/>
                    </w:rPr>
                    <w:t>1</w:t>
                  </w:r>
                </w:p>
              </w:tc>
              <w:tc>
                <w:tcPr>
                  <w:tcW w:w="1032"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60</w:t>
                  </w:r>
                </w:p>
              </w:tc>
              <w:tc>
                <w:tcPr>
                  <w:tcW w:w="1065" w:type="dxa"/>
                  <w:vMerge w:val="continue"/>
                  <w:tcBorders>
                    <w:tl2br w:val="nil"/>
                    <w:tr2bl w:val="nil"/>
                  </w:tcBorders>
                  <w:vAlign w:val="center"/>
                </w:tcPr>
                <w:p>
                  <w:pPr>
                    <w:autoSpaceDE w:val="0"/>
                    <w:autoSpaceDN w:val="0"/>
                    <w:jc w:val="center"/>
                    <w:rPr>
                      <w:rFonts w:ascii="宋体" w:hAnsi="宋体" w:cs="宋体"/>
                      <w:szCs w:val="21"/>
                    </w:rPr>
                  </w:pPr>
                </w:p>
              </w:tc>
              <w:tc>
                <w:tcPr>
                  <w:tcW w:w="777" w:type="dxa"/>
                  <w:vMerge w:val="continue"/>
                  <w:tcBorders>
                    <w:tl2br w:val="nil"/>
                    <w:tr2bl w:val="nil"/>
                  </w:tcBorders>
                  <w:vAlign w:val="center"/>
                </w:tcPr>
                <w:p>
                  <w:pPr>
                    <w:autoSpaceDE w:val="0"/>
                    <w:autoSpaceDN w:val="0"/>
                    <w:jc w:val="center"/>
                    <w:rPr>
                      <w:rFonts w:ascii="宋体" w:hAnsi="宋体" w:cs="宋体"/>
                      <w:szCs w:val="21"/>
                    </w:rPr>
                  </w:pPr>
                </w:p>
              </w:tc>
              <w:tc>
                <w:tcPr>
                  <w:tcW w:w="794" w:type="dxa"/>
                  <w:vMerge w:val="continue"/>
                  <w:tcBorders>
                    <w:tl2br w:val="nil"/>
                    <w:tr2bl w:val="nil"/>
                  </w:tcBorders>
                  <w:vAlign w:val="center"/>
                </w:tcPr>
                <w:p>
                  <w:pPr>
                    <w:autoSpaceDE w:val="0"/>
                    <w:autoSpaceDN w:val="0"/>
                    <w:jc w:val="center"/>
                    <w:rPr>
                      <w:rFonts w:ascii="宋体" w:hAnsi="宋体" w:cs="宋体"/>
                      <w:szCs w:val="21"/>
                    </w:rPr>
                  </w:pPr>
                </w:p>
              </w:tc>
              <w:tc>
                <w:tcPr>
                  <w:tcW w:w="948"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45</w:t>
                  </w:r>
                </w:p>
              </w:tc>
              <w:tc>
                <w:tcPr>
                  <w:tcW w:w="1093" w:type="dxa"/>
                  <w:vMerge w:val="continue"/>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426"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9</w:t>
                  </w:r>
                </w:p>
              </w:tc>
              <w:tc>
                <w:tcPr>
                  <w:tcW w:w="1362" w:type="dxa"/>
                  <w:tcBorders>
                    <w:tl2br w:val="nil"/>
                    <w:tr2bl w:val="nil"/>
                  </w:tcBorders>
                  <w:vAlign w:val="center"/>
                </w:tcPr>
                <w:p>
                  <w:pPr>
                    <w:widowControl/>
                    <w:snapToGrid w:val="0"/>
                    <w:jc w:val="center"/>
                    <w:rPr>
                      <w:rFonts w:ascii="宋体" w:hAnsi="宋体" w:cs="宋体"/>
                      <w:szCs w:val="21"/>
                    </w:rPr>
                  </w:pPr>
                  <w:r>
                    <w:rPr>
                      <w:rFonts w:hint="eastAsia" w:ascii="宋体" w:hAnsi="宋体" w:cs="宋体"/>
                      <w:kern w:val="0"/>
                      <w:szCs w:val="21"/>
                    </w:rPr>
                    <w:t>传送带输送机</w:t>
                  </w:r>
                </w:p>
              </w:tc>
              <w:tc>
                <w:tcPr>
                  <w:tcW w:w="774" w:type="dxa"/>
                  <w:tcBorders>
                    <w:tl2br w:val="nil"/>
                    <w:tr2bl w:val="nil"/>
                  </w:tcBorders>
                  <w:vAlign w:val="center"/>
                </w:tcPr>
                <w:p>
                  <w:pPr>
                    <w:autoSpaceDE w:val="0"/>
                    <w:autoSpaceDN w:val="0"/>
                    <w:jc w:val="center"/>
                    <w:rPr>
                      <w:rFonts w:ascii="宋体" w:hAnsi="宋体" w:cs="宋体"/>
                      <w:szCs w:val="21"/>
                    </w:rPr>
                  </w:pPr>
                  <w:r>
                    <w:rPr>
                      <w:rFonts w:hint="eastAsia" w:ascii="宋体" w:hAnsi="宋体" w:cs="宋体"/>
                      <w:szCs w:val="21"/>
                    </w:rPr>
                    <w:t>1</w:t>
                  </w:r>
                </w:p>
              </w:tc>
              <w:tc>
                <w:tcPr>
                  <w:tcW w:w="1032"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60</w:t>
                  </w:r>
                </w:p>
              </w:tc>
              <w:tc>
                <w:tcPr>
                  <w:tcW w:w="1065" w:type="dxa"/>
                  <w:vMerge w:val="continue"/>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p>
              </w:tc>
              <w:tc>
                <w:tcPr>
                  <w:tcW w:w="777" w:type="dxa"/>
                  <w:vMerge w:val="continue"/>
                  <w:tcBorders>
                    <w:tl2br w:val="nil"/>
                    <w:tr2bl w:val="nil"/>
                  </w:tcBorders>
                  <w:vAlign w:val="center"/>
                </w:tcPr>
                <w:p>
                  <w:pPr>
                    <w:autoSpaceDE w:val="0"/>
                    <w:autoSpaceDN w:val="0"/>
                    <w:jc w:val="center"/>
                    <w:rPr>
                      <w:rFonts w:ascii="宋体" w:hAnsi="宋体" w:cs="宋体"/>
                      <w:szCs w:val="21"/>
                    </w:rPr>
                  </w:pPr>
                </w:p>
              </w:tc>
              <w:tc>
                <w:tcPr>
                  <w:tcW w:w="794" w:type="dxa"/>
                  <w:vMerge w:val="continue"/>
                  <w:tcBorders>
                    <w:tl2br w:val="nil"/>
                    <w:tr2bl w:val="nil"/>
                  </w:tcBorders>
                  <w:vAlign w:val="center"/>
                </w:tcPr>
                <w:p>
                  <w:pPr>
                    <w:autoSpaceDE w:val="0"/>
                    <w:autoSpaceDN w:val="0"/>
                    <w:jc w:val="center"/>
                    <w:rPr>
                      <w:rFonts w:ascii="宋体" w:hAnsi="宋体" w:cs="宋体"/>
                      <w:szCs w:val="21"/>
                    </w:rPr>
                  </w:pPr>
                </w:p>
              </w:tc>
              <w:tc>
                <w:tcPr>
                  <w:tcW w:w="948"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45</w:t>
                  </w:r>
                </w:p>
              </w:tc>
              <w:tc>
                <w:tcPr>
                  <w:tcW w:w="1093" w:type="dxa"/>
                  <w:vMerge w:val="continue"/>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426"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10</w:t>
                  </w:r>
                </w:p>
              </w:tc>
              <w:tc>
                <w:tcPr>
                  <w:tcW w:w="1362" w:type="dxa"/>
                  <w:tcBorders>
                    <w:tl2br w:val="nil"/>
                    <w:tr2bl w:val="nil"/>
                  </w:tcBorders>
                  <w:vAlign w:val="center"/>
                </w:tcPr>
                <w:p>
                  <w:pPr>
                    <w:widowControl/>
                    <w:snapToGrid w:val="0"/>
                    <w:jc w:val="center"/>
                    <w:rPr>
                      <w:rFonts w:ascii="宋体" w:hAnsi="宋体" w:cs="宋体"/>
                      <w:szCs w:val="21"/>
                    </w:rPr>
                  </w:pPr>
                  <w:r>
                    <w:rPr>
                      <w:rFonts w:hint="eastAsia" w:ascii="宋体" w:hAnsi="宋体" w:cs="宋体"/>
                      <w:szCs w:val="21"/>
                    </w:rPr>
                    <w:t>锅炉</w:t>
                  </w:r>
                </w:p>
              </w:tc>
              <w:tc>
                <w:tcPr>
                  <w:tcW w:w="774" w:type="dxa"/>
                  <w:tcBorders>
                    <w:tl2br w:val="nil"/>
                    <w:tr2bl w:val="nil"/>
                  </w:tcBorders>
                  <w:vAlign w:val="center"/>
                </w:tcPr>
                <w:p>
                  <w:pPr>
                    <w:autoSpaceDE w:val="0"/>
                    <w:autoSpaceDN w:val="0"/>
                    <w:jc w:val="center"/>
                    <w:rPr>
                      <w:rFonts w:ascii="宋体" w:hAnsi="宋体" w:cs="宋体"/>
                      <w:szCs w:val="21"/>
                    </w:rPr>
                  </w:pPr>
                  <w:r>
                    <w:rPr>
                      <w:rFonts w:hint="eastAsia" w:ascii="宋体" w:hAnsi="宋体" w:cs="宋体"/>
                      <w:szCs w:val="21"/>
                    </w:rPr>
                    <w:t>1</w:t>
                  </w:r>
                </w:p>
              </w:tc>
              <w:tc>
                <w:tcPr>
                  <w:tcW w:w="1032"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85</w:t>
                  </w:r>
                </w:p>
              </w:tc>
              <w:tc>
                <w:tcPr>
                  <w:tcW w:w="1065"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生产车间北侧</w:t>
                  </w:r>
                </w:p>
              </w:tc>
              <w:tc>
                <w:tcPr>
                  <w:tcW w:w="777" w:type="dxa"/>
                  <w:vMerge w:val="continue"/>
                  <w:tcBorders>
                    <w:tl2br w:val="nil"/>
                    <w:tr2bl w:val="nil"/>
                  </w:tcBorders>
                  <w:vAlign w:val="center"/>
                </w:tcPr>
                <w:p>
                  <w:pPr>
                    <w:autoSpaceDE w:val="0"/>
                    <w:autoSpaceDN w:val="0"/>
                    <w:jc w:val="center"/>
                    <w:rPr>
                      <w:rFonts w:ascii="宋体" w:hAnsi="宋体" w:cs="宋体"/>
                      <w:szCs w:val="21"/>
                    </w:rPr>
                  </w:pPr>
                </w:p>
              </w:tc>
              <w:tc>
                <w:tcPr>
                  <w:tcW w:w="794" w:type="dxa"/>
                  <w:vMerge w:val="continue"/>
                  <w:tcBorders>
                    <w:tl2br w:val="nil"/>
                    <w:tr2bl w:val="nil"/>
                  </w:tcBorders>
                  <w:vAlign w:val="center"/>
                </w:tcPr>
                <w:p>
                  <w:pPr>
                    <w:autoSpaceDE w:val="0"/>
                    <w:autoSpaceDN w:val="0"/>
                    <w:jc w:val="center"/>
                    <w:rPr>
                      <w:rFonts w:ascii="宋体" w:hAnsi="宋体" w:cs="宋体"/>
                      <w:szCs w:val="21"/>
                    </w:rPr>
                  </w:pPr>
                </w:p>
              </w:tc>
              <w:tc>
                <w:tcPr>
                  <w:tcW w:w="948" w:type="dxa"/>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r>
                    <w:rPr>
                      <w:rFonts w:hint="eastAsia" w:eastAsia="宋体"/>
                      <w:b w:val="0"/>
                      <w:bCs w:val="0"/>
                      <w:color w:val="auto"/>
                      <w:sz w:val="21"/>
                      <w:szCs w:val="21"/>
                    </w:rPr>
                    <w:t>70</w:t>
                  </w:r>
                </w:p>
              </w:tc>
              <w:tc>
                <w:tcPr>
                  <w:tcW w:w="1093" w:type="dxa"/>
                  <w:vMerge w:val="continue"/>
                  <w:tcBorders>
                    <w:tl2br w:val="nil"/>
                    <w:tr2bl w:val="nil"/>
                  </w:tcBorders>
                  <w:vAlign w:val="center"/>
                </w:tcPr>
                <w:p>
                  <w:pPr>
                    <w:pStyle w:val="68"/>
                    <w:autoSpaceDE w:val="0"/>
                    <w:autoSpaceDN w:val="0"/>
                    <w:spacing w:before="0" w:after="0" w:line="240" w:lineRule="auto"/>
                    <w:ind w:firstLine="0" w:firstLineChars="0"/>
                    <w:jc w:val="center"/>
                    <w:rPr>
                      <w:rFonts w:eastAsia="宋体"/>
                      <w:b w:val="0"/>
                      <w:bCs w:val="0"/>
                      <w:color w:val="auto"/>
                      <w:sz w:val="21"/>
                      <w:szCs w:val="21"/>
                    </w:rPr>
                  </w:pPr>
                </w:p>
              </w:tc>
            </w:tr>
          </w:tbl>
          <w:p>
            <w:pPr>
              <w:tabs>
                <w:tab w:val="left" w:pos="5550"/>
              </w:tabs>
              <w:spacing w:line="360" w:lineRule="auto"/>
              <w:ind w:firstLine="480" w:firstLineChars="200"/>
              <w:rPr>
                <w:sz w:val="24"/>
              </w:rPr>
            </w:pPr>
            <w:r>
              <w:rPr>
                <w:rFonts w:hint="eastAsia" w:ascii="宋体" w:hAnsi="宋体" w:cs="宋体"/>
                <w:sz w:val="24"/>
              </w:rPr>
              <w:t>⑶</w:t>
            </w:r>
            <w:r>
              <w:rPr>
                <w:sz w:val="24"/>
              </w:rPr>
              <w:t>预测模式</w:t>
            </w:r>
          </w:p>
          <w:p>
            <w:pPr>
              <w:adjustRightInd w:val="0"/>
              <w:snapToGrid w:val="0"/>
              <w:spacing w:line="360" w:lineRule="auto"/>
              <w:ind w:firstLine="570"/>
            </w:pPr>
            <w:r>
              <w:rPr>
                <w:rFonts w:hint="eastAsia" w:ascii="宋体" w:hAnsi="宋体" w:cs="宋体"/>
                <w:sz w:val="24"/>
              </w:rPr>
              <w:t>噪声预测方法采用HJ2.4-2021《环境影响评价技术导则-声环境》推荐的模式，</w:t>
            </w:r>
            <w:r>
              <w:rPr>
                <w:rFonts w:hint="eastAsia" w:ascii="宋体" w:hAnsi="宋体" w:cs="宋体"/>
                <w:iCs/>
                <w:sz w:val="24"/>
              </w:rPr>
              <w:t>预测过程中，根据实际情况，噪声源按室内声源对待，在预测设备专用房内噪声对外环境影响时，建筑物的隔声量按照北方一般建筑材料对待。</w:t>
            </w:r>
            <w:r>
              <w:rPr>
                <w:rFonts w:hint="eastAsia" w:ascii="宋体" w:hAnsi="宋体" w:cs="宋体"/>
                <w:color w:val="000000"/>
                <w:kern w:val="0"/>
                <w:sz w:val="24"/>
              </w:rPr>
              <w:t xml:space="preserve"> </w:t>
            </w:r>
          </w:p>
          <w:p>
            <w:pPr>
              <w:widowControl/>
              <w:spacing w:line="360" w:lineRule="auto"/>
              <w:ind w:firstLine="480" w:firstLineChars="200"/>
              <w:jc w:val="left"/>
              <w:rPr>
                <w:rFonts w:ascii="宋体" w:hAnsi="宋体" w:cs="宋体"/>
                <w:sz w:val="24"/>
              </w:rPr>
            </w:pPr>
            <w:r>
              <w:rPr>
                <w:rFonts w:hint="eastAsia" w:ascii="宋体" w:hAnsi="宋体" w:cs="宋体"/>
                <w:color w:val="000000"/>
                <w:kern w:val="0"/>
                <w:sz w:val="24"/>
              </w:rPr>
              <w:t xml:space="preserve">a.在环境影响评价中，应根据声源声功率级或参考位置处的声压级、户外声传播衰减，计算预测点的声级，分别按式（A.1）或式（A.2）计算。 </w:t>
            </w:r>
          </w:p>
          <w:p>
            <w:pPr>
              <w:widowControl/>
              <w:spacing w:line="360" w:lineRule="auto"/>
              <w:jc w:val="center"/>
            </w:pPr>
            <w:r>
              <w:rPr>
                <w:color w:val="000000"/>
                <w:kern w:val="0"/>
                <w:sz w:val="24"/>
              </w:rPr>
              <w:t>L</w:t>
            </w:r>
            <w:r>
              <w:rPr>
                <w:color w:val="000000"/>
                <w:kern w:val="0"/>
                <w:sz w:val="24"/>
                <w:vertAlign w:val="subscript"/>
              </w:rPr>
              <w:t>p</w:t>
            </w:r>
            <w:r>
              <w:rPr>
                <w:color w:val="000000"/>
                <w:kern w:val="0"/>
                <w:sz w:val="24"/>
              </w:rPr>
              <w:t>(r)</w:t>
            </w:r>
            <w:r>
              <w:rPr>
                <w:rFonts w:hint="eastAsia" w:ascii="宋体" w:hAnsi="宋体" w:cs="宋体"/>
                <w:color w:val="000000"/>
                <w:kern w:val="0"/>
                <w:sz w:val="24"/>
              </w:rPr>
              <w:t>＝</w:t>
            </w:r>
            <w:r>
              <w:rPr>
                <w:color w:val="000000"/>
                <w:kern w:val="0"/>
                <w:sz w:val="24"/>
              </w:rPr>
              <w:t>L</w:t>
            </w:r>
            <w:r>
              <w:rPr>
                <w:color w:val="000000"/>
                <w:kern w:val="0"/>
                <w:sz w:val="24"/>
                <w:vertAlign w:val="subscript"/>
              </w:rPr>
              <w:t>w</w:t>
            </w:r>
            <w:r>
              <w:rPr>
                <w:color w:val="000000"/>
                <w:kern w:val="0"/>
                <w:sz w:val="24"/>
              </w:rPr>
              <w:t>+D</w:t>
            </w:r>
            <w:r>
              <w:rPr>
                <w:color w:val="000000"/>
                <w:kern w:val="0"/>
                <w:sz w:val="24"/>
                <w:vertAlign w:val="subscript"/>
              </w:rPr>
              <w:t>C</w:t>
            </w:r>
            <w:r>
              <w:rPr>
                <w:rFonts w:hint="eastAsia" w:ascii="宋体" w:hAnsi="宋体" w:cs="宋体"/>
                <w:color w:val="000000"/>
                <w:kern w:val="0"/>
                <w:sz w:val="24"/>
              </w:rPr>
              <w:t>－</w:t>
            </w:r>
            <w:r>
              <w:rPr>
                <w:color w:val="000000"/>
                <w:kern w:val="0"/>
                <w:sz w:val="24"/>
              </w:rPr>
              <w:t>(A</w:t>
            </w:r>
            <w:r>
              <w:rPr>
                <w:color w:val="000000"/>
                <w:kern w:val="0"/>
                <w:sz w:val="24"/>
                <w:vertAlign w:val="subscript"/>
              </w:rPr>
              <w:t>div</w:t>
            </w:r>
            <w:r>
              <w:rPr>
                <w:rFonts w:hint="eastAsia" w:ascii="宋体" w:hAnsi="宋体" w:cs="宋体"/>
                <w:color w:val="000000"/>
                <w:kern w:val="0"/>
                <w:sz w:val="24"/>
              </w:rPr>
              <w:t>＋</w:t>
            </w:r>
            <w:r>
              <w:rPr>
                <w:color w:val="000000"/>
                <w:kern w:val="0"/>
                <w:sz w:val="24"/>
              </w:rPr>
              <w:t>A</w:t>
            </w:r>
            <w:r>
              <w:rPr>
                <w:color w:val="000000"/>
                <w:kern w:val="0"/>
                <w:sz w:val="24"/>
                <w:vertAlign w:val="subscript"/>
              </w:rPr>
              <w:t>atm</w:t>
            </w:r>
            <w:r>
              <w:rPr>
                <w:rFonts w:hint="eastAsia" w:ascii="宋体" w:hAnsi="宋体" w:cs="宋体"/>
                <w:color w:val="000000"/>
                <w:kern w:val="0"/>
                <w:sz w:val="24"/>
              </w:rPr>
              <w:t>＋</w:t>
            </w:r>
            <w:r>
              <w:rPr>
                <w:color w:val="000000"/>
                <w:kern w:val="0"/>
                <w:sz w:val="24"/>
              </w:rPr>
              <w:t>A</w:t>
            </w:r>
            <w:r>
              <w:rPr>
                <w:color w:val="000000"/>
                <w:kern w:val="0"/>
                <w:sz w:val="24"/>
                <w:vertAlign w:val="subscript"/>
              </w:rPr>
              <w:t>gr</w:t>
            </w:r>
            <w:r>
              <w:rPr>
                <w:rFonts w:hint="eastAsia" w:ascii="宋体" w:hAnsi="宋体" w:cs="宋体"/>
                <w:color w:val="000000"/>
                <w:kern w:val="0"/>
                <w:sz w:val="24"/>
              </w:rPr>
              <w:t>＋</w:t>
            </w:r>
            <w:r>
              <w:rPr>
                <w:color w:val="000000"/>
                <w:kern w:val="0"/>
                <w:sz w:val="24"/>
              </w:rPr>
              <w:t>A</w:t>
            </w:r>
            <w:r>
              <w:rPr>
                <w:color w:val="000000"/>
                <w:kern w:val="0"/>
                <w:sz w:val="24"/>
                <w:vertAlign w:val="subscript"/>
              </w:rPr>
              <w:t>bar</w:t>
            </w:r>
            <w:r>
              <w:rPr>
                <w:rFonts w:hint="eastAsia" w:ascii="宋体" w:hAnsi="宋体" w:cs="宋体"/>
                <w:color w:val="000000"/>
                <w:kern w:val="0"/>
                <w:sz w:val="24"/>
              </w:rPr>
              <w:t>＋</w:t>
            </w:r>
            <w:r>
              <w:rPr>
                <w:color w:val="000000"/>
                <w:kern w:val="0"/>
                <w:sz w:val="24"/>
              </w:rPr>
              <w:t>A</w:t>
            </w:r>
            <w:r>
              <w:rPr>
                <w:color w:val="000000"/>
                <w:kern w:val="0"/>
                <w:sz w:val="24"/>
                <w:vertAlign w:val="subscript"/>
              </w:rPr>
              <w:t>misc</w:t>
            </w:r>
            <w:r>
              <w:rPr>
                <w:color w:val="000000"/>
                <w:kern w:val="0"/>
                <w:sz w:val="24"/>
              </w:rPr>
              <w:t xml:space="preserve">) </w:t>
            </w:r>
            <w:r>
              <w:rPr>
                <w:rFonts w:hint="eastAsia"/>
                <w:color w:val="000000"/>
                <w:kern w:val="0"/>
                <w:sz w:val="24"/>
              </w:rPr>
              <w:t xml:space="preserve">      </w:t>
            </w:r>
            <w:r>
              <w:rPr>
                <w:rFonts w:hint="eastAsia" w:ascii="宋体" w:hAnsi="宋体" w:cs="宋体"/>
                <w:color w:val="000000"/>
                <w:kern w:val="0"/>
                <w:sz w:val="24"/>
              </w:rPr>
              <w:t>（</w:t>
            </w:r>
            <w:r>
              <w:rPr>
                <w:color w:val="000000"/>
                <w:kern w:val="0"/>
                <w:sz w:val="24"/>
              </w:rPr>
              <w:t>A.1</w:t>
            </w:r>
            <w:r>
              <w:rPr>
                <w:rFonts w:hint="eastAsia" w:ascii="宋体" w:hAnsi="宋体" w:cs="宋体"/>
                <w:color w:val="000000"/>
                <w:kern w:val="0"/>
                <w:sz w:val="24"/>
              </w:rPr>
              <w:t>）</w:t>
            </w:r>
          </w:p>
          <w:p>
            <w:pPr>
              <w:widowControl/>
              <w:spacing w:line="360" w:lineRule="auto"/>
              <w:jc w:val="center"/>
            </w:pPr>
            <w:r>
              <w:rPr>
                <w:color w:val="000000"/>
                <w:kern w:val="0"/>
                <w:sz w:val="24"/>
              </w:rPr>
              <w:t>L</w:t>
            </w:r>
            <w:r>
              <w:rPr>
                <w:color w:val="000000"/>
                <w:kern w:val="0"/>
                <w:sz w:val="24"/>
                <w:vertAlign w:val="subscript"/>
              </w:rPr>
              <w:t>p</w:t>
            </w:r>
            <w:r>
              <w:rPr>
                <w:color w:val="000000"/>
                <w:kern w:val="0"/>
                <w:sz w:val="24"/>
              </w:rPr>
              <w:t>(r)</w:t>
            </w:r>
            <w:r>
              <w:rPr>
                <w:rFonts w:hint="eastAsia" w:ascii="宋体" w:hAnsi="宋体" w:cs="宋体"/>
                <w:color w:val="000000"/>
                <w:kern w:val="0"/>
                <w:sz w:val="24"/>
              </w:rPr>
              <w:t>＝</w:t>
            </w:r>
            <w:r>
              <w:rPr>
                <w:color w:val="000000"/>
                <w:kern w:val="0"/>
                <w:sz w:val="24"/>
              </w:rPr>
              <w:t>L</w:t>
            </w:r>
            <w:r>
              <w:rPr>
                <w:color w:val="000000"/>
                <w:kern w:val="0"/>
                <w:sz w:val="24"/>
                <w:vertAlign w:val="subscript"/>
              </w:rPr>
              <w:t>p</w:t>
            </w:r>
            <w:r>
              <w:rPr>
                <w:color w:val="000000"/>
                <w:kern w:val="0"/>
                <w:sz w:val="24"/>
              </w:rPr>
              <w:t>(r</w:t>
            </w:r>
            <w:r>
              <w:rPr>
                <w:color w:val="000000"/>
                <w:kern w:val="0"/>
                <w:sz w:val="24"/>
                <w:vertAlign w:val="subscript"/>
              </w:rPr>
              <w:t>0</w:t>
            </w:r>
            <w:r>
              <w:rPr>
                <w:color w:val="000000"/>
                <w:kern w:val="0"/>
                <w:sz w:val="24"/>
              </w:rPr>
              <w:t>)+D</w:t>
            </w:r>
            <w:r>
              <w:rPr>
                <w:color w:val="000000"/>
                <w:kern w:val="0"/>
                <w:sz w:val="24"/>
                <w:vertAlign w:val="subscript"/>
              </w:rPr>
              <w:t>C</w:t>
            </w:r>
            <w:r>
              <w:rPr>
                <w:rFonts w:hint="eastAsia" w:ascii="宋体" w:hAnsi="宋体" w:cs="宋体"/>
                <w:color w:val="000000"/>
                <w:kern w:val="0"/>
                <w:sz w:val="24"/>
              </w:rPr>
              <w:t>－</w:t>
            </w:r>
            <w:r>
              <w:rPr>
                <w:color w:val="000000"/>
                <w:kern w:val="0"/>
                <w:sz w:val="24"/>
              </w:rPr>
              <w:t>(A</w:t>
            </w:r>
            <w:r>
              <w:rPr>
                <w:color w:val="000000"/>
                <w:kern w:val="0"/>
                <w:sz w:val="24"/>
                <w:vertAlign w:val="subscript"/>
              </w:rPr>
              <w:t>div</w:t>
            </w:r>
            <w:r>
              <w:rPr>
                <w:rFonts w:hint="eastAsia" w:ascii="宋体" w:hAnsi="宋体" w:cs="宋体"/>
                <w:color w:val="000000"/>
                <w:kern w:val="0"/>
                <w:sz w:val="24"/>
              </w:rPr>
              <w:t>＋</w:t>
            </w:r>
            <w:r>
              <w:rPr>
                <w:color w:val="000000"/>
                <w:kern w:val="0"/>
                <w:sz w:val="24"/>
              </w:rPr>
              <w:t>A</w:t>
            </w:r>
            <w:r>
              <w:rPr>
                <w:color w:val="000000"/>
                <w:kern w:val="0"/>
                <w:sz w:val="24"/>
                <w:vertAlign w:val="subscript"/>
              </w:rPr>
              <w:t>atm</w:t>
            </w:r>
            <w:r>
              <w:rPr>
                <w:rFonts w:hint="eastAsia" w:ascii="宋体" w:hAnsi="宋体" w:cs="宋体"/>
                <w:color w:val="000000"/>
                <w:kern w:val="0"/>
                <w:sz w:val="24"/>
              </w:rPr>
              <w:t>＋</w:t>
            </w:r>
            <w:r>
              <w:rPr>
                <w:color w:val="000000"/>
                <w:kern w:val="0"/>
                <w:sz w:val="24"/>
              </w:rPr>
              <w:t>A</w:t>
            </w:r>
            <w:r>
              <w:rPr>
                <w:color w:val="000000"/>
                <w:kern w:val="0"/>
                <w:sz w:val="24"/>
                <w:vertAlign w:val="subscript"/>
              </w:rPr>
              <w:t>gr</w:t>
            </w:r>
            <w:r>
              <w:rPr>
                <w:rFonts w:hint="eastAsia" w:ascii="宋体" w:hAnsi="宋体" w:cs="宋体"/>
                <w:color w:val="000000"/>
                <w:kern w:val="0"/>
                <w:sz w:val="24"/>
              </w:rPr>
              <w:t>＋</w:t>
            </w:r>
            <w:r>
              <w:rPr>
                <w:color w:val="000000"/>
                <w:kern w:val="0"/>
                <w:sz w:val="24"/>
              </w:rPr>
              <w:t>A</w:t>
            </w:r>
            <w:r>
              <w:rPr>
                <w:color w:val="000000"/>
                <w:kern w:val="0"/>
                <w:sz w:val="24"/>
                <w:vertAlign w:val="subscript"/>
              </w:rPr>
              <w:t>bar</w:t>
            </w:r>
            <w:r>
              <w:rPr>
                <w:rFonts w:hint="eastAsia" w:ascii="宋体" w:hAnsi="宋体" w:cs="宋体"/>
                <w:color w:val="000000"/>
                <w:kern w:val="0"/>
                <w:sz w:val="24"/>
              </w:rPr>
              <w:t>＋</w:t>
            </w:r>
            <w:r>
              <w:rPr>
                <w:color w:val="000000"/>
                <w:kern w:val="0"/>
                <w:sz w:val="24"/>
              </w:rPr>
              <w:t>A</w:t>
            </w:r>
            <w:r>
              <w:rPr>
                <w:color w:val="000000"/>
                <w:kern w:val="0"/>
                <w:sz w:val="24"/>
                <w:vertAlign w:val="subscript"/>
              </w:rPr>
              <w:t>misc</w:t>
            </w:r>
            <w:r>
              <w:rPr>
                <w:color w:val="000000"/>
                <w:kern w:val="0"/>
                <w:sz w:val="24"/>
              </w:rPr>
              <w:t xml:space="preserve">) </w:t>
            </w:r>
            <w:r>
              <w:rPr>
                <w:rFonts w:hint="eastAsia"/>
              </w:rPr>
              <w:t xml:space="preserve">     </w:t>
            </w:r>
            <w:r>
              <w:rPr>
                <w:rFonts w:hint="eastAsia" w:ascii="宋体" w:hAnsi="宋体" w:cs="宋体"/>
                <w:color w:val="000000"/>
                <w:kern w:val="0"/>
                <w:sz w:val="24"/>
              </w:rPr>
              <w:t>（</w:t>
            </w:r>
            <w:r>
              <w:rPr>
                <w:color w:val="000000"/>
                <w:kern w:val="0"/>
                <w:sz w:val="24"/>
              </w:rPr>
              <w:t>A.2</w:t>
            </w:r>
            <w:r>
              <w:rPr>
                <w:rFonts w:hint="eastAsia" w:ascii="宋体" w:hAnsi="宋体" w:cs="宋体"/>
                <w:color w:val="000000"/>
                <w:kern w:val="0"/>
                <w:sz w:val="24"/>
              </w:rPr>
              <w:t>）</w:t>
            </w:r>
          </w:p>
          <w:p>
            <w:pPr>
              <w:widowControl/>
              <w:spacing w:line="360" w:lineRule="auto"/>
              <w:ind w:firstLine="480" w:firstLineChars="200"/>
              <w:jc w:val="left"/>
              <w:rPr>
                <w:rFonts w:ascii="宋体" w:hAnsi="宋体" w:cs="宋体"/>
                <w:sz w:val="24"/>
              </w:rPr>
            </w:pPr>
            <w:r>
              <w:rPr>
                <w:rFonts w:hint="eastAsia" w:ascii="宋体" w:hAnsi="宋体" w:cs="宋体"/>
                <w:color w:val="000000"/>
                <w:kern w:val="0"/>
                <w:sz w:val="24"/>
              </w:rPr>
              <w:t>在只考虑几何发散衰减及障碍物屏蔽时，用 L</w:t>
            </w:r>
            <w:r>
              <w:rPr>
                <w:rFonts w:hint="eastAsia" w:ascii="宋体" w:hAnsi="宋体" w:cs="宋体"/>
                <w:color w:val="000000"/>
                <w:kern w:val="0"/>
                <w:sz w:val="24"/>
                <w:vertAlign w:val="subscript"/>
              </w:rPr>
              <w:t>A</w:t>
            </w:r>
            <w:r>
              <w:rPr>
                <w:rFonts w:hint="eastAsia" w:ascii="宋体" w:hAnsi="宋体" w:cs="宋体"/>
                <w:color w:val="000000"/>
                <w:kern w:val="0"/>
                <w:sz w:val="24"/>
              </w:rPr>
              <w:t>（r）=L</w:t>
            </w:r>
            <w:r>
              <w:rPr>
                <w:rFonts w:hint="eastAsia" w:ascii="宋体" w:hAnsi="宋体" w:cs="宋体"/>
                <w:color w:val="000000"/>
                <w:kern w:val="0"/>
                <w:sz w:val="24"/>
                <w:vertAlign w:val="subscript"/>
              </w:rPr>
              <w:t>A</w:t>
            </w:r>
            <w:r>
              <w:rPr>
                <w:rFonts w:hint="eastAsia" w:ascii="宋体" w:hAnsi="宋体" w:cs="宋体"/>
                <w:color w:val="000000"/>
                <w:kern w:val="0"/>
                <w:sz w:val="24"/>
              </w:rPr>
              <w:t>（r</w:t>
            </w:r>
            <w:r>
              <w:rPr>
                <w:rFonts w:hint="eastAsia" w:ascii="宋体" w:hAnsi="宋体" w:cs="宋体"/>
                <w:color w:val="000000"/>
                <w:kern w:val="0"/>
                <w:sz w:val="24"/>
                <w:vertAlign w:val="subscript"/>
              </w:rPr>
              <w:t>0</w:t>
            </w:r>
            <w:r>
              <w:rPr>
                <w:rFonts w:hint="eastAsia" w:ascii="宋体" w:hAnsi="宋体" w:cs="宋体"/>
                <w:color w:val="000000"/>
                <w:kern w:val="0"/>
                <w:sz w:val="24"/>
              </w:rPr>
              <w:t>）-A</w:t>
            </w:r>
            <w:r>
              <w:rPr>
                <w:rFonts w:hint="eastAsia" w:ascii="宋体" w:hAnsi="宋体" w:cs="宋体"/>
                <w:color w:val="000000"/>
                <w:kern w:val="0"/>
                <w:sz w:val="24"/>
                <w:vertAlign w:val="subscript"/>
              </w:rPr>
              <w:t>dir</w:t>
            </w:r>
            <w:r>
              <w:rPr>
                <w:rFonts w:hint="eastAsia" w:ascii="宋体" w:hAnsi="宋体" w:cs="宋体"/>
                <w:color w:val="000000"/>
                <w:kern w:val="0"/>
                <w:sz w:val="24"/>
              </w:rPr>
              <w:t xml:space="preserve"> </w:t>
            </w:r>
          </w:p>
          <w:p>
            <w:pPr>
              <w:widowControl/>
              <w:spacing w:line="360" w:lineRule="auto"/>
              <w:ind w:firstLine="480" w:firstLineChars="200"/>
              <w:jc w:val="left"/>
              <w:rPr>
                <w:rFonts w:ascii="宋体" w:hAnsi="宋体" w:cs="宋体"/>
                <w:sz w:val="24"/>
              </w:rPr>
            </w:pPr>
            <w:r>
              <w:rPr>
                <w:rFonts w:hint="eastAsia" w:ascii="宋体" w:hAnsi="宋体" w:cs="宋体"/>
                <w:kern w:val="0"/>
                <w:sz w:val="24"/>
              </w:rPr>
              <w:t>式中：L</w:t>
            </w:r>
            <w:r>
              <w:rPr>
                <w:rFonts w:hint="eastAsia" w:ascii="宋体" w:hAnsi="宋体" w:cs="宋体"/>
                <w:kern w:val="0"/>
                <w:sz w:val="24"/>
                <w:vertAlign w:val="subscript"/>
              </w:rPr>
              <w:t>p</w:t>
            </w:r>
            <w:r>
              <w:rPr>
                <w:rFonts w:hint="eastAsia" w:ascii="宋体" w:hAnsi="宋体" w:cs="宋体"/>
                <w:kern w:val="0"/>
                <w:sz w:val="24"/>
              </w:rPr>
              <w:t>(r) -预测点处声压级，dB；</w:t>
            </w:r>
          </w:p>
          <w:p>
            <w:pPr>
              <w:widowControl/>
              <w:spacing w:line="360" w:lineRule="auto"/>
              <w:ind w:firstLine="1200" w:firstLineChars="500"/>
              <w:jc w:val="left"/>
              <w:rPr>
                <w:rFonts w:ascii="宋体" w:hAnsi="宋体" w:cs="宋体"/>
              </w:rPr>
            </w:pPr>
            <w:r>
              <w:rPr>
                <w:rFonts w:hint="eastAsia" w:ascii="宋体" w:hAnsi="宋体" w:cs="宋体"/>
                <w:i/>
                <w:iCs/>
                <w:kern w:val="0"/>
                <w:sz w:val="24"/>
              </w:rPr>
              <w:t>L</w:t>
            </w:r>
            <w:r>
              <w:rPr>
                <w:rFonts w:hint="eastAsia" w:ascii="宋体" w:hAnsi="宋体" w:cs="宋体"/>
                <w:i/>
                <w:iCs/>
                <w:kern w:val="0"/>
                <w:sz w:val="24"/>
                <w:vertAlign w:val="subscript"/>
              </w:rPr>
              <w:t>p</w:t>
            </w:r>
            <w:r>
              <w:rPr>
                <w:rFonts w:hint="eastAsia" w:ascii="宋体" w:hAnsi="宋体" w:cs="宋体"/>
                <w:kern w:val="0"/>
                <w:sz w:val="24"/>
              </w:rPr>
              <w:t>(</w:t>
            </w:r>
            <w:r>
              <w:rPr>
                <w:rFonts w:hint="eastAsia" w:ascii="宋体" w:hAnsi="宋体" w:cs="宋体"/>
                <w:i/>
                <w:iCs/>
                <w:kern w:val="0"/>
                <w:sz w:val="24"/>
              </w:rPr>
              <w:t>r</w:t>
            </w:r>
            <w:r>
              <w:rPr>
                <w:rFonts w:hint="eastAsia" w:ascii="宋体" w:hAnsi="宋体" w:cs="宋体"/>
                <w:kern w:val="0"/>
                <w:sz w:val="24"/>
                <w:vertAlign w:val="subscript"/>
              </w:rPr>
              <w:t>0</w:t>
            </w:r>
            <w:r>
              <w:rPr>
                <w:rFonts w:hint="eastAsia" w:ascii="宋体" w:hAnsi="宋体" w:cs="宋体"/>
                <w:kern w:val="0"/>
                <w:sz w:val="24"/>
              </w:rPr>
              <w:t>)-</w:t>
            </w:r>
            <w:r>
              <w:rPr>
                <w:rFonts w:hint="eastAsia" w:ascii="宋体" w:hAnsi="宋体" w:cs="宋体"/>
                <w:kern w:val="0"/>
                <w:szCs w:val="21"/>
              </w:rPr>
              <w:t>参考位置</w:t>
            </w:r>
            <w:r>
              <w:rPr>
                <w:rFonts w:hint="eastAsia" w:ascii="宋体" w:hAnsi="宋体" w:cs="宋体"/>
                <w:i/>
                <w:iCs/>
                <w:kern w:val="0"/>
                <w:szCs w:val="21"/>
              </w:rPr>
              <w:t>r</w:t>
            </w:r>
            <w:r>
              <w:rPr>
                <w:rFonts w:hint="eastAsia" w:ascii="宋体" w:hAnsi="宋体" w:cs="宋体"/>
                <w:kern w:val="0"/>
                <w:sz w:val="13"/>
                <w:szCs w:val="13"/>
              </w:rPr>
              <w:t>0</w:t>
            </w:r>
            <w:r>
              <w:rPr>
                <w:rFonts w:hint="eastAsia" w:ascii="宋体" w:hAnsi="宋体" w:cs="宋体"/>
                <w:kern w:val="0"/>
                <w:szCs w:val="21"/>
              </w:rPr>
              <w:t>处的声压级，dB；</w:t>
            </w:r>
          </w:p>
          <w:p>
            <w:pPr>
              <w:widowControl/>
              <w:spacing w:line="360" w:lineRule="auto"/>
              <w:ind w:firstLine="1200" w:firstLineChars="500"/>
              <w:jc w:val="left"/>
              <w:rPr>
                <w:rFonts w:ascii="宋体" w:hAnsi="宋体" w:cs="宋体"/>
                <w:sz w:val="24"/>
              </w:rPr>
            </w:pPr>
            <w:r>
              <w:rPr>
                <w:rFonts w:hint="eastAsia" w:ascii="宋体" w:hAnsi="宋体" w:cs="宋体"/>
                <w:i/>
                <w:iCs/>
                <w:kern w:val="0"/>
                <w:sz w:val="24"/>
              </w:rPr>
              <w:t>Lw</w:t>
            </w:r>
            <w:r>
              <w:rPr>
                <w:rFonts w:hint="eastAsia" w:ascii="宋体" w:hAnsi="宋体" w:cs="宋体"/>
                <w:kern w:val="0"/>
                <w:sz w:val="24"/>
              </w:rPr>
              <w:t xml:space="preserve">-由点声源产生的声功率级（A计权或倍频带），dB； </w:t>
            </w:r>
          </w:p>
          <w:p>
            <w:pPr>
              <w:widowControl/>
              <w:spacing w:line="360" w:lineRule="auto"/>
              <w:ind w:firstLine="1200" w:firstLineChars="500"/>
              <w:jc w:val="left"/>
              <w:rPr>
                <w:rFonts w:ascii="宋体" w:hAnsi="宋体" w:cs="宋体"/>
                <w:sz w:val="24"/>
              </w:rPr>
            </w:pPr>
            <w:r>
              <w:rPr>
                <w:rFonts w:hint="eastAsia" w:ascii="宋体" w:hAnsi="宋体" w:cs="宋体"/>
                <w:i/>
                <w:iCs/>
                <w:kern w:val="0"/>
                <w:sz w:val="24"/>
              </w:rPr>
              <w:t>D</w:t>
            </w:r>
            <w:r>
              <w:rPr>
                <w:rFonts w:hint="eastAsia" w:ascii="宋体" w:hAnsi="宋体" w:cs="宋体"/>
                <w:kern w:val="0"/>
                <w:sz w:val="24"/>
                <w:vertAlign w:val="subscript"/>
              </w:rPr>
              <w:t>C</w:t>
            </w:r>
            <w:r>
              <w:rPr>
                <w:rFonts w:hint="eastAsia" w:ascii="宋体" w:hAnsi="宋体" w:cs="宋体"/>
                <w:kern w:val="0"/>
                <w:sz w:val="24"/>
              </w:rPr>
              <w:t>-指向性校正，它描述点声源的等效连续声压级与产生声功率级</w:t>
            </w:r>
            <w:r>
              <w:rPr>
                <w:rFonts w:hint="eastAsia" w:ascii="宋体" w:hAnsi="宋体" w:cs="宋体"/>
                <w:i/>
                <w:iCs/>
                <w:kern w:val="0"/>
                <w:sz w:val="24"/>
              </w:rPr>
              <w:t>Lw</w:t>
            </w:r>
            <w:r>
              <w:rPr>
                <w:rFonts w:hint="eastAsia" w:ascii="宋体" w:hAnsi="宋体" w:cs="宋体"/>
                <w:kern w:val="0"/>
                <w:sz w:val="24"/>
              </w:rPr>
              <w:t xml:space="preserve">的全向点声源在规定方向的声级的偏差程度，dB； </w:t>
            </w:r>
          </w:p>
          <w:p>
            <w:pPr>
              <w:widowControl/>
              <w:spacing w:line="360" w:lineRule="auto"/>
              <w:ind w:firstLine="1200" w:firstLineChars="500"/>
              <w:jc w:val="left"/>
              <w:rPr>
                <w:rFonts w:ascii="宋体" w:hAnsi="宋体" w:cs="宋体"/>
                <w:sz w:val="24"/>
              </w:rPr>
            </w:pPr>
            <w:r>
              <w:rPr>
                <w:rFonts w:hint="eastAsia" w:ascii="宋体" w:hAnsi="宋体" w:cs="宋体"/>
                <w:i/>
                <w:iCs/>
                <w:kern w:val="0"/>
                <w:sz w:val="24"/>
              </w:rPr>
              <w:t>A</w:t>
            </w:r>
            <w:r>
              <w:rPr>
                <w:rFonts w:hint="eastAsia" w:ascii="宋体" w:hAnsi="宋体" w:cs="宋体"/>
                <w:kern w:val="0"/>
                <w:sz w:val="24"/>
                <w:vertAlign w:val="subscript"/>
              </w:rPr>
              <w:t>div</w:t>
            </w:r>
            <w:r>
              <w:rPr>
                <w:rFonts w:hint="eastAsia" w:ascii="宋体" w:hAnsi="宋体" w:cs="宋体"/>
                <w:kern w:val="0"/>
                <w:sz w:val="24"/>
              </w:rPr>
              <w:t xml:space="preserve">-几何发散引起的衰减，dB； </w:t>
            </w:r>
          </w:p>
          <w:p>
            <w:pPr>
              <w:widowControl/>
              <w:spacing w:line="360" w:lineRule="auto"/>
              <w:ind w:firstLine="1200" w:firstLineChars="500"/>
              <w:jc w:val="left"/>
              <w:rPr>
                <w:rFonts w:ascii="宋体" w:hAnsi="宋体" w:cs="宋体"/>
                <w:sz w:val="24"/>
              </w:rPr>
            </w:pPr>
            <w:r>
              <w:rPr>
                <w:rFonts w:hint="eastAsia" w:ascii="宋体" w:hAnsi="宋体" w:cs="宋体"/>
                <w:i/>
                <w:iCs/>
                <w:kern w:val="0"/>
                <w:sz w:val="24"/>
              </w:rPr>
              <w:t>A</w:t>
            </w:r>
            <w:r>
              <w:rPr>
                <w:rFonts w:hint="eastAsia" w:ascii="宋体" w:hAnsi="宋体" w:cs="宋体"/>
                <w:kern w:val="0"/>
                <w:sz w:val="24"/>
                <w:vertAlign w:val="subscript"/>
              </w:rPr>
              <w:t>atm</w:t>
            </w:r>
            <w:r>
              <w:rPr>
                <w:rFonts w:hint="eastAsia" w:ascii="宋体" w:hAnsi="宋体" w:cs="宋体"/>
                <w:kern w:val="0"/>
                <w:sz w:val="24"/>
              </w:rPr>
              <w:t xml:space="preserve">-大气吸收引起的衰减，dB； </w:t>
            </w:r>
          </w:p>
          <w:p>
            <w:pPr>
              <w:widowControl/>
              <w:spacing w:line="360" w:lineRule="auto"/>
              <w:ind w:firstLine="1200" w:firstLineChars="500"/>
              <w:jc w:val="left"/>
              <w:rPr>
                <w:rFonts w:ascii="宋体" w:hAnsi="宋体" w:cs="宋体"/>
                <w:sz w:val="24"/>
              </w:rPr>
            </w:pPr>
            <w:r>
              <w:rPr>
                <w:rFonts w:hint="eastAsia" w:ascii="宋体" w:hAnsi="宋体" w:cs="宋体"/>
                <w:i/>
                <w:iCs/>
                <w:kern w:val="0"/>
                <w:sz w:val="24"/>
              </w:rPr>
              <w:t>A</w:t>
            </w:r>
            <w:r>
              <w:rPr>
                <w:rFonts w:hint="eastAsia" w:ascii="宋体" w:hAnsi="宋体" w:cs="宋体"/>
                <w:kern w:val="0"/>
                <w:sz w:val="24"/>
                <w:vertAlign w:val="subscript"/>
              </w:rPr>
              <w:t>gr</w:t>
            </w:r>
            <w:r>
              <w:rPr>
                <w:rFonts w:hint="eastAsia" w:ascii="宋体" w:hAnsi="宋体" w:cs="宋体"/>
                <w:kern w:val="0"/>
                <w:sz w:val="24"/>
              </w:rPr>
              <w:t xml:space="preserve">-地面效应引起的衰减，dB； </w:t>
            </w:r>
          </w:p>
          <w:p>
            <w:pPr>
              <w:widowControl/>
              <w:spacing w:line="360" w:lineRule="auto"/>
              <w:ind w:firstLine="1200" w:firstLineChars="500"/>
              <w:jc w:val="left"/>
              <w:rPr>
                <w:rFonts w:ascii="宋体" w:hAnsi="宋体" w:cs="宋体"/>
                <w:sz w:val="24"/>
              </w:rPr>
            </w:pPr>
            <w:r>
              <w:rPr>
                <w:rFonts w:hint="eastAsia" w:ascii="宋体" w:hAnsi="宋体" w:cs="宋体"/>
                <w:i/>
                <w:iCs/>
                <w:kern w:val="0"/>
                <w:sz w:val="24"/>
              </w:rPr>
              <w:t>A</w:t>
            </w:r>
            <w:r>
              <w:rPr>
                <w:rFonts w:hint="eastAsia" w:ascii="宋体" w:hAnsi="宋体" w:cs="宋体"/>
                <w:kern w:val="0"/>
                <w:sz w:val="24"/>
                <w:vertAlign w:val="subscript"/>
              </w:rPr>
              <w:t>bar</w:t>
            </w:r>
            <w:r>
              <w:rPr>
                <w:rFonts w:hint="eastAsia" w:ascii="宋体" w:hAnsi="宋体" w:cs="宋体"/>
                <w:kern w:val="0"/>
                <w:sz w:val="24"/>
              </w:rPr>
              <w:t xml:space="preserve">-障碍物屏蔽引起的衰减，dB； </w:t>
            </w:r>
          </w:p>
          <w:p>
            <w:pPr>
              <w:widowControl/>
              <w:spacing w:line="360" w:lineRule="auto"/>
              <w:ind w:firstLine="1200" w:firstLineChars="500"/>
              <w:jc w:val="left"/>
              <w:rPr>
                <w:rFonts w:ascii="宋体" w:hAnsi="宋体" w:cs="宋体"/>
                <w:sz w:val="24"/>
              </w:rPr>
            </w:pPr>
            <w:r>
              <w:rPr>
                <w:rFonts w:hint="eastAsia" w:ascii="宋体" w:hAnsi="宋体" w:cs="宋体"/>
                <w:i/>
                <w:iCs/>
                <w:kern w:val="0"/>
                <w:sz w:val="24"/>
              </w:rPr>
              <w:t>A</w:t>
            </w:r>
            <w:r>
              <w:rPr>
                <w:rFonts w:hint="eastAsia" w:ascii="宋体" w:hAnsi="宋体" w:cs="宋体"/>
                <w:kern w:val="0"/>
                <w:sz w:val="24"/>
                <w:vertAlign w:val="subscript"/>
              </w:rPr>
              <w:t>misc</w:t>
            </w:r>
            <w:r>
              <w:rPr>
                <w:rFonts w:hint="eastAsia" w:ascii="宋体" w:hAnsi="宋体" w:cs="宋体"/>
                <w:kern w:val="0"/>
                <w:sz w:val="24"/>
              </w:rPr>
              <w:t>-其他多方面效应引起的衰减，dB。</w:t>
            </w:r>
          </w:p>
          <w:p>
            <w:pPr>
              <w:widowControl/>
              <w:spacing w:line="360" w:lineRule="auto"/>
              <w:ind w:firstLine="480" w:firstLineChars="200"/>
              <w:jc w:val="left"/>
              <w:rPr>
                <w:sz w:val="24"/>
              </w:rPr>
            </w:pPr>
            <w:r>
              <w:rPr>
                <w:rFonts w:hint="eastAsia" w:ascii="宋体" w:hAnsi="宋体" w:cs="宋体"/>
                <w:color w:val="000000"/>
                <w:kern w:val="0"/>
                <w:sz w:val="24"/>
              </w:rPr>
              <w:t xml:space="preserve">b.点声源的几何发散衰减 </w:t>
            </w:r>
          </w:p>
          <w:p>
            <w:pPr>
              <w:widowControl/>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无指向性点声源几何发散衰减的基本公式∶ </w:t>
            </w:r>
          </w:p>
          <w:p>
            <w:pPr>
              <w:pStyle w:val="34"/>
              <w:widowControl/>
              <w:spacing w:line="360" w:lineRule="auto"/>
              <w:jc w:val="center"/>
              <w:rPr>
                <w:b w:val="0"/>
                <w:bCs/>
              </w:rPr>
            </w:pPr>
            <w:r>
              <w:rPr>
                <w:rFonts w:hint="eastAsia"/>
                <w:b w:val="0"/>
                <w:bCs/>
              </w:rPr>
              <w:t>L</w:t>
            </w:r>
            <w:r>
              <w:rPr>
                <w:rFonts w:hint="eastAsia"/>
                <w:b w:val="0"/>
                <w:bCs/>
                <w:vertAlign w:val="subscript"/>
              </w:rPr>
              <w:t>p</w:t>
            </w:r>
            <w:r>
              <w:rPr>
                <w:rFonts w:hint="eastAsia"/>
                <w:b w:val="0"/>
                <w:bCs/>
              </w:rPr>
              <w:t>(r)=L</w:t>
            </w:r>
            <w:r>
              <w:rPr>
                <w:rFonts w:hint="eastAsia"/>
                <w:b w:val="0"/>
                <w:bCs/>
                <w:vertAlign w:val="subscript"/>
              </w:rPr>
              <w:t>p</w:t>
            </w:r>
            <w:r>
              <w:rPr>
                <w:rFonts w:hint="eastAsia"/>
                <w:b w:val="0"/>
                <w:bCs/>
              </w:rPr>
              <w:t>(r</w:t>
            </w:r>
            <w:r>
              <w:rPr>
                <w:rFonts w:hint="eastAsia"/>
                <w:b w:val="0"/>
                <w:bCs/>
                <w:vertAlign w:val="subscript"/>
              </w:rPr>
              <w:t>0</w:t>
            </w:r>
            <w:r>
              <w:rPr>
                <w:rFonts w:hint="eastAsia"/>
                <w:b w:val="0"/>
                <w:bCs/>
              </w:rPr>
              <w:t>)-20lg(r/r</w:t>
            </w:r>
            <w:r>
              <w:rPr>
                <w:rFonts w:hint="eastAsia"/>
                <w:b w:val="0"/>
                <w:bCs/>
                <w:vertAlign w:val="subscript"/>
              </w:rPr>
              <w:t>0</w:t>
            </w:r>
            <w:r>
              <w:rPr>
                <w:rFonts w:hint="eastAsia"/>
                <w:b w:val="0"/>
                <w:bCs/>
              </w:rPr>
              <w:t>)</w:t>
            </w:r>
          </w:p>
          <w:p>
            <w:pPr>
              <w:widowControl/>
              <w:spacing w:line="360" w:lineRule="auto"/>
              <w:ind w:firstLine="480" w:firstLineChars="200"/>
              <w:jc w:val="left"/>
              <w:rPr>
                <w:rFonts w:ascii="宋体" w:hAnsi="宋体" w:cs="宋体"/>
                <w:sz w:val="24"/>
              </w:rPr>
            </w:pPr>
            <w:r>
              <w:rPr>
                <w:rFonts w:hint="eastAsia" w:ascii="宋体" w:hAnsi="宋体" w:cs="宋体"/>
                <w:color w:val="000000"/>
                <w:kern w:val="0"/>
                <w:sz w:val="24"/>
              </w:rPr>
              <w:t>式中：r、r</w:t>
            </w:r>
            <w:r>
              <w:rPr>
                <w:rFonts w:hint="eastAsia" w:ascii="宋体" w:hAnsi="宋体" w:cs="宋体"/>
                <w:color w:val="000000"/>
                <w:kern w:val="0"/>
                <w:sz w:val="24"/>
                <w:vertAlign w:val="subscript"/>
              </w:rPr>
              <w:t>0</w:t>
            </w:r>
            <w:r>
              <w:rPr>
                <w:rFonts w:hint="eastAsia" w:ascii="宋体" w:hAnsi="宋体" w:cs="宋体"/>
                <w:color w:val="000000"/>
                <w:kern w:val="0"/>
                <w:sz w:val="24"/>
              </w:rPr>
              <w:t xml:space="preserve">-与声源的距离； </w:t>
            </w:r>
          </w:p>
          <w:p>
            <w:pPr>
              <w:widowControl/>
              <w:spacing w:line="360" w:lineRule="auto"/>
              <w:ind w:firstLine="1200" w:firstLineChars="500"/>
              <w:jc w:val="left"/>
              <w:rPr>
                <w:rFonts w:ascii="宋体" w:hAnsi="宋体" w:cs="宋体"/>
                <w:sz w:val="24"/>
              </w:rPr>
            </w:pPr>
            <w:r>
              <w:rPr>
                <w:rFonts w:hint="eastAsia" w:ascii="宋体" w:hAnsi="宋体" w:cs="宋体"/>
                <w:color w:val="000000"/>
                <w:kern w:val="0"/>
                <w:sz w:val="24"/>
              </w:rPr>
              <w:t>L</w:t>
            </w:r>
            <w:r>
              <w:rPr>
                <w:rFonts w:hint="eastAsia" w:ascii="宋体" w:hAnsi="宋体" w:cs="宋体"/>
                <w:color w:val="000000"/>
                <w:kern w:val="0"/>
                <w:sz w:val="24"/>
                <w:vertAlign w:val="subscript"/>
              </w:rPr>
              <w:t>P</w:t>
            </w:r>
            <w:r>
              <w:rPr>
                <w:rFonts w:hint="eastAsia" w:ascii="宋体" w:hAnsi="宋体" w:cs="宋体"/>
                <w:color w:val="000000"/>
                <w:kern w:val="0"/>
                <w:sz w:val="24"/>
              </w:rPr>
              <w:t xml:space="preserve">（r）-r处的倍频带声压级，dB； </w:t>
            </w:r>
          </w:p>
          <w:p>
            <w:pPr>
              <w:widowControl/>
              <w:spacing w:line="360" w:lineRule="auto"/>
              <w:ind w:firstLine="1200" w:firstLineChars="500"/>
              <w:jc w:val="left"/>
              <w:rPr>
                <w:rFonts w:ascii="宋体" w:hAnsi="宋体" w:cs="宋体"/>
                <w:sz w:val="24"/>
              </w:rPr>
            </w:pPr>
            <w:r>
              <w:rPr>
                <w:rFonts w:hint="eastAsia" w:ascii="宋体" w:hAnsi="宋体" w:cs="宋体"/>
                <w:color w:val="000000"/>
                <w:kern w:val="0"/>
                <w:sz w:val="24"/>
              </w:rPr>
              <w:t>L</w:t>
            </w:r>
            <w:r>
              <w:rPr>
                <w:rFonts w:hint="eastAsia" w:ascii="宋体" w:hAnsi="宋体" w:cs="宋体"/>
                <w:color w:val="000000"/>
                <w:kern w:val="0"/>
                <w:sz w:val="24"/>
                <w:vertAlign w:val="subscript"/>
              </w:rPr>
              <w:t>P</w:t>
            </w:r>
            <w:r>
              <w:rPr>
                <w:rFonts w:hint="eastAsia" w:ascii="宋体" w:hAnsi="宋体" w:cs="宋体"/>
                <w:color w:val="000000"/>
                <w:kern w:val="0"/>
                <w:sz w:val="24"/>
              </w:rPr>
              <w:t>（r</w:t>
            </w:r>
            <w:r>
              <w:rPr>
                <w:rFonts w:hint="eastAsia" w:ascii="宋体" w:hAnsi="宋体" w:cs="宋体"/>
                <w:color w:val="000000"/>
                <w:kern w:val="0"/>
                <w:sz w:val="24"/>
                <w:vertAlign w:val="subscript"/>
              </w:rPr>
              <w:t>0</w:t>
            </w:r>
            <w:r>
              <w:rPr>
                <w:rFonts w:hint="eastAsia" w:ascii="宋体" w:hAnsi="宋体" w:cs="宋体"/>
                <w:color w:val="000000"/>
                <w:kern w:val="0"/>
                <w:sz w:val="24"/>
              </w:rPr>
              <w:t>）-r</w:t>
            </w:r>
            <w:r>
              <w:rPr>
                <w:rFonts w:hint="eastAsia" w:ascii="宋体" w:hAnsi="宋体" w:cs="宋体"/>
                <w:color w:val="000000"/>
                <w:kern w:val="0"/>
                <w:sz w:val="24"/>
                <w:vertAlign w:val="subscript"/>
              </w:rPr>
              <w:t>0</w:t>
            </w:r>
            <w:r>
              <w:rPr>
                <w:rFonts w:hint="eastAsia" w:ascii="宋体" w:hAnsi="宋体" w:cs="宋体"/>
                <w:color w:val="000000"/>
                <w:kern w:val="0"/>
                <w:sz w:val="24"/>
              </w:rPr>
              <w:t xml:space="preserve">处的倍频带声压级，dB。 </w:t>
            </w:r>
          </w:p>
          <w:p>
            <w:pPr>
              <w:widowControl/>
              <w:spacing w:line="360" w:lineRule="auto"/>
              <w:ind w:firstLine="480" w:firstLineChars="200"/>
              <w:jc w:val="left"/>
            </w:pPr>
            <w:r>
              <w:rPr>
                <w:rFonts w:hint="eastAsia" w:ascii="宋体" w:hAnsi="宋体" w:cs="宋体"/>
                <w:color w:val="000000"/>
                <w:kern w:val="0"/>
                <w:sz w:val="24"/>
              </w:rPr>
              <w:t>具有指向性声源的 L</w:t>
            </w:r>
            <w:r>
              <w:rPr>
                <w:rFonts w:hint="eastAsia" w:ascii="宋体" w:hAnsi="宋体" w:cs="宋体"/>
                <w:color w:val="000000"/>
                <w:kern w:val="0"/>
                <w:sz w:val="24"/>
                <w:vertAlign w:val="subscript"/>
              </w:rPr>
              <w:t>P</w:t>
            </w:r>
            <w:r>
              <w:rPr>
                <w:rFonts w:hint="eastAsia" w:ascii="宋体" w:hAnsi="宋体" w:cs="宋体"/>
                <w:color w:val="000000"/>
                <w:kern w:val="0"/>
                <w:sz w:val="24"/>
              </w:rPr>
              <w:t>（r）和 L</w:t>
            </w:r>
            <w:r>
              <w:rPr>
                <w:rFonts w:hint="eastAsia" w:ascii="宋体" w:hAnsi="宋体" w:cs="宋体"/>
                <w:color w:val="000000"/>
                <w:kern w:val="0"/>
                <w:sz w:val="24"/>
                <w:vertAlign w:val="subscript"/>
              </w:rPr>
              <w:t>P</w:t>
            </w:r>
            <w:r>
              <w:rPr>
                <w:rFonts w:hint="eastAsia" w:ascii="宋体" w:hAnsi="宋体" w:cs="宋体"/>
                <w:color w:val="000000"/>
                <w:kern w:val="0"/>
                <w:sz w:val="24"/>
              </w:rPr>
              <w:t>（r</w:t>
            </w:r>
            <w:r>
              <w:rPr>
                <w:rFonts w:hint="eastAsia" w:ascii="宋体" w:hAnsi="宋体" w:cs="宋体"/>
                <w:color w:val="000000"/>
                <w:kern w:val="0"/>
                <w:sz w:val="24"/>
                <w:vertAlign w:val="subscript"/>
              </w:rPr>
              <w:t>0</w:t>
            </w:r>
            <w:r>
              <w:rPr>
                <w:rFonts w:hint="eastAsia" w:ascii="宋体" w:hAnsi="宋体" w:cs="宋体"/>
                <w:color w:val="000000"/>
                <w:kern w:val="0"/>
                <w:sz w:val="24"/>
              </w:rPr>
              <w:t>）必须是在同一方向上的声级。</w:t>
            </w:r>
            <w:r>
              <w:rPr>
                <w:rFonts w:hint="eastAsia" w:ascii="宋体" w:hAnsi="宋体" w:cs="宋体"/>
                <w:color w:val="000000"/>
                <w:kern w:val="0"/>
                <w:sz w:val="20"/>
                <w:szCs w:val="20"/>
              </w:rPr>
              <w:t xml:space="preserve"> </w:t>
            </w:r>
          </w:p>
          <w:p>
            <w:pPr>
              <w:widowControl/>
              <w:spacing w:line="360" w:lineRule="auto"/>
              <w:ind w:firstLine="480" w:firstLineChars="200"/>
              <w:jc w:val="left"/>
              <w:rPr>
                <w:rFonts w:ascii="宋体" w:hAnsi="宋体" w:cs="宋体"/>
                <w:sz w:val="24"/>
              </w:rPr>
            </w:pPr>
            <w:r>
              <w:rPr>
                <w:rFonts w:hint="eastAsia" w:ascii="宋体" w:hAnsi="宋体" w:cs="宋体"/>
                <w:color w:val="000000"/>
                <w:kern w:val="0"/>
                <w:sz w:val="24"/>
              </w:rPr>
              <w:t xml:space="preserve">c.室内声源等效室外声源声功率级计算方法 </w:t>
            </w:r>
          </w:p>
          <w:p>
            <w:pPr>
              <w:widowControl/>
              <w:spacing w:line="360" w:lineRule="auto"/>
              <w:ind w:firstLine="480" w:firstLineChars="200"/>
              <w:jc w:val="left"/>
              <w:rPr>
                <w:rFonts w:ascii="宋体" w:hAnsi="宋体" w:cs="宋体"/>
                <w:sz w:val="24"/>
              </w:rPr>
            </w:pPr>
            <w:r>
              <w:rPr>
                <w:rFonts w:hint="eastAsia" w:ascii="宋体" w:hAnsi="宋体" w:cs="宋体"/>
                <w:color w:val="000000"/>
                <w:kern w:val="0"/>
                <w:sz w:val="24"/>
              </w:rPr>
              <w:t>声源位于室内，室内声源可采用等效室外声源声功率级法进行计算。设靠近开口处（或窗户）室内、室外某倍频带的声压级或A声级分别为L</w:t>
            </w:r>
            <w:r>
              <w:rPr>
                <w:rFonts w:hint="eastAsia" w:ascii="宋体" w:hAnsi="宋体" w:cs="宋体"/>
                <w:color w:val="000000"/>
                <w:kern w:val="0"/>
                <w:sz w:val="24"/>
                <w:vertAlign w:val="subscript"/>
              </w:rPr>
              <w:t>p1</w:t>
            </w:r>
            <w:r>
              <w:rPr>
                <w:rFonts w:hint="eastAsia" w:ascii="宋体" w:hAnsi="宋体" w:cs="宋体"/>
                <w:color w:val="000000"/>
                <w:kern w:val="0"/>
                <w:sz w:val="24"/>
              </w:rPr>
              <w:t>和L</w:t>
            </w:r>
            <w:r>
              <w:rPr>
                <w:rFonts w:hint="eastAsia" w:ascii="宋体" w:hAnsi="宋体" w:cs="宋体"/>
                <w:color w:val="000000"/>
                <w:kern w:val="0"/>
                <w:sz w:val="24"/>
                <w:vertAlign w:val="subscript"/>
              </w:rPr>
              <w:t>p2</w:t>
            </w:r>
            <w:r>
              <w:rPr>
                <w:rFonts w:hint="eastAsia" w:ascii="宋体" w:hAnsi="宋体" w:cs="宋体"/>
                <w:color w:val="000000"/>
                <w:kern w:val="0"/>
                <w:sz w:val="24"/>
              </w:rPr>
              <w:t xml:space="preserve">。若声源所在室内声场为近似扩散声场，则室外的倍频带声压级可按下式进行计算近似求出： </w:t>
            </w:r>
          </w:p>
          <w:p>
            <w:pPr>
              <w:widowControl/>
              <w:spacing w:line="360" w:lineRule="auto"/>
              <w:ind w:firstLine="480" w:firstLineChars="200"/>
              <w:jc w:val="center"/>
              <w:rPr>
                <w:rFonts w:ascii="宋体" w:hAnsi="宋体" w:cs="宋体"/>
                <w:sz w:val="24"/>
              </w:rPr>
            </w:pPr>
            <w:r>
              <w:rPr>
                <w:rFonts w:hint="eastAsia" w:ascii="宋体" w:hAnsi="宋体" w:cs="宋体"/>
                <w:color w:val="000000"/>
                <w:kern w:val="0"/>
                <w:sz w:val="24"/>
              </w:rPr>
              <w:t>L</w:t>
            </w:r>
            <w:r>
              <w:rPr>
                <w:rFonts w:hint="eastAsia" w:ascii="宋体" w:hAnsi="宋体" w:cs="宋体"/>
                <w:color w:val="000000"/>
                <w:kern w:val="0"/>
                <w:sz w:val="24"/>
                <w:vertAlign w:val="subscript"/>
              </w:rPr>
              <w:t>p2</w:t>
            </w:r>
            <w:r>
              <w:rPr>
                <w:rFonts w:hint="eastAsia" w:ascii="宋体" w:hAnsi="宋体" w:cs="宋体"/>
                <w:color w:val="000000"/>
                <w:kern w:val="0"/>
                <w:sz w:val="24"/>
              </w:rPr>
              <w:t>=L</w:t>
            </w:r>
            <w:r>
              <w:rPr>
                <w:rFonts w:hint="eastAsia" w:ascii="宋体" w:hAnsi="宋体" w:cs="宋体"/>
                <w:color w:val="000000"/>
                <w:kern w:val="0"/>
                <w:sz w:val="24"/>
                <w:vertAlign w:val="subscript"/>
              </w:rPr>
              <w:t>p1</w:t>
            </w:r>
            <w:r>
              <w:rPr>
                <w:rFonts w:hint="eastAsia" w:ascii="宋体" w:hAnsi="宋体" w:cs="宋体"/>
                <w:color w:val="000000"/>
                <w:kern w:val="0"/>
                <w:sz w:val="24"/>
              </w:rPr>
              <w:t>-（T</w:t>
            </w:r>
            <w:r>
              <w:rPr>
                <w:rFonts w:hint="eastAsia" w:ascii="宋体" w:hAnsi="宋体" w:cs="宋体"/>
                <w:color w:val="000000"/>
                <w:kern w:val="0"/>
                <w:sz w:val="24"/>
                <w:vertAlign w:val="subscript"/>
              </w:rPr>
              <w:t>L</w:t>
            </w:r>
            <w:r>
              <w:rPr>
                <w:rFonts w:hint="eastAsia" w:ascii="宋体" w:hAnsi="宋体" w:cs="宋体"/>
                <w:color w:val="000000"/>
                <w:kern w:val="0"/>
                <w:sz w:val="24"/>
              </w:rPr>
              <w:t>+6）</w:t>
            </w:r>
          </w:p>
          <w:p>
            <w:pPr>
              <w:widowControl/>
              <w:spacing w:line="360" w:lineRule="auto"/>
              <w:ind w:firstLine="480" w:firstLineChars="200"/>
              <w:jc w:val="left"/>
              <w:rPr>
                <w:rFonts w:ascii="宋体" w:hAnsi="宋体" w:cs="宋体"/>
                <w:sz w:val="24"/>
              </w:rPr>
            </w:pPr>
            <w:r>
              <w:rPr>
                <w:rFonts w:hint="eastAsia" w:ascii="宋体" w:hAnsi="宋体" w:cs="宋体"/>
                <w:color w:val="000000"/>
                <w:kern w:val="0"/>
                <w:sz w:val="24"/>
              </w:rPr>
              <w:t>式中：L</w:t>
            </w:r>
            <w:r>
              <w:rPr>
                <w:rFonts w:hint="eastAsia" w:ascii="宋体" w:hAnsi="宋体" w:cs="宋体"/>
                <w:color w:val="000000"/>
                <w:kern w:val="0"/>
                <w:sz w:val="24"/>
                <w:vertAlign w:val="subscript"/>
              </w:rPr>
              <w:t>p1</w:t>
            </w:r>
            <w:r>
              <w:rPr>
                <w:rFonts w:hint="eastAsia" w:ascii="宋体" w:hAnsi="宋体" w:cs="宋体"/>
                <w:color w:val="000000"/>
                <w:kern w:val="0"/>
                <w:sz w:val="24"/>
              </w:rPr>
              <w:t xml:space="preserve">-靠近开口处（或窗户）室内某倍频带的声压级或A声级，dB； </w:t>
            </w:r>
          </w:p>
          <w:p>
            <w:pPr>
              <w:widowControl/>
              <w:spacing w:line="360" w:lineRule="auto"/>
              <w:ind w:firstLine="1200" w:firstLineChars="500"/>
              <w:jc w:val="left"/>
              <w:rPr>
                <w:rFonts w:ascii="宋体" w:hAnsi="宋体" w:cs="宋体"/>
                <w:sz w:val="24"/>
              </w:rPr>
            </w:pPr>
            <w:r>
              <w:rPr>
                <w:rFonts w:hint="eastAsia" w:ascii="宋体" w:hAnsi="宋体" w:cs="宋体"/>
                <w:color w:val="000000"/>
                <w:kern w:val="0"/>
                <w:sz w:val="24"/>
              </w:rPr>
              <w:t>L</w:t>
            </w:r>
            <w:r>
              <w:rPr>
                <w:rFonts w:hint="eastAsia" w:ascii="宋体" w:hAnsi="宋体" w:cs="宋体"/>
                <w:color w:val="000000"/>
                <w:kern w:val="0"/>
                <w:sz w:val="24"/>
                <w:vertAlign w:val="subscript"/>
              </w:rPr>
              <w:t>p2</w:t>
            </w:r>
            <w:r>
              <w:rPr>
                <w:rFonts w:hint="eastAsia" w:ascii="宋体" w:hAnsi="宋体" w:cs="宋体"/>
                <w:color w:val="000000"/>
                <w:kern w:val="0"/>
                <w:sz w:val="24"/>
              </w:rPr>
              <w:t xml:space="preserve">-靠近开口处（或窗户）室外某倍频带的声压级或A声级，dB； </w:t>
            </w:r>
          </w:p>
          <w:p>
            <w:pPr>
              <w:widowControl/>
              <w:spacing w:line="360" w:lineRule="auto"/>
              <w:ind w:firstLine="1200" w:firstLineChars="500"/>
              <w:jc w:val="left"/>
              <w:rPr>
                <w:rFonts w:ascii="宋体" w:hAnsi="宋体" w:cs="宋体"/>
                <w:sz w:val="24"/>
              </w:rPr>
            </w:pPr>
            <w:r>
              <w:rPr>
                <w:rFonts w:hint="eastAsia" w:ascii="宋体" w:hAnsi="宋体" w:cs="宋体"/>
                <w:color w:val="000000"/>
                <w:kern w:val="0"/>
                <w:sz w:val="24"/>
              </w:rPr>
              <w:t>T</w:t>
            </w:r>
            <w:r>
              <w:rPr>
                <w:rFonts w:hint="eastAsia" w:ascii="宋体" w:hAnsi="宋体" w:cs="宋体"/>
                <w:color w:val="000000"/>
                <w:kern w:val="0"/>
                <w:sz w:val="24"/>
                <w:vertAlign w:val="subscript"/>
              </w:rPr>
              <w:t>L</w:t>
            </w:r>
            <w:r>
              <w:rPr>
                <w:rFonts w:hint="eastAsia" w:ascii="宋体" w:hAnsi="宋体" w:cs="宋体"/>
                <w:color w:val="000000"/>
                <w:kern w:val="0"/>
                <w:sz w:val="24"/>
              </w:rPr>
              <w:t xml:space="preserve">-隔墙（或窗户）倍频带或A声级的隔声量，dB。 </w:t>
            </w:r>
          </w:p>
          <w:p>
            <w:pPr>
              <w:tabs>
                <w:tab w:val="left" w:pos="720"/>
              </w:tabs>
              <w:autoSpaceDE w:val="0"/>
              <w:autoSpaceDN w:val="0"/>
              <w:adjustRightInd w:val="0"/>
              <w:spacing w:line="360" w:lineRule="auto"/>
              <w:ind w:firstLine="480" w:firstLineChars="200"/>
              <w:rPr>
                <w:rFonts w:ascii="宋体" w:hAnsi="宋体" w:cs="宋体"/>
                <w:sz w:val="24"/>
              </w:rPr>
            </w:pPr>
            <w:r>
              <w:rPr>
                <w:rFonts w:hint="eastAsia" w:ascii="宋体" w:hAnsi="宋体" w:cs="宋体"/>
                <w:sz w:val="24"/>
              </w:rPr>
              <w:t>然后按以下公式计算出所有室内声源在围护结构处产生的i倍频带叠加声压级：</w:t>
            </w:r>
          </w:p>
          <w:p>
            <w:pPr>
              <w:tabs>
                <w:tab w:val="left" w:pos="720"/>
              </w:tabs>
              <w:autoSpaceDE w:val="0"/>
              <w:autoSpaceDN w:val="0"/>
              <w:adjustRightInd w:val="0"/>
              <w:spacing w:line="360" w:lineRule="auto"/>
              <w:jc w:val="center"/>
              <w:rPr>
                <w:rFonts w:ascii="宋体" w:hAnsi="宋体" w:cs="宋体"/>
                <w:sz w:val="24"/>
              </w:rPr>
            </w:pPr>
            <w:r>
              <w:rPr>
                <w:rFonts w:hint="eastAsia" w:ascii="宋体" w:hAnsi="宋体" w:eastAsia="宋体" w:cs="宋体"/>
                <w:kern w:val="2"/>
                <w:position w:val="-32"/>
                <w:sz w:val="24"/>
                <w:szCs w:val="24"/>
                <w:lang w:val="en-US" w:eastAsia="zh-CN" w:bidi="ar-SA"/>
              </w:rPr>
              <w:object>
                <v:shape id="_x0000_i1037" o:spt="75" type="#_x0000_t75" style="height:38pt;width:129.35pt;" o:ole="t" fillcolor="#FFFFFF" filled="f" o:preferrelative="t" stroked="f" coordsize="21600,21600">
                  <v:path/>
                  <v:fill on="f" color2="#FFFFFF" focussize="0,0"/>
                  <v:stroke on="f"/>
                  <v:imagedata r:id="rId21" gain="65536f" blacklevel="0f" gamma="0" o:title=""/>
                  <o:lock v:ext="edit" position="f" selection="f" grouping="f" rotation="f" cropping="f" text="f" aspectratio="t"/>
                  <w10:wrap type="none"/>
                  <w10:anchorlock/>
                </v:shape>
                <o:OLEObject Type="Embed" ProgID="" ShapeID="_x0000_i1037" DrawAspect="Content" ObjectID="_1468075730" r:id="rId20">
                  <o:LockedField>false</o:LockedField>
                </o:OLEObject>
              </w:object>
            </w:r>
          </w:p>
          <w:p>
            <w:pPr>
              <w:tabs>
                <w:tab w:val="left" w:pos="720"/>
              </w:tabs>
              <w:autoSpaceDE w:val="0"/>
              <w:autoSpaceDN w:val="0"/>
              <w:adjustRightInd w:val="0"/>
              <w:spacing w:line="360" w:lineRule="auto"/>
              <w:ind w:firstLine="480" w:firstLineChars="200"/>
              <w:rPr>
                <w:rFonts w:ascii="宋体" w:hAnsi="宋体" w:cs="宋体"/>
                <w:sz w:val="24"/>
              </w:rPr>
            </w:pPr>
            <w:r>
              <w:rPr>
                <w:rFonts w:hint="eastAsia" w:ascii="宋体" w:hAnsi="宋体" w:cs="宋体"/>
                <w:sz w:val="24"/>
              </w:rPr>
              <w:t>式中：L</w:t>
            </w:r>
            <w:r>
              <w:rPr>
                <w:rFonts w:hint="eastAsia" w:ascii="宋体" w:hAnsi="宋体" w:cs="宋体"/>
                <w:sz w:val="24"/>
                <w:vertAlign w:val="subscript"/>
              </w:rPr>
              <w:t>pli</w:t>
            </w:r>
            <w:r>
              <w:rPr>
                <w:rFonts w:hint="eastAsia" w:ascii="宋体" w:hAnsi="宋体" w:cs="宋体"/>
                <w:sz w:val="24"/>
              </w:rPr>
              <w:t>（T）—靠近围护结构处室内N个声源i倍频带的叠加声压级，dB；</w:t>
            </w:r>
          </w:p>
          <w:p>
            <w:pPr>
              <w:tabs>
                <w:tab w:val="left" w:pos="720"/>
              </w:tabs>
              <w:autoSpaceDE w:val="0"/>
              <w:autoSpaceDN w:val="0"/>
              <w:adjustRightInd w:val="0"/>
              <w:spacing w:line="360" w:lineRule="auto"/>
              <w:ind w:firstLine="1200" w:firstLineChars="500"/>
              <w:rPr>
                <w:rFonts w:ascii="宋体" w:hAnsi="宋体" w:cs="宋体"/>
                <w:sz w:val="24"/>
              </w:rPr>
            </w:pPr>
            <w:r>
              <w:rPr>
                <w:rFonts w:hint="eastAsia" w:ascii="宋体" w:hAnsi="宋体" w:cs="宋体"/>
                <w:sz w:val="24"/>
              </w:rPr>
              <w:t>L</w:t>
            </w:r>
            <w:r>
              <w:rPr>
                <w:rFonts w:hint="eastAsia" w:ascii="宋体" w:hAnsi="宋体" w:cs="宋体"/>
                <w:sz w:val="24"/>
                <w:vertAlign w:val="subscript"/>
              </w:rPr>
              <w:t>plij</w:t>
            </w:r>
            <w:r>
              <w:rPr>
                <w:rFonts w:hint="eastAsia" w:ascii="宋体" w:hAnsi="宋体" w:cs="宋体"/>
                <w:sz w:val="24"/>
              </w:rPr>
              <w:t>—室内j声源i倍频带的声压级，dB；</w:t>
            </w:r>
          </w:p>
          <w:p>
            <w:pPr>
              <w:tabs>
                <w:tab w:val="left" w:pos="720"/>
              </w:tabs>
              <w:autoSpaceDE w:val="0"/>
              <w:autoSpaceDN w:val="0"/>
              <w:adjustRightInd w:val="0"/>
              <w:spacing w:line="360" w:lineRule="auto"/>
              <w:ind w:firstLine="1200" w:firstLineChars="500"/>
              <w:rPr>
                <w:rFonts w:ascii="宋体" w:hAnsi="宋体" w:cs="宋体"/>
                <w:sz w:val="24"/>
              </w:rPr>
            </w:pPr>
            <w:r>
              <w:rPr>
                <w:rFonts w:hint="eastAsia" w:ascii="宋体" w:hAnsi="宋体" w:cs="宋体"/>
                <w:sz w:val="24"/>
              </w:rPr>
              <w:t>N—室内声源总数。</w:t>
            </w:r>
          </w:p>
          <w:p>
            <w:pPr>
              <w:tabs>
                <w:tab w:val="left" w:pos="720"/>
              </w:tabs>
              <w:autoSpaceDE w:val="0"/>
              <w:autoSpaceDN w:val="0"/>
              <w:adjustRightInd w:val="0"/>
              <w:spacing w:line="360" w:lineRule="auto"/>
              <w:ind w:firstLine="480" w:firstLineChars="200"/>
              <w:rPr>
                <w:rFonts w:ascii="宋体" w:hAnsi="宋体" w:cs="宋体"/>
                <w:sz w:val="24"/>
              </w:rPr>
            </w:pPr>
            <w:r>
              <w:rPr>
                <w:rFonts w:hint="eastAsia" w:ascii="宋体" w:hAnsi="宋体" w:cs="宋体"/>
                <w:sz w:val="24"/>
              </w:rPr>
              <w:t>在室内近似为扩散声场时，按以下计算出靠近室外围护结构处的声压级：</w:t>
            </w:r>
          </w:p>
          <w:p>
            <w:pPr>
              <w:tabs>
                <w:tab w:val="left" w:pos="720"/>
              </w:tabs>
              <w:autoSpaceDE w:val="0"/>
              <w:autoSpaceDN w:val="0"/>
              <w:adjustRightInd w:val="0"/>
              <w:spacing w:line="360" w:lineRule="auto"/>
              <w:jc w:val="center"/>
              <w:rPr>
                <w:rFonts w:ascii="宋体" w:hAnsi="宋体" w:cs="宋体"/>
                <w:sz w:val="24"/>
              </w:rPr>
            </w:pPr>
            <w:r>
              <w:rPr>
                <w:rFonts w:hint="eastAsia" w:ascii="宋体" w:hAnsi="宋体" w:eastAsia="宋体" w:cs="宋体"/>
                <w:kern w:val="2"/>
                <w:sz w:val="24"/>
                <w:szCs w:val="24"/>
                <w:lang w:val="en-US" w:eastAsia="zh-CN" w:bidi="ar-SA"/>
              </w:rPr>
              <w:object>
                <v:shape id="_x0000_i1038" o:spt="75" type="#_x0000_t75" style="height:19.35pt;width:129.35pt;" o:ole="t" fillcolor="#FFFFFF" filled="f" o:preferrelative="t" stroked="f" coordsize="21600,21600">
                  <v:path/>
                  <v:fill on="f" color2="#FFFFFF" focussize="0,0"/>
                  <v:stroke on="f"/>
                  <v:imagedata r:id="rId23" gain="65536f" blacklevel="0f" gamma="0" o:title=""/>
                  <o:lock v:ext="edit" position="f" selection="f" grouping="f" rotation="f" cropping="f" text="f" aspectratio="t"/>
                  <w10:wrap type="none"/>
                  <w10:anchorlock/>
                </v:shape>
                <o:OLEObject Type="Embed" ProgID="" ShapeID="_x0000_i1038" DrawAspect="Content" ObjectID="_1468075731" r:id="rId22">
                  <o:LockedField>false</o:LockedField>
                </o:OLEObject>
              </w:object>
            </w:r>
          </w:p>
          <w:p>
            <w:pPr>
              <w:tabs>
                <w:tab w:val="left" w:pos="720"/>
              </w:tabs>
              <w:autoSpaceDE w:val="0"/>
              <w:autoSpaceDN w:val="0"/>
              <w:adjustRightInd w:val="0"/>
              <w:spacing w:line="360" w:lineRule="auto"/>
              <w:ind w:firstLine="480" w:firstLineChars="200"/>
              <w:rPr>
                <w:rFonts w:ascii="宋体" w:hAnsi="宋体" w:cs="宋体"/>
                <w:sz w:val="24"/>
              </w:rPr>
            </w:pPr>
            <w:r>
              <w:rPr>
                <w:rFonts w:hint="eastAsia" w:ascii="宋体" w:hAnsi="宋体" w:cs="宋体"/>
                <w:sz w:val="24"/>
              </w:rPr>
              <w:t>式中：L</w:t>
            </w:r>
            <w:r>
              <w:rPr>
                <w:rFonts w:hint="eastAsia" w:ascii="宋体" w:hAnsi="宋体" w:cs="宋体"/>
                <w:sz w:val="24"/>
                <w:vertAlign w:val="subscript"/>
              </w:rPr>
              <w:t>p2i</w:t>
            </w:r>
            <w:r>
              <w:rPr>
                <w:rFonts w:hint="eastAsia" w:ascii="宋体" w:hAnsi="宋体" w:cs="宋体"/>
                <w:sz w:val="24"/>
              </w:rPr>
              <w:t>（T）—靠近围护结构处室外N个声源i倍频带的叠加声压级，dB；</w:t>
            </w:r>
          </w:p>
          <w:p>
            <w:pPr>
              <w:tabs>
                <w:tab w:val="left" w:pos="720"/>
              </w:tabs>
              <w:autoSpaceDE w:val="0"/>
              <w:autoSpaceDN w:val="0"/>
              <w:adjustRightInd w:val="0"/>
              <w:spacing w:line="360" w:lineRule="auto"/>
              <w:ind w:firstLine="1200" w:firstLineChars="500"/>
              <w:rPr>
                <w:rFonts w:ascii="宋体" w:hAnsi="宋体" w:cs="宋体"/>
                <w:sz w:val="24"/>
              </w:rPr>
            </w:pPr>
            <w:r>
              <w:rPr>
                <w:rFonts w:hint="eastAsia" w:ascii="宋体" w:hAnsi="宋体" w:cs="宋体"/>
                <w:sz w:val="24"/>
              </w:rPr>
              <w:t>L</w:t>
            </w:r>
            <w:r>
              <w:rPr>
                <w:rFonts w:hint="eastAsia" w:ascii="宋体" w:hAnsi="宋体" w:cs="宋体"/>
                <w:sz w:val="24"/>
                <w:vertAlign w:val="subscript"/>
              </w:rPr>
              <w:t>pli</w:t>
            </w:r>
            <w:r>
              <w:rPr>
                <w:rFonts w:hint="eastAsia" w:ascii="宋体" w:hAnsi="宋体" w:cs="宋体"/>
                <w:sz w:val="24"/>
              </w:rPr>
              <w:t>（T）—靠近围护结构处室内N个声源i倍频带的叠加声压级，dB；</w:t>
            </w:r>
          </w:p>
          <w:p>
            <w:pPr>
              <w:tabs>
                <w:tab w:val="left" w:pos="720"/>
              </w:tabs>
              <w:autoSpaceDE w:val="0"/>
              <w:autoSpaceDN w:val="0"/>
              <w:adjustRightInd w:val="0"/>
              <w:spacing w:line="360" w:lineRule="auto"/>
              <w:ind w:firstLine="1200" w:firstLineChars="500"/>
              <w:rPr>
                <w:rFonts w:ascii="宋体" w:hAnsi="宋体" w:cs="宋体"/>
                <w:sz w:val="24"/>
              </w:rPr>
            </w:pPr>
            <w:r>
              <w:rPr>
                <w:rFonts w:hint="eastAsia" w:ascii="宋体" w:hAnsi="宋体" w:cs="宋体"/>
                <w:sz w:val="24"/>
              </w:rPr>
              <w:t>T</w:t>
            </w:r>
            <w:r>
              <w:rPr>
                <w:rFonts w:hint="eastAsia" w:ascii="宋体" w:hAnsi="宋体" w:cs="宋体"/>
                <w:sz w:val="24"/>
                <w:vertAlign w:val="subscript"/>
              </w:rPr>
              <w:t>Li</w:t>
            </w:r>
            <w:r>
              <w:rPr>
                <w:rFonts w:hint="eastAsia" w:ascii="宋体" w:hAnsi="宋体" w:cs="宋体"/>
                <w:sz w:val="24"/>
              </w:rPr>
              <w:t>—围护结构i倍频带的隔声量，dB。</w:t>
            </w:r>
          </w:p>
          <w:p>
            <w:pPr>
              <w:widowControl/>
              <w:spacing w:line="360" w:lineRule="auto"/>
              <w:ind w:firstLine="480" w:firstLineChars="200"/>
              <w:jc w:val="left"/>
              <w:rPr>
                <w:rFonts w:ascii="宋体" w:hAnsi="宋体" w:cs="宋体"/>
                <w:sz w:val="24"/>
              </w:rPr>
            </w:pPr>
            <w:r>
              <w:rPr>
                <w:rFonts w:hint="eastAsia" w:ascii="宋体" w:hAnsi="宋体" w:cs="宋体"/>
                <w:sz w:val="24"/>
              </w:rPr>
              <w:t>⑷预测范围</w:t>
            </w:r>
          </w:p>
          <w:p>
            <w:pPr>
              <w:widowControl/>
              <w:spacing w:line="360" w:lineRule="auto"/>
              <w:ind w:firstLine="480" w:firstLineChars="200"/>
              <w:jc w:val="left"/>
              <w:rPr>
                <w:rFonts w:ascii="宋体" w:hAnsi="宋体" w:cs="宋体"/>
                <w:sz w:val="24"/>
              </w:rPr>
            </w:pPr>
            <w:r>
              <w:rPr>
                <w:rFonts w:hint="eastAsia" w:ascii="宋体" w:hAnsi="宋体" w:cs="宋体"/>
                <w:color w:val="000000"/>
                <w:kern w:val="0"/>
                <w:sz w:val="24"/>
              </w:rPr>
              <w:t xml:space="preserve">噪声评价主要预测生产车间内的设备噪声对厂界及厂界外50m范围内敏感点的影响，并对该影响做出评价。 </w:t>
            </w:r>
          </w:p>
          <w:p>
            <w:pPr>
              <w:spacing w:line="336" w:lineRule="auto"/>
              <w:ind w:firstLine="480" w:firstLineChars="200"/>
              <w:rPr>
                <w:sz w:val="24"/>
              </w:rPr>
            </w:pPr>
            <w:r>
              <w:rPr>
                <w:rFonts w:hint="eastAsia" w:ascii="宋体" w:hAnsi="宋体" w:cs="宋体"/>
                <w:sz w:val="24"/>
              </w:rPr>
              <w:t>⑸</w:t>
            </w:r>
            <w:r>
              <w:rPr>
                <w:sz w:val="24"/>
              </w:rPr>
              <w:t>预测参数</w:t>
            </w:r>
          </w:p>
          <w:p>
            <w:pPr>
              <w:spacing w:line="360" w:lineRule="auto"/>
              <w:ind w:firstLine="480" w:firstLineChars="200"/>
              <w:rPr>
                <w:b/>
                <w:bCs/>
                <w:i/>
                <w:iCs/>
                <w:color w:val="000000"/>
                <w:sz w:val="24"/>
                <w:u w:val="single"/>
              </w:rPr>
            </w:pPr>
            <w:r>
              <w:rPr>
                <w:color w:val="000000"/>
                <w:sz w:val="24"/>
              </w:rPr>
              <w:t>本项目噪声主要产生于生产设备运行过程中，预测计算中只考虑主要噪声源所在车间墙壁隔声效应和声源至受声点的距离衰减等主要衰减因子。根据经验估算，建筑隔声量一般在</w:t>
            </w:r>
            <w:r>
              <w:rPr>
                <w:rFonts w:hint="eastAsia"/>
                <w:color w:val="000000"/>
                <w:sz w:val="24"/>
              </w:rPr>
              <w:t>15</w:t>
            </w:r>
            <w:r>
              <w:rPr>
                <w:color w:val="000000"/>
                <w:sz w:val="24"/>
              </w:rPr>
              <w:t>-25dB(A)间，本项目取</w:t>
            </w:r>
            <w:r>
              <w:rPr>
                <w:rFonts w:hint="eastAsia"/>
                <w:color w:val="000000"/>
                <w:sz w:val="24"/>
              </w:rPr>
              <w:t>15</w:t>
            </w:r>
            <w:r>
              <w:rPr>
                <w:color w:val="000000"/>
                <w:sz w:val="24"/>
              </w:rPr>
              <w:t>dB(A)作为建筑墙壁实际隔声量。</w:t>
            </w:r>
          </w:p>
          <w:p>
            <w:pPr>
              <w:widowControl/>
              <w:spacing w:line="360" w:lineRule="auto"/>
              <w:jc w:val="center"/>
              <w:rPr>
                <w:rFonts w:ascii="宋体" w:hAnsi="宋体" w:cs="宋体"/>
                <w:u w:val="single"/>
              </w:rPr>
            </w:pPr>
            <w:r>
              <w:rPr>
                <w:rFonts w:hint="eastAsia" w:ascii="宋体" w:hAnsi="宋体" w:cs="宋体"/>
                <w:b/>
                <w:bCs/>
                <w:color w:val="000000"/>
                <w:kern w:val="0"/>
                <w:sz w:val="24"/>
                <w:u w:val="single"/>
              </w:rPr>
              <w:t>表4-10  噪声预测结果统计表  单位：dB(A)</w:t>
            </w:r>
          </w:p>
          <w:tbl>
            <w:tblPr>
              <w:tblStyle w:val="27"/>
              <w:tblW w:w="8280"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20"/>
              <w:gridCol w:w="624"/>
              <w:gridCol w:w="922"/>
              <w:gridCol w:w="1025"/>
              <w:gridCol w:w="1078"/>
              <w:gridCol w:w="1259"/>
              <w:gridCol w:w="1076"/>
              <w:gridCol w:w="107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844" w:type="dxa"/>
                  <w:gridSpan w:val="2"/>
                  <w:vMerge w:val="restart"/>
                  <w:tcBorders>
                    <w:tl2br w:val="nil"/>
                    <w:tr2bl w:val="nil"/>
                  </w:tcBorders>
                  <w:vAlign w:val="center"/>
                </w:tcPr>
                <w:p>
                  <w:pPr>
                    <w:pStyle w:val="34"/>
                    <w:widowControl/>
                    <w:spacing w:line="240" w:lineRule="auto"/>
                    <w:jc w:val="center"/>
                    <w:rPr>
                      <w:color w:val="auto"/>
                      <w:sz w:val="21"/>
                      <w:szCs w:val="21"/>
                    </w:rPr>
                  </w:pPr>
                  <w:r>
                    <w:rPr>
                      <w:rFonts w:hint="eastAsia"/>
                      <w:color w:val="auto"/>
                      <w:sz w:val="21"/>
                      <w:szCs w:val="21"/>
                    </w:rPr>
                    <w:t>点源与厂界距离（m）</w:t>
                  </w:r>
                </w:p>
              </w:tc>
              <w:tc>
                <w:tcPr>
                  <w:tcW w:w="3025" w:type="dxa"/>
                  <w:gridSpan w:val="3"/>
                  <w:tcBorders>
                    <w:tl2br w:val="nil"/>
                    <w:tr2bl w:val="nil"/>
                  </w:tcBorders>
                  <w:vAlign w:val="center"/>
                </w:tcPr>
                <w:p>
                  <w:pPr>
                    <w:pStyle w:val="34"/>
                    <w:widowControl/>
                    <w:spacing w:line="240" w:lineRule="auto"/>
                    <w:jc w:val="center"/>
                    <w:rPr>
                      <w:color w:val="auto"/>
                      <w:sz w:val="21"/>
                      <w:szCs w:val="21"/>
                    </w:rPr>
                  </w:pPr>
                  <w:r>
                    <w:rPr>
                      <w:rFonts w:hint="eastAsia"/>
                      <w:color w:val="auto"/>
                      <w:sz w:val="21"/>
                      <w:szCs w:val="21"/>
                    </w:rPr>
                    <w:t>昼间</w:t>
                  </w:r>
                </w:p>
              </w:tc>
              <w:tc>
                <w:tcPr>
                  <w:tcW w:w="3411" w:type="dxa"/>
                  <w:gridSpan w:val="3"/>
                  <w:tcBorders>
                    <w:tl2br w:val="nil"/>
                    <w:tr2bl w:val="nil"/>
                  </w:tcBorders>
                  <w:vAlign w:val="center"/>
                </w:tcPr>
                <w:p>
                  <w:pPr>
                    <w:pStyle w:val="34"/>
                    <w:widowControl/>
                    <w:spacing w:line="240" w:lineRule="auto"/>
                    <w:jc w:val="center"/>
                    <w:rPr>
                      <w:color w:val="auto"/>
                      <w:sz w:val="21"/>
                      <w:szCs w:val="21"/>
                    </w:rPr>
                  </w:pPr>
                  <w:r>
                    <w:rPr>
                      <w:rFonts w:hint="eastAsia"/>
                      <w:color w:val="auto"/>
                      <w:sz w:val="21"/>
                      <w:szCs w:val="21"/>
                    </w:rPr>
                    <w:t>夜间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1844" w:type="dxa"/>
                  <w:gridSpan w:val="2"/>
                  <w:vMerge w:val="continue"/>
                  <w:tcBorders>
                    <w:tl2br w:val="nil"/>
                    <w:tr2bl w:val="nil"/>
                  </w:tcBorders>
                  <w:vAlign w:val="center"/>
                </w:tcPr>
                <w:p>
                  <w:pPr>
                    <w:pStyle w:val="34"/>
                    <w:widowControl/>
                    <w:spacing w:line="240" w:lineRule="auto"/>
                    <w:jc w:val="center"/>
                    <w:rPr>
                      <w:color w:val="auto"/>
                      <w:sz w:val="21"/>
                      <w:szCs w:val="21"/>
                    </w:rPr>
                  </w:pPr>
                </w:p>
              </w:tc>
              <w:tc>
                <w:tcPr>
                  <w:tcW w:w="922" w:type="dxa"/>
                  <w:tcBorders>
                    <w:tl2br w:val="nil"/>
                    <w:tr2bl w:val="nil"/>
                  </w:tcBorders>
                  <w:vAlign w:val="center"/>
                </w:tcPr>
                <w:p>
                  <w:pPr>
                    <w:pStyle w:val="34"/>
                    <w:widowControl/>
                    <w:spacing w:line="240" w:lineRule="auto"/>
                    <w:jc w:val="center"/>
                    <w:rPr>
                      <w:color w:val="auto"/>
                      <w:sz w:val="21"/>
                      <w:szCs w:val="21"/>
                    </w:rPr>
                  </w:pPr>
                  <w:r>
                    <w:rPr>
                      <w:rFonts w:hint="eastAsia"/>
                      <w:color w:val="auto"/>
                      <w:sz w:val="21"/>
                      <w:szCs w:val="21"/>
                    </w:rPr>
                    <w:t>贡献值</w:t>
                  </w:r>
                </w:p>
              </w:tc>
              <w:tc>
                <w:tcPr>
                  <w:tcW w:w="1025" w:type="dxa"/>
                  <w:tcBorders>
                    <w:tl2br w:val="nil"/>
                    <w:tr2bl w:val="nil"/>
                  </w:tcBorders>
                  <w:vAlign w:val="center"/>
                </w:tcPr>
                <w:p>
                  <w:pPr>
                    <w:pStyle w:val="34"/>
                    <w:widowControl/>
                    <w:spacing w:line="240" w:lineRule="auto"/>
                    <w:jc w:val="center"/>
                    <w:rPr>
                      <w:color w:val="auto"/>
                      <w:sz w:val="21"/>
                      <w:szCs w:val="21"/>
                    </w:rPr>
                  </w:pPr>
                  <w:r>
                    <w:rPr>
                      <w:rFonts w:hint="eastAsia"/>
                      <w:color w:val="auto"/>
                      <w:sz w:val="21"/>
                      <w:szCs w:val="21"/>
                    </w:rPr>
                    <w:t>背景值</w:t>
                  </w:r>
                </w:p>
              </w:tc>
              <w:tc>
                <w:tcPr>
                  <w:tcW w:w="1078" w:type="dxa"/>
                  <w:tcBorders>
                    <w:tl2br w:val="nil"/>
                    <w:tr2bl w:val="nil"/>
                  </w:tcBorders>
                  <w:vAlign w:val="center"/>
                </w:tcPr>
                <w:p>
                  <w:pPr>
                    <w:pStyle w:val="34"/>
                    <w:widowControl/>
                    <w:spacing w:line="240" w:lineRule="auto"/>
                    <w:jc w:val="center"/>
                    <w:rPr>
                      <w:color w:val="auto"/>
                      <w:sz w:val="21"/>
                      <w:szCs w:val="21"/>
                    </w:rPr>
                  </w:pPr>
                  <w:r>
                    <w:rPr>
                      <w:rFonts w:hint="eastAsia"/>
                      <w:color w:val="auto"/>
                      <w:sz w:val="21"/>
                      <w:szCs w:val="21"/>
                    </w:rPr>
                    <w:t>预测值</w:t>
                  </w:r>
                </w:p>
              </w:tc>
              <w:tc>
                <w:tcPr>
                  <w:tcW w:w="1259" w:type="dxa"/>
                  <w:tcBorders>
                    <w:tl2br w:val="nil"/>
                    <w:tr2bl w:val="nil"/>
                  </w:tcBorders>
                  <w:vAlign w:val="center"/>
                </w:tcPr>
                <w:p>
                  <w:pPr>
                    <w:pStyle w:val="34"/>
                    <w:widowControl/>
                    <w:spacing w:line="240" w:lineRule="auto"/>
                    <w:jc w:val="center"/>
                    <w:rPr>
                      <w:color w:val="auto"/>
                      <w:sz w:val="21"/>
                      <w:szCs w:val="21"/>
                    </w:rPr>
                  </w:pPr>
                  <w:r>
                    <w:rPr>
                      <w:rFonts w:hint="eastAsia"/>
                      <w:color w:val="auto"/>
                      <w:sz w:val="21"/>
                      <w:szCs w:val="21"/>
                    </w:rPr>
                    <w:t>贡献值</w:t>
                  </w:r>
                </w:p>
              </w:tc>
              <w:tc>
                <w:tcPr>
                  <w:tcW w:w="1076" w:type="dxa"/>
                  <w:tcBorders>
                    <w:tl2br w:val="nil"/>
                    <w:tr2bl w:val="nil"/>
                  </w:tcBorders>
                  <w:vAlign w:val="center"/>
                </w:tcPr>
                <w:p>
                  <w:pPr>
                    <w:pStyle w:val="34"/>
                    <w:widowControl/>
                    <w:spacing w:line="240" w:lineRule="auto"/>
                    <w:jc w:val="center"/>
                    <w:rPr>
                      <w:color w:val="auto"/>
                      <w:sz w:val="21"/>
                      <w:szCs w:val="21"/>
                    </w:rPr>
                  </w:pPr>
                  <w:r>
                    <w:rPr>
                      <w:rFonts w:hint="eastAsia"/>
                      <w:color w:val="auto"/>
                      <w:sz w:val="21"/>
                      <w:szCs w:val="21"/>
                    </w:rPr>
                    <w:t>背景值</w:t>
                  </w:r>
                </w:p>
              </w:tc>
              <w:tc>
                <w:tcPr>
                  <w:tcW w:w="1076" w:type="dxa"/>
                  <w:tcBorders>
                    <w:tl2br w:val="nil"/>
                    <w:tr2bl w:val="nil"/>
                  </w:tcBorders>
                  <w:vAlign w:val="center"/>
                </w:tcPr>
                <w:p>
                  <w:pPr>
                    <w:pStyle w:val="34"/>
                    <w:widowControl/>
                    <w:spacing w:line="240" w:lineRule="auto"/>
                    <w:jc w:val="center"/>
                    <w:rPr>
                      <w:color w:val="auto"/>
                      <w:sz w:val="21"/>
                      <w:szCs w:val="21"/>
                    </w:rPr>
                  </w:pPr>
                  <w:r>
                    <w:rPr>
                      <w:rFonts w:hint="eastAsia"/>
                      <w:color w:val="auto"/>
                      <w:sz w:val="21"/>
                      <w:szCs w:val="21"/>
                    </w:rPr>
                    <w:t>预测值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20" w:type="dxa"/>
                  <w:tcBorders>
                    <w:tl2br w:val="nil"/>
                    <w:tr2bl w:val="nil"/>
                  </w:tcBorders>
                  <w:vAlign w:val="center"/>
                </w:tcPr>
                <w:p>
                  <w:pPr>
                    <w:pStyle w:val="34"/>
                    <w:widowControl/>
                    <w:spacing w:line="240" w:lineRule="auto"/>
                    <w:jc w:val="center"/>
                    <w:rPr>
                      <w:b w:val="0"/>
                      <w:bCs/>
                      <w:color w:val="auto"/>
                      <w:sz w:val="21"/>
                      <w:szCs w:val="21"/>
                    </w:rPr>
                  </w:pPr>
                  <w:r>
                    <w:rPr>
                      <w:rFonts w:hint="eastAsia"/>
                      <w:b w:val="0"/>
                      <w:bCs/>
                      <w:color w:val="auto"/>
                      <w:sz w:val="21"/>
                      <w:szCs w:val="21"/>
                    </w:rPr>
                    <w:t>东侧厂界</w:t>
                  </w:r>
                </w:p>
              </w:tc>
              <w:tc>
                <w:tcPr>
                  <w:tcW w:w="624" w:type="dxa"/>
                  <w:tcBorders>
                    <w:tl2br w:val="nil"/>
                    <w:tr2bl w:val="nil"/>
                  </w:tcBorders>
                  <w:vAlign w:val="center"/>
                </w:tcPr>
                <w:p>
                  <w:pPr>
                    <w:pStyle w:val="34"/>
                    <w:widowControl/>
                    <w:spacing w:line="240" w:lineRule="auto"/>
                    <w:jc w:val="center"/>
                    <w:rPr>
                      <w:b w:val="0"/>
                      <w:bCs/>
                      <w:color w:val="auto"/>
                      <w:sz w:val="21"/>
                      <w:szCs w:val="21"/>
                    </w:rPr>
                  </w:pPr>
                  <w:r>
                    <w:rPr>
                      <w:rFonts w:hint="eastAsia"/>
                      <w:b w:val="0"/>
                      <w:bCs/>
                      <w:color w:val="auto"/>
                      <w:sz w:val="21"/>
                      <w:szCs w:val="21"/>
                    </w:rPr>
                    <w:t>64</w:t>
                  </w:r>
                </w:p>
              </w:tc>
              <w:tc>
                <w:tcPr>
                  <w:tcW w:w="922" w:type="dxa"/>
                  <w:tcBorders>
                    <w:tl2br w:val="nil"/>
                    <w:tr2bl w:val="nil"/>
                  </w:tcBorders>
                  <w:vAlign w:val="center"/>
                </w:tcPr>
                <w:p>
                  <w:pPr>
                    <w:pStyle w:val="34"/>
                    <w:widowControl/>
                    <w:spacing w:line="240" w:lineRule="auto"/>
                    <w:jc w:val="center"/>
                    <w:rPr>
                      <w:b w:val="0"/>
                      <w:bCs/>
                      <w:color w:val="auto"/>
                      <w:sz w:val="21"/>
                      <w:szCs w:val="21"/>
                    </w:rPr>
                  </w:pPr>
                  <w:r>
                    <w:rPr>
                      <w:rFonts w:hint="eastAsia"/>
                      <w:b w:val="0"/>
                      <w:bCs/>
                      <w:color w:val="auto"/>
                      <w:sz w:val="21"/>
                      <w:szCs w:val="21"/>
                    </w:rPr>
                    <w:t>32.1</w:t>
                  </w:r>
                </w:p>
              </w:tc>
              <w:tc>
                <w:tcPr>
                  <w:tcW w:w="1025" w:type="dxa"/>
                  <w:tcBorders>
                    <w:tl2br w:val="nil"/>
                    <w:tr2bl w:val="nil"/>
                  </w:tcBorders>
                  <w:vAlign w:val="center"/>
                </w:tcPr>
                <w:p>
                  <w:pPr>
                    <w:jc w:val="center"/>
                    <w:rPr>
                      <w:rFonts w:ascii="宋体" w:hAnsi="宋体" w:cs="宋体"/>
                      <w:bCs/>
                      <w:szCs w:val="21"/>
                    </w:rPr>
                  </w:pPr>
                  <w:r>
                    <w:rPr>
                      <w:rFonts w:hint="eastAsia" w:ascii="宋体" w:hAnsi="宋体" w:cs="宋体"/>
                      <w:bCs/>
                      <w:szCs w:val="21"/>
                    </w:rPr>
                    <w:t>50</w:t>
                  </w:r>
                </w:p>
              </w:tc>
              <w:tc>
                <w:tcPr>
                  <w:tcW w:w="1078" w:type="dxa"/>
                  <w:tcBorders>
                    <w:tl2br w:val="nil"/>
                    <w:tr2bl w:val="nil"/>
                  </w:tcBorders>
                  <w:vAlign w:val="center"/>
                </w:tcPr>
                <w:p>
                  <w:pPr>
                    <w:pStyle w:val="34"/>
                    <w:widowControl/>
                    <w:spacing w:line="240" w:lineRule="auto"/>
                    <w:jc w:val="center"/>
                    <w:rPr>
                      <w:b w:val="0"/>
                      <w:bCs/>
                      <w:color w:val="auto"/>
                      <w:sz w:val="21"/>
                      <w:szCs w:val="21"/>
                    </w:rPr>
                  </w:pPr>
                  <w:r>
                    <w:rPr>
                      <w:rFonts w:hint="eastAsia"/>
                      <w:b w:val="0"/>
                      <w:bCs/>
                      <w:color w:val="auto"/>
                      <w:sz w:val="21"/>
                      <w:szCs w:val="21"/>
                    </w:rPr>
                    <w:t>50.1</w:t>
                  </w:r>
                </w:p>
              </w:tc>
              <w:tc>
                <w:tcPr>
                  <w:tcW w:w="1259" w:type="dxa"/>
                  <w:tcBorders>
                    <w:tl2br w:val="nil"/>
                    <w:tr2bl w:val="nil"/>
                  </w:tcBorders>
                  <w:vAlign w:val="center"/>
                </w:tcPr>
                <w:p>
                  <w:pPr>
                    <w:jc w:val="center"/>
                    <w:rPr>
                      <w:rFonts w:ascii="宋体" w:hAnsi="宋体" w:cs="宋体"/>
                      <w:bCs/>
                      <w:szCs w:val="21"/>
                    </w:rPr>
                  </w:pPr>
                  <w:r>
                    <w:rPr>
                      <w:rFonts w:hint="eastAsia" w:ascii="宋体" w:hAnsi="宋体" w:cs="宋体"/>
                      <w:bCs/>
                      <w:szCs w:val="21"/>
                    </w:rPr>
                    <w:t>0</w:t>
                  </w:r>
                </w:p>
              </w:tc>
              <w:tc>
                <w:tcPr>
                  <w:tcW w:w="1076" w:type="dxa"/>
                  <w:tcBorders>
                    <w:tl2br w:val="nil"/>
                    <w:tr2bl w:val="nil"/>
                  </w:tcBorders>
                  <w:vAlign w:val="center"/>
                </w:tcPr>
                <w:p>
                  <w:pPr>
                    <w:jc w:val="center"/>
                    <w:rPr>
                      <w:rFonts w:ascii="宋体" w:hAnsi="宋体" w:cs="宋体"/>
                      <w:bCs/>
                      <w:szCs w:val="21"/>
                    </w:rPr>
                  </w:pPr>
                  <w:r>
                    <w:rPr>
                      <w:rFonts w:hint="eastAsia" w:ascii="宋体" w:hAnsi="宋体" w:cs="宋体"/>
                      <w:szCs w:val="21"/>
                    </w:rPr>
                    <w:t>36</w:t>
                  </w:r>
                </w:p>
              </w:tc>
              <w:tc>
                <w:tcPr>
                  <w:tcW w:w="1076" w:type="dxa"/>
                  <w:tcBorders>
                    <w:tl2br w:val="nil"/>
                    <w:tr2bl w:val="nil"/>
                  </w:tcBorders>
                  <w:vAlign w:val="center"/>
                </w:tcPr>
                <w:p>
                  <w:pPr>
                    <w:jc w:val="center"/>
                    <w:rPr>
                      <w:rFonts w:ascii="宋体" w:hAnsi="宋体" w:cs="宋体"/>
                      <w:bCs/>
                      <w:szCs w:val="21"/>
                    </w:rPr>
                  </w:pPr>
                  <w:r>
                    <w:rPr>
                      <w:rFonts w:hint="eastAsia" w:ascii="宋体" w:hAnsi="宋体" w:cs="宋体"/>
                      <w:szCs w:val="21"/>
                    </w:rPr>
                    <w:t>36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20" w:type="dxa"/>
                  <w:tcBorders>
                    <w:tl2br w:val="nil"/>
                    <w:tr2bl w:val="nil"/>
                  </w:tcBorders>
                  <w:vAlign w:val="center"/>
                </w:tcPr>
                <w:p>
                  <w:pPr>
                    <w:pStyle w:val="34"/>
                    <w:widowControl/>
                    <w:spacing w:line="240" w:lineRule="auto"/>
                    <w:jc w:val="center"/>
                    <w:rPr>
                      <w:b w:val="0"/>
                      <w:bCs/>
                      <w:color w:val="auto"/>
                      <w:sz w:val="21"/>
                      <w:szCs w:val="21"/>
                    </w:rPr>
                  </w:pPr>
                  <w:r>
                    <w:rPr>
                      <w:rFonts w:hint="eastAsia"/>
                      <w:b w:val="0"/>
                      <w:bCs/>
                      <w:color w:val="auto"/>
                      <w:sz w:val="21"/>
                      <w:szCs w:val="21"/>
                    </w:rPr>
                    <w:t>南侧厂界</w:t>
                  </w:r>
                </w:p>
              </w:tc>
              <w:tc>
                <w:tcPr>
                  <w:tcW w:w="624" w:type="dxa"/>
                  <w:tcBorders>
                    <w:tl2br w:val="nil"/>
                    <w:tr2bl w:val="nil"/>
                  </w:tcBorders>
                  <w:vAlign w:val="center"/>
                </w:tcPr>
                <w:p>
                  <w:pPr>
                    <w:pStyle w:val="34"/>
                    <w:widowControl/>
                    <w:spacing w:line="240" w:lineRule="auto"/>
                    <w:jc w:val="center"/>
                    <w:rPr>
                      <w:b w:val="0"/>
                      <w:bCs/>
                      <w:color w:val="auto"/>
                      <w:sz w:val="21"/>
                      <w:szCs w:val="21"/>
                    </w:rPr>
                  </w:pPr>
                  <w:r>
                    <w:rPr>
                      <w:rFonts w:hint="eastAsia"/>
                      <w:b w:val="0"/>
                      <w:bCs/>
                      <w:color w:val="auto"/>
                      <w:sz w:val="21"/>
                      <w:szCs w:val="21"/>
                    </w:rPr>
                    <w:t>55</w:t>
                  </w:r>
                </w:p>
              </w:tc>
              <w:tc>
                <w:tcPr>
                  <w:tcW w:w="922" w:type="dxa"/>
                  <w:tcBorders>
                    <w:tl2br w:val="nil"/>
                    <w:tr2bl w:val="nil"/>
                  </w:tcBorders>
                  <w:vAlign w:val="center"/>
                </w:tcPr>
                <w:p>
                  <w:pPr>
                    <w:pStyle w:val="34"/>
                    <w:widowControl/>
                    <w:spacing w:line="240" w:lineRule="auto"/>
                    <w:jc w:val="center"/>
                    <w:rPr>
                      <w:b w:val="0"/>
                      <w:bCs/>
                      <w:color w:val="auto"/>
                      <w:sz w:val="21"/>
                      <w:szCs w:val="21"/>
                    </w:rPr>
                  </w:pPr>
                  <w:r>
                    <w:rPr>
                      <w:rFonts w:hint="eastAsia"/>
                      <w:b w:val="0"/>
                      <w:bCs/>
                      <w:color w:val="auto"/>
                      <w:sz w:val="21"/>
                      <w:szCs w:val="21"/>
                    </w:rPr>
                    <w:t>31.8</w:t>
                  </w:r>
                </w:p>
              </w:tc>
              <w:tc>
                <w:tcPr>
                  <w:tcW w:w="1025" w:type="dxa"/>
                  <w:tcBorders>
                    <w:tl2br w:val="nil"/>
                    <w:tr2bl w:val="nil"/>
                  </w:tcBorders>
                  <w:vAlign w:val="center"/>
                </w:tcPr>
                <w:p>
                  <w:pPr>
                    <w:jc w:val="center"/>
                    <w:rPr>
                      <w:rFonts w:ascii="宋体" w:hAnsi="宋体" w:cs="宋体"/>
                      <w:bCs/>
                      <w:szCs w:val="21"/>
                    </w:rPr>
                  </w:pPr>
                  <w:r>
                    <w:rPr>
                      <w:rFonts w:hint="eastAsia" w:ascii="宋体" w:hAnsi="宋体" w:cs="宋体"/>
                      <w:bCs/>
                      <w:szCs w:val="21"/>
                    </w:rPr>
                    <w:t>50</w:t>
                  </w:r>
                </w:p>
              </w:tc>
              <w:tc>
                <w:tcPr>
                  <w:tcW w:w="1078" w:type="dxa"/>
                  <w:tcBorders>
                    <w:tl2br w:val="nil"/>
                    <w:tr2bl w:val="nil"/>
                  </w:tcBorders>
                  <w:vAlign w:val="center"/>
                </w:tcPr>
                <w:p>
                  <w:pPr>
                    <w:pStyle w:val="34"/>
                    <w:widowControl/>
                    <w:spacing w:line="240" w:lineRule="auto"/>
                    <w:jc w:val="center"/>
                    <w:rPr>
                      <w:b w:val="0"/>
                      <w:bCs/>
                      <w:color w:val="auto"/>
                      <w:sz w:val="21"/>
                      <w:szCs w:val="21"/>
                    </w:rPr>
                  </w:pPr>
                  <w:r>
                    <w:rPr>
                      <w:rFonts w:hint="eastAsia"/>
                      <w:b w:val="0"/>
                      <w:bCs/>
                      <w:color w:val="auto"/>
                      <w:sz w:val="21"/>
                      <w:szCs w:val="21"/>
                    </w:rPr>
                    <w:t>50.1</w:t>
                  </w:r>
                </w:p>
              </w:tc>
              <w:tc>
                <w:tcPr>
                  <w:tcW w:w="1259" w:type="dxa"/>
                  <w:tcBorders>
                    <w:tl2br w:val="nil"/>
                    <w:tr2bl w:val="nil"/>
                  </w:tcBorders>
                  <w:vAlign w:val="center"/>
                </w:tcPr>
                <w:p>
                  <w:pPr>
                    <w:jc w:val="center"/>
                    <w:rPr>
                      <w:rFonts w:ascii="宋体" w:hAnsi="宋体" w:cs="宋体"/>
                      <w:bCs/>
                      <w:szCs w:val="21"/>
                    </w:rPr>
                  </w:pPr>
                  <w:r>
                    <w:rPr>
                      <w:rFonts w:hint="eastAsia" w:ascii="宋体" w:hAnsi="宋体" w:cs="宋体"/>
                      <w:bCs/>
                      <w:szCs w:val="21"/>
                    </w:rPr>
                    <w:t>0</w:t>
                  </w:r>
                </w:p>
              </w:tc>
              <w:tc>
                <w:tcPr>
                  <w:tcW w:w="1076" w:type="dxa"/>
                  <w:tcBorders>
                    <w:tl2br w:val="nil"/>
                    <w:tr2bl w:val="nil"/>
                  </w:tcBorders>
                  <w:vAlign w:val="center"/>
                </w:tcPr>
                <w:p>
                  <w:pPr>
                    <w:jc w:val="center"/>
                    <w:rPr>
                      <w:rFonts w:ascii="宋体" w:hAnsi="宋体" w:cs="宋体"/>
                      <w:bCs/>
                      <w:szCs w:val="21"/>
                    </w:rPr>
                  </w:pPr>
                  <w:r>
                    <w:rPr>
                      <w:rFonts w:hint="eastAsia" w:ascii="宋体" w:hAnsi="宋体" w:cs="宋体"/>
                      <w:bCs/>
                      <w:szCs w:val="21"/>
                    </w:rPr>
                    <w:t>38</w:t>
                  </w:r>
                </w:p>
              </w:tc>
              <w:tc>
                <w:tcPr>
                  <w:tcW w:w="1076" w:type="dxa"/>
                  <w:tcBorders>
                    <w:tl2br w:val="nil"/>
                    <w:tr2bl w:val="nil"/>
                  </w:tcBorders>
                  <w:vAlign w:val="center"/>
                </w:tcPr>
                <w:p>
                  <w:pPr>
                    <w:jc w:val="center"/>
                    <w:rPr>
                      <w:rFonts w:ascii="宋体" w:hAnsi="宋体" w:cs="宋体"/>
                      <w:bCs/>
                      <w:szCs w:val="21"/>
                    </w:rPr>
                  </w:pPr>
                  <w:r>
                    <w:rPr>
                      <w:rFonts w:hint="eastAsia" w:ascii="宋体" w:hAnsi="宋体" w:cs="宋体"/>
                      <w:bCs/>
                      <w:szCs w:val="21"/>
                    </w:rPr>
                    <w:t>38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20" w:type="dxa"/>
                  <w:tcBorders>
                    <w:tl2br w:val="nil"/>
                    <w:tr2bl w:val="nil"/>
                  </w:tcBorders>
                  <w:vAlign w:val="center"/>
                </w:tcPr>
                <w:p>
                  <w:pPr>
                    <w:pStyle w:val="34"/>
                    <w:widowControl/>
                    <w:spacing w:line="240" w:lineRule="auto"/>
                    <w:jc w:val="center"/>
                    <w:rPr>
                      <w:b w:val="0"/>
                      <w:bCs/>
                      <w:color w:val="auto"/>
                      <w:sz w:val="21"/>
                      <w:szCs w:val="21"/>
                    </w:rPr>
                  </w:pPr>
                  <w:r>
                    <w:rPr>
                      <w:rFonts w:hint="eastAsia"/>
                      <w:b w:val="0"/>
                      <w:bCs/>
                      <w:color w:val="auto"/>
                      <w:sz w:val="21"/>
                      <w:szCs w:val="21"/>
                    </w:rPr>
                    <w:t>西侧厂界</w:t>
                  </w:r>
                </w:p>
              </w:tc>
              <w:tc>
                <w:tcPr>
                  <w:tcW w:w="624" w:type="dxa"/>
                  <w:tcBorders>
                    <w:tl2br w:val="nil"/>
                    <w:tr2bl w:val="nil"/>
                  </w:tcBorders>
                  <w:vAlign w:val="center"/>
                </w:tcPr>
                <w:p>
                  <w:pPr>
                    <w:pStyle w:val="34"/>
                    <w:widowControl/>
                    <w:spacing w:line="240" w:lineRule="auto"/>
                    <w:jc w:val="center"/>
                    <w:rPr>
                      <w:b w:val="0"/>
                      <w:bCs/>
                      <w:color w:val="auto"/>
                      <w:sz w:val="21"/>
                      <w:szCs w:val="21"/>
                    </w:rPr>
                  </w:pPr>
                  <w:r>
                    <w:rPr>
                      <w:rFonts w:hint="eastAsia"/>
                      <w:b w:val="0"/>
                      <w:bCs/>
                      <w:color w:val="auto"/>
                      <w:sz w:val="21"/>
                      <w:szCs w:val="21"/>
                    </w:rPr>
                    <w:t>5</w:t>
                  </w:r>
                </w:p>
              </w:tc>
              <w:tc>
                <w:tcPr>
                  <w:tcW w:w="922" w:type="dxa"/>
                  <w:tcBorders>
                    <w:tl2br w:val="nil"/>
                    <w:tr2bl w:val="nil"/>
                  </w:tcBorders>
                  <w:vAlign w:val="center"/>
                </w:tcPr>
                <w:p>
                  <w:pPr>
                    <w:pStyle w:val="34"/>
                    <w:widowControl/>
                    <w:spacing w:line="240" w:lineRule="auto"/>
                    <w:jc w:val="center"/>
                    <w:rPr>
                      <w:b w:val="0"/>
                      <w:bCs/>
                      <w:color w:val="auto"/>
                      <w:sz w:val="21"/>
                      <w:szCs w:val="21"/>
                    </w:rPr>
                  </w:pPr>
                  <w:r>
                    <w:rPr>
                      <w:rFonts w:hint="eastAsia"/>
                      <w:b w:val="0"/>
                      <w:bCs/>
                      <w:color w:val="auto"/>
                      <w:sz w:val="21"/>
                      <w:szCs w:val="21"/>
                    </w:rPr>
                    <w:t>54.2</w:t>
                  </w:r>
                </w:p>
              </w:tc>
              <w:tc>
                <w:tcPr>
                  <w:tcW w:w="1025" w:type="dxa"/>
                  <w:tcBorders>
                    <w:tl2br w:val="nil"/>
                    <w:tr2bl w:val="nil"/>
                  </w:tcBorders>
                  <w:vAlign w:val="center"/>
                </w:tcPr>
                <w:p>
                  <w:pPr>
                    <w:jc w:val="center"/>
                    <w:rPr>
                      <w:rFonts w:ascii="宋体" w:hAnsi="宋体" w:cs="宋体"/>
                      <w:bCs/>
                      <w:szCs w:val="21"/>
                    </w:rPr>
                  </w:pPr>
                  <w:r>
                    <w:rPr>
                      <w:rFonts w:hint="eastAsia" w:ascii="宋体" w:hAnsi="宋体" w:cs="宋体"/>
                      <w:bCs/>
                      <w:szCs w:val="21"/>
                    </w:rPr>
                    <w:t>46</w:t>
                  </w:r>
                </w:p>
              </w:tc>
              <w:tc>
                <w:tcPr>
                  <w:tcW w:w="1078" w:type="dxa"/>
                  <w:tcBorders>
                    <w:tl2br w:val="nil"/>
                    <w:tr2bl w:val="nil"/>
                  </w:tcBorders>
                  <w:vAlign w:val="center"/>
                </w:tcPr>
                <w:p>
                  <w:pPr>
                    <w:pStyle w:val="34"/>
                    <w:widowControl/>
                    <w:spacing w:line="240" w:lineRule="auto"/>
                    <w:jc w:val="center"/>
                    <w:rPr>
                      <w:b w:val="0"/>
                      <w:bCs/>
                      <w:color w:val="auto"/>
                      <w:sz w:val="21"/>
                      <w:szCs w:val="21"/>
                    </w:rPr>
                  </w:pPr>
                  <w:r>
                    <w:rPr>
                      <w:rFonts w:hint="eastAsia"/>
                      <w:b w:val="0"/>
                      <w:bCs/>
                      <w:color w:val="auto"/>
                      <w:sz w:val="21"/>
                      <w:szCs w:val="21"/>
                    </w:rPr>
                    <w:t>54.9</w:t>
                  </w:r>
                </w:p>
              </w:tc>
              <w:tc>
                <w:tcPr>
                  <w:tcW w:w="1259" w:type="dxa"/>
                  <w:tcBorders>
                    <w:tl2br w:val="nil"/>
                    <w:tr2bl w:val="nil"/>
                  </w:tcBorders>
                  <w:vAlign w:val="center"/>
                </w:tcPr>
                <w:p>
                  <w:pPr>
                    <w:jc w:val="center"/>
                    <w:rPr>
                      <w:rFonts w:ascii="宋体" w:hAnsi="宋体" w:cs="宋体"/>
                      <w:bCs/>
                      <w:szCs w:val="21"/>
                    </w:rPr>
                  </w:pPr>
                  <w:r>
                    <w:rPr>
                      <w:rFonts w:hint="eastAsia" w:ascii="宋体" w:hAnsi="宋体" w:cs="宋体"/>
                      <w:bCs/>
                      <w:szCs w:val="21"/>
                    </w:rPr>
                    <w:t>0</w:t>
                  </w:r>
                </w:p>
              </w:tc>
              <w:tc>
                <w:tcPr>
                  <w:tcW w:w="1076" w:type="dxa"/>
                  <w:tcBorders>
                    <w:tl2br w:val="nil"/>
                    <w:tr2bl w:val="nil"/>
                  </w:tcBorders>
                  <w:vAlign w:val="center"/>
                </w:tcPr>
                <w:p>
                  <w:pPr>
                    <w:jc w:val="center"/>
                    <w:rPr>
                      <w:rFonts w:ascii="宋体" w:hAnsi="宋体" w:cs="宋体"/>
                      <w:bCs/>
                      <w:szCs w:val="21"/>
                    </w:rPr>
                  </w:pPr>
                  <w:r>
                    <w:rPr>
                      <w:rFonts w:hint="eastAsia" w:ascii="宋体" w:hAnsi="宋体" w:cs="宋体"/>
                      <w:bCs/>
                      <w:szCs w:val="21"/>
                    </w:rPr>
                    <w:t>34</w:t>
                  </w:r>
                </w:p>
              </w:tc>
              <w:tc>
                <w:tcPr>
                  <w:tcW w:w="1076" w:type="dxa"/>
                  <w:tcBorders>
                    <w:tl2br w:val="nil"/>
                    <w:tr2bl w:val="nil"/>
                  </w:tcBorders>
                  <w:vAlign w:val="center"/>
                </w:tcPr>
                <w:p>
                  <w:pPr>
                    <w:jc w:val="center"/>
                    <w:rPr>
                      <w:rFonts w:ascii="宋体" w:hAnsi="宋体" w:cs="宋体"/>
                      <w:bCs/>
                      <w:szCs w:val="21"/>
                    </w:rPr>
                  </w:pPr>
                  <w:r>
                    <w:rPr>
                      <w:rFonts w:hint="eastAsia" w:ascii="宋体" w:hAnsi="宋体" w:cs="宋体"/>
                      <w:bCs/>
                      <w:szCs w:val="21"/>
                    </w:rPr>
                    <w:t>34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20" w:type="dxa"/>
                  <w:tcBorders>
                    <w:tl2br w:val="nil"/>
                    <w:tr2bl w:val="nil"/>
                  </w:tcBorders>
                  <w:vAlign w:val="center"/>
                </w:tcPr>
                <w:p>
                  <w:pPr>
                    <w:pStyle w:val="34"/>
                    <w:widowControl/>
                    <w:spacing w:line="240" w:lineRule="auto"/>
                    <w:jc w:val="center"/>
                    <w:rPr>
                      <w:b w:val="0"/>
                      <w:bCs/>
                      <w:color w:val="auto"/>
                      <w:sz w:val="21"/>
                      <w:szCs w:val="21"/>
                    </w:rPr>
                  </w:pPr>
                  <w:r>
                    <w:rPr>
                      <w:rFonts w:hint="eastAsia"/>
                      <w:b w:val="0"/>
                      <w:bCs/>
                      <w:color w:val="auto"/>
                      <w:sz w:val="21"/>
                      <w:szCs w:val="21"/>
                    </w:rPr>
                    <w:t>北侧厂界</w:t>
                  </w:r>
                </w:p>
              </w:tc>
              <w:tc>
                <w:tcPr>
                  <w:tcW w:w="624" w:type="dxa"/>
                  <w:tcBorders>
                    <w:tl2br w:val="nil"/>
                    <w:tr2bl w:val="nil"/>
                  </w:tcBorders>
                  <w:vAlign w:val="center"/>
                </w:tcPr>
                <w:p>
                  <w:pPr>
                    <w:pStyle w:val="34"/>
                    <w:widowControl/>
                    <w:spacing w:line="240" w:lineRule="auto"/>
                    <w:jc w:val="center"/>
                    <w:rPr>
                      <w:b w:val="0"/>
                      <w:bCs/>
                      <w:color w:val="auto"/>
                      <w:sz w:val="21"/>
                      <w:szCs w:val="21"/>
                    </w:rPr>
                  </w:pPr>
                  <w:r>
                    <w:rPr>
                      <w:rFonts w:hint="eastAsia"/>
                      <w:b w:val="0"/>
                      <w:bCs/>
                      <w:color w:val="auto"/>
                      <w:sz w:val="21"/>
                      <w:szCs w:val="21"/>
                    </w:rPr>
                    <w:t>20</w:t>
                  </w:r>
                </w:p>
              </w:tc>
              <w:tc>
                <w:tcPr>
                  <w:tcW w:w="922" w:type="dxa"/>
                  <w:tcBorders>
                    <w:tl2br w:val="nil"/>
                    <w:tr2bl w:val="nil"/>
                  </w:tcBorders>
                  <w:vAlign w:val="center"/>
                </w:tcPr>
                <w:p>
                  <w:pPr>
                    <w:pStyle w:val="34"/>
                    <w:widowControl/>
                    <w:spacing w:line="240" w:lineRule="auto"/>
                    <w:jc w:val="center"/>
                    <w:rPr>
                      <w:b w:val="0"/>
                      <w:bCs/>
                      <w:color w:val="auto"/>
                      <w:sz w:val="21"/>
                      <w:szCs w:val="21"/>
                    </w:rPr>
                  </w:pPr>
                  <w:r>
                    <w:rPr>
                      <w:rFonts w:hint="eastAsia"/>
                      <w:b w:val="0"/>
                      <w:bCs/>
                      <w:color w:val="auto"/>
                      <w:sz w:val="21"/>
                      <w:szCs w:val="21"/>
                    </w:rPr>
                    <w:t>42.2</w:t>
                  </w:r>
                </w:p>
              </w:tc>
              <w:tc>
                <w:tcPr>
                  <w:tcW w:w="1025" w:type="dxa"/>
                  <w:tcBorders>
                    <w:tl2br w:val="nil"/>
                    <w:tr2bl w:val="nil"/>
                  </w:tcBorders>
                  <w:vAlign w:val="center"/>
                </w:tcPr>
                <w:p>
                  <w:pPr>
                    <w:jc w:val="center"/>
                    <w:rPr>
                      <w:rFonts w:ascii="宋体" w:hAnsi="宋体" w:cs="宋体"/>
                      <w:bCs/>
                      <w:szCs w:val="21"/>
                    </w:rPr>
                  </w:pPr>
                  <w:r>
                    <w:rPr>
                      <w:rFonts w:hint="eastAsia" w:ascii="宋体" w:hAnsi="宋体" w:cs="宋体"/>
                      <w:bCs/>
                      <w:szCs w:val="21"/>
                    </w:rPr>
                    <w:t>42</w:t>
                  </w:r>
                </w:p>
              </w:tc>
              <w:tc>
                <w:tcPr>
                  <w:tcW w:w="1078" w:type="dxa"/>
                  <w:tcBorders>
                    <w:tl2br w:val="nil"/>
                    <w:tr2bl w:val="nil"/>
                  </w:tcBorders>
                  <w:vAlign w:val="center"/>
                </w:tcPr>
                <w:p>
                  <w:pPr>
                    <w:pStyle w:val="34"/>
                    <w:widowControl/>
                    <w:spacing w:line="240" w:lineRule="auto"/>
                    <w:jc w:val="center"/>
                    <w:rPr>
                      <w:b w:val="0"/>
                      <w:bCs/>
                      <w:color w:val="auto"/>
                      <w:sz w:val="21"/>
                      <w:szCs w:val="21"/>
                    </w:rPr>
                  </w:pPr>
                  <w:r>
                    <w:rPr>
                      <w:rFonts w:hint="eastAsia"/>
                      <w:b w:val="0"/>
                      <w:bCs/>
                      <w:color w:val="auto"/>
                      <w:sz w:val="21"/>
                      <w:szCs w:val="21"/>
                    </w:rPr>
                    <w:t>45.1</w:t>
                  </w:r>
                </w:p>
              </w:tc>
              <w:tc>
                <w:tcPr>
                  <w:tcW w:w="1259" w:type="dxa"/>
                  <w:tcBorders>
                    <w:tl2br w:val="nil"/>
                    <w:tr2bl w:val="nil"/>
                  </w:tcBorders>
                  <w:vAlign w:val="center"/>
                </w:tcPr>
                <w:p>
                  <w:pPr>
                    <w:jc w:val="center"/>
                    <w:rPr>
                      <w:rFonts w:ascii="宋体" w:hAnsi="宋体" w:cs="宋体"/>
                      <w:bCs/>
                      <w:szCs w:val="21"/>
                    </w:rPr>
                  </w:pPr>
                  <w:r>
                    <w:rPr>
                      <w:rFonts w:hint="eastAsia" w:ascii="宋体" w:hAnsi="宋体" w:cs="宋体"/>
                      <w:bCs/>
                      <w:szCs w:val="21"/>
                    </w:rPr>
                    <w:t>0</w:t>
                  </w:r>
                </w:p>
              </w:tc>
              <w:tc>
                <w:tcPr>
                  <w:tcW w:w="1076" w:type="dxa"/>
                  <w:tcBorders>
                    <w:tl2br w:val="nil"/>
                    <w:tr2bl w:val="nil"/>
                  </w:tcBorders>
                  <w:vAlign w:val="center"/>
                </w:tcPr>
                <w:p>
                  <w:pPr>
                    <w:jc w:val="center"/>
                    <w:rPr>
                      <w:rFonts w:ascii="宋体" w:hAnsi="宋体" w:cs="宋体"/>
                      <w:bCs/>
                      <w:szCs w:val="21"/>
                    </w:rPr>
                  </w:pPr>
                  <w:r>
                    <w:rPr>
                      <w:rFonts w:hint="eastAsia" w:ascii="宋体" w:hAnsi="宋体" w:cs="宋体"/>
                      <w:bCs/>
                      <w:szCs w:val="21"/>
                    </w:rPr>
                    <w:t>35</w:t>
                  </w:r>
                </w:p>
              </w:tc>
              <w:tc>
                <w:tcPr>
                  <w:tcW w:w="1076" w:type="dxa"/>
                  <w:tcBorders>
                    <w:tl2br w:val="nil"/>
                    <w:tr2bl w:val="nil"/>
                  </w:tcBorders>
                  <w:vAlign w:val="center"/>
                </w:tcPr>
                <w:p>
                  <w:pPr>
                    <w:jc w:val="center"/>
                    <w:rPr>
                      <w:rFonts w:ascii="宋体" w:hAnsi="宋体" w:cs="宋体"/>
                      <w:bCs/>
                      <w:szCs w:val="21"/>
                    </w:rPr>
                  </w:pPr>
                  <w:r>
                    <w:rPr>
                      <w:rFonts w:hint="eastAsia" w:ascii="宋体" w:hAnsi="宋体" w:cs="宋体"/>
                      <w:bCs/>
                      <w:szCs w:val="21"/>
                    </w:rPr>
                    <w:t>35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20" w:type="dxa"/>
                  <w:tcBorders>
                    <w:tl2br w:val="nil"/>
                    <w:tr2bl w:val="nil"/>
                  </w:tcBorders>
                  <w:vAlign w:val="center"/>
                </w:tcPr>
                <w:p>
                  <w:pPr>
                    <w:pStyle w:val="34"/>
                    <w:widowControl/>
                    <w:spacing w:line="240" w:lineRule="auto"/>
                    <w:jc w:val="center"/>
                    <w:rPr>
                      <w:b w:val="0"/>
                      <w:bCs/>
                      <w:color w:val="auto"/>
                      <w:sz w:val="21"/>
                      <w:szCs w:val="21"/>
                    </w:rPr>
                  </w:pPr>
                  <w:r>
                    <w:rPr>
                      <w:rFonts w:hint="eastAsia"/>
                      <w:b w:val="0"/>
                      <w:bCs/>
                      <w:color w:val="auto"/>
                      <w:sz w:val="21"/>
                      <w:szCs w:val="21"/>
                    </w:rPr>
                    <w:t>西北侧敏感点</w:t>
                  </w:r>
                </w:p>
              </w:tc>
              <w:tc>
                <w:tcPr>
                  <w:tcW w:w="624" w:type="dxa"/>
                  <w:tcBorders>
                    <w:tl2br w:val="nil"/>
                    <w:tr2bl w:val="nil"/>
                  </w:tcBorders>
                  <w:vAlign w:val="center"/>
                </w:tcPr>
                <w:p>
                  <w:pPr>
                    <w:pStyle w:val="34"/>
                    <w:widowControl/>
                    <w:spacing w:line="240" w:lineRule="auto"/>
                    <w:jc w:val="center"/>
                    <w:rPr>
                      <w:b w:val="0"/>
                      <w:bCs/>
                      <w:color w:val="auto"/>
                      <w:sz w:val="21"/>
                      <w:szCs w:val="21"/>
                    </w:rPr>
                  </w:pPr>
                  <w:r>
                    <w:rPr>
                      <w:rFonts w:hint="eastAsia"/>
                      <w:b w:val="0"/>
                      <w:bCs/>
                      <w:color w:val="auto"/>
                      <w:sz w:val="21"/>
                      <w:szCs w:val="21"/>
                    </w:rPr>
                    <w:t>23</w:t>
                  </w:r>
                </w:p>
              </w:tc>
              <w:tc>
                <w:tcPr>
                  <w:tcW w:w="922" w:type="dxa"/>
                  <w:tcBorders>
                    <w:tl2br w:val="nil"/>
                    <w:tr2bl w:val="nil"/>
                  </w:tcBorders>
                  <w:vAlign w:val="center"/>
                </w:tcPr>
                <w:p>
                  <w:pPr>
                    <w:pStyle w:val="34"/>
                    <w:widowControl/>
                    <w:spacing w:line="240" w:lineRule="auto"/>
                    <w:jc w:val="center"/>
                    <w:rPr>
                      <w:b w:val="0"/>
                      <w:bCs/>
                      <w:color w:val="auto"/>
                      <w:sz w:val="21"/>
                      <w:szCs w:val="21"/>
                    </w:rPr>
                  </w:pPr>
                  <w:r>
                    <w:rPr>
                      <w:rFonts w:hint="eastAsia"/>
                      <w:b w:val="0"/>
                      <w:bCs/>
                      <w:color w:val="auto"/>
                      <w:sz w:val="21"/>
                      <w:szCs w:val="21"/>
                    </w:rPr>
                    <w:t>41.0</w:t>
                  </w:r>
                </w:p>
              </w:tc>
              <w:tc>
                <w:tcPr>
                  <w:tcW w:w="1025" w:type="dxa"/>
                  <w:tcBorders>
                    <w:tl2br w:val="nil"/>
                    <w:tr2bl w:val="nil"/>
                  </w:tcBorders>
                  <w:vAlign w:val="center"/>
                </w:tcPr>
                <w:p>
                  <w:pPr>
                    <w:jc w:val="center"/>
                    <w:rPr>
                      <w:rFonts w:ascii="宋体" w:hAnsi="宋体" w:cs="宋体"/>
                      <w:bCs/>
                      <w:szCs w:val="21"/>
                    </w:rPr>
                  </w:pPr>
                  <w:r>
                    <w:rPr>
                      <w:rFonts w:hint="eastAsia" w:ascii="宋体" w:hAnsi="宋体" w:cs="宋体"/>
                      <w:bCs/>
                      <w:szCs w:val="21"/>
                    </w:rPr>
                    <w:t>42</w:t>
                  </w:r>
                </w:p>
              </w:tc>
              <w:tc>
                <w:tcPr>
                  <w:tcW w:w="1078" w:type="dxa"/>
                  <w:tcBorders>
                    <w:tl2br w:val="nil"/>
                    <w:tr2bl w:val="nil"/>
                  </w:tcBorders>
                  <w:vAlign w:val="center"/>
                </w:tcPr>
                <w:p>
                  <w:pPr>
                    <w:pStyle w:val="34"/>
                    <w:widowControl/>
                    <w:spacing w:line="240" w:lineRule="auto"/>
                    <w:jc w:val="center"/>
                    <w:rPr>
                      <w:b w:val="0"/>
                      <w:bCs/>
                      <w:color w:val="auto"/>
                      <w:sz w:val="21"/>
                      <w:szCs w:val="21"/>
                    </w:rPr>
                  </w:pPr>
                  <w:r>
                    <w:rPr>
                      <w:rFonts w:hint="eastAsia"/>
                      <w:b w:val="0"/>
                      <w:bCs/>
                      <w:color w:val="auto"/>
                      <w:sz w:val="21"/>
                      <w:szCs w:val="21"/>
                    </w:rPr>
                    <w:t>44.5</w:t>
                  </w:r>
                </w:p>
              </w:tc>
              <w:tc>
                <w:tcPr>
                  <w:tcW w:w="1259" w:type="dxa"/>
                  <w:tcBorders>
                    <w:tl2br w:val="nil"/>
                    <w:tr2bl w:val="nil"/>
                  </w:tcBorders>
                  <w:vAlign w:val="center"/>
                </w:tcPr>
                <w:p>
                  <w:pPr>
                    <w:jc w:val="center"/>
                    <w:rPr>
                      <w:rFonts w:ascii="宋体" w:hAnsi="宋体" w:cs="宋体"/>
                      <w:bCs/>
                      <w:szCs w:val="21"/>
                    </w:rPr>
                  </w:pPr>
                  <w:r>
                    <w:rPr>
                      <w:rFonts w:hint="eastAsia" w:ascii="宋体" w:hAnsi="宋体" w:cs="宋体"/>
                      <w:bCs/>
                      <w:szCs w:val="21"/>
                    </w:rPr>
                    <w:t>0</w:t>
                  </w:r>
                </w:p>
              </w:tc>
              <w:tc>
                <w:tcPr>
                  <w:tcW w:w="1076" w:type="dxa"/>
                  <w:tcBorders>
                    <w:tl2br w:val="nil"/>
                    <w:tr2bl w:val="nil"/>
                  </w:tcBorders>
                  <w:vAlign w:val="center"/>
                </w:tcPr>
                <w:p>
                  <w:pPr>
                    <w:jc w:val="center"/>
                    <w:rPr>
                      <w:rFonts w:ascii="宋体" w:hAnsi="宋体" w:cs="宋体"/>
                      <w:bCs/>
                      <w:szCs w:val="21"/>
                    </w:rPr>
                  </w:pPr>
                  <w:r>
                    <w:rPr>
                      <w:rFonts w:hint="eastAsia" w:ascii="宋体" w:hAnsi="宋体" w:cs="宋体"/>
                      <w:bCs/>
                      <w:szCs w:val="21"/>
                    </w:rPr>
                    <w:t>34</w:t>
                  </w:r>
                </w:p>
              </w:tc>
              <w:tc>
                <w:tcPr>
                  <w:tcW w:w="1076" w:type="dxa"/>
                  <w:tcBorders>
                    <w:tl2br w:val="nil"/>
                    <w:tr2bl w:val="nil"/>
                  </w:tcBorders>
                  <w:vAlign w:val="center"/>
                </w:tcPr>
                <w:p>
                  <w:pPr>
                    <w:jc w:val="center"/>
                    <w:rPr>
                      <w:rFonts w:ascii="宋体" w:hAnsi="宋体" w:cs="宋体"/>
                      <w:bCs/>
                      <w:szCs w:val="21"/>
                    </w:rPr>
                  </w:pPr>
                  <w:r>
                    <w:rPr>
                      <w:rFonts w:hint="eastAsia" w:ascii="宋体" w:hAnsi="宋体" w:cs="宋体"/>
                      <w:bCs/>
                      <w:szCs w:val="21"/>
                    </w:rPr>
                    <w:t>34</w:t>
                  </w:r>
                </w:p>
              </w:tc>
            </w:tr>
          </w:tbl>
          <w:p>
            <w:pPr>
              <w:tabs>
                <w:tab w:val="left" w:pos="5550"/>
              </w:tabs>
              <w:spacing w:line="360" w:lineRule="auto"/>
              <w:ind w:firstLine="480" w:firstLineChars="200"/>
              <w:rPr>
                <w:rFonts w:ascii="宋体" w:hAnsi="宋体" w:cs="宋体"/>
                <w:color w:val="000000"/>
                <w:sz w:val="24"/>
              </w:rPr>
            </w:pPr>
            <w:r>
              <w:rPr>
                <w:rFonts w:hint="eastAsia" w:ascii="宋体" w:hAnsi="宋体" w:cs="宋体"/>
                <w:color w:val="000000"/>
                <w:sz w:val="24"/>
              </w:rPr>
              <w:t>本项目经预测结果可知，项目运营后，厂界东侧、南侧、西侧、北侧噪声预测值满足《工业企业厂界环境噪声排放标准》（GB12348-2008）中1类标准（昼间55dB(A)、夜间45dB(A)），敏感点噪声满足《声环境质量标准》（GB3096-2008）中1类区标准（昼间55dB(A)、夜间45dB(A)），</w:t>
            </w:r>
            <w:r>
              <w:rPr>
                <w:rFonts w:hint="eastAsia" w:ascii="宋体" w:hAnsi="宋体" w:cs="宋体"/>
                <w:color w:val="000000"/>
                <w:kern w:val="0"/>
                <w:sz w:val="24"/>
              </w:rPr>
              <w:t>项目运营期噪声对周围环境影响较小</w:t>
            </w:r>
            <w:r>
              <w:rPr>
                <w:rFonts w:hint="eastAsia" w:ascii="宋体" w:hAnsi="宋体" w:cs="宋体"/>
                <w:color w:val="000000"/>
                <w:sz w:val="24"/>
              </w:rPr>
              <w:t>。</w:t>
            </w:r>
          </w:p>
          <w:p>
            <w:pPr>
              <w:spacing w:line="360" w:lineRule="auto"/>
              <w:ind w:firstLine="480" w:firstLineChars="200"/>
              <w:rPr>
                <w:rFonts w:cs="宋体"/>
                <w:sz w:val="24"/>
              </w:rPr>
            </w:pPr>
            <w:r>
              <w:rPr>
                <w:rFonts w:hint="eastAsia" w:cs="宋体"/>
                <w:sz w:val="24"/>
              </w:rPr>
              <w:t>⑸噪声污染防治措施</w:t>
            </w:r>
          </w:p>
          <w:p>
            <w:pPr>
              <w:spacing w:line="360" w:lineRule="auto"/>
              <w:ind w:firstLine="480" w:firstLineChars="200"/>
              <w:rPr>
                <w:rFonts w:cs="宋体"/>
                <w:sz w:val="24"/>
              </w:rPr>
            </w:pPr>
            <w:r>
              <w:rPr>
                <w:rFonts w:hint="eastAsia" w:cs="宋体"/>
                <w:sz w:val="24"/>
              </w:rPr>
              <w:t>在设计阶段：①尽量选用低噪声设备，无论是委托设计制造还是购买成品，都应提出相应的控制噪声措施和声级值控制指标，配套定购降噪、防噪设施；②在满足生产工艺、安全生产的前提下合理布局，尽量将高噪声装置向厂区中央集中，增大高噪声源与厂界的距离。</w:t>
            </w:r>
          </w:p>
          <w:p>
            <w:pPr>
              <w:spacing w:line="360" w:lineRule="auto"/>
              <w:ind w:firstLine="480" w:firstLineChars="200"/>
              <w:rPr>
                <w:rFonts w:cs="宋体"/>
                <w:sz w:val="24"/>
              </w:rPr>
            </w:pPr>
            <w:r>
              <w:rPr>
                <w:rFonts w:hint="eastAsia" w:cs="宋体"/>
                <w:sz w:val="24"/>
              </w:rPr>
              <w:t>在建设与生产阶段：①在设备安装和厂房建设过程中同步实施减震、隔声、吸声等降噪措施。②对高噪声源设备采取封闭结构。③针对废气净化系统风机噪声，加设隔声罩，并配备风机电机自身散热的消声进出通道。</w:t>
            </w:r>
            <w:r>
              <w:rPr>
                <w:rFonts w:hint="eastAsia" w:ascii="宋体" w:hAnsi="宋体" w:cs="宋体"/>
                <w:sz w:val="24"/>
              </w:rPr>
              <w:t>④</w:t>
            </w:r>
            <w:r>
              <w:rPr>
                <w:rFonts w:hint="eastAsia" w:cs="宋体"/>
                <w:sz w:val="24"/>
              </w:rPr>
              <w:t>为减轻项目原辅材料运输过程中车辆噪声对其集中通过区域的影响，建议厂方对运输车辆加强管理和维护，保持车辆有良好的车况，要求机动车驾驶人员经过噪声敏感区地段限制车速，禁止鸣笛，尽量避免夜间运输。</w:t>
            </w:r>
          </w:p>
          <w:p>
            <w:pPr>
              <w:spacing w:line="360" w:lineRule="auto"/>
              <w:ind w:firstLine="480" w:firstLineChars="200"/>
              <w:rPr>
                <w:rFonts w:cs="宋体"/>
                <w:sz w:val="24"/>
                <w:u w:val="single"/>
              </w:rPr>
            </w:pPr>
            <w:r>
              <w:rPr>
                <w:rFonts w:hint="eastAsia" w:cs="宋体"/>
                <w:sz w:val="24"/>
                <w:u w:val="single"/>
              </w:rPr>
              <w:t>本项目采取合理安排工作时间，选用低噪声设备、基础减震、墙壁隔声等措施，对风机等大的产噪设备单独隔声处置。厂界</w:t>
            </w:r>
            <w:r>
              <w:rPr>
                <w:sz w:val="24"/>
                <w:u w:val="single"/>
              </w:rPr>
              <w:t>噪声</w:t>
            </w:r>
            <w:r>
              <w:rPr>
                <w:rFonts w:hint="eastAsia"/>
                <w:sz w:val="24"/>
                <w:u w:val="single"/>
              </w:rPr>
              <w:t>能够</w:t>
            </w:r>
            <w:r>
              <w:rPr>
                <w:sz w:val="24"/>
                <w:u w:val="single"/>
              </w:rPr>
              <w:t>满足《工业企业厂界环境噪声排放标准》（GB12348-2008）中</w:t>
            </w:r>
            <w:r>
              <w:rPr>
                <w:rFonts w:hint="eastAsia"/>
                <w:sz w:val="24"/>
                <w:u w:val="single"/>
              </w:rPr>
              <w:t>1</w:t>
            </w:r>
            <w:r>
              <w:rPr>
                <w:sz w:val="24"/>
                <w:u w:val="single"/>
              </w:rPr>
              <w:t>类标准</w:t>
            </w:r>
            <w:r>
              <w:rPr>
                <w:rFonts w:hint="eastAsia"/>
                <w:sz w:val="24"/>
                <w:u w:val="single"/>
              </w:rPr>
              <w:t>要求。</w:t>
            </w:r>
          </w:p>
          <w:p>
            <w:pPr>
              <w:spacing w:line="360" w:lineRule="auto"/>
              <w:ind w:firstLine="470" w:firstLineChars="196"/>
              <w:rPr>
                <w:rFonts w:cs="宋体"/>
                <w:sz w:val="24"/>
              </w:rPr>
            </w:pPr>
            <w:r>
              <w:rPr>
                <w:rFonts w:hint="eastAsia" w:cs="宋体"/>
                <w:sz w:val="24"/>
              </w:rPr>
              <w:t>⑹噪声监测要求</w:t>
            </w:r>
          </w:p>
          <w:p>
            <w:pPr>
              <w:widowControl/>
              <w:spacing w:line="360" w:lineRule="auto"/>
              <w:jc w:val="center"/>
              <w:rPr>
                <w:rFonts w:ascii="宋体" w:hAnsi="宋体" w:cs="宋体"/>
                <w:b/>
                <w:bCs/>
                <w:color w:val="000000"/>
                <w:kern w:val="0"/>
                <w:sz w:val="24"/>
                <w:u w:val="single"/>
              </w:rPr>
            </w:pPr>
            <w:r>
              <w:rPr>
                <w:rFonts w:ascii="宋体" w:hAnsi="宋体" w:cs="宋体"/>
                <w:b/>
                <w:bCs/>
                <w:color w:val="000000"/>
                <w:kern w:val="0"/>
                <w:sz w:val="24"/>
                <w:u w:val="single"/>
              </w:rPr>
              <w:t>表</w:t>
            </w:r>
            <w:r>
              <w:rPr>
                <w:rFonts w:hint="eastAsia" w:ascii="宋体" w:hAnsi="宋体" w:cs="宋体"/>
                <w:b/>
                <w:bCs/>
                <w:color w:val="000000"/>
                <w:kern w:val="0"/>
                <w:sz w:val="24"/>
                <w:u w:val="single"/>
              </w:rPr>
              <w:t xml:space="preserve">4-11 </w:t>
            </w:r>
            <w:r>
              <w:rPr>
                <w:rFonts w:ascii="宋体" w:hAnsi="宋体" w:cs="宋体"/>
                <w:b/>
                <w:bCs/>
                <w:color w:val="000000"/>
                <w:kern w:val="0"/>
                <w:sz w:val="24"/>
                <w:u w:val="single"/>
              </w:rPr>
              <w:t xml:space="preserve"> </w:t>
            </w:r>
            <w:r>
              <w:rPr>
                <w:rFonts w:hint="eastAsia" w:ascii="宋体" w:hAnsi="宋体" w:cs="宋体"/>
                <w:b/>
                <w:bCs/>
                <w:color w:val="000000"/>
                <w:kern w:val="0"/>
                <w:sz w:val="24"/>
                <w:u w:val="single"/>
              </w:rPr>
              <w:t>噪声监测要求</w:t>
            </w:r>
          </w:p>
          <w:tbl>
            <w:tblPr>
              <w:tblStyle w:val="27"/>
              <w:tblW w:w="8253" w:type="dxa"/>
              <w:jc w:val="center"/>
              <w:tblBorders>
                <w:top w:val="single" w:color="auto" w:sz="12" w:space="0"/>
                <w:left w:val="none" w:color="auto" w:sz="0" w:space="0"/>
                <w:bottom w:val="single" w:color="auto" w:sz="12" w:space="0"/>
                <w:right w:val="none" w:color="auto" w:sz="0" w:space="0"/>
                <w:insideH w:val="single" w:color="auto" w:sz="4" w:space="0"/>
                <w:insideV w:val="single" w:color="auto" w:sz="6" w:space="0"/>
              </w:tblBorders>
              <w:tblLayout w:type="fixed"/>
              <w:tblCellMar>
                <w:top w:w="0" w:type="dxa"/>
                <w:left w:w="28" w:type="dxa"/>
                <w:bottom w:w="0" w:type="dxa"/>
                <w:right w:w="28" w:type="dxa"/>
              </w:tblCellMar>
            </w:tblPr>
            <w:tblGrid>
              <w:gridCol w:w="1201"/>
              <w:gridCol w:w="2599"/>
              <w:gridCol w:w="2981"/>
              <w:gridCol w:w="1472"/>
            </w:tblGrid>
            <w:tr>
              <w:tblPrEx>
                <w:tblBorders>
                  <w:top w:val="single" w:color="auto" w:sz="12" w:space="0"/>
                  <w:left w:val="none" w:color="auto" w:sz="0" w:space="0"/>
                  <w:bottom w:val="single" w:color="auto" w:sz="12" w:space="0"/>
                  <w:right w:val="none" w:color="auto" w:sz="0" w:space="0"/>
                  <w:insideH w:val="single" w:color="auto" w:sz="4" w:space="0"/>
                  <w:insideV w:val="single" w:color="auto" w:sz="6" w:space="0"/>
                </w:tblBorders>
                <w:tblCellMar>
                  <w:top w:w="0" w:type="dxa"/>
                  <w:left w:w="28" w:type="dxa"/>
                  <w:bottom w:w="0" w:type="dxa"/>
                  <w:right w:w="28" w:type="dxa"/>
                </w:tblCellMar>
              </w:tblPrEx>
              <w:trPr>
                <w:trHeight w:val="296" w:hRule="atLeast"/>
                <w:jc w:val="center"/>
              </w:trPr>
              <w:tc>
                <w:tcPr>
                  <w:tcW w:w="1201" w:type="dxa"/>
                  <w:tcBorders>
                    <w:tl2br w:val="nil"/>
                    <w:tr2bl w:val="nil"/>
                  </w:tcBorders>
                  <w:vAlign w:val="center"/>
                </w:tcPr>
                <w:p>
                  <w:pPr>
                    <w:pStyle w:val="53"/>
                    <w:spacing w:line="240" w:lineRule="auto"/>
                    <w:rPr>
                      <w:bCs/>
                      <w:sz w:val="21"/>
                      <w:szCs w:val="21"/>
                    </w:rPr>
                  </w:pPr>
                  <w:r>
                    <w:rPr>
                      <w:bCs/>
                      <w:sz w:val="21"/>
                      <w:szCs w:val="21"/>
                    </w:rPr>
                    <w:t>类别</w:t>
                  </w:r>
                </w:p>
              </w:tc>
              <w:tc>
                <w:tcPr>
                  <w:tcW w:w="2599" w:type="dxa"/>
                  <w:tcBorders>
                    <w:tl2br w:val="nil"/>
                    <w:tr2bl w:val="nil"/>
                  </w:tcBorders>
                  <w:vAlign w:val="center"/>
                </w:tcPr>
                <w:p>
                  <w:pPr>
                    <w:pStyle w:val="53"/>
                    <w:spacing w:line="240" w:lineRule="auto"/>
                    <w:rPr>
                      <w:bCs/>
                      <w:sz w:val="21"/>
                      <w:szCs w:val="21"/>
                    </w:rPr>
                  </w:pPr>
                  <w:r>
                    <w:rPr>
                      <w:rFonts w:hint="eastAsia"/>
                      <w:bCs/>
                      <w:sz w:val="21"/>
                      <w:szCs w:val="21"/>
                    </w:rPr>
                    <w:t>监测点位</w:t>
                  </w:r>
                </w:p>
              </w:tc>
              <w:tc>
                <w:tcPr>
                  <w:tcW w:w="2981" w:type="dxa"/>
                  <w:tcBorders>
                    <w:tl2br w:val="nil"/>
                    <w:tr2bl w:val="nil"/>
                  </w:tcBorders>
                  <w:vAlign w:val="center"/>
                </w:tcPr>
                <w:p>
                  <w:pPr>
                    <w:pStyle w:val="53"/>
                    <w:spacing w:line="240" w:lineRule="auto"/>
                    <w:rPr>
                      <w:bCs/>
                      <w:sz w:val="21"/>
                      <w:szCs w:val="21"/>
                    </w:rPr>
                  </w:pPr>
                  <w:r>
                    <w:rPr>
                      <w:bCs/>
                      <w:sz w:val="21"/>
                      <w:szCs w:val="21"/>
                    </w:rPr>
                    <w:t>监测</w:t>
                  </w:r>
                  <w:r>
                    <w:rPr>
                      <w:rFonts w:hint="eastAsia"/>
                      <w:bCs/>
                      <w:sz w:val="21"/>
                      <w:szCs w:val="21"/>
                    </w:rPr>
                    <w:t>因子</w:t>
                  </w:r>
                </w:p>
              </w:tc>
              <w:tc>
                <w:tcPr>
                  <w:tcW w:w="1472" w:type="dxa"/>
                  <w:tcBorders>
                    <w:tl2br w:val="nil"/>
                    <w:tr2bl w:val="nil"/>
                  </w:tcBorders>
                  <w:vAlign w:val="center"/>
                </w:tcPr>
                <w:p>
                  <w:pPr>
                    <w:pStyle w:val="53"/>
                    <w:spacing w:line="240" w:lineRule="auto"/>
                    <w:rPr>
                      <w:bCs/>
                      <w:sz w:val="21"/>
                      <w:szCs w:val="21"/>
                    </w:rPr>
                  </w:pPr>
                  <w:r>
                    <w:rPr>
                      <w:bCs/>
                      <w:sz w:val="21"/>
                      <w:szCs w:val="21"/>
                    </w:rPr>
                    <w:t>监测频次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6" w:space="0"/>
                </w:tblBorders>
                <w:tblCellMar>
                  <w:top w:w="0" w:type="dxa"/>
                  <w:left w:w="28" w:type="dxa"/>
                  <w:bottom w:w="0" w:type="dxa"/>
                  <w:right w:w="28" w:type="dxa"/>
                </w:tblCellMar>
              </w:tblPrEx>
              <w:trPr>
                <w:trHeight w:val="306" w:hRule="atLeast"/>
                <w:jc w:val="center"/>
              </w:trPr>
              <w:tc>
                <w:tcPr>
                  <w:tcW w:w="1201" w:type="dxa"/>
                  <w:tcBorders>
                    <w:tl2br w:val="nil"/>
                    <w:tr2bl w:val="nil"/>
                  </w:tcBorders>
                  <w:vAlign w:val="center"/>
                </w:tcPr>
                <w:p>
                  <w:pPr>
                    <w:pStyle w:val="53"/>
                    <w:spacing w:line="240" w:lineRule="auto"/>
                    <w:rPr>
                      <w:sz w:val="21"/>
                      <w:szCs w:val="21"/>
                    </w:rPr>
                  </w:pPr>
                  <w:r>
                    <w:rPr>
                      <w:rFonts w:hint="eastAsia"/>
                      <w:sz w:val="21"/>
                      <w:szCs w:val="21"/>
                    </w:rPr>
                    <w:t>噪声</w:t>
                  </w:r>
                </w:p>
              </w:tc>
              <w:tc>
                <w:tcPr>
                  <w:tcW w:w="2599" w:type="dxa"/>
                  <w:tcBorders>
                    <w:tl2br w:val="nil"/>
                    <w:tr2bl w:val="nil"/>
                  </w:tcBorders>
                  <w:vAlign w:val="center"/>
                </w:tcPr>
                <w:p>
                  <w:pPr>
                    <w:pStyle w:val="53"/>
                    <w:spacing w:line="240" w:lineRule="auto"/>
                    <w:rPr>
                      <w:sz w:val="21"/>
                      <w:szCs w:val="21"/>
                    </w:rPr>
                  </w:pPr>
                  <w:r>
                    <w:rPr>
                      <w:rFonts w:hint="eastAsia"/>
                      <w:sz w:val="21"/>
                      <w:szCs w:val="21"/>
                    </w:rPr>
                    <w:t>厂界外1m</w:t>
                  </w:r>
                </w:p>
              </w:tc>
              <w:tc>
                <w:tcPr>
                  <w:tcW w:w="2981" w:type="dxa"/>
                  <w:tcBorders>
                    <w:tl2br w:val="nil"/>
                    <w:tr2bl w:val="nil"/>
                  </w:tcBorders>
                  <w:vAlign w:val="center"/>
                </w:tcPr>
                <w:p>
                  <w:pPr>
                    <w:pStyle w:val="53"/>
                    <w:spacing w:line="240" w:lineRule="auto"/>
                    <w:rPr>
                      <w:sz w:val="21"/>
                      <w:szCs w:val="21"/>
                    </w:rPr>
                  </w:pPr>
                  <w:r>
                    <w:rPr>
                      <w:rFonts w:hint="eastAsia"/>
                      <w:sz w:val="21"/>
                      <w:szCs w:val="21"/>
                    </w:rPr>
                    <w:t>等效连续A声级</w:t>
                  </w:r>
                </w:p>
              </w:tc>
              <w:tc>
                <w:tcPr>
                  <w:tcW w:w="1472" w:type="dxa"/>
                  <w:tcBorders>
                    <w:tl2br w:val="nil"/>
                    <w:tr2bl w:val="nil"/>
                  </w:tcBorders>
                  <w:vAlign w:val="center"/>
                </w:tcPr>
                <w:p>
                  <w:pPr>
                    <w:pStyle w:val="53"/>
                    <w:spacing w:line="240" w:lineRule="auto"/>
                    <w:rPr>
                      <w:sz w:val="21"/>
                      <w:szCs w:val="21"/>
                    </w:rPr>
                  </w:pPr>
                  <w:r>
                    <w:rPr>
                      <w:sz w:val="21"/>
                      <w:szCs w:val="21"/>
                    </w:rPr>
                    <w:t>1次/</w:t>
                  </w:r>
                  <w:r>
                    <w:rPr>
                      <w:rFonts w:hint="eastAsia"/>
                      <w:sz w:val="21"/>
                      <w:szCs w:val="21"/>
                    </w:rPr>
                    <w:t>季</w:t>
                  </w:r>
                </w:p>
              </w:tc>
            </w:tr>
          </w:tbl>
          <w:p>
            <w:pPr>
              <w:spacing w:line="360" w:lineRule="auto"/>
              <w:rPr>
                <w:sz w:val="24"/>
              </w:rPr>
            </w:pPr>
            <w:r>
              <w:rPr>
                <w:rFonts w:hint="eastAsia"/>
                <w:b/>
                <w:bCs/>
                <w:sz w:val="24"/>
              </w:rPr>
              <w:t>4.2.4固体废物</w:t>
            </w:r>
          </w:p>
          <w:p>
            <w:pPr>
              <w:spacing w:line="360" w:lineRule="auto"/>
              <w:ind w:firstLine="470" w:firstLineChars="196"/>
              <w:rPr>
                <w:sz w:val="24"/>
                <w:szCs w:val="22"/>
              </w:rPr>
            </w:pPr>
            <w:r>
              <w:rPr>
                <w:rFonts w:hint="eastAsia"/>
                <w:sz w:val="24"/>
                <w:szCs w:val="22"/>
              </w:rPr>
              <w:t>本项目固废主要为生产过程中产生的生活垃圾、预处理废物、锅炉灰渣及布袋除尘器收集灰、废布袋、废树脂、废机油等。</w:t>
            </w:r>
          </w:p>
          <w:p>
            <w:pPr>
              <w:spacing w:line="360" w:lineRule="auto"/>
              <w:ind w:firstLine="470" w:firstLineChars="196"/>
              <w:rPr>
                <w:sz w:val="24"/>
                <w:szCs w:val="22"/>
              </w:rPr>
            </w:pPr>
            <w:r>
              <w:rPr>
                <w:rFonts w:hint="eastAsia" w:ascii="宋体" w:hAnsi="宋体" w:cs="宋体"/>
                <w:sz w:val="24"/>
                <w:szCs w:val="22"/>
              </w:rPr>
              <w:t>⑴</w:t>
            </w:r>
            <w:r>
              <w:rPr>
                <w:rFonts w:hint="eastAsia"/>
                <w:sz w:val="24"/>
                <w:szCs w:val="22"/>
              </w:rPr>
              <w:t>生活垃圾</w:t>
            </w:r>
          </w:p>
          <w:p>
            <w:pPr>
              <w:spacing w:line="360" w:lineRule="auto"/>
              <w:ind w:firstLine="470" w:firstLineChars="196"/>
              <w:rPr>
                <w:sz w:val="24"/>
              </w:rPr>
            </w:pPr>
            <w:r>
              <w:rPr>
                <w:sz w:val="24"/>
              </w:rPr>
              <w:t>本项目生活垃圾每人每天排放0.5kg计，</w:t>
            </w:r>
            <w:r>
              <w:rPr>
                <w:rFonts w:hint="eastAsia"/>
                <w:sz w:val="24"/>
              </w:rPr>
              <w:t>项目定员5人，年生产时间为50天，则</w:t>
            </w:r>
            <w:r>
              <w:rPr>
                <w:sz w:val="24"/>
              </w:rPr>
              <w:t>生活</w:t>
            </w:r>
            <w:r>
              <w:rPr>
                <w:rFonts w:hint="eastAsia"/>
                <w:sz w:val="24"/>
              </w:rPr>
              <w:t>垃圾</w:t>
            </w:r>
            <w:r>
              <w:rPr>
                <w:sz w:val="24"/>
              </w:rPr>
              <w:t>总产生量为</w:t>
            </w:r>
            <w:r>
              <w:rPr>
                <w:rFonts w:hint="eastAsia"/>
                <w:sz w:val="24"/>
              </w:rPr>
              <w:t>0.125</w:t>
            </w:r>
            <w:r>
              <w:rPr>
                <w:sz w:val="24"/>
              </w:rPr>
              <w:t>t/a。环评要求对生活垃圾分类处置，由环卫部门定期清运，送往</w:t>
            </w:r>
            <w:r>
              <w:rPr>
                <w:rFonts w:hint="eastAsia"/>
                <w:sz w:val="24"/>
              </w:rPr>
              <w:t>垃圾处理厂</w:t>
            </w:r>
            <w:r>
              <w:rPr>
                <w:sz w:val="24"/>
              </w:rPr>
              <w:t>集中处理</w:t>
            </w:r>
            <w:r>
              <w:rPr>
                <w:rFonts w:hint="eastAsia"/>
                <w:sz w:val="24"/>
              </w:rPr>
              <w:t>。</w:t>
            </w:r>
          </w:p>
          <w:p>
            <w:pPr>
              <w:spacing w:line="360" w:lineRule="auto"/>
              <w:ind w:firstLine="470" w:firstLineChars="196"/>
              <w:rPr>
                <w:sz w:val="24"/>
                <w:szCs w:val="22"/>
              </w:rPr>
            </w:pPr>
            <w:r>
              <w:rPr>
                <w:rFonts w:hint="eastAsia" w:ascii="宋体" w:hAnsi="宋体" w:cs="宋体"/>
                <w:sz w:val="24"/>
                <w:szCs w:val="22"/>
              </w:rPr>
              <w:t>⑵</w:t>
            </w:r>
            <w:r>
              <w:rPr>
                <w:rFonts w:hint="eastAsia"/>
                <w:sz w:val="24"/>
                <w:szCs w:val="22"/>
              </w:rPr>
              <w:t>预处理废物</w:t>
            </w:r>
          </w:p>
          <w:p>
            <w:pPr>
              <w:spacing w:line="360" w:lineRule="auto"/>
              <w:ind w:firstLine="470" w:firstLineChars="196"/>
              <w:rPr>
                <w:sz w:val="24"/>
                <w:szCs w:val="22"/>
              </w:rPr>
            </w:pPr>
            <w:r>
              <w:rPr>
                <w:rFonts w:hint="eastAsia"/>
                <w:sz w:val="24"/>
                <w:szCs w:val="22"/>
              </w:rPr>
              <w:t>在玉米加工前，需对其进行预处理，除去玉米皮和玉米须等杂质，并去除玉米颈尖和根部，只保留玉米中间部分，根据建设单位提供，1吨鲜玉米出0.64t玉米棒和0.36t固废（玉米头、苞叶、穗丝、不合格产品），本项目鲜玉米每年约1890t，则预处理废物产生量约为680.4t/a，为一般固废，代码900-999-99-0001。对预处理废物进行包装袋收集后，外售作青储饲料，运走前在车间固废暂存区暂存。</w:t>
            </w:r>
          </w:p>
          <w:p>
            <w:pPr>
              <w:spacing w:line="360" w:lineRule="auto"/>
              <w:ind w:firstLine="470" w:firstLineChars="196"/>
              <w:rPr>
                <w:sz w:val="24"/>
                <w:szCs w:val="22"/>
              </w:rPr>
            </w:pPr>
            <w:r>
              <w:rPr>
                <w:rFonts w:hint="eastAsia" w:ascii="宋体" w:hAnsi="宋体" w:cs="宋体"/>
                <w:sz w:val="24"/>
                <w:szCs w:val="22"/>
              </w:rPr>
              <w:t>⑶</w:t>
            </w:r>
            <w:r>
              <w:rPr>
                <w:rFonts w:hint="eastAsia"/>
                <w:sz w:val="24"/>
                <w:szCs w:val="22"/>
              </w:rPr>
              <w:t>锅炉灰渣及布袋除尘器收集灰</w:t>
            </w:r>
          </w:p>
          <w:p>
            <w:pPr>
              <w:spacing w:line="360" w:lineRule="auto"/>
              <w:ind w:firstLine="470" w:firstLineChars="196"/>
              <w:rPr>
                <w:iCs/>
                <w:sz w:val="24"/>
              </w:rPr>
            </w:pPr>
            <w:r>
              <w:rPr>
                <w:rFonts w:hint="eastAsia"/>
                <w:iCs/>
                <w:sz w:val="24"/>
              </w:rPr>
              <w:t>锅炉灰渣属一般工业固体废物，代码：900-999-64-0001，采用《污染源源强核算技术指南 锅炉》（HJ991-2018）核算：</w:t>
            </w:r>
          </w:p>
          <w:p>
            <w:pPr>
              <w:pStyle w:val="26"/>
              <w:ind w:firstLine="240"/>
              <w:jc w:val="center"/>
              <w:rPr>
                <w:iCs/>
                <w:sz w:val="24"/>
                <w:szCs w:val="24"/>
              </w:rPr>
            </w:pPr>
            <w:r>
              <w:rPr>
                <w:rFonts w:hint="eastAsia" w:ascii="Times New Roman" w:hAnsi="Times New Roman" w:eastAsia="宋体" w:cs="Times New Roman"/>
                <w:iCs/>
                <w:kern w:val="0"/>
                <w:position w:val="-28"/>
                <w:sz w:val="24"/>
                <w:szCs w:val="24"/>
                <w:lang w:val="en-US" w:eastAsia="zh-CN" w:bidi="ar-SA"/>
              </w:rPr>
              <w:object>
                <v:shape id="_x0000_i1039" o:spt="75" type="#_x0000_t75" style="height:34pt;width:149.35pt;" o:ole="t" fillcolor="#FFFFFF" filled="f" o:preferrelative="t" stroked="f" coordsize="21600,21600">
                  <v:path/>
                  <v:fill on="f" color2="#FFFFFF" focussize="0,0"/>
                  <v:stroke on="f"/>
                  <v:imagedata r:id="rId25" gain="65536f" blacklevel="0f" gamma="0" o:title=""/>
                  <o:lock v:ext="edit" position="f" selection="f" grouping="f" rotation="f" cropping="f" text="f" aspectratio="t"/>
                  <w10:wrap type="none"/>
                  <w10:anchorlock/>
                </v:shape>
                <o:OLEObject Type="Embed" ProgID="" ShapeID="_x0000_i1039" DrawAspect="Content" ObjectID="_1468075732" r:id="rId24">
                  <o:LockedField>false</o:LockedField>
                </o:OLEObject>
              </w:object>
            </w:r>
          </w:p>
          <w:p>
            <w:pPr>
              <w:spacing w:line="360" w:lineRule="auto"/>
              <w:ind w:firstLine="480" w:firstLineChars="200"/>
              <w:rPr>
                <w:rFonts w:ascii="宋体" w:hAnsi="宋体" w:cs="宋体"/>
                <w:sz w:val="24"/>
              </w:rPr>
            </w:pPr>
            <w:r>
              <w:rPr>
                <w:rFonts w:hint="eastAsia" w:ascii="宋体" w:hAnsi="宋体" w:cs="宋体"/>
                <w:sz w:val="24"/>
              </w:rPr>
              <w:t>式中：E</w:t>
            </w:r>
            <w:r>
              <w:rPr>
                <w:rFonts w:hint="eastAsia" w:ascii="宋体" w:hAnsi="宋体" w:cs="宋体"/>
                <w:sz w:val="24"/>
                <w:vertAlign w:val="subscript"/>
              </w:rPr>
              <w:t>hz</w:t>
            </w:r>
            <w:r>
              <w:rPr>
                <w:rFonts w:hint="eastAsia" w:ascii="宋体" w:hAnsi="宋体" w:cs="宋体"/>
                <w:sz w:val="24"/>
              </w:rPr>
              <w:t>—核算时段内灰渣产生量，t,根据飞灰份额d</w:t>
            </w:r>
            <w:r>
              <w:rPr>
                <w:rFonts w:hint="eastAsia" w:ascii="宋体" w:hAnsi="宋体" w:cs="宋体"/>
                <w:sz w:val="24"/>
                <w:vertAlign w:val="subscript"/>
              </w:rPr>
              <w:t>fh</w:t>
            </w:r>
            <w:r>
              <w:rPr>
                <w:rFonts w:hint="eastAsia" w:ascii="宋体" w:hAnsi="宋体" w:cs="宋体"/>
                <w:sz w:val="24"/>
              </w:rPr>
              <w:t>可分别核算飞灰、炉渣产生量；</w:t>
            </w:r>
          </w:p>
          <w:p>
            <w:pPr>
              <w:spacing w:line="360" w:lineRule="auto"/>
              <w:ind w:firstLine="480" w:firstLineChars="200"/>
              <w:rPr>
                <w:rFonts w:ascii="宋体" w:hAnsi="宋体" w:cs="宋体"/>
                <w:sz w:val="24"/>
              </w:rPr>
            </w:pPr>
            <w:r>
              <w:rPr>
                <w:rFonts w:hint="eastAsia" w:ascii="宋体" w:hAnsi="宋体" w:cs="宋体"/>
                <w:sz w:val="24"/>
              </w:rPr>
              <w:t>R—核算时段内锅炉燃料耗量，t;本项目取162t。</w:t>
            </w:r>
          </w:p>
          <w:p>
            <w:pPr>
              <w:spacing w:line="360" w:lineRule="auto"/>
              <w:ind w:firstLine="480" w:firstLineChars="200"/>
              <w:rPr>
                <w:rFonts w:ascii="宋体" w:hAnsi="宋体" w:cs="宋体"/>
                <w:sz w:val="24"/>
              </w:rPr>
            </w:pPr>
            <w:r>
              <w:rPr>
                <w:rFonts w:hint="eastAsia" w:ascii="宋体" w:hAnsi="宋体" w:cs="宋体"/>
                <w:sz w:val="24"/>
              </w:rPr>
              <w:t>Aar—收到基灰分的质量分数，%;本项目取5.4%。</w:t>
            </w:r>
          </w:p>
          <w:p>
            <w:pPr>
              <w:spacing w:line="360" w:lineRule="auto"/>
              <w:ind w:firstLine="480" w:firstLineChars="200"/>
              <w:rPr>
                <w:rFonts w:ascii="宋体" w:hAnsi="宋体" w:cs="宋体"/>
                <w:sz w:val="24"/>
              </w:rPr>
            </w:pPr>
            <w:r>
              <w:rPr>
                <w:rFonts w:hint="eastAsia" w:ascii="宋体" w:hAnsi="宋体" w:cs="宋体"/>
                <w:sz w:val="24"/>
              </w:rPr>
              <w:t>q</w:t>
            </w:r>
            <w:r>
              <w:rPr>
                <w:rFonts w:hint="eastAsia" w:ascii="宋体" w:hAnsi="宋体" w:cs="宋体"/>
                <w:sz w:val="24"/>
                <w:vertAlign w:val="subscript"/>
              </w:rPr>
              <w:t>4</w:t>
            </w:r>
            <w:r>
              <w:rPr>
                <w:rFonts w:hint="eastAsia" w:ascii="宋体" w:hAnsi="宋体" w:cs="宋体"/>
                <w:sz w:val="24"/>
              </w:rPr>
              <w:t>—锅炉机械不完全燃烧热损失，%;本项目取10。</w:t>
            </w:r>
          </w:p>
          <w:p>
            <w:pPr>
              <w:spacing w:line="360" w:lineRule="auto"/>
              <w:ind w:firstLine="480" w:firstLineChars="200"/>
              <w:rPr>
                <w:rFonts w:ascii="宋体" w:hAnsi="宋体" w:cs="宋体"/>
                <w:sz w:val="24"/>
              </w:rPr>
            </w:pPr>
            <w:r>
              <w:rPr>
                <w:rFonts w:hint="eastAsia" w:ascii="宋体" w:hAnsi="宋体" w:cs="宋体"/>
                <w:sz w:val="24"/>
              </w:rPr>
              <w:t>Qnet.ar—收到基低位发热量，kJ/kg。本项目取13780KJ/kg</w:t>
            </w:r>
          </w:p>
          <w:p>
            <w:pPr>
              <w:spacing w:line="360" w:lineRule="auto"/>
              <w:ind w:firstLine="480" w:firstLineChars="200"/>
              <w:rPr>
                <w:rFonts w:ascii="宋体" w:hAnsi="宋体" w:cs="宋体"/>
                <w:sz w:val="24"/>
              </w:rPr>
            </w:pPr>
            <w:r>
              <w:rPr>
                <w:rFonts w:hint="eastAsia" w:ascii="宋体" w:hAnsi="宋体" w:cs="宋体"/>
                <w:sz w:val="24"/>
              </w:rPr>
              <w:t>生物质成分分析报告见表2-4，灰渣产生量为15.339t/a。</w:t>
            </w:r>
          </w:p>
          <w:p>
            <w:pPr>
              <w:spacing w:line="360" w:lineRule="auto"/>
              <w:ind w:firstLine="480" w:firstLineChars="200"/>
              <w:rPr>
                <w:sz w:val="24"/>
                <w:u w:val="single"/>
              </w:rPr>
            </w:pPr>
            <w:r>
              <w:rPr>
                <w:rFonts w:hint="eastAsia" w:ascii="宋体" w:hAnsi="宋体" w:cs="宋体"/>
                <w:sz w:val="24"/>
              </w:rPr>
              <w:t>布袋除尘器收集灰为一般工业固体废物，代码：900-999-99-0002</w:t>
            </w:r>
            <w:r>
              <w:rPr>
                <w:rFonts w:hint="eastAsia"/>
                <w:sz w:val="24"/>
              </w:rPr>
              <w:t>，根据物料平衡，产生量为3.8t/a。</w:t>
            </w:r>
            <w:r>
              <w:rPr>
                <w:rFonts w:hint="eastAsia"/>
                <w:sz w:val="24"/>
                <w:u w:val="single"/>
              </w:rPr>
              <w:t>锅炉灰渣和布袋除尘器收集灰袋装暂存于锅炉房灰渣间，外售有机肥厂。</w:t>
            </w:r>
          </w:p>
          <w:p>
            <w:pPr>
              <w:spacing w:line="360" w:lineRule="auto"/>
              <w:ind w:firstLine="470" w:firstLineChars="196"/>
              <w:rPr>
                <w:sz w:val="24"/>
                <w:szCs w:val="22"/>
              </w:rPr>
            </w:pPr>
            <w:r>
              <w:rPr>
                <w:rFonts w:hint="eastAsia" w:ascii="宋体" w:hAnsi="宋体" w:cs="宋体"/>
                <w:sz w:val="24"/>
                <w:szCs w:val="22"/>
              </w:rPr>
              <w:t>⑷</w:t>
            </w:r>
            <w:r>
              <w:rPr>
                <w:rFonts w:hint="eastAsia"/>
                <w:sz w:val="24"/>
                <w:szCs w:val="22"/>
              </w:rPr>
              <w:t>废布袋</w:t>
            </w:r>
          </w:p>
          <w:p>
            <w:pPr>
              <w:spacing w:line="360" w:lineRule="auto"/>
              <w:ind w:firstLine="470" w:firstLineChars="196"/>
              <w:rPr>
                <w:sz w:val="24"/>
                <w:szCs w:val="22"/>
              </w:rPr>
            </w:pPr>
            <w:r>
              <w:rPr>
                <w:rFonts w:hint="eastAsia"/>
                <w:sz w:val="24"/>
                <w:szCs w:val="22"/>
              </w:rPr>
              <w:t>本项目生产周期较短，除尘器布袋每两年换一次，废布袋年产生量约0.2t/2a，属于一般工业固废，代码900-999-99-0003，随生活垃圾清运处理。</w:t>
            </w:r>
          </w:p>
          <w:p>
            <w:pPr>
              <w:spacing w:line="360" w:lineRule="auto"/>
              <w:ind w:firstLine="470" w:firstLineChars="196"/>
              <w:rPr>
                <w:sz w:val="24"/>
              </w:rPr>
            </w:pPr>
            <w:r>
              <w:rPr>
                <w:rFonts w:hint="eastAsia" w:ascii="宋体" w:hAnsi="宋体" w:cs="宋体"/>
                <w:sz w:val="24"/>
              </w:rPr>
              <w:t>⑸</w:t>
            </w:r>
            <w:r>
              <w:rPr>
                <w:rFonts w:hint="eastAsia"/>
                <w:sz w:val="24"/>
                <w:szCs w:val="22"/>
              </w:rPr>
              <w:t>废树脂</w:t>
            </w:r>
          </w:p>
          <w:p>
            <w:pPr>
              <w:spacing w:line="360" w:lineRule="auto"/>
              <w:ind w:firstLine="470" w:firstLineChars="196"/>
              <w:rPr>
                <w:sz w:val="24"/>
              </w:rPr>
            </w:pPr>
            <w:r>
              <w:rPr>
                <w:rFonts w:hint="eastAsia"/>
                <w:sz w:val="24"/>
              </w:rPr>
              <w:t>本项目软化水设备离子交换树脂有使用周期，需定期一年进行更换一次，本项目废树脂产生量约为0.01t/a，为一般固体废物，代码</w:t>
            </w:r>
            <w:r>
              <w:rPr>
                <w:rFonts w:hint="eastAsia"/>
                <w:sz w:val="24"/>
                <w:szCs w:val="22"/>
              </w:rPr>
              <w:t>900-999-99-0004</w:t>
            </w:r>
            <w:r>
              <w:rPr>
                <w:rFonts w:hint="eastAsia"/>
                <w:sz w:val="24"/>
              </w:rPr>
              <w:t>。废树脂由厂家更换后回收处理，不在厂区内进行储存。</w:t>
            </w:r>
          </w:p>
          <w:p>
            <w:pPr>
              <w:spacing w:line="360" w:lineRule="auto"/>
              <w:ind w:firstLine="470" w:firstLineChars="196"/>
              <w:rPr>
                <w:sz w:val="24"/>
              </w:rPr>
            </w:pPr>
            <w:r>
              <w:rPr>
                <w:rFonts w:hint="eastAsia" w:ascii="宋体" w:hAnsi="宋体" w:cs="宋体"/>
                <w:sz w:val="24"/>
              </w:rPr>
              <w:t>⑹</w:t>
            </w:r>
            <w:r>
              <w:rPr>
                <w:rFonts w:hint="eastAsia"/>
                <w:sz w:val="24"/>
                <w:szCs w:val="22"/>
              </w:rPr>
              <w:t>废机油</w:t>
            </w:r>
          </w:p>
          <w:p>
            <w:pPr>
              <w:spacing w:line="360" w:lineRule="auto"/>
              <w:ind w:firstLine="470" w:firstLineChars="196"/>
              <w:rPr>
                <w:sz w:val="24"/>
              </w:rPr>
            </w:pPr>
            <w:r>
              <w:rPr>
                <w:rFonts w:hint="eastAsia"/>
                <w:sz w:val="24"/>
              </w:rPr>
              <w:t>压缩机及设备维修过程产生少量废机油，约0.005t/a，属于HW08危险废物，代码900-219-08，暂存于危废贮存点，定期委托资质单位处置。</w:t>
            </w:r>
          </w:p>
          <w:p>
            <w:pPr>
              <w:spacing w:line="360" w:lineRule="auto"/>
              <w:ind w:firstLine="470" w:firstLineChars="196"/>
              <w:rPr>
                <w:sz w:val="24"/>
              </w:rPr>
            </w:pPr>
            <w:r>
              <w:rPr>
                <w:rFonts w:hint="eastAsia"/>
                <w:sz w:val="24"/>
              </w:rPr>
              <w:t>项目产生的一般固废应分类收集，采取减量化、资源化、无害化处理，能够综合利用的首选综合利用。一般固体废物在厂区暂存时，需设置环保标识，贮存场所应具备防雨淋、防泄漏、防扬散、防流失等措施，禁止将生活垃圾混入一般工业固体废物中，存放场所应建立检查维护制度，定期检查维护，发现异常及时处理，以保证正常运行。</w:t>
            </w:r>
          </w:p>
          <w:p>
            <w:pPr>
              <w:adjustRightInd w:val="0"/>
              <w:snapToGrid w:val="0"/>
              <w:spacing w:line="360" w:lineRule="auto"/>
              <w:ind w:firstLine="480" w:firstLineChars="200"/>
              <w:rPr>
                <w:sz w:val="24"/>
                <w:szCs w:val="28"/>
              </w:rPr>
            </w:pPr>
            <w:r>
              <w:rPr>
                <w:sz w:val="24"/>
                <w:szCs w:val="28"/>
              </w:rPr>
              <w:t>项目产生的危废分类收集后由专职人员运至危险废物</w:t>
            </w:r>
            <w:r>
              <w:rPr>
                <w:rFonts w:hint="eastAsia"/>
                <w:sz w:val="24"/>
              </w:rPr>
              <w:t>贮存点</w:t>
            </w:r>
            <w:r>
              <w:rPr>
                <w:sz w:val="24"/>
                <w:szCs w:val="28"/>
              </w:rPr>
              <w:t>，委托</w:t>
            </w:r>
            <w:r>
              <w:rPr>
                <w:bCs/>
                <w:sz w:val="24"/>
              </w:rPr>
              <w:t>有资质</w:t>
            </w:r>
            <w:r>
              <w:rPr>
                <w:rFonts w:hint="eastAsia"/>
                <w:bCs/>
                <w:sz w:val="24"/>
              </w:rPr>
              <w:t>的</w:t>
            </w:r>
            <w:r>
              <w:rPr>
                <w:bCs/>
                <w:sz w:val="24"/>
              </w:rPr>
              <w:t>单位</w:t>
            </w:r>
            <w:r>
              <w:rPr>
                <w:sz w:val="24"/>
                <w:szCs w:val="28"/>
              </w:rPr>
              <w:t>处置，</w:t>
            </w:r>
            <w:r>
              <w:rPr>
                <w:rFonts w:hint="eastAsia"/>
                <w:sz w:val="24"/>
              </w:rPr>
              <w:t>本厂在锅炉房内西北侧建设1座2m</w:t>
            </w:r>
            <w:r>
              <w:rPr>
                <w:rFonts w:hint="eastAsia"/>
                <w:sz w:val="24"/>
                <w:vertAlign w:val="superscript"/>
              </w:rPr>
              <w:t>2</w:t>
            </w:r>
            <w:r>
              <w:rPr>
                <w:rFonts w:hint="eastAsia"/>
                <w:sz w:val="24"/>
              </w:rPr>
              <w:t>的封闭危险废物贮存点</w:t>
            </w:r>
            <w:r>
              <w:rPr>
                <w:sz w:val="24"/>
                <w:szCs w:val="28"/>
              </w:rPr>
              <w:t>。</w:t>
            </w:r>
          </w:p>
          <w:p>
            <w:pPr>
              <w:adjustRightInd w:val="0"/>
              <w:snapToGrid w:val="0"/>
              <w:spacing w:line="360" w:lineRule="auto"/>
              <w:ind w:firstLine="480" w:firstLineChars="200"/>
              <w:rPr>
                <w:sz w:val="24"/>
                <w:szCs w:val="28"/>
                <w:u w:val="single"/>
              </w:rPr>
            </w:pPr>
            <w:r>
              <w:rPr>
                <w:rFonts w:hint="eastAsia"/>
                <w:sz w:val="24"/>
                <w:szCs w:val="28"/>
                <w:u w:val="single"/>
              </w:rPr>
              <w:t>贮存设施或贮存分区内地面、墙面裙脚、堵截泄漏的围堰、接触危险废物的隔板和墙体等应采用坚固的材料建造，表面无裂缝。贮存设施地面与裙脚应采取表面防渗措施；表面防渗材料应与所接触的物料或污染物相容，可采用抗渗混凝土、高密度聚乙烯膜、钠基膨润土防水毯或其他防渗性能等效的材料。贮存的危险废物直接接触地面的，还应进行基础防渗，防渗层为至少1m厚黏土层（渗透系数不大于10</w:t>
            </w:r>
            <w:r>
              <w:rPr>
                <w:rFonts w:hint="eastAsia"/>
                <w:sz w:val="24"/>
                <w:szCs w:val="28"/>
                <w:u w:val="single"/>
                <w:vertAlign w:val="superscript"/>
              </w:rPr>
              <w:t>-7</w:t>
            </w:r>
            <w:r>
              <w:rPr>
                <w:rFonts w:hint="eastAsia"/>
                <w:sz w:val="24"/>
                <w:szCs w:val="28"/>
                <w:u w:val="single"/>
              </w:rPr>
              <w:t>cm/s），或至少2mm厚高密度聚乙烯膜等人工防渗材料（渗透系数不大于10</w:t>
            </w:r>
            <w:r>
              <w:rPr>
                <w:rFonts w:hint="eastAsia"/>
                <w:sz w:val="24"/>
                <w:szCs w:val="28"/>
                <w:u w:val="single"/>
                <w:vertAlign w:val="superscript"/>
              </w:rPr>
              <w:t>-10</w:t>
            </w:r>
            <w:r>
              <w:rPr>
                <w:rFonts w:hint="eastAsia"/>
                <w:sz w:val="24"/>
                <w:szCs w:val="28"/>
                <w:u w:val="single"/>
              </w:rPr>
              <w:t>cm/s），或其他防渗性能等效的材料。同一贮存设施宜采用相同的防渗、防腐工艺（包括防渗、防腐结构或材料），防渗、防腐材料应覆盖所有可能与废物及其渗滤液、渗漏液等接触的构筑物表面；采用不同防渗、防腐工艺应分别建设贮存分区。</w:t>
            </w:r>
            <w:r>
              <w:rPr>
                <w:rFonts w:hint="eastAsia"/>
                <w:sz w:val="24"/>
                <w:u w:val="single"/>
              </w:rPr>
              <w:t>贮存点</w:t>
            </w:r>
            <w:r>
              <w:rPr>
                <w:sz w:val="24"/>
                <w:szCs w:val="28"/>
                <w:u w:val="single"/>
              </w:rPr>
              <w:t>内将固态废物与液态废物分别存放，并在</w:t>
            </w:r>
            <w:r>
              <w:rPr>
                <w:rFonts w:hint="eastAsia"/>
                <w:sz w:val="24"/>
                <w:u w:val="single"/>
              </w:rPr>
              <w:t>贮存点</w:t>
            </w:r>
            <w:r>
              <w:rPr>
                <w:sz w:val="24"/>
                <w:szCs w:val="28"/>
                <w:u w:val="single"/>
              </w:rPr>
              <w:t>内设置安全照明设施和观察窗口。危险废物</w:t>
            </w:r>
            <w:r>
              <w:rPr>
                <w:rFonts w:hint="eastAsia"/>
                <w:sz w:val="24"/>
                <w:u w:val="single"/>
              </w:rPr>
              <w:t>贮存点</w:t>
            </w:r>
            <w:r>
              <w:rPr>
                <w:sz w:val="24"/>
                <w:szCs w:val="28"/>
                <w:u w:val="single"/>
              </w:rPr>
              <w:t>按要求设置</w:t>
            </w:r>
            <w:r>
              <w:rPr>
                <w:rFonts w:hint="eastAsia"/>
                <w:sz w:val="24"/>
                <w:szCs w:val="28"/>
                <w:u w:val="single"/>
              </w:rPr>
              <w:t>危废相关标识</w:t>
            </w:r>
            <w:r>
              <w:rPr>
                <w:sz w:val="24"/>
                <w:szCs w:val="28"/>
                <w:u w:val="single"/>
              </w:rPr>
              <w:t>，配备应急防护装置</w:t>
            </w:r>
            <w:r>
              <w:rPr>
                <w:rFonts w:hint="eastAsia"/>
                <w:sz w:val="24"/>
                <w:szCs w:val="28"/>
                <w:u w:val="single"/>
              </w:rPr>
              <w:t>，防止无关人员进入。</w:t>
            </w:r>
          </w:p>
          <w:p>
            <w:pPr>
              <w:pStyle w:val="8"/>
              <w:spacing w:line="360" w:lineRule="auto"/>
              <w:ind w:firstLine="480"/>
              <w:rPr>
                <w:sz w:val="24"/>
              </w:rPr>
            </w:pPr>
            <w:r>
              <w:rPr>
                <w:rFonts w:hint="eastAsia" w:cs="宋体"/>
                <w:iCs/>
                <w:sz w:val="24"/>
              </w:rPr>
              <w:t>本环评要求</w:t>
            </w:r>
            <w:r>
              <w:rPr>
                <w:rFonts w:ascii="宋体" w:hAnsi="宋体" w:cs="宋体"/>
                <w:sz w:val="24"/>
              </w:rPr>
              <w:t>贮存危险废物应根据危险废物的类别、形态、物理化学性质和污染防治要求进行分类贮存，且应避免危险废物与不相容的物质或材料接触</w:t>
            </w:r>
            <w:r>
              <w:rPr>
                <w:rFonts w:hint="eastAsia" w:ascii="宋体" w:hAnsi="宋体" w:cs="宋体"/>
                <w:sz w:val="24"/>
              </w:rPr>
              <w:t>。</w:t>
            </w:r>
            <w:r>
              <w:rPr>
                <w:rFonts w:ascii="宋体" w:hAnsi="宋体" w:cs="宋体"/>
                <w:sz w:val="24"/>
              </w:rPr>
              <w:t>根据危险废物的形态、物理化学性质、包装形式和污染物迁移途径，采取措施减少渗滤液及其衍生废物、渗漏的液态废物（简称渗漏液）、粉尘、VOCs、酸雾、有毒有害大气污染物和刺激性气味气体等污染物的产生，防止其污染环境</w:t>
            </w:r>
            <w:r>
              <w:rPr>
                <w:rFonts w:hint="eastAsia" w:cs="宋体"/>
                <w:iCs/>
                <w:sz w:val="24"/>
              </w:rPr>
              <w:t>。</w:t>
            </w:r>
            <w:r>
              <w:rPr>
                <w:rFonts w:ascii="宋体" w:hAnsi="宋体" w:cs="宋体"/>
                <w:sz w:val="24"/>
              </w:rPr>
              <w:t>危险废物贮存过程产生的液态废物和固态废物应分类收集，按其环境管理要求妥善处理。贮存设施或场所、容器和包装物按HJ1276要求设置危险废物贮存设施或场所标志、危险废物贮存分区标志和危险废物标签等危险废物识别标志。贮存设施退役时，所有者或运营者应依法履行环境保护责任，退役前应妥善处理处置贮存设施内剩余的危险废物，并对贮存设施进行清理，消除污染；还应依据土壤污染防治相关法律法规履行场地环境风险防控责任。在常温常压下易爆、易燃及排出有毒气体的危险废物应进行预处理，使之稳定后贮存，否则应按易爆、易燃危险品贮存。危险废物贮存除应满足环境保护相关要求外，还应执行国家安全生产、职业健康、交通运输、消防等法律法规和标准的相关要求。</w:t>
            </w:r>
          </w:p>
          <w:p>
            <w:pPr>
              <w:pStyle w:val="8"/>
              <w:spacing w:line="360" w:lineRule="auto"/>
              <w:ind w:firstLine="480"/>
              <w:rPr>
                <w:sz w:val="24"/>
              </w:rPr>
            </w:pPr>
            <w:r>
              <w:rPr>
                <w:rFonts w:hint="eastAsia" w:cs="宋体"/>
                <w:iCs/>
                <w:sz w:val="24"/>
              </w:rPr>
              <w:t>危险废物存入贮存设施前应对危险废物类别和特性与危险废物标签等危险废物识别标志的一致性进行核验，不一致的或类别、特性不明的不应存入。应定期检查危险废物的贮存状况，及时清理贮存设施地面，更换破损泄漏的危险废物贮存容器和包装物，保证堆存危险废物的防雨、防风、防扬尘等设施功能完好。作业设备及车辆等结束作业离开贮存设施时，应对其残留的危险废物进行清理，清理的废物或清洗废水应收集处理。贮存设施运行期间，应按国家有关标准和规定建立危险废物管理台账并保存。贮存设施所有者或运营者应建立贮存设施环境管理制度、管理人员岗位职责制度、设施运行操作制度、人员岗位培训制度等。贮存设施所有者或运营者应依据国家土壤和地下水污染防治的有关规定，结合贮存设施特点建立土壤和地下水污染隐患排查制度，并定期开展隐患排查；发现隐患应及时采取措施消除隐患，并建立档案。贮存设施所有者或运营者应建立贮存设施全部档案，包括设计、施工、验收、运行、监测和环境应急等，应按国家有关档案管理的法律法规进行整理和归档。危险废物</w:t>
            </w:r>
            <w:r>
              <w:rPr>
                <w:rFonts w:hint="eastAsia"/>
                <w:sz w:val="24"/>
              </w:rPr>
              <w:t>贮存点</w:t>
            </w:r>
            <w:r>
              <w:rPr>
                <w:rFonts w:hint="eastAsia" w:cs="宋体"/>
                <w:iCs/>
                <w:sz w:val="24"/>
              </w:rPr>
              <w:t>标识按照《危险废物识别标志设置技术规范》（HJ1276-2022）进行设置。</w:t>
            </w:r>
          </w:p>
          <w:p>
            <w:pPr>
              <w:pStyle w:val="8"/>
              <w:spacing w:line="360" w:lineRule="auto"/>
              <w:ind w:firstLine="480"/>
              <w:rPr>
                <w:sz w:val="24"/>
              </w:rPr>
            </w:pPr>
            <w:r>
              <w:rPr>
                <w:rFonts w:hint="eastAsia"/>
                <w:sz w:val="24"/>
              </w:rPr>
              <w:t>本项目危险废物均存放于专用带盖包装桶内，密闭储存，能够有效减少无组织废气的产生，防治措施可行</w:t>
            </w:r>
            <w:r>
              <w:rPr>
                <w:rFonts w:hint="eastAsia" w:cs="宋体"/>
                <w:iCs/>
                <w:sz w:val="24"/>
              </w:rPr>
              <w:t>。</w:t>
            </w:r>
          </w:p>
          <w:p>
            <w:pPr>
              <w:spacing w:line="360" w:lineRule="auto"/>
              <w:ind w:firstLine="470" w:firstLineChars="196"/>
              <w:rPr>
                <w:sz w:val="24"/>
              </w:rPr>
            </w:pPr>
            <w:r>
              <w:rPr>
                <w:rFonts w:hint="eastAsia"/>
                <w:sz w:val="24"/>
              </w:rPr>
              <w:t>综上，本项目运营期的一般固体废物的处理处置符合</w:t>
            </w:r>
            <w:r>
              <w:rPr>
                <w:rFonts w:hint="eastAsia" w:cs="宋体"/>
                <w:sz w:val="24"/>
              </w:rPr>
              <w:t>《中华人民共和国固体废物污染环境防治法》</w:t>
            </w:r>
            <w:r>
              <w:rPr>
                <w:rFonts w:cs="宋体"/>
                <w:sz w:val="24"/>
              </w:rPr>
              <w:t>(2005</w:t>
            </w:r>
            <w:r>
              <w:rPr>
                <w:rFonts w:hint="eastAsia" w:cs="宋体"/>
                <w:sz w:val="24"/>
              </w:rPr>
              <w:t>年</w:t>
            </w:r>
            <w:r>
              <w:rPr>
                <w:rFonts w:cs="宋体"/>
                <w:sz w:val="24"/>
              </w:rPr>
              <w:t>4</w:t>
            </w:r>
            <w:r>
              <w:rPr>
                <w:rFonts w:hint="eastAsia" w:cs="宋体"/>
                <w:sz w:val="24"/>
              </w:rPr>
              <w:t>月</w:t>
            </w:r>
            <w:r>
              <w:rPr>
                <w:rFonts w:cs="宋体"/>
                <w:sz w:val="24"/>
              </w:rPr>
              <w:t>1</w:t>
            </w:r>
            <w:r>
              <w:rPr>
                <w:rFonts w:hint="eastAsia" w:cs="宋体"/>
                <w:sz w:val="24"/>
              </w:rPr>
              <w:t>日</w:t>
            </w:r>
            <w:r>
              <w:rPr>
                <w:rFonts w:cs="宋体"/>
                <w:sz w:val="24"/>
              </w:rPr>
              <w:t>)</w:t>
            </w:r>
            <w:r>
              <w:rPr>
                <w:rFonts w:hint="eastAsia" w:cs="宋体"/>
                <w:sz w:val="24"/>
              </w:rPr>
              <w:t>以及《一般工业固体废物贮存和填埋污染控制标准》（GB 18599-2020）要求中有关规定</w:t>
            </w:r>
            <w:r>
              <w:rPr>
                <w:rFonts w:hint="eastAsia"/>
                <w:sz w:val="24"/>
              </w:rPr>
              <w:t>；危险废物处理处置符合《危险废物贮存污染控制标准》（GB18597-2023）中的相关规定。本项目固体废物均得到妥善处置，不会对环境造成二次污染。</w:t>
            </w:r>
          </w:p>
          <w:p>
            <w:pPr>
              <w:spacing w:line="360" w:lineRule="auto"/>
              <w:ind w:firstLine="470" w:firstLineChars="196"/>
              <w:rPr>
                <w:sz w:val="24"/>
              </w:rPr>
            </w:pPr>
            <w:r>
              <w:rPr>
                <w:rFonts w:hint="eastAsia"/>
                <w:sz w:val="24"/>
              </w:rPr>
              <w:t>固体废物产排情况见下表。</w:t>
            </w:r>
          </w:p>
          <w:p>
            <w:pPr>
              <w:widowControl/>
              <w:spacing w:line="360" w:lineRule="auto"/>
              <w:jc w:val="center"/>
              <w:rPr>
                <w:rFonts w:ascii="宋体" w:hAnsi="宋体" w:cs="宋体"/>
                <w:b/>
                <w:bCs/>
                <w:color w:val="000000"/>
                <w:kern w:val="0"/>
                <w:sz w:val="24"/>
                <w:u w:val="single"/>
              </w:rPr>
            </w:pPr>
            <w:r>
              <w:rPr>
                <w:rFonts w:ascii="宋体" w:hAnsi="宋体" w:cs="宋体"/>
                <w:b/>
                <w:bCs/>
                <w:color w:val="000000"/>
                <w:kern w:val="0"/>
                <w:sz w:val="24"/>
                <w:u w:val="single"/>
              </w:rPr>
              <w:t>表</w:t>
            </w:r>
            <w:r>
              <w:rPr>
                <w:rFonts w:hint="eastAsia" w:ascii="宋体" w:hAnsi="宋体" w:cs="宋体"/>
                <w:b/>
                <w:bCs/>
                <w:color w:val="000000"/>
                <w:kern w:val="0"/>
                <w:sz w:val="24"/>
                <w:u w:val="single"/>
              </w:rPr>
              <w:t>4-12</w:t>
            </w:r>
            <w:r>
              <w:rPr>
                <w:rFonts w:ascii="宋体" w:hAnsi="宋体" w:cs="宋体"/>
                <w:b/>
                <w:bCs/>
                <w:color w:val="000000"/>
                <w:kern w:val="0"/>
                <w:sz w:val="24"/>
                <w:u w:val="single"/>
              </w:rPr>
              <w:t xml:space="preserve">  固体废物产排情况一览表</w:t>
            </w:r>
          </w:p>
          <w:tbl>
            <w:tblPr>
              <w:tblStyle w:val="27"/>
              <w:tblW w:w="8283"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51"/>
              <w:gridCol w:w="748"/>
              <w:gridCol w:w="1653"/>
              <w:gridCol w:w="790"/>
              <w:gridCol w:w="519"/>
              <w:gridCol w:w="504"/>
              <w:gridCol w:w="820"/>
              <w:gridCol w:w="578"/>
              <w:gridCol w:w="656"/>
              <w:gridCol w:w="820"/>
              <w:gridCol w:w="44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751" w:type="dxa"/>
                  <w:tcBorders>
                    <w:bottom w:val="single" w:color="000000" w:sz="4" w:space="0"/>
                    <w:tl2br w:val="nil"/>
                    <w:tr2bl w:val="nil"/>
                  </w:tcBorders>
                  <w:vAlign w:val="center"/>
                </w:tcPr>
                <w:p>
                  <w:pPr>
                    <w:jc w:val="center"/>
                  </w:pPr>
                  <w:r>
                    <w:rPr>
                      <w:rFonts w:hint="eastAsia"/>
                    </w:rPr>
                    <w:t>产生环节</w:t>
                  </w:r>
                </w:p>
              </w:tc>
              <w:tc>
                <w:tcPr>
                  <w:tcW w:w="748" w:type="dxa"/>
                  <w:tcBorders>
                    <w:bottom w:val="single" w:color="000000" w:sz="4" w:space="0"/>
                    <w:tl2br w:val="nil"/>
                    <w:tr2bl w:val="nil"/>
                  </w:tcBorders>
                  <w:vAlign w:val="center"/>
                </w:tcPr>
                <w:p>
                  <w:pPr>
                    <w:jc w:val="center"/>
                  </w:pPr>
                  <w:r>
                    <w:rPr>
                      <w:rFonts w:hint="eastAsia"/>
                    </w:rPr>
                    <w:t>名称</w:t>
                  </w:r>
                </w:p>
              </w:tc>
              <w:tc>
                <w:tcPr>
                  <w:tcW w:w="1653" w:type="dxa"/>
                  <w:tcBorders>
                    <w:bottom w:val="single" w:color="000000" w:sz="4" w:space="0"/>
                    <w:tl2br w:val="nil"/>
                    <w:tr2bl w:val="nil"/>
                  </w:tcBorders>
                  <w:vAlign w:val="center"/>
                </w:tcPr>
                <w:p>
                  <w:pPr>
                    <w:jc w:val="center"/>
                  </w:pPr>
                  <w:r>
                    <w:rPr>
                      <w:rFonts w:hint="eastAsia"/>
                    </w:rPr>
                    <w:t>属性</w:t>
                  </w:r>
                </w:p>
              </w:tc>
              <w:tc>
                <w:tcPr>
                  <w:tcW w:w="790" w:type="dxa"/>
                  <w:tcBorders>
                    <w:bottom w:val="single" w:color="000000" w:sz="4" w:space="0"/>
                    <w:tl2br w:val="nil"/>
                    <w:tr2bl w:val="nil"/>
                  </w:tcBorders>
                  <w:vAlign w:val="center"/>
                </w:tcPr>
                <w:p>
                  <w:pPr>
                    <w:jc w:val="center"/>
                  </w:pPr>
                  <w:r>
                    <w:rPr>
                      <w:rFonts w:hint="eastAsia"/>
                    </w:rPr>
                    <w:t>主要有毒有害物质名称</w:t>
                  </w:r>
                </w:p>
              </w:tc>
              <w:tc>
                <w:tcPr>
                  <w:tcW w:w="519" w:type="dxa"/>
                  <w:tcBorders>
                    <w:bottom w:val="single" w:color="000000" w:sz="4" w:space="0"/>
                    <w:tl2br w:val="nil"/>
                    <w:tr2bl w:val="nil"/>
                  </w:tcBorders>
                  <w:vAlign w:val="center"/>
                </w:tcPr>
                <w:p>
                  <w:pPr>
                    <w:jc w:val="center"/>
                  </w:pPr>
                  <w:r>
                    <w:rPr>
                      <w:rFonts w:hint="eastAsia"/>
                    </w:rPr>
                    <w:t>物理性状</w:t>
                  </w:r>
                </w:p>
              </w:tc>
              <w:tc>
                <w:tcPr>
                  <w:tcW w:w="504" w:type="dxa"/>
                  <w:tcBorders>
                    <w:bottom w:val="single" w:color="000000" w:sz="4" w:space="0"/>
                    <w:tl2br w:val="nil"/>
                    <w:tr2bl w:val="nil"/>
                  </w:tcBorders>
                  <w:vAlign w:val="center"/>
                </w:tcPr>
                <w:p>
                  <w:pPr>
                    <w:jc w:val="center"/>
                  </w:pPr>
                  <w:r>
                    <w:rPr>
                      <w:rFonts w:hint="eastAsia"/>
                    </w:rPr>
                    <w:t>环境危险特性</w:t>
                  </w:r>
                </w:p>
              </w:tc>
              <w:tc>
                <w:tcPr>
                  <w:tcW w:w="820" w:type="dxa"/>
                  <w:tcBorders>
                    <w:bottom w:val="single" w:color="000000" w:sz="4" w:space="0"/>
                    <w:tl2br w:val="nil"/>
                    <w:tr2bl w:val="nil"/>
                  </w:tcBorders>
                  <w:vAlign w:val="center"/>
                </w:tcPr>
                <w:p>
                  <w:pPr>
                    <w:jc w:val="center"/>
                  </w:pPr>
                  <w:r>
                    <w:rPr>
                      <w:rFonts w:hint="eastAsia"/>
                    </w:rPr>
                    <w:t>年度产生量（t）</w:t>
                  </w:r>
                </w:p>
              </w:tc>
              <w:tc>
                <w:tcPr>
                  <w:tcW w:w="578" w:type="dxa"/>
                  <w:tcBorders>
                    <w:bottom w:val="single" w:color="000000" w:sz="4" w:space="0"/>
                    <w:tl2br w:val="nil"/>
                    <w:tr2bl w:val="nil"/>
                  </w:tcBorders>
                  <w:vAlign w:val="center"/>
                </w:tcPr>
                <w:p>
                  <w:pPr>
                    <w:jc w:val="center"/>
                  </w:pPr>
                  <w:r>
                    <w:rPr>
                      <w:rFonts w:hint="eastAsia"/>
                    </w:rPr>
                    <w:t>贮存方式</w:t>
                  </w:r>
                </w:p>
              </w:tc>
              <w:tc>
                <w:tcPr>
                  <w:tcW w:w="656" w:type="dxa"/>
                  <w:tcBorders>
                    <w:bottom w:val="single" w:color="000000" w:sz="4" w:space="0"/>
                    <w:tl2br w:val="nil"/>
                    <w:tr2bl w:val="nil"/>
                  </w:tcBorders>
                  <w:vAlign w:val="center"/>
                </w:tcPr>
                <w:p>
                  <w:pPr>
                    <w:jc w:val="center"/>
                  </w:pPr>
                  <w:r>
                    <w:rPr>
                      <w:rFonts w:hint="eastAsia"/>
                    </w:rPr>
                    <w:t>利用处置方式和去向</w:t>
                  </w:r>
                </w:p>
              </w:tc>
              <w:tc>
                <w:tcPr>
                  <w:tcW w:w="820" w:type="dxa"/>
                  <w:tcBorders>
                    <w:bottom w:val="single" w:color="000000" w:sz="4" w:space="0"/>
                    <w:tl2br w:val="nil"/>
                    <w:tr2bl w:val="nil"/>
                  </w:tcBorders>
                  <w:vAlign w:val="center"/>
                </w:tcPr>
                <w:p>
                  <w:pPr>
                    <w:jc w:val="center"/>
                  </w:pPr>
                  <w:r>
                    <w:rPr>
                      <w:rFonts w:hint="eastAsia"/>
                    </w:rPr>
                    <w:t>利用或处置量</w:t>
                  </w:r>
                </w:p>
              </w:tc>
              <w:tc>
                <w:tcPr>
                  <w:tcW w:w="444" w:type="dxa"/>
                  <w:tcBorders>
                    <w:bottom w:val="single" w:color="000000" w:sz="4" w:space="0"/>
                    <w:tl2br w:val="nil"/>
                    <w:tr2bl w:val="nil"/>
                  </w:tcBorders>
                  <w:vAlign w:val="center"/>
                </w:tcPr>
                <w:p>
                  <w:pPr>
                    <w:jc w:val="center"/>
                  </w:pPr>
                  <w:r>
                    <w:rPr>
                      <w:rFonts w:hint="eastAsia"/>
                    </w:rPr>
                    <w:t>环境管理要求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751" w:type="dxa"/>
                  <w:tcBorders>
                    <w:bottom w:val="single" w:color="000000" w:sz="4" w:space="0"/>
                    <w:tl2br w:val="nil"/>
                    <w:tr2bl w:val="nil"/>
                  </w:tcBorders>
                  <w:vAlign w:val="center"/>
                </w:tcPr>
                <w:p>
                  <w:pPr>
                    <w:jc w:val="center"/>
                  </w:pPr>
                  <w:r>
                    <w:rPr>
                      <w:rFonts w:hint="eastAsia"/>
                    </w:rPr>
                    <w:t>生活</w:t>
                  </w:r>
                </w:p>
              </w:tc>
              <w:tc>
                <w:tcPr>
                  <w:tcW w:w="748" w:type="dxa"/>
                  <w:tcBorders>
                    <w:bottom w:val="single" w:color="000000" w:sz="4" w:space="0"/>
                    <w:tl2br w:val="nil"/>
                    <w:tr2bl w:val="nil"/>
                  </w:tcBorders>
                  <w:vAlign w:val="center"/>
                </w:tcPr>
                <w:p>
                  <w:pPr>
                    <w:jc w:val="center"/>
                  </w:pPr>
                  <w:r>
                    <w:rPr>
                      <w:rFonts w:hint="eastAsia"/>
                    </w:rPr>
                    <w:t>生活垃圾</w:t>
                  </w:r>
                </w:p>
              </w:tc>
              <w:tc>
                <w:tcPr>
                  <w:tcW w:w="1653" w:type="dxa"/>
                  <w:tcBorders>
                    <w:bottom w:val="single" w:color="000000" w:sz="4" w:space="0"/>
                    <w:tl2br w:val="nil"/>
                    <w:tr2bl w:val="nil"/>
                  </w:tcBorders>
                  <w:vAlign w:val="center"/>
                </w:tcPr>
                <w:p>
                  <w:pPr>
                    <w:jc w:val="center"/>
                    <w:rPr>
                      <w:u w:val="single"/>
                    </w:rPr>
                  </w:pPr>
                  <w:r>
                    <w:rPr>
                      <w:rFonts w:hint="eastAsia"/>
                      <w:u w:val="single"/>
                    </w:rPr>
                    <w:t>一般固废SW64</w:t>
                  </w:r>
                </w:p>
                <w:p>
                  <w:pPr>
                    <w:jc w:val="center"/>
                    <w:rPr>
                      <w:u w:val="single"/>
                    </w:rPr>
                  </w:pPr>
                  <w:r>
                    <w:rPr>
                      <w:rFonts w:hint="eastAsia"/>
                      <w:u w:val="single"/>
                    </w:rPr>
                    <w:t>900-099-S64</w:t>
                  </w:r>
                </w:p>
                <w:p>
                  <w:pPr>
                    <w:jc w:val="center"/>
                    <w:rPr>
                      <w:u w:val="single"/>
                    </w:rPr>
                  </w:pPr>
                </w:p>
              </w:tc>
              <w:tc>
                <w:tcPr>
                  <w:tcW w:w="790" w:type="dxa"/>
                  <w:tcBorders>
                    <w:bottom w:val="single" w:color="000000" w:sz="4" w:space="0"/>
                    <w:tl2br w:val="nil"/>
                    <w:tr2bl w:val="nil"/>
                  </w:tcBorders>
                  <w:vAlign w:val="center"/>
                </w:tcPr>
                <w:p>
                  <w:pPr>
                    <w:jc w:val="center"/>
                  </w:pPr>
                  <w:r>
                    <w:rPr>
                      <w:rFonts w:hint="eastAsia"/>
                    </w:rPr>
                    <w:t>/</w:t>
                  </w:r>
                </w:p>
              </w:tc>
              <w:tc>
                <w:tcPr>
                  <w:tcW w:w="519" w:type="dxa"/>
                  <w:tcBorders>
                    <w:bottom w:val="single" w:color="000000" w:sz="4" w:space="0"/>
                    <w:tl2br w:val="nil"/>
                    <w:tr2bl w:val="nil"/>
                  </w:tcBorders>
                  <w:vAlign w:val="center"/>
                </w:tcPr>
                <w:p>
                  <w:pPr>
                    <w:jc w:val="center"/>
                  </w:pPr>
                  <w:r>
                    <w:rPr>
                      <w:rFonts w:hint="eastAsia"/>
                    </w:rPr>
                    <w:t>固态</w:t>
                  </w:r>
                </w:p>
              </w:tc>
              <w:tc>
                <w:tcPr>
                  <w:tcW w:w="504" w:type="dxa"/>
                  <w:tcBorders>
                    <w:bottom w:val="single" w:color="000000" w:sz="4" w:space="0"/>
                    <w:tl2br w:val="nil"/>
                    <w:tr2bl w:val="nil"/>
                  </w:tcBorders>
                  <w:vAlign w:val="center"/>
                </w:tcPr>
                <w:p>
                  <w:pPr>
                    <w:jc w:val="center"/>
                  </w:pPr>
                  <w:r>
                    <w:rPr>
                      <w:rFonts w:hint="eastAsia"/>
                    </w:rPr>
                    <w:t>/</w:t>
                  </w:r>
                </w:p>
              </w:tc>
              <w:tc>
                <w:tcPr>
                  <w:tcW w:w="820" w:type="dxa"/>
                  <w:tcBorders>
                    <w:bottom w:val="single" w:color="000000" w:sz="4" w:space="0"/>
                    <w:tl2br w:val="nil"/>
                    <w:tr2bl w:val="nil"/>
                  </w:tcBorders>
                  <w:vAlign w:val="center"/>
                </w:tcPr>
                <w:p>
                  <w:pPr>
                    <w:jc w:val="center"/>
                  </w:pPr>
                  <w:r>
                    <w:rPr>
                      <w:rFonts w:hint="eastAsia"/>
                    </w:rPr>
                    <w:t>0.125</w:t>
                  </w:r>
                </w:p>
              </w:tc>
              <w:tc>
                <w:tcPr>
                  <w:tcW w:w="578" w:type="dxa"/>
                  <w:tcBorders>
                    <w:bottom w:val="single" w:color="000000" w:sz="4" w:space="0"/>
                    <w:tl2br w:val="nil"/>
                    <w:tr2bl w:val="nil"/>
                  </w:tcBorders>
                  <w:vAlign w:val="center"/>
                </w:tcPr>
                <w:p>
                  <w:pPr>
                    <w:jc w:val="center"/>
                  </w:pPr>
                  <w:r>
                    <w:rPr>
                      <w:rFonts w:hint="eastAsia"/>
                    </w:rPr>
                    <w:t>垃圾桶</w:t>
                  </w:r>
                </w:p>
              </w:tc>
              <w:tc>
                <w:tcPr>
                  <w:tcW w:w="656" w:type="dxa"/>
                  <w:tcBorders>
                    <w:bottom w:val="single" w:color="000000" w:sz="4" w:space="0"/>
                    <w:tl2br w:val="nil"/>
                    <w:tr2bl w:val="nil"/>
                  </w:tcBorders>
                  <w:vAlign w:val="center"/>
                </w:tcPr>
                <w:p>
                  <w:pPr>
                    <w:jc w:val="center"/>
                  </w:pPr>
                  <w:r>
                    <w:rPr>
                      <w:rFonts w:hint="eastAsia"/>
                    </w:rPr>
                    <w:t>垃圾填埋场</w:t>
                  </w:r>
                </w:p>
              </w:tc>
              <w:tc>
                <w:tcPr>
                  <w:tcW w:w="820" w:type="dxa"/>
                  <w:tcBorders>
                    <w:bottom w:val="single" w:color="000000" w:sz="4" w:space="0"/>
                    <w:tl2br w:val="nil"/>
                    <w:tr2bl w:val="nil"/>
                  </w:tcBorders>
                  <w:vAlign w:val="center"/>
                </w:tcPr>
                <w:p>
                  <w:pPr>
                    <w:jc w:val="center"/>
                  </w:pPr>
                  <w:r>
                    <w:rPr>
                      <w:rFonts w:hint="eastAsia"/>
                    </w:rPr>
                    <w:t>0.125</w:t>
                  </w:r>
                </w:p>
              </w:tc>
              <w:tc>
                <w:tcPr>
                  <w:tcW w:w="444" w:type="dxa"/>
                  <w:tcBorders>
                    <w:bottom w:val="single" w:color="000000" w:sz="4" w:space="0"/>
                    <w:tl2br w:val="nil"/>
                    <w:tr2bl w:val="nil"/>
                  </w:tcBorders>
                  <w:vAlign w:val="center"/>
                </w:tcPr>
                <w:p>
                  <w:pPr>
                    <w:jc w:val="center"/>
                  </w:pPr>
                  <w:r>
                    <w:rPr>
                      <w:rFonts w:hint="eastAsia"/>
                    </w:rPr>
                    <w:t>环卫部门定期清运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751" w:type="dxa"/>
                  <w:tcBorders>
                    <w:top w:val="single" w:color="000000" w:sz="4" w:space="0"/>
                    <w:tl2br w:val="nil"/>
                    <w:tr2bl w:val="nil"/>
                  </w:tcBorders>
                  <w:vAlign w:val="center"/>
                </w:tcPr>
                <w:p>
                  <w:pPr>
                    <w:jc w:val="center"/>
                  </w:pPr>
                  <w:r>
                    <w:rPr>
                      <w:rFonts w:hint="eastAsia"/>
                    </w:rPr>
                    <w:t>预处理</w:t>
                  </w:r>
                </w:p>
              </w:tc>
              <w:tc>
                <w:tcPr>
                  <w:tcW w:w="748" w:type="dxa"/>
                  <w:tcBorders>
                    <w:top w:val="single" w:color="000000" w:sz="4" w:space="0"/>
                    <w:tl2br w:val="nil"/>
                    <w:tr2bl w:val="nil"/>
                  </w:tcBorders>
                  <w:vAlign w:val="center"/>
                </w:tcPr>
                <w:p>
                  <w:pPr>
                    <w:jc w:val="center"/>
                  </w:pPr>
                  <w:r>
                    <w:rPr>
                      <w:rFonts w:hint="eastAsia"/>
                    </w:rPr>
                    <w:t>预处理废物（玉米头、苞叶、穗丝、不合格产品）</w:t>
                  </w:r>
                </w:p>
              </w:tc>
              <w:tc>
                <w:tcPr>
                  <w:tcW w:w="1653" w:type="dxa"/>
                  <w:tcBorders>
                    <w:top w:val="single" w:color="000000" w:sz="4" w:space="0"/>
                    <w:tl2br w:val="nil"/>
                    <w:tr2bl w:val="nil"/>
                  </w:tcBorders>
                  <w:vAlign w:val="center"/>
                </w:tcPr>
                <w:p>
                  <w:pPr>
                    <w:jc w:val="center"/>
                    <w:rPr>
                      <w:u w:val="single"/>
                    </w:rPr>
                  </w:pPr>
                  <w:r>
                    <w:rPr>
                      <w:rFonts w:hint="eastAsia"/>
                      <w:u w:val="single"/>
                    </w:rPr>
                    <w:t>一般固废SW13</w:t>
                  </w:r>
                </w:p>
                <w:p>
                  <w:pPr>
                    <w:jc w:val="center"/>
                    <w:rPr>
                      <w:u w:val="single"/>
                    </w:rPr>
                  </w:pPr>
                  <w:r>
                    <w:rPr>
                      <w:rFonts w:hint="eastAsia"/>
                      <w:u w:val="single"/>
                    </w:rPr>
                    <w:t>900-099-S13</w:t>
                  </w:r>
                </w:p>
                <w:p>
                  <w:pPr>
                    <w:jc w:val="center"/>
                    <w:rPr>
                      <w:u w:val="single"/>
                    </w:rPr>
                  </w:pPr>
                </w:p>
              </w:tc>
              <w:tc>
                <w:tcPr>
                  <w:tcW w:w="790" w:type="dxa"/>
                  <w:tcBorders>
                    <w:top w:val="single" w:color="000000" w:sz="4" w:space="0"/>
                    <w:tl2br w:val="nil"/>
                    <w:tr2bl w:val="nil"/>
                  </w:tcBorders>
                  <w:vAlign w:val="center"/>
                </w:tcPr>
                <w:p>
                  <w:pPr>
                    <w:jc w:val="center"/>
                  </w:pPr>
                  <w:r>
                    <w:rPr>
                      <w:rFonts w:hint="eastAsia"/>
                    </w:rPr>
                    <w:t>/</w:t>
                  </w:r>
                </w:p>
              </w:tc>
              <w:tc>
                <w:tcPr>
                  <w:tcW w:w="519" w:type="dxa"/>
                  <w:tcBorders>
                    <w:top w:val="single" w:color="000000" w:sz="4" w:space="0"/>
                    <w:tl2br w:val="nil"/>
                    <w:tr2bl w:val="nil"/>
                  </w:tcBorders>
                  <w:vAlign w:val="center"/>
                </w:tcPr>
                <w:p>
                  <w:pPr>
                    <w:jc w:val="center"/>
                  </w:pPr>
                  <w:r>
                    <w:rPr>
                      <w:rFonts w:hint="eastAsia"/>
                    </w:rPr>
                    <w:t>固态</w:t>
                  </w:r>
                </w:p>
              </w:tc>
              <w:tc>
                <w:tcPr>
                  <w:tcW w:w="504" w:type="dxa"/>
                  <w:tcBorders>
                    <w:top w:val="single" w:color="000000" w:sz="4" w:space="0"/>
                    <w:tl2br w:val="nil"/>
                    <w:tr2bl w:val="nil"/>
                  </w:tcBorders>
                  <w:vAlign w:val="center"/>
                </w:tcPr>
                <w:p>
                  <w:pPr>
                    <w:jc w:val="center"/>
                  </w:pPr>
                  <w:r>
                    <w:rPr>
                      <w:rFonts w:hint="eastAsia"/>
                    </w:rPr>
                    <w:t>/</w:t>
                  </w:r>
                </w:p>
              </w:tc>
              <w:tc>
                <w:tcPr>
                  <w:tcW w:w="820" w:type="dxa"/>
                  <w:tcBorders>
                    <w:top w:val="single" w:color="000000" w:sz="4" w:space="0"/>
                    <w:tl2br w:val="nil"/>
                    <w:tr2bl w:val="nil"/>
                  </w:tcBorders>
                  <w:vAlign w:val="center"/>
                </w:tcPr>
                <w:p>
                  <w:pPr>
                    <w:jc w:val="center"/>
                  </w:pPr>
                  <w:r>
                    <w:rPr>
                      <w:rFonts w:hint="eastAsia"/>
                    </w:rPr>
                    <w:t>680.4</w:t>
                  </w:r>
                </w:p>
              </w:tc>
              <w:tc>
                <w:tcPr>
                  <w:tcW w:w="578" w:type="dxa"/>
                  <w:tcBorders>
                    <w:top w:val="single" w:color="000000" w:sz="4" w:space="0"/>
                    <w:tl2br w:val="nil"/>
                    <w:tr2bl w:val="nil"/>
                  </w:tcBorders>
                  <w:vAlign w:val="center"/>
                </w:tcPr>
                <w:p>
                  <w:pPr>
                    <w:jc w:val="center"/>
                  </w:pPr>
                  <w:r>
                    <w:rPr>
                      <w:rFonts w:hint="eastAsia"/>
                    </w:rPr>
                    <w:t>固废暂存区</w:t>
                  </w:r>
                </w:p>
              </w:tc>
              <w:tc>
                <w:tcPr>
                  <w:tcW w:w="656" w:type="dxa"/>
                  <w:tcBorders>
                    <w:top w:val="single" w:color="000000" w:sz="4" w:space="0"/>
                    <w:tl2br w:val="nil"/>
                    <w:tr2bl w:val="nil"/>
                  </w:tcBorders>
                  <w:vAlign w:val="center"/>
                </w:tcPr>
                <w:p>
                  <w:pPr>
                    <w:jc w:val="center"/>
                  </w:pPr>
                  <w:r>
                    <w:rPr>
                      <w:rFonts w:hint="eastAsia"/>
                    </w:rPr>
                    <w:t>饲料厂</w:t>
                  </w:r>
                </w:p>
              </w:tc>
              <w:tc>
                <w:tcPr>
                  <w:tcW w:w="820" w:type="dxa"/>
                  <w:tcBorders>
                    <w:top w:val="single" w:color="000000" w:sz="4" w:space="0"/>
                    <w:tl2br w:val="nil"/>
                    <w:tr2bl w:val="nil"/>
                  </w:tcBorders>
                  <w:vAlign w:val="center"/>
                </w:tcPr>
                <w:p>
                  <w:pPr>
                    <w:jc w:val="center"/>
                  </w:pPr>
                  <w:r>
                    <w:rPr>
                      <w:rFonts w:hint="eastAsia"/>
                    </w:rPr>
                    <w:t>680.4</w:t>
                  </w:r>
                </w:p>
              </w:tc>
              <w:tc>
                <w:tcPr>
                  <w:tcW w:w="444" w:type="dxa"/>
                  <w:tcBorders>
                    <w:top w:val="single" w:color="000000" w:sz="4" w:space="0"/>
                    <w:tl2br w:val="nil"/>
                    <w:tr2bl w:val="nil"/>
                  </w:tcBorders>
                  <w:vAlign w:val="center"/>
                </w:tcPr>
                <w:p>
                  <w:pPr>
                    <w:jc w:val="center"/>
                  </w:pPr>
                  <w:r>
                    <w:rPr>
                      <w:rFonts w:hint="eastAsia"/>
                    </w:rPr>
                    <w:t>综合利用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51" w:type="dxa"/>
                  <w:tcBorders>
                    <w:tl2br w:val="nil"/>
                    <w:tr2bl w:val="nil"/>
                  </w:tcBorders>
                  <w:vAlign w:val="center"/>
                </w:tcPr>
                <w:p>
                  <w:pPr>
                    <w:jc w:val="center"/>
                  </w:pPr>
                  <w:r>
                    <w:t>锅炉</w:t>
                  </w:r>
                </w:p>
              </w:tc>
              <w:tc>
                <w:tcPr>
                  <w:tcW w:w="748" w:type="dxa"/>
                  <w:tcBorders>
                    <w:tl2br w:val="nil"/>
                    <w:tr2bl w:val="nil"/>
                  </w:tcBorders>
                  <w:vAlign w:val="center"/>
                </w:tcPr>
                <w:p>
                  <w:pPr>
                    <w:jc w:val="center"/>
                  </w:pPr>
                  <w:r>
                    <w:rPr>
                      <w:rFonts w:hint="eastAsia"/>
                    </w:rPr>
                    <w:t>锅炉</w:t>
                  </w:r>
                  <w:r>
                    <w:t>灰渣</w:t>
                  </w:r>
                </w:p>
              </w:tc>
              <w:tc>
                <w:tcPr>
                  <w:tcW w:w="1653" w:type="dxa"/>
                  <w:tcBorders>
                    <w:tl2br w:val="nil"/>
                    <w:tr2bl w:val="nil"/>
                  </w:tcBorders>
                  <w:vAlign w:val="center"/>
                </w:tcPr>
                <w:p>
                  <w:pPr>
                    <w:jc w:val="center"/>
                    <w:rPr>
                      <w:u w:val="single"/>
                    </w:rPr>
                  </w:pPr>
                  <w:r>
                    <w:rPr>
                      <w:rFonts w:hint="eastAsia"/>
                      <w:u w:val="single"/>
                    </w:rPr>
                    <w:t>一般固废SW03</w:t>
                  </w:r>
                </w:p>
                <w:p>
                  <w:pPr>
                    <w:jc w:val="center"/>
                    <w:rPr>
                      <w:u w:val="single"/>
                    </w:rPr>
                  </w:pPr>
                  <w:r>
                    <w:rPr>
                      <w:rFonts w:hint="eastAsia"/>
                      <w:u w:val="single"/>
                    </w:rPr>
                    <w:t xml:space="preserve">900-099-S03 </w:t>
                  </w:r>
                </w:p>
                <w:p>
                  <w:pPr>
                    <w:jc w:val="center"/>
                    <w:rPr>
                      <w:u w:val="single"/>
                    </w:rPr>
                  </w:pPr>
                </w:p>
              </w:tc>
              <w:tc>
                <w:tcPr>
                  <w:tcW w:w="790" w:type="dxa"/>
                  <w:tcBorders>
                    <w:tl2br w:val="nil"/>
                    <w:tr2bl w:val="nil"/>
                  </w:tcBorders>
                  <w:vAlign w:val="center"/>
                </w:tcPr>
                <w:p>
                  <w:pPr>
                    <w:jc w:val="center"/>
                  </w:pPr>
                  <w:r>
                    <w:rPr>
                      <w:rFonts w:hint="eastAsia"/>
                    </w:rPr>
                    <w:t>/</w:t>
                  </w:r>
                </w:p>
              </w:tc>
              <w:tc>
                <w:tcPr>
                  <w:tcW w:w="519" w:type="dxa"/>
                  <w:tcBorders>
                    <w:tl2br w:val="nil"/>
                    <w:tr2bl w:val="nil"/>
                  </w:tcBorders>
                  <w:vAlign w:val="center"/>
                </w:tcPr>
                <w:p>
                  <w:pPr>
                    <w:jc w:val="center"/>
                  </w:pPr>
                  <w:r>
                    <w:rPr>
                      <w:rFonts w:hint="eastAsia"/>
                    </w:rPr>
                    <w:t>固态</w:t>
                  </w:r>
                </w:p>
              </w:tc>
              <w:tc>
                <w:tcPr>
                  <w:tcW w:w="504" w:type="dxa"/>
                  <w:tcBorders>
                    <w:tl2br w:val="nil"/>
                    <w:tr2bl w:val="nil"/>
                  </w:tcBorders>
                  <w:vAlign w:val="center"/>
                </w:tcPr>
                <w:p>
                  <w:pPr>
                    <w:jc w:val="center"/>
                  </w:pPr>
                  <w:r>
                    <w:rPr>
                      <w:rFonts w:hint="eastAsia"/>
                    </w:rPr>
                    <w:t>/</w:t>
                  </w:r>
                </w:p>
              </w:tc>
              <w:tc>
                <w:tcPr>
                  <w:tcW w:w="820" w:type="dxa"/>
                  <w:tcBorders>
                    <w:tl2br w:val="nil"/>
                    <w:tr2bl w:val="nil"/>
                  </w:tcBorders>
                  <w:vAlign w:val="center"/>
                </w:tcPr>
                <w:p>
                  <w:pPr>
                    <w:jc w:val="center"/>
                  </w:pPr>
                  <w:r>
                    <w:rPr>
                      <w:rFonts w:hint="eastAsia"/>
                    </w:rPr>
                    <w:t>15.339</w:t>
                  </w:r>
                </w:p>
              </w:tc>
              <w:tc>
                <w:tcPr>
                  <w:tcW w:w="578" w:type="dxa"/>
                  <w:tcBorders>
                    <w:tl2br w:val="nil"/>
                    <w:tr2bl w:val="nil"/>
                  </w:tcBorders>
                  <w:vAlign w:val="center"/>
                </w:tcPr>
                <w:p>
                  <w:pPr>
                    <w:jc w:val="center"/>
                  </w:pPr>
                  <w:r>
                    <w:rPr>
                      <w:rFonts w:hint="eastAsia"/>
                    </w:rPr>
                    <w:t>袋装暂存于灰渣区</w:t>
                  </w:r>
                </w:p>
              </w:tc>
              <w:tc>
                <w:tcPr>
                  <w:tcW w:w="656" w:type="dxa"/>
                  <w:tcBorders>
                    <w:tl2br w:val="nil"/>
                    <w:tr2bl w:val="nil"/>
                  </w:tcBorders>
                  <w:vAlign w:val="center"/>
                </w:tcPr>
                <w:p>
                  <w:pPr>
                    <w:jc w:val="center"/>
                  </w:pPr>
                  <w:r>
                    <w:rPr>
                      <w:rFonts w:hint="eastAsia"/>
                    </w:rPr>
                    <w:t>暂存于锅炉房灰渣间，定期外售有机肥厂。</w:t>
                  </w:r>
                </w:p>
              </w:tc>
              <w:tc>
                <w:tcPr>
                  <w:tcW w:w="820" w:type="dxa"/>
                  <w:tcBorders>
                    <w:tl2br w:val="nil"/>
                    <w:tr2bl w:val="nil"/>
                  </w:tcBorders>
                  <w:vAlign w:val="center"/>
                </w:tcPr>
                <w:p>
                  <w:pPr>
                    <w:jc w:val="center"/>
                  </w:pPr>
                  <w:r>
                    <w:rPr>
                      <w:rFonts w:hint="eastAsia"/>
                    </w:rPr>
                    <w:t>15.339</w:t>
                  </w:r>
                </w:p>
              </w:tc>
              <w:tc>
                <w:tcPr>
                  <w:tcW w:w="444" w:type="dxa"/>
                  <w:tcBorders>
                    <w:tl2br w:val="nil"/>
                    <w:tr2bl w:val="nil"/>
                  </w:tcBorders>
                  <w:vAlign w:val="center"/>
                </w:tcPr>
                <w:p>
                  <w:pPr>
                    <w:jc w:val="center"/>
                  </w:pPr>
                  <w:r>
                    <w:rPr>
                      <w:rFonts w:hint="eastAsia"/>
                    </w:rPr>
                    <w:t>综合利用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51" w:type="dxa"/>
                  <w:tcBorders>
                    <w:tl2br w:val="nil"/>
                    <w:tr2bl w:val="nil"/>
                  </w:tcBorders>
                  <w:vAlign w:val="center"/>
                </w:tcPr>
                <w:p>
                  <w:pPr>
                    <w:jc w:val="center"/>
                  </w:pPr>
                  <w:r>
                    <w:rPr>
                      <w:rFonts w:hint="eastAsia"/>
                    </w:rPr>
                    <w:t>废气治理</w:t>
                  </w:r>
                </w:p>
              </w:tc>
              <w:tc>
                <w:tcPr>
                  <w:tcW w:w="748" w:type="dxa"/>
                  <w:tcBorders>
                    <w:tl2br w:val="nil"/>
                    <w:tr2bl w:val="nil"/>
                  </w:tcBorders>
                  <w:vAlign w:val="center"/>
                </w:tcPr>
                <w:p>
                  <w:pPr>
                    <w:jc w:val="center"/>
                  </w:pPr>
                  <w:r>
                    <w:t>布袋除尘器收集灰</w:t>
                  </w:r>
                </w:p>
              </w:tc>
              <w:tc>
                <w:tcPr>
                  <w:tcW w:w="1653" w:type="dxa"/>
                  <w:tcBorders>
                    <w:tl2br w:val="nil"/>
                    <w:tr2bl w:val="nil"/>
                  </w:tcBorders>
                  <w:vAlign w:val="center"/>
                </w:tcPr>
                <w:p>
                  <w:pPr>
                    <w:jc w:val="center"/>
                    <w:rPr>
                      <w:u w:val="single"/>
                    </w:rPr>
                  </w:pPr>
                  <w:r>
                    <w:rPr>
                      <w:rFonts w:hint="eastAsia"/>
                      <w:u w:val="single"/>
                    </w:rPr>
                    <w:t>一般固废SW59</w:t>
                  </w:r>
                </w:p>
                <w:p>
                  <w:pPr>
                    <w:jc w:val="center"/>
                    <w:rPr>
                      <w:u w:val="single"/>
                    </w:rPr>
                  </w:pPr>
                  <w:r>
                    <w:rPr>
                      <w:rFonts w:hint="eastAsia"/>
                      <w:u w:val="single"/>
                    </w:rPr>
                    <w:t>900-099-59</w:t>
                  </w:r>
                </w:p>
              </w:tc>
              <w:tc>
                <w:tcPr>
                  <w:tcW w:w="790" w:type="dxa"/>
                  <w:tcBorders>
                    <w:tl2br w:val="nil"/>
                    <w:tr2bl w:val="nil"/>
                  </w:tcBorders>
                  <w:vAlign w:val="center"/>
                </w:tcPr>
                <w:p>
                  <w:pPr>
                    <w:jc w:val="center"/>
                  </w:pPr>
                  <w:r>
                    <w:rPr>
                      <w:rFonts w:hint="eastAsia"/>
                    </w:rPr>
                    <w:t>/</w:t>
                  </w:r>
                </w:p>
              </w:tc>
              <w:tc>
                <w:tcPr>
                  <w:tcW w:w="519" w:type="dxa"/>
                  <w:tcBorders>
                    <w:tl2br w:val="nil"/>
                    <w:tr2bl w:val="nil"/>
                  </w:tcBorders>
                  <w:vAlign w:val="center"/>
                </w:tcPr>
                <w:p>
                  <w:pPr>
                    <w:jc w:val="center"/>
                  </w:pPr>
                  <w:r>
                    <w:rPr>
                      <w:rFonts w:hint="eastAsia"/>
                    </w:rPr>
                    <w:t>固态</w:t>
                  </w:r>
                </w:p>
              </w:tc>
              <w:tc>
                <w:tcPr>
                  <w:tcW w:w="504" w:type="dxa"/>
                  <w:tcBorders>
                    <w:tl2br w:val="nil"/>
                    <w:tr2bl w:val="nil"/>
                  </w:tcBorders>
                  <w:vAlign w:val="center"/>
                </w:tcPr>
                <w:p>
                  <w:pPr>
                    <w:jc w:val="center"/>
                  </w:pPr>
                  <w:r>
                    <w:rPr>
                      <w:rFonts w:hint="eastAsia"/>
                    </w:rPr>
                    <w:t>/</w:t>
                  </w:r>
                </w:p>
              </w:tc>
              <w:tc>
                <w:tcPr>
                  <w:tcW w:w="820" w:type="dxa"/>
                  <w:tcBorders>
                    <w:tl2br w:val="nil"/>
                    <w:tr2bl w:val="nil"/>
                  </w:tcBorders>
                  <w:vAlign w:val="center"/>
                </w:tcPr>
                <w:p>
                  <w:pPr>
                    <w:jc w:val="center"/>
                  </w:pPr>
                  <w:r>
                    <w:rPr>
                      <w:rFonts w:hint="eastAsia"/>
                    </w:rPr>
                    <w:t>3.8</w:t>
                  </w:r>
                </w:p>
              </w:tc>
              <w:tc>
                <w:tcPr>
                  <w:tcW w:w="578" w:type="dxa"/>
                  <w:tcBorders>
                    <w:tl2br w:val="nil"/>
                    <w:tr2bl w:val="nil"/>
                  </w:tcBorders>
                  <w:vAlign w:val="center"/>
                </w:tcPr>
                <w:p>
                  <w:pPr>
                    <w:jc w:val="center"/>
                  </w:pPr>
                  <w:r>
                    <w:rPr>
                      <w:rFonts w:hint="eastAsia"/>
                    </w:rPr>
                    <w:t>袋装暂存于灰渣间</w:t>
                  </w:r>
                </w:p>
              </w:tc>
              <w:tc>
                <w:tcPr>
                  <w:tcW w:w="656" w:type="dxa"/>
                  <w:tcBorders>
                    <w:tl2br w:val="nil"/>
                    <w:tr2bl w:val="nil"/>
                  </w:tcBorders>
                  <w:vAlign w:val="center"/>
                </w:tcPr>
                <w:p>
                  <w:pPr>
                    <w:jc w:val="center"/>
                  </w:pPr>
                  <w:r>
                    <w:rPr>
                      <w:rFonts w:hint="eastAsia"/>
                    </w:rPr>
                    <w:t>暂存于锅炉房灰渣间，</w:t>
                  </w:r>
                  <w:r>
                    <w:rPr>
                      <w:rFonts w:hint="eastAsia"/>
                      <w:szCs w:val="21"/>
                    </w:rPr>
                    <w:t>外售有机肥厂</w:t>
                  </w:r>
                  <w:r>
                    <w:rPr>
                      <w:rFonts w:hint="eastAsia"/>
                    </w:rPr>
                    <w:t>。</w:t>
                  </w:r>
                </w:p>
              </w:tc>
              <w:tc>
                <w:tcPr>
                  <w:tcW w:w="820" w:type="dxa"/>
                  <w:tcBorders>
                    <w:tl2br w:val="nil"/>
                    <w:tr2bl w:val="nil"/>
                  </w:tcBorders>
                  <w:vAlign w:val="center"/>
                </w:tcPr>
                <w:p>
                  <w:pPr>
                    <w:jc w:val="center"/>
                  </w:pPr>
                  <w:r>
                    <w:rPr>
                      <w:rFonts w:hint="eastAsia"/>
                    </w:rPr>
                    <w:t>3.8</w:t>
                  </w:r>
                </w:p>
              </w:tc>
              <w:tc>
                <w:tcPr>
                  <w:tcW w:w="444" w:type="dxa"/>
                  <w:tcBorders>
                    <w:tl2br w:val="nil"/>
                    <w:tr2bl w:val="nil"/>
                  </w:tcBorders>
                  <w:vAlign w:val="center"/>
                </w:tcPr>
                <w:p>
                  <w:pPr>
                    <w:jc w:val="center"/>
                  </w:pPr>
                  <w:r>
                    <w:rPr>
                      <w:rFonts w:hint="eastAsia"/>
                    </w:rPr>
                    <w:t>综合利用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51" w:type="dxa"/>
                  <w:tcBorders>
                    <w:tl2br w:val="nil"/>
                    <w:tr2bl w:val="nil"/>
                  </w:tcBorders>
                  <w:vAlign w:val="center"/>
                </w:tcPr>
                <w:p>
                  <w:pPr>
                    <w:jc w:val="center"/>
                  </w:pPr>
                  <w:r>
                    <w:rPr>
                      <w:rFonts w:hint="eastAsia"/>
                    </w:rPr>
                    <w:t>废气治理</w:t>
                  </w:r>
                </w:p>
              </w:tc>
              <w:tc>
                <w:tcPr>
                  <w:tcW w:w="748" w:type="dxa"/>
                  <w:tcBorders>
                    <w:tl2br w:val="nil"/>
                    <w:tr2bl w:val="nil"/>
                  </w:tcBorders>
                  <w:vAlign w:val="center"/>
                </w:tcPr>
                <w:p>
                  <w:pPr>
                    <w:jc w:val="center"/>
                  </w:pPr>
                  <w:r>
                    <w:rPr>
                      <w:rFonts w:hint="eastAsia"/>
                    </w:rPr>
                    <w:t>废布袋</w:t>
                  </w:r>
                </w:p>
              </w:tc>
              <w:tc>
                <w:tcPr>
                  <w:tcW w:w="1653" w:type="dxa"/>
                  <w:tcBorders>
                    <w:tl2br w:val="nil"/>
                    <w:tr2bl w:val="nil"/>
                  </w:tcBorders>
                  <w:vAlign w:val="center"/>
                </w:tcPr>
                <w:p>
                  <w:pPr>
                    <w:jc w:val="center"/>
                    <w:rPr>
                      <w:u w:val="single"/>
                    </w:rPr>
                  </w:pPr>
                  <w:r>
                    <w:rPr>
                      <w:rFonts w:hint="eastAsia"/>
                      <w:u w:val="single"/>
                    </w:rPr>
                    <w:t>一般固废SW59</w:t>
                  </w:r>
                </w:p>
                <w:p>
                  <w:pPr>
                    <w:jc w:val="center"/>
                    <w:rPr>
                      <w:u w:val="single"/>
                    </w:rPr>
                  </w:pPr>
                  <w:r>
                    <w:rPr>
                      <w:rFonts w:hint="eastAsia"/>
                      <w:u w:val="single"/>
                    </w:rPr>
                    <w:t>900-099-59</w:t>
                  </w:r>
                </w:p>
              </w:tc>
              <w:tc>
                <w:tcPr>
                  <w:tcW w:w="790" w:type="dxa"/>
                  <w:tcBorders>
                    <w:tl2br w:val="nil"/>
                    <w:tr2bl w:val="nil"/>
                  </w:tcBorders>
                  <w:vAlign w:val="center"/>
                </w:tcPr>
                <w:p>
                  <w:pPr>
                    <w:jc w:val="center"/>
                  </w:pPr>
                  <w:r>
                    <w:rPr>
                      <w:rFonts w:hint="eastAsia"/>
                    </w:rPr>
                    <w:t>/</w:t>
                  </w:r>
                </w:p>
              </w:tc>
              <w:tc>
                <w:tcPr>
                  <w:tcW w:w="519" w:type="dxa"/>
                  <w:tcBorders>
                    <w:tl2br w:val="nil"/>
                    <w:tr2bl w:val="nil"/>
                  </w:tcBorders>
                  <w:vAlign w:val="center"/>
                </w:tcPr>
                <w:p>
                  <w:pPr>
                    <w:jc w:val="center"/>
                  </w:pPr>
                  <w:r>
                    <w:rPr>
                      <w:rFonts w:hint="eastAsia"/>
                    </w:rPr>
                    <w:t>固态</w:t>
                  </w:r>
                </w:p>
              </w:tc>
              <w:tc>
                <w:tcPr>
                  <w:tcW w:w="504" w:type="dxa"/>
                  <w:tcBorders>
                    <w:tl2br w:val="nil"/>
                    <w:tr2bl w:val="nil"/>
                  </w:tcBorders>
                  <w:vAlign w:val="center"/>
                </w:tcPr>
                <w:p>
                  <w:pPr>
                    <w:jc w:val="center"/>
                  </w:pPr>
                  <w:r>
                    <w:rPr>
                      <w:rFonts w:hint="eastAsia"/>
                    </w:rPr>
                    <w:t>/</w:t>
                  </w:r>
                </w:p>
              </w:tc>
              <w:tc>
                <w:tcPr>
                  <w:tcW w:w="820" w:type="dxa"/>
                  <w:tcBorders>
                    <w:tl2br w:val="nil"/>
                    <w:tr2bl w:val="nil"/>
                  </w:tcBorders>
                  <w:vAlign w:val="center"/>
                </w:tcPr>
                <w:p>
                  <w:pPr>
                    <w:jc w:val="center"/>
                  </w:pPr>
                  <w:r>
                    <w:rPr>
                      <w:rFonts w:hint="eastAsia"/>
                    </w:rPr>
                    <w:t>0.2</w:t>
                  </w:r>
                </w:p>
              </w:tc>
              <w:tc>
                <w:tcPr>
                  <w:tcW w:w="578" w:type="dxa"/>
                  <w:tcBorders>
                    <w:tl2br w:val="nil"/>
                    <w:tr2bl w:val="nil"/>
                  </w:tcBorders>
                  <w:vAlign w:val="center"/>
                </w:tcPr>
                <w:p>
                  <w:pPr>
                    <w:jc w:val="center"/>
                  </w:pPr>
                  <w:r>
                    <w:rPr>
                      <w:rFonts w:hint="eastAsia"/>
                    </w:rPr>
                    <w:t>垃圾桶</w:t>
                  </w:r>
                </w:p>
              </w:tc>
              <w:tc>
                <w:tcPr>
                  <w:tcW w:w="656" w:type="dxa"/>
                  <w:tcBorders>
                    <w:tl2br w:val="nil"/>
                    <w:tr2bl w:val="nil"/>
                  </w:tcBorders>
                  <w:vAlign w:val="center"/>
                </w:tcPr>
                <w:p>
                  <w:pPr>
                    <w:jc w:val="center"/>
                  </w:pPr>
                  <w:r>
                    <w:rPr>
                      <w:rFonts w:hint="eastAsia"/>
                    </w:rPr>
                    <w:t>垃圾填埋场</w:t>
                  </w:r>
                </w:p>
              </w:tc>
              <w:tc>
                <w:tcPr>
                  <w:tcW w:w="820" w:type="dxa"/>
                  <w:tcBorders>
                    <w:tl2br w:val="nil"/>
                    <w:tr2bl w:val="nil"/>
                  </w:tcBorders>
                  <w:vAlign w:val="center"/>
                </w:tcPr>
                <w:p>
                  <w:pPr>
                    <w:jc w:val="center"/>
                  </w:pPr>
                  <w:r>
                    <w:rPr>
                      <w:rFonts w:hint="eastAsia"/>
                    </w:rPr>
                    <w:t>0.2</w:t>
                  </w:r>
                </w:p>
              </w:tc>
              <w:tc>
                <w:tcPr>
                  <w:tcW w:w="444" w:type="dxa"/>
                  <w:tcBorders>
                    <w:tl2br w:val="nil"/>
                    <w:tr2bl w:val="nil"/>
                  </w:tcBorders>
                  <w:vAlign w:val="center"/>
                </w:tcPr>
                <w:p>
                  <w:pPr>
                    <w:jc w:val="center"/>
                  </w:pPr>
                  <w:r>
                    <w:rPr>
                      <w:rFonts w:hint="eastAsia"/>
                    </w:rPr>
                    <w:t>环卫部门定期清运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51" w:type="dxa"/>
                  <w:tcBorders>
                    <w:tl2br w:val="nil"/>
                    <w:tr2bl w:val="nil"/>
                  </w:tcBorders>
                  <w:vAlign w:val="center"/>
                </w:tcPr>
                <w:p>
                  <w:pPr>
                    <w:jc w:val="center"/>
                  </w:pPr>
                  <w:r>
                    <w:rPr>
                      <w:rFonts w:hint="eastAsia"/>
                    </w:rPr>
                    <w:t>水处理</w:t>
                  </w:r>
                </w:p>
              </w:tc>
              <w:tc>
                <w:tcPr>
                  <w:tcW w:w="748" w:type="dxa"/>
                  <w:tcBorders>
                    <w:tl2br w:val="nil"/>
                    <w:tr2bl w:val="nil"/>
                  </w:tcBorders>
                  <w:vAlign w:val="center"/>
                </w:tcPr>
                <w:p>
                  <w:pPr>
                    <w:jc w:val="center"/>
                  </w:pPr>
                  <w:r>
                    <w:rPr>
                      <w:rFonts w:hint="eastAsia"/>
                    </w:rPr>
                    <w:t>废树脂</w:t>
                  </w:r>
                </w:p>
              </w:tc>
              <w:tc>
                <w:tcPr>
                  <w:tcW w:w="1653" w:type="dxa"/>
                  <w:tcBorders>
                    <w:tl2br w:val="nil"/>
                    <w:tr2bl w:val="nil"/>
                  </w:tcBorders>
                  <w:vAlign w:val="center"/>
                </w:tcPr>
                <w:p>
                  <w:pPr>
                    <w:jc w:val="center"/>
                    <w:rPr>
                      <w:u w:val="single"/>
                    </w:rPr>
                  </w:pPr>
                  <w:r>
                    <w:rPr>
                      <w:rFonts w:hint="eastAsia"/>
                      <w:u w:val="single"/>
                    </w:rPr>
                    <w:t>一般固废SW59</w:t>
                  </w:r>
                </w:p>
                <w:p>
                  <w:pPr>
                    <w:jc w:val="center"/>
                    <w:rPr>
                      <w:u w:val="single"/>
                    </w:rPr>
                  </w:pPr>
                  <w:r>
                    <w:rPr>
                      <w:rFonts w:hint="eastAsia"/>
                      <w:u w:val="single"/>
                    </w:rPr>
                    <w:t>900-008-S59</w:t>
                  </w:r>
                </w:p>
                <w:p>
                  <w:pPr>
                    <w:jc w:val="center"/>
                    <w:rPr>
                      <w:u w:val="single"/>
                    </w:rPr>
                  </w:pPr>
                </w:p>
              </w:tc>
              <w:tc>
                <w:tcPr>
                  <w:tcW w:w="790" w:type="dxa"/>
                  <w:tcBorders>
                    <w:tl2br w:val="nil"/>
                    <w:tr2bl w:val="nil"/>
                  </w:tcBorders>
                  <w:vAlign w:val="center"/>
                </w:tcPr>
                <w:p>
                  <w:pPr>
                    <w:jc w:val="center"/>
                  </w:pPr>
                  <w:r>
                    <w:rPr>
                      <w:rFonts w:hint="eastAsia"/>
                    </w:rPr>
                    <w:t>/</w:t>
                  </w:r>
                </w:p>
              </w:tc>
              <w:tc>
                <w:tcPr>
                  <w:tcW w:w="519" w:type="dxa"/>
                  <w:tcBorders>
                    <w:tl2br w:val="nil"/>
                    <w:tr2bl w:val="nil"/>
                  </w:tcBorders>
                  <w:vAlign w:val="center"/>
                </w:tcPr>
                <w:p>
                  <w:pPr>
                    <w:jc w:val="center"/>
                  </w:pPr>
                  <w:r>
                    <w:rPr>
                      <w:rFonts w:hint="eastAsia"/>
                    </w:rPr>
                    <w:t>固态</w:t>
                  </w:r>
                </w:p>
              </w:tc>
              <w:tc>
                <w:tcPr>
                  <w:tcW w:w="504" w:type="dxa"/>
                  <w:tcBorders>
                    <w:tl2br w:val="nil"/>
                    <w:tr2bl w:val="nil"/>
                  </w:tcBorders>
                  <w:vAlign w:val="center"/>
                </w:tcPr>
                <w:p>
                  <w:pPr>
                    <w:jc w:val="center"/>
                  </w:pPr>
                  <w:r>
                    <w:rPr>
                      <w:rFonts w:hint="eastAsia"/>
                    </w:rPr>
                    <w:t>/</w:t>
                  </w:r>
                </w:p>
              </w:tc>
              <w:tc>
                <w:tcPr>
                  <w:tcW w:w="820" w:type="dxa"/>
                  <w:tcBorders>
                    <w:tl2br w:val="nil"/>
                    <w:tr2bl w:val="nil"/>
                  </w:tcBorders>
                  <w:vAlign w:val="center"/>
                </w:tcPr>
                <w:p>
                  <w:pPr>
                    <w:jc w:val="center"/>
                  </w:pPr>
                  <w:r>
                    <w:rPr>
                      <w:rFonts w:hint="eastAsia"/>
                    </w:rPr>
                    <w:t>0.01</w:t>
                  </w:r>
                </w:p>
              </w:tc>
              <w:tc>
                <w:tcPr>
                  <w:tcW w:w="578" w:type="dxa"/>
                  <w:tcBorders>
                    <w:tl2br w:val="nil"/>
                    <w:tr2bl w:val="nil"/>
                  </w:tcBorders>
                  <w:vAlign w:val="center"/>
                </w:tcPr>
                <w:p>
                  <w:pPr>
                    <w:jc w:val="center"/>
                  </w:pPr>
                  <w:r>
                    <w:rPr>
                      <w:rFonts w:hint="eastAsia"/>
                    </w:rPr>
                    <w:t>不贮存</w:t>
                  </w:r>
                </w:p>
              </w:tc>
              <w:tc>
                <w:tcPr>
                  <w:tcW w:w="656" w:type="dxa"/>
                  <w:tcBorders>
                    <w:tl2br w:val="nil"/>
                    <w:tr2bl w:val="nil"/>
                  </w:tcBorders>
                  <w:vAlign w:val="center"/>
                </w:tcPr>
                <w:p>
                  <w:pPr>
                    <w:jc w:val="center"/>
                  </w:pPr>
                  <w:r>
                    <w:rPr>
                      <w:rFonts w:hint="eastAsia"/>
                    </w:rPr>
                    <w:t>厂家回收</w:t>
                  </w:r>
                </w:p>
              </w:tc>
              <w:tc>
                <w:tcPr>
                  <w:tcW w:w="820" w:type="dxa"/>
                  <w:tcBorders>
                    <w:tl2br w:val="nil"/>
                    <w:tr2bl w:val="nil"/>
                  </w:tcBorders>
                  <w:vAlign w:val="center"/>
                </w:tcPr>
                <w:p>
                  <w:pPr>
                    <w:jc w:val="center"/>
                  </w:pPr>
                  <w:r>
                    <w:rPr>
                      <w:rFonts w:hint="eastAsia"/>
                    </w:rPr>
                    <w:t>0.01</w:t>
                  </w:r>
                </w:p>
              </w:tc>
              <w:tc>
                <w:tcPr>
                  <w:tcW w:w="444" w:type="dxa"/>
                  <w:tcBorders>
                    <w:tl2br w:val="nil"/>
                    <w:tr2bl w:val="nil"/>
                  </w:tcBorders>
                  <w:vAlign w:val="center"/>
                </w:tcPr>
                <w:p>
                  <w:pPr>
                    <w:jc w:val="center"/>
                  </w:pPr>
                  <w:r>
                    <w:rPr>
                      <w:rFonts w:hint="eastAsia"/>
                    </w:rPr>
                    <w:t>综合利用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51" w:type="dxa"/>
                  <w:tcBorders>
                    <w:tl2br w:val="nil"/>
                    <w:tr2bl w:val="nil"/>
                  </w:tcBorders>
                  <w:vAlign w:val="center"/>
                </w:tcPr>
                <w:p>
                  <w:pPr>
                    <w:jc w:val="center"/>
                  </w:pPr>
                  <w:r>
                    <w:rPr>
                      <w:rFonts w:hint="eastAsia"/>
                    </w:rPr>
                    <w:t>设备维护</w:t>
                  </w:r>
                </w:p>
              </w:tc>
              <w:tc>
                <w:tcPr>
                  <w:tcW w:w="748" w:type="dxa"/>
                  <w:tcBorders>
                    <w:tl2br w:val="nil"/>
                    <w:tr2bl w:val="nil"/>
                  </w:tcBorders>
                  <w:vAlign w:val="center"/>
                </w:tcPr>
                <w:p>
                  <w:pPr>
                    <w:jc w:val="center"/>
                  </w:pPr>
                  <w:r>
                    <w:rPr>
                      <w:rFonts w:hint="eastAsia"/>
                    </w:rPr>
                    <w:t>废机油</w:t>
                  </w:r>
                </w:p>
              </w:tc>
              <w:tc>
                <w:tcPr>
                  <w:tcW w:w="1653" w:type="dxa"/>
                  <w:tcBorders>
                    <w:tl2br w:val="nil"/>
                    <w:tr2bl w:val="nil"/>
                  </w:tcBorders>
                  <w:vAlign w:val="center"/>
                </w:tcPr>
                <w:p>
                  <w:pPr>
                    <w:jc w:val="center"/>
                  </w:pPr>
                  <w:r>
                    <w:rPr>
                      <w:rFonts w:hint="eastAsia"/>
                    </w:rPr>
                    <w:t>危险废物HW08</w:t>
                  </w:r>
                </w:p>
                <w:p>
                  <w:pPr>
                    <w:jc w:val="center"/>
                  </w:pPr>
                  <w:r>
                    <w:rPr>
                      <w:rFonts w:hint="eastAsia"/>
                    </w:rPr>
                    <w:t>900-219-08</w:t>
                  </w:r>
                </w:p>
              </w:tc>
              <w:tc>
                <w:tcPr>
                  <w:tcW w:w="790" w:type="dxa"/>
                  <w:tcBorders>
                    <w:tl2br w:val="nil"/>
                    <w:tr2bl w:val="nil"/>
                  </w:tcBorders>
                  <w:vAlign w:val="center"/>
                </w:tcPr>
                <w:p>
                  <w:pPr>
                    <w:jc w:val="center"/>
                  </w:pPr>
                  <w:r>
                    <w:rPr>
                      <w:rFonts w:hint="eastAsia"/>
                    </w:rPr>
                    <w:t>废油</w:t>
                  </w:r>
                </w:p>
              </w:tc>
              <w:tc>
                <w:tcPr>
                  <w:tcW w:w="519" w:type="dxa"/>
                  <w:tcBorders>
                    <w:tl2br w:val="nil"/>
                    <w:tr2bl w:val="nil"/>
                  </w:tcBorders>
                  <w:vAlign w:val="center"/>
                </w:tcPr>
                <w:p>
                  <w:pPr>
                    <w:jc w:val="center"/>
                  </w:pPr>
                  <w:r>
                    <w:rPr>
                      <w:rFonts w:hint="eastAsia"/>
                    </w:rPr>
                    <w:t>液态</w:t>
                  </w:r>
                </w:p>
              </w:tc>
              <w:tc>
                <w:tcPr>
                  <w:tcW w:w="504" w:type="dxa"/>
                  <w:tcBorders>
                    <w:tl2br w:val="nil"/>
                    <w:tr2bl w:val="nil"/>
                  </w:tcBorders>
                  <w:vAlign w:val="center"/>
                </w:tcPr>
                <w:p>
                  <w:pPr>
                    <w:jc w:val="center"/>
                  </w:pPr>
                  <w:r>
                    <w:rPr>
                      <w:rFonts w:hint="eastAsia"/>
                    </w:rPr>
                    <w:t>T,I</w:t>
                  </w:r>
                </w:p>
              </w:tc>
              <w:tc>
                <w:tcPr>
                  <w:tcW w:w="820" w:type="dxa"/>
                  <w:tcBorders>
                    <w:tl2br w:val="nil"/>
                    <w:tr2bl w:val="nil"/>
                  </w:tcBorders>
                  <w:vAlign w:val="center"/>
                </w:tcPr>
                <w:p>
                  <w:pPr>
                    <w:jc w:val="center"/>
                  </w:pPr>
                  <w:r>
                    <w:rPr>
                      <w:rFonts w:hint="eastAsia"/>
                    </w:rPr>
                    <w:t>0.005</w:t>
                  </w:r>
                </w:p>
              </w:tc>
              <w:tc>
                <w:tcPr>
                  <w:tcW w:w="578" w:type="dxa"/>
                  <w:tcBorders>
                    <w:tl2br w:val="nil"/>
                    <w:tr2bl w:val="nil"/>
                  </w:tcBorders>
                  <w:vAlign w:val="center"/>
                </w:tcPr>
                <w:p>
                  <w:pPr>
                    <w:jc w:val="center"/>
                  </w:pPr>
                  <w:r>
                    <w:rPr>
                      <w:rFonts w:hint="eastAsia"/>
                    </w:rPr>
                    <w:t>危废贮存点</w:t>
                  </w:r>
                </w:p>
              </w:tc>
              <w:tc>
                <w:tcPr>
                  <w:tcW w:w="656" w:type="dxa"/>
                  <w:tcBorders>
                    <w:tl2br w:val="nil"/>
                    <w:tr2bl w:val="nil"/>
                  </w:tcBorders>
                  <w:vAlign w:val="center"/>
                </w:tcPr>
                <w:p>
                  <w:pPr>
                    <w:jc w:val="center"/>
                  </w:pPr>
                  <w:r>
                    <w:rPr>
                      <w:rFonts w:hint="eastAsia"/>
                    </w:rPr>
                    <w:t>有资质单位处置</w:t>
                  </w:r>
                </w:p>
              </w:tc>
              <w:tc>
                <w:tcPr>
                  <w:tcW w:w="820" w:type="dxa"/>
                  <w:tcBorders>
                    <w:tl2br w:val="nil"/>
                    <w:tr2bl w:val="nil"/>
                  </w:tcBorders>
                  <w:vAlign w:val="center"/>
                </w:tcPr>
                <w:p>
                  <w:pPr>
                    <w:jc w:val="center"/>
                  </w:pPr>
                  <w:r>
                    <w:rPr>
                      <w:rFonts w:hint="eastAsia"/>
                    </w:rPr>
                    <w:t>0.005</w:t>
                  </w:r>
                </w:p>
              </w:tc>
              <w:tc>
                <w:tcPr>
                  <w:tcW w:w="444" w:type="dxa"/>
                  <w:tcBorders>
                    <w:tl2br w:val="nil"/>
                    <w:tr2bl w:val="nil"/>
                  </w:tcBorders>
                  <w:vAlign w:val="center"/>
                </w:tcPr>
                <w:p>
                  <w:pPr>
                    <w:jc w:val="center"/>
                  </w:pPr>
                  <w:r>
                    <w:rPr>
                      <w:rFonts w:hint="eastAsia"/>
                    </w:rPr>
                    <w:t>安全处置</w:t>
                  </w:r>
                </w:p>
              </w:tc>
            </w:tr>
          </w:tbl>
          <w:p>
            <w:pPr>
              <w:pStyle w:val="8"/>
              <w:tabs>
                <w:tab w:val="left" w:pos="539"/>
                <w:tab w:val="left" w:pos="1257"/>
              </w:tabs>
              <w:spacing w:line="360" w:lineRule="auto"/>
              <w:ind w:firstLine="0"/>
              <w:rPr>
                <w:b/>
                <w:bCs/>
                <w:sz w:val="24"/>
              </w:rPr>
            </w:pPr>
            <w:r>
              <w:rPr>
                <w:b/>
                <w:bCs/>
                <w:sz w:val="24"/>
              </w:rPr>
              <w:t>4.</w:t>
            </w:r>
            <w:r>
              <w:rPr>
                <w:rFonts w:hint="eastAsia"/>
                <w:b/>
                <w:bCs/>
                <w:sz w:val="24"/>
              </w:rPr>
              <w:t>2.5地下水、土壤分析</w:t>
            </w:r>
          </w:p>
          <w:p>
            <w:pPr>
              <w:pStyle w:val="68"/>
              <w:spacing w:before="0" w:after="0" w:line="360" w:lineRule="auto"/>
              <w:ind w:firstLine="512"/>
              <w:rPr>
                <w:rFonts w:eastAsia="宋体"/>
                <w:b w:val="0"/>
                <w:bCs w:val="0"/>
                <w:color w:val="auto"/>
                <w:spacing w:val="8"/>
                <w:kern w:val="0"/>
                <w:sz w:val="24"/>
                <w:szCs w:val="24"/>
              </w:rPr>
            </w:pPr>
            <w:r>
              <w:rPr>
                <w:rFonts w:hint="eastAsia" w:eastAsia="宋体"/>
                <w:b w:val="0"/>
                <w:bCs w:val="0"/>
                <w:color w:val="auto"/>
                <w:spacing w:val="8"/>
                <w:kern w:val="0"/>
                <w:sz w:val="24"/>
                <w:szCs w:val="24"/>
              </w:rPr>
              <w:t>本项目为蔬菜加工行业，生产线位于厂房内，新建锅炉为然生物质锅炉，为防止地下水、土壤污染，本项目全厂采用分区防渗措施，将厂区划分为简单防渗区、一般防渗区和重点防渗区。简单防渗区：办公室、厂区空地等，进行地面硬化；一般防渗区：生产车间、锅炉房等；重点防治区：危废暂存间等，重点防治区防渗层渗透系数≤10</w:t>
            </w:r>
            <w:r>
              <w:rPr>
                <w:rFonts w:hint="eastAsia" w:eastAsia="宋体"/>
                <w:b w:val="0"/>
                <w:bCs w:val="0"/>
                <w:color w:val="auto"/>
                <w:spacing w:val="8"/>
                <w:kern w:val="0"/>
                <w:sz w:val="24"/>
                <w:szCs w:val="24"/>
                <w:vertAlign w:val="superscript"/>
              </w:rPr>
              <w:t>-10</w:t>
            </w:r>
            <w:r>
              <w:rPr>
                <w:rFonts w:hint="eastAsia" w:eastAsia="宋体"/>
                <w:b w:val="0"/>
                <w:bCs w:val="0"/>
                <w:color w:val="auto"/>
                <w:spacing w:val="8"/>
                <w:kern w:val="0"/>
                <w:sz w:val="24"/>
                <w:szCs w:val="24"/>
              </w:rPr>
              <w:t>cm/s。通过以上措施，本项目对地下水、土壤环境基本无影响。</w:t>
            </w:r>
          </w:p>
          <w:p>
            <w:pPr>
              <w:pStyle w:val="8"/>
              <w:tabs>
                <w:tab w:val="left" w:pos="539"/>
                <w:tab w:val="left" w:pos="1257"/>
              </w:tabs>
              <w:spacing w:line="360" w:lineRule="auto"/>
              <w:ind w:firstLine="0"/>
              <w:rPr>
                <w:b/>
                <w:bCs/>
                <w:sz w:val="24"/>
              </w:rPr>
            </w:pPr>
            <w:r>
              <w:rPr>
                <w:b/>
                <w:bCs/>
                <w:sz w:val="24"/>
              </w:rPr>
              <w:t>4.</w:t>
            </w:r>
            <w:r>
              <w:rPr>
                <w:rFonts w:hint="eastAsia"/>
                <w:b/>
                <w:bCs/>
                <w:sz w:val="24"/>
              </w:rPr>
              <w:t>2.6风险</w:t>
            </w:r>
          </w:p>
          <w:p>
            <w:pPr>
              <w:pStyle w:val="34"/>
              <w:spacing w:line="360" w:lineRule="auto"/>
              <w:ind w:firstLine="480" w:firstLineChars="200"/>
              <w:jc w:val="both"/>
              <w:rPr>
                <w:b w:val="0"/>
                <w:color w:val="000000"/>
              </w:rPr>
            </w:pPr>
            <w:r>
              <w:rPr>
                <w:rFonts w:hint="eastAsia"/>
                <w:b w:val="0"/>
                <w:color w:val="000000"/>
              </w:rPr>
              <w:t>⑴环境风险识别</w:t>
            </w:r>
          </w:p>
          <w:p>
            <w:pPr>
              <w:pStyle w:val="20"/>
              <w:adjustRightInd w:val="0"/>
              <w:spacing w:line="360" w:lineRule="auto"/>
              <w:ind w:firstLine="482"/>
              <w:jc w:val="both"/>
              <w:rPr>
                <w:kern w:val="0"/>
                <w:sz w:val="24"/>
                <w:szCs w:val="24"/>
              </w:rPr>
            </w:pPr>
            <w:r>
              <w:rPr>
                <w:kern w:val="0"/>
                <w:sz w:val="24"/>
                <w:szCs w:val="24"/>
              </w:rPr>
              <w:t>本项目</w:t>
            </w:r>
            <w:r>
              <w:rPr>
                <w:rFonts w:hint="eastAsia"/>
                <w:kern w:val="0"/>
                <w:sz w:val="24"/>
                <w:szCs w:val="24"/>
              </w:rPr>
              <w:t>原辅材料为玉米，燃料为生物质，设备检修过程使用机油，同时产生少量废机油。</w:t>
            </w:r>
          </w:p>
          <w:p>
            <w:pPr>
              <w:pStyle w:val="20"/>
              <w:adjustRightInd w:val="0"/>
              <w:spacing w:line="360" w:lineRule="auto"/>
              <w:ind w:firstLine="482"/>
              <w:jc w:val="both"/>
              <w:rPr>
                <w:kern w:val="0"/>
                <w:sz w:val="24"/>
                <w:szCs w:val="24"/>
              </w:rPr>
            </w:pPr>
            <w:r>
              <w:rPr>
                <w:rFonts w:hint="eastAsia"/>
                <w:kern w:val="0"/>
                <w:sz w:val="24"/>
                <w:szCs w:val="24"/>
              </w:rPr>
              <w:t>项目风险物质主要为机油和废机油，机油和废机油存放情况见下表，</w:t>
            </w:r>
          </w:p>
          <w:p>
            <w:pPr>
              <w:widowControl/>
              <w:spacing w:line="360" w:lineRule="auto"/>
              <w:jc w:val="center"/>
              <w:rPr>
                <w:b/>
                <w:bCs/>
                <w:sz w:val="24"/>
                <w:u w:val="single"/>
              </w:rPr>
            </w:pPr>
            <w:bookmarkStart w:id="35" w:name="4.环境敏感目标概况"/>
            <w:bookmarkEnd w:id="35"/>
            <w:bookmarkStart w:id="36" w:name="⑴重大危险源辨识"/>
            <w:bookmarkEnd w:id="36"/>
            <w:r>
              <w:rPr>
                <w:rFonts w:hint="eastAsia" w:ascii="宋体" w:hAnsi="宋体" w:cs="宋体"/>
                <w:b/>
                <w:bCs/>
                <w:color w:val="000000"/>
                <w:kern w:val="0"/>
                <w:sz w:val="24"/>
                <w:u w:val="single"/>
              </w:rPr>
              <w:t>表4-13   风险源情况一览表</w:t>
            </w:r>
          </w:p>
          <w:tbl>
            <w:tblPr>
              <w:tblStyle w:val="27"/>
              <w:tblW w:w="7974" w:type="dxa"/>
              <w:tblInd w:w="0" w:type="dxa"/>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Layout w:type="fixed"/>
              <w:tblCellMar>
                <w:top w:w="0" w:type="dxa"/>
                <w:left w:w="108" w:type="dxa"/>
                <w:bottom w:w="0" w:type="dxa"/>
                <w:right w:w="108" w:type="dxa"/>
              </w:tblCellMar>
            </w:tblPr>
            <w:tblGrid>
              <w:gridCol w:w="1127"/>
              <w:gridCol w:w="870"/>
              <w:gridCol w:w="998"/>
              <w:gridCol w:w="997"/>
              <w:gridCol w:w="997"/>
              <w:gridCol w:w="997"/>
              <w:gridCol w:w="994"/>
              <w:gridCol w:w="994"/>
            </w:tblGrid>
            <w:tr>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532" w:hRule="atLeast"/>
              </w:trPr>
              <w:tc>
                <w:tcPr>
                  <w:tcW w:w="1127" w:type="dxa"/>
                  <w:tcMar>
                    <w:left w:w="0" w:type="dxa"/>
                    <w:right w:w="0" w:type="dxa"/>
                  </w:tcMar>
                  <w:vAlign w:val="center"/>
                </w:tcPr>
                <w:p>
                  <w:pPr>
                    <w:snapToGrid w:val="0"/>
                    <w:jc w:val="center"/>
                    <w:rPr>
                      <w:bCs/>
                    </w:rPr>
                  </w:pPr>
                  <w:r>
                    <w:rPr>
                      <w:bCs/>
                    </w:rPr>
                    <w:t>物料名称</w:t>
                  </w:r>
                </w:p>
              </w:tc>
              <w:tc>
                <w:tcPr>
                  <w:tcW w:w="870" w:type="dxa"/>
                  <w:tcMar>
                    <w:left w:w="0" w:type="dxa"/>
                    <w:right w:w="0" w:type="dxa"/>
                  </w:tcMar>
                  <w:vAlign w:val="center"/>
                </w:tcPr>
                <w:p>
                  <w:pPr>
                    <w:snapToGrid w:val="0"/>
                    <w:jc w:val="center"/>
                    <w:rPr>
                      <w:bCs/>
                    </w:rPr>
                  </w:pPr>
                  <w:r>
                    <w:rPr>
                      <w:bCs/>
                    </w:rPr>
                    <w:t>性状</w:t>
                  </w:r>
                </w:p>
              </w:tc>
              <w:tc>
                <w:tcPr>
                  <w:tcW w:w="998" w:type="dxa"/>
                  <w:tcMar>
                    <w:left w:w="0" w:type="dxa"/>
                    <w:right w:w="0" w:type="dxa"/>
                  </w:tcMar>
                  <w:vAlign w:val="center"/>
                </w:tcPr>
                <w:p>
                  <w:pPr>
                    <w:snapToGrid w:val="0"/>
                    <w:jc w:val="center"/>
                    <w:rPr>
                      <w:bCs/>
                    </w:rPr>
                  </w:pPr>
                  <w:r>
                    <w:rPr>
                      <w:bCs/>
                    </w:rPr>
                    <w:t>年使用量(t)</w:t>
                  </w:r>
                </w:p>
              </w:tc>
              <w:tc>
                <w:tcPr>
                  <w:tcW w:w="997" w:type="dxa"/>
                  <w:tcMar>
                    <w:left w:w="0" w:type="dxa"/>
                    <w:right w:w="0" w:type="dxa"/>
                  </w:tcMar>
                  <w:vAlign w:val="center"/>
                </w:tcPr>
                <w:p>
                  <w:pPr>
                    <w:snapToGrid w:val="0"/>
                    <w:jc w:val="center"/>
                    <w:rPr>
                      <w:bCs/>
                    </w:rPr>
                  </w:pPr>
                  <w:r>
                    <w:rPr>
                      <w:bCs/>
                    </w:rPr>
                    <w:t>最大储量(t)</w:t>
                  </w:r>
                </w:p>
              </w:tc>
              <w:tc>
                <w:tcPr>
                  <w:tcW w:w="997" w:type="dxa"/>
                  <w:tcMar>
                    <w:left w:w="0" w:type="dxa"/>
                    <w:right w:w="0" w:type="dxa"/>
                  </w:tcMar>
                  <w:vAlign w:val="center"/>
                </w:tcPr>
                <w:p>
                  <w:pPr>
                    <w:snapToGrid w:val="0"/>
                    <w:jc w:val="center"/>
                    <w:rPr>
                      <w:bCs/>
                    </w:rPr>
                  </w:pPr>
                  <w:r>
                    <w:rPr>
                      <w:rFonts w:hint="eastAsia"/>
                      <w:bCs/>
                    </w:rPr>
                    <w:t>临界量</w:t>
                  </w:r>
                  <w:r>
                    <w:rPr>
                      <w:bCs/>
                    </w:rPr>
                    <w:t>(t)</w:t>
                  </w:r>
                </w:p>
              </w:tc>
              <w:tc>
                <w:tcPr>
                  <w:tcW w:w="997" w:type="dxa"/>
                  <w:tcMar>
                    <w:left w:w="0" w:type="dxa"/>
                    <w:right w:w="0" w:type="dxa"/>
                  </w:tcMar>
                  <w:vAlign w:val="center"/>
                </w:tcPr>
                <w:p>
                  <w:pPr>
                    <w:snapToGrid w:val="0"/>
                    <w:jc w:val="center"/>
                    <w:rPr>
                      <w:bCs/>
                    </w:rPr>
                  </w:pPr>
                  <w:r>
                    <w:rPr>
                      <w:bCs/>
                    </w:rPr>
                    <w:t>储存方式</w:t>
                  </w:r>
                </w:p>
              </w:tc>
              <w:tc>
                <w:tcPr>
                  <w:tcW w:w="994" w:type="dxa"/>
                  <w:tcMar>
                    <w:left w:w="0" w:type="dxa"/>
                    <w:right w:w="0" w:type="dxa"/>
                  </w:tcMar>
                  <w:vAlign w:val="center"/>
                </w:tcPr>
                <w:p>
                  <w:pPr>
                    <w:snapToGrid w:val="0"/>
                    <w:jc w:val="center"/>
                    <w:rPr>
                      <w:bCs/>
                    </w:rPr>
                  </w:pPr>
                  <w:r>
                    <w:rPr>
                      <w:bCs/>
                    </w:rPr>
                    <w:t>储存地点</w:t>
                  </w:r>
                </w:p>
              </w:tc>
              <w:tc>
                <w:tcPr>
                  <w:tcW w:w="994" w:type="dxa"/>
                  <w:tcMar>
                    <w:left w:w="0" w:type="dxa"/>
                    <w:right w:w="0" w:type="dxa"/>
                  </w:tcMar>
                  <w:vAlign w:val="center"/>
                </w:tcPr>
                <w:p>
                  <w:pPr>
                    <w:snapToGrid w:val="0"/>
                    <w:jc w:val="center"/>
                    <w:rPr>
                      <w:bCs/>
                    </w:rPr>
                  </w:pPr>
                  <w:r>
                    <w:rPr>
                      <w:rFonts w:hint="eastAsia"/>
                      <w:bCs/>
                    </w:rPr>
                    <w:t>Q值</w:t>
                  </w:r>
                </w:p>
              </w:tc>
            </w:tr>
            <w:tr>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296" w:hRule="atLeast"/>
              </w:trPr>
              <w:tc>
                <w:tcPr>
                  <w:tcW w:w="1127" w:type="dxa"/>
                  <w:tcMar>
                    <w:left w:w="0" w:type="dxa"/>
                    <w:right w:w="0" w:type="dxa"/>
                  </w:tcMar>
                  <w:vAlign w:val="center"/>
                </w:tcPr>
                <w:p>
                  <w:pPr>
                    <w:snapToGrid w:val="0"/>
                    <w:jc w:val="center"/>
                    <w:rPr>
                      <w:szCs w:val="21"/>
                      <w:u w:val="single"/>
                    </w:rPr>
                  </w:pPr>
                  <w:r>
                    <w:rPr>
                      <w:rFonts w:hint="eastAsia"/>
                      <w:bCs/>
                      <w:kern w:val="0"/>
                      <w:szCs w:val="21"/>
                      <w:u w:val="single"/>
                    </w:rPr>
                    <w:t>机油</w:t>
                  </w:r>
                </w:p>
              </w:tc>
              <w:tc>
                <w:tcPr>
                  <w:tcW w:w="870" w:type="dxa"/>
                  <w:tcMar>
                    <w:left w:w="0" w:type="dxa"/>
                    <w:right w:w="0" w:type="dxa"/>
                  </w:tcMar>
                  <w:vAlign w:val="center"/>
                </w:tcPr>
                <w:p>
                  <w:pPr>
                    <w:snapToGrid w:val="0"/>
                    <w:jc w:val="center"/>
                    <w:rPr>
                      <w:u w:val="single"/>
                    </w:rPr>
                  </w:pPr>
                  <w:r>
                    <w:rPr>
                      <w:rFonts w:hint="eastAsia"/>
                      <w:u w:val="single"/>
                    </w:rPr>
                    <w:t>液态</w:t>
                  </w:r>
                </w:p>
              </w:tc>
              <w:tc>
                <w:tcPr>
                  <w:tcW w:w="998" w:type="dxa"/>
                  <w:tcMar>
                    <w:left w:w="0" w:type="dxa"/>
                    <w:right w:w="0" w:type="dxa"/>
                  </w:tcMar>
                  <w:vAlign w:val="center"/>
                </w:tcPr>
                <w:p>
                  <w:pPr>
                    <w:adjustRightInd w:val="0"/>
                    <w:snapToGrid w:val="0"/>
                    <w:jc w:val="center"/>
                    <w:outlineLvl w:val="1"/>
                    <w:rPr>
                      <w:u w:val="single"/>
                    </w:rPr>
                  </w:pPr>
                  <w:r>
                    <w:rPr>
                      <w:rFonts w:hint="eastAsia"/>
                      <w:u w:val="single"/>
                    </w:rPr>
                    <w:t>0.05</w:t>
                  </w:r>
                </w:p>
              </w:tc>
              <w:tc>
                <w:tcPr>
                  <w:tcW w:w="997" w:type="dxa"/>
                  <w:tcMar>
                    <w:left w:w="0" w:type="dxa"/>
                    <w:right w:w="0" w:type="dxa"/>
                  </w:tcMar>
                  <w:vAlign w:val="center"/>
                </w:tcPr>
                <w:p>
                  <w:pPr>
                    <w:snapToGrid w:val="0"/>
                    <w:jc w:val="center"/>
                    <w:rPr>
                      <w:u w:val="single"/>
                    </w:rPr>
                  </w:pPr>
                  <w:r>
                    <w:rPr>
                      <w:rFonts w:hint="eastAsia"/>
                      <w:u w:val="single"/>
                    </w:rPr>
                    <w:t>0.05</w:t>
                  </w:r>
                </w:p>
              </w:tc>
              <w:tc>
                <w:tcPr>
                  <w:tcW w:w="997" w:type="dxa"/>
                  <w:tcMar>
                    <w:left w:w="0" w:type="dxa"/>
                    <w:right w:w="0" w:type="dxa"/>
                  </w:tcMar>
                  <w:vAlign w:val="center"/>
                </w:tcPr>
                <w:p>
                  <w:pPr>
                    <w:snapToGrid w:val="0"/>
                    <w:jc w:val="center"/>
                    <w:rPr>
                      <w:u w:val="single"/>
                    </w:rPr>
                  </w:pPr>
                  <w:r>
                    <w:rPr>
                      <w:rFonts w:hint="eastAsia"/>
                      <w:u w:val="single"/>
                    </w:rPr>
                    <w:t>2500</w:t>
                  </w:r>
                </w:p>
              </w:tc>
              <w:tc>
                <w:tcPr>
                  <w:tcW w:w="997" w:type="dxa"/>
                  <w:tcBorders>
                    <w:bottom w:val="single" w:color="000000" w:sz="4" w:space="0"/>
                  </w:tcBorders>
                  <w:tcMar>
                    <w:left w:w="0" w:type="dxa"/>
                    <w:right w:w="0" w:type="dxa"/>
                  </w:tcMar>
                  <w:vAlign w:val="center"/>
                </w:tcPr>
                <w:p>
                  <w:pPr>
                    <w:snapToGrid w:val="0"/>
                    <w:jc w:val="center"/>
                    <w:rPr>
                      <w:u w:val="single"/>
                    </w:rPr>
                  </w:pPr>
                  <w:r>
                    <w:rPr>
                      <w:u w:val="single"/>
                    </w:rPr>
                    <w:t>桶装</w:t>
                  </w:r>
                </w:p>
              </w:tc>
              <w:tc>
                <w:tcPr>
                  <w:tcW w:w="994" w:type="dxa"/>
                  <w:tcBorders>
                    <w:bottom w:val="single" w:color="000000" w:sz="4" w:space="0"/>
                  </w:tcBorders>
                  <w:tcMar>
                    <w:left w:w="0" w:type="dxa"/>
                    <w:right w:w="0" w:type="dxa"/>
                  </w:tcMar>
                  <w:vAlign w:val="center"/>
                </w:tcPr>
                <w:p>
                  <w:pPr>
                    <w:snapToGrid w:val="0"/>
                    <w:jc w:val="center"/>
                    <w:rPr>
                      <w:u w:val="single"/>
                    </w:rPr>
                  </w:pPr>
                  <w:r>
                    <w:rPr>
                      <w:rFonts w:hint="eastAsia"/>
                      <w:u w:val="single"/>
                    </w:rPr>
                    <w:t>库房</w:t>
                  </w:r>
                </w:p>
              </w:tc>
              <w:tc>
                <w:tcPr>
                  <w:tcW w:w="994" w:type="dxa"/>
                  <w:tcMar>
                    <w:left w:w="0" w:type="dxa"/>
                    <w:right w:w="0" w:type="dxa"/>
                  </w:tcMar>
                  <w:vAlign w:val="center"/>
                </w:tcPr>
                <w:p>
                  <w:pPr>
                    <w:snapToGrid w:val="0"/>
                    <w:jc w:val="center"/>
                    <w:rPr>
                      <w:u w:val="single"/>
                    </w:rPr>
                  </w:pPr>
                  <w:r>
                    <w:rPr>
                      <w:rFonts w:hint="eastAsia"/>
                      <w:u w:val="single"/>
                    </w:rPr>
                    <w:t>0.00002</w:t>
                  </w:r>
                </w:p>
              </w:tc>
            </w:tr>
            <w:tr>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296" w:hRule="atLeast"/>
              </w:trPr>
              <w:tc>
                <w:tcPr>
                  <w:tcW w:w="1127" w:type="dxa"/>
                  <w:tcMar>
                    <w:left w:w="0" w:type="dxa"/>
                    <w:right w:w="0" w:type="dxa"/>
                  </w:tcMar>
                  <w:vAlign w:val="center"/>
                </w:tcPr>
                <w:p>
                  <w:pPr>
                    <w:snapToGrid w:val="0"/>
                    <w:jc w:val="center"/>
                    <w:rPr>
                      <w:szCs w:val="21"/>
                      <w:u w:val="single"/>
                    </w:rPr>
                  </w:pPr>
                  <w:r>
                    <w:rPr>
                      <w:rFonts w:hint="eastAsia"/>
                      <w:bCs/>
                      <w:kern w:val="0"/>
                      <w:szCs w:val="21"/>
                      <w:u w:val="single"/>
                    </w:rPr>
                    <w:t>废机油</w:t>
                  </w:r>
                </w:p>
              </w:tc>
              <w:tc>
                <w:tcPr>
                  <w:tcW w:w="870" w:type="dxa"/>
                  <w:tcMar>
                    <w:left w:w="0" w:type="dxa"/>
                    <w:right w:w="0" w:type="dxa"/>
                  </w:tcMar>
                  <w:vAlign w:val="center"/>
                </w:tcPr>
                <w:p>
                  <w:pPr>
                    <w:snapToGrid w:val="0"/>
                    <w:jc w:val="center"/>
                    <w:rPr>
                      <w:u w:val="single"/>
                    </w:rPr>
                  </w:pPr>
                  <w:r>
                    <w:rPr>
                      <w:rFonts w:hint="eastAsia"/>
                      <w:u w:val="single"/>
                    </w:rPr>
                    <w:t>液态</w:t>
                  </w:r>
                </w:p>
              </w:tc>
              <w:tc>
                <w:tcPr>
                  <w:tcW w:w="998" w:type="dxa"/>
                  <w:tcMar>
                    <w:left w:w="0" w:type="dxa"/>
                    <w:right w:w="0" w:type="dxa"/>
                  </w:tcMar>
                  <w:vAlign w:val="center"/>
                </w:tcPr>
                <w:p>
                  <w:pPr>
                    <w:adjustRightInd w:val="0"/>
                    <w:snapToGrid w:val="0"/>
                    <w:jc w:val="center"/>
                    <w:outlineLvl w:val="1"/>
                    <w:rPr>
                      <w:u w:val="single"/>
                    </w:rPr>
                  </w:pPr>
                  <w:r>
                    <w:rPr>
                      <w:rFonts w:hint="eastAsia"/>
                      <w:u w:val="single"/>
                    </w:rPr>
                    <w:t>0.005</w:t>
                  </w:r>
                </w:p>
              </w:tc>
              <w:tc>
                <w:tcPr>
                  <w:tcW w:w="997" w:type="dxa"/>
                  <w:tcMar>
                    <w:left w:w="0" w:type="dxa"/>
                    <w:right w:w="0" w:type="dxa"/>
                  </w:tcMar>
                  <w:vAlign w:val="center"/>
                </w:tcPr>
                <w:p>
                  <w:pPr>
                    <w:snapToGrid w:val="0"/>
                    <w:jc w:val="center"/>
                    <w:rPr>
                      <w:u w:val="single"/>
                    </w:rPr>
                  </w:pPr>
                  <w:r>
                    <w:rPr>
                      <w:rFonts w:hint="eastAsia"/>
                      <w:u w:val="single"/>
                    </w:rPr>
                    <w:t>0.005</w:t>
                  </w:r>
                </w:p>
              </w:tc>
              <w:tc>
                <w:tcPr>
                  <w:tcW w:w="997" w:type="dxa"/>
                  <w:tcMar>
                    <w:left w:w="0" w:type="dxa"/>
                    <w:right w:w="0" w:type="dxa"/>
                  </w:tcMar>
                  <w:vAlign w:val="center"/>
                </w:tcPr>
                <w:p>
                  <w:pPr>
                    <w:snapToGrid w:val="0"/>
                    <w:jc w:val="center"/>
                    <w:rPr>
                      <w:u w:val="single"/>
                    </w:rPr>
                  </w:pPr>
                  <w:r>
                    <w:rPr>
                      <w:rFonts w:hint="eastAsia"/>
                      <w:u w:val="single"/>
                    </w:rPr>
                    <w:t>2500</w:t>
                  </w:r>
                </w:p>
              </w:tc>
              <w:tc>
                <w:tcPr>
                  <w:tcW w:w="997" w:type="dxa"/>
                  <w:tcBorders>
                    <w:top w:val="single" w:color="000000" w:sz="4" w:space="0"/>
                  </w:tcBorders>
                  <w:tcMar>
                    <w:left w:w="0" w:type="dxa"/>
                    <w:right w:w="0" w:type="dxa"/>
                  </w:tcMar>
                  <w:vAlign w:val="center"/>
                </w:tcPr>
                <w:p>
                  <w:pPr>
                    <w:snapToGrid w:val="0"/>
                    <w:jc w:val="center"/>
                    <w:rPr>
                      <w:u w:val="single"/>
                    </w:rPr>
                  </w:pPr>
                  <w:r>
                    <w:rPr>
                      <w:rFonts w:hint="eastAsia"/>
                      <w:u w:val="single"/>
                    </w:rPr>
                    <w:t>专用密封桶</w:t>
                  </w:r>
                </w:p>
              </w:tc>
              <w:tc>
                <w:tcPr>
                  <w:tcW w:w="994" w:type="dxa"/>
                  <w:tcBorders>
                    <w:top w:val="single" w:color="000000" w:sz="4" w:space="0"/>
                  </w:tcBorders>
                  <w:tcMar>
                    <w:left w:w="0" w:type="dxa"/>
                    <w:right w:w="0" w:type="dxa"/>
                  </w:tcMar>
                  <w:vAlign w:val="center"/>
                </w:tcPr>
                <w:p>
                  <w:pPr>
                    <w:snapToGrid w:val="0"/>
                    <w:jc w:val="center"/>
                    <w:rPr>
                      <w:u w:val="single"/>
                    </w:rPr>
                  </w:pPr>
                  <w:r>
                    <w:rPr>
                      <w:rFonts w:hint="eastAsia"/>
                      <w:u w:val="single"/>
                    </w:rPr>
                    <w:t>危废间</w:t>
                  </w:r>
                </w:p>
              </w:tc>
              <w:tc>
                <w:tcPr>
                  <w:tcW w:w="994" w:type="dxa"/>
                  <w:tcMar>
                    <w:left w:w="0" w:type="dxa"/>
                    <w:right w:w="0" w:type="dxa"/>
                  </w:tcMar>
                  <w:vAlign w:val="center"/>
                </w:tcPr>
                <w:p>
                  <w:pPr>
                    <w:snapToGrid w:val="0"/>
                    <w:jc w:val="center"/>
                    <w:rPr>
                      <w:u w:val="single"/>
                    </w:rPr>
                  </w:pPr>
                  <w:r>
                    <w:rPr>
                      <w:rFonts w:hint="eastAsia"/>
                      <w:u w:val="single"/>
                    </w:rPr>
                    <w:t>0.000002</w:t>
                  </w:r>
                </w:p>
              </w:tc>
            </w:tr>
            <w:tr>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16" w:hRule="atLeast"/>
              </w:trPr>
              <w:tc>
                <w:tcPr>
                  <w:tcW w:w="1127" w:type="dxa"/>
                  <w:tcMar>
                    <w:left w:w="0" w:type="dxa"/>
                    <w:right w:w="0" w:type="dxa"/>
                  </w:tcMar>
                  <w:vAlign w:val="center"/>
                </w:tcPr>
                <w:p>
                  <w:pPr>
                    <w:snapToGrid w:val="0"/>
                    <w:jc w:val="center"/>
                  </w:pPr>
                  <w:r>
                    <w:rPr>
                      <w:rFonts w:hint="eastAsia"/>
                    </w:rPr>
                    <w:t>合计</w:t>
                  </w:r>
                </w:p>
              </w:tc>
              <w:tc>
                <w:tcPr>
                  <w:tcW w:w="870" w:type="dxa"/>
                  <w:tcMar>
                    <w:left w:w="0" w:type="dxa"/>
                    <w:right w:w="0" w:type="dxa"/>
                  </w:tcMar>
                  <w:vAlign w:val="center"/>
                </w:tcPr>
                <w:p>
                  <w:pPr>
                    <w:snapToGrid w:val="0"/>
                    <w:jc w:val="center"/>
                  </w:pPr>
                  <w:r>
                    <w:rPr>
                      <w:rFonts w:hint="eastAsia"/>
                    </w:rPr>
                    <w:t>/</w:t>
                  </w:r>
                </w:p>
              </w:tc>
              <w:tc>
                <w:tcPr>
                  <w:tcW w:w="998" w:type="dxa"/>
                  <w:tcMar>
                    <w:left w:w="0" w:type="dxa"/>
                    <w:right w:w="0" w:type="dxa"/>
                  </w:tcMar>
                  <w:vAlign w:val="center"/>
                </w:tcPr>
                <w:p>
                  <w:pPr>
                    <w:adjustRightInd w:val="0"/>
                    <w:snapToGrid w:val="0"/>
                    <w:jc w:val="center"/>
                    <w:outlineLvl w:val="1"/>
                  </w:pPr>
                  <w:r>
                    <w:rPr>
                      <w:rFonts w:hint="eastAsia"/>
                    </w:rPr>
                    <w:t>/</w:t>
                  </w:r>
                </w:p>
              </w:tc>
              <w:tc>
                <w:tcPr>
                  <w:tcW w:w="997" w:type="dxa"/>
                  <w:tcMar>
                    <w:left w:w="0" w:type="dxa"/>
                    <w:right w:w="0" w:type="dxa"/>
                  </w:tcMar>
                  <w:vAlign w:val="center"/>
                </w:tcPr>
                <w:p>
                  <w:pPr>
                    <w:snapToGrid w:val="0"/>
                    <w:jc w:val="center"/>
                  </w:pPr>
                  <w:r>
                    <w:rPr>
                      <w:rFonts w:hint="eastAsia"/>
                    </w:rPr>
                    <w:t>/</w:t>
                  </w:r>
                </w:p>
              </w:tc>
              <w:tc>
                <w:tcPr>
                  <w:tcW w:w="997" w:type="dxa"/>
                  <w:tcMar>
                    <w:left w:w="0" w:type="dxa"/>
                    <w:right w:w="0" w:type="dxa"/>
                  </w:tcMar>
                  <w:vAlign w:val="center"/>
                </w:tcPr>
                <w:p>
                  <w:pPr>
                    <w:snapToGrid w:val="0"/>
                    <w:jc w:val="center"/>
                  </w:pPr>
                  <w:r>
                    <w:rPr>
                      <w:rFonts w:hint="eastAsia"/>
                    </w:rPr>
                    <w:t>/</w:t>
                  </w:r>
                </w:p>
              </w:tc>
              <w:tc>
                <w:tcPr>
                  <w:tcW w:w="997" w:type="dxa"/>
                  <w:tcMar>
                    <w:left w:w="0" w:type="dxa"/>
                    <w:right w:w="0" w:type="dxa"/>
                  </w:tcMar>
                  <w:vAlign w:val="center"/>
                </w:tcPr>
                <w:p>
                  <w:pPr>
                    <w:snapToGrid w:val="0"/>
                    <w:jc w:val="center"/>
                  </w:pPr>
                  <w:r>
                    <w:rPr>
                      <w:rFonts w:hint="eastAsia"/>
                    </w:rPr>
                    <w:t>/</w:t>
                  </w:r>
                </w:p>
              </w:tc>
              <w:tc>
                <w:tcPr>
                  <w:tcW w:w="994" w:type="dxa"/>
                  <w:tcMar>
                    <w:left w:w="0" w:type="dxa"/>
                    <w:right w:w="0" w:type="dxa"/>
                  </w:tcMar>
                  <w:vAlign w:val="center"/>
                </w:tcPr>
                <w:p>
                  <w:pPr>
                    <w:snapToGrid w:val="0"/>
                    <w:jc w:val="center"/>
                  </w:pPr>
                  <w:r>
                    <w:rPr>
                      <w:rFonts w:hint="eastAsia"/>
                    </w:rPr>
                    <w:t>/</w:t>
                  </w:r>
                </w:p>
              </w:tc>
              <w:tc>
                <w:tcPr>
                  <w:tcW w:w="994" w:type="dxa"/>
                  <w:tcMar>
                    <w:left w:w="0" w:type="dxa"/>
                    <w:right w:w="0" w:type="dxa"/>
                  </w:tcMar>
                  <w:vAlign w:val="center"/>
                </w:tcPr>
                <w:p>
                  <w:pPr>
                    <w:snapToGrid w:val="0"/>
                    <w:jc w:val="center"/>
                  </w:pPr>
                  <w:r>
                    <w:rPr>
                      <w:rFonts w:hint="eastAsia"/>
                    </w:rPr>
                    <w:t>0.000022</w:t>
                  </w:r>
                </w:p>
              </w:tc>
            </w:tr>
          </w:tbl>
          <w:p>
            <w:pPr>
              <w:widowControl/>
              <w:spacing w:line="360" w:lineRule="auto"/>
              <w:jc w:val="center"/>
              <w:rPr>
                <w:rFonts w:ascii="宋体" w:hAnsi="宋体" w:eastAsia="宋体" w:cs="宋体"/>
                <w:b/>
                <w:bCs/>
                <w:kern w:val="0"/>
                <w:sz w:val="24"/>
                <w:u w:val="single"/>
              </w:rPr>
            </w:pPr>
            <w:r>
              <w:rPr>
                <w:rFonts w:hint="eastAsia" w:ascii="宋体" w:hAnsi="宋体" w:cs="宋体"/>
                <w:b/>
                <w:bCs/>
                <w:color w:val="000000"/>
                <w:kern w:val="0"/>
                <w:sz w:val="24"/>
                <w:u w:val="single"/>
              </w:rPr>
              <w:t>表4-14  环境风险评价工作级别判定标准</w:t>
            </w:r>
          </w:p>
          <w:tbl>
            <w:tblPr>
              <w:tblStyle w:val="27"/>
              <w:tblW w:w="7946"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589"/>
              <w:gridCol w:w="1589"/>
              <w:gridCol w:w="1589"/>
              <w:gridCol w:w="1589"/>
              <w:gridCol w:w="159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89" w:type="dxa"/>
                  <w:tcBorders>
                    <w:tl2br w:val="nil"/>
                    <w:tr2bl w:val="nil"/>
                  </w:tcBorders>
                  <w:vAlign w:val="center"/>
                </w:tcPr>
                <w:p>
                  <w:pPr>
                    <w:jc w:val="center"/>
                    <w:rPr>
                      <w:kern w:val="0"/>
                      <w:szCs w:val="21"/>
                      <w:u w:val="single"/>
                    </w:rPr>
                  </w:pPr>
                  <w:r>
                    <w:rPr>
                      <w:rFonts w:hint="eastAsia"/>
                      <w:kern w:val="0"/>
                      <w:szCs w:val="21"/>
                      <w:u w:val="single"/>
                    </w:rPr>
                    <w:t>环境风险潜势</w:t>
                  </w:r>
                </w:p>
              </w:tc>
              <w:tc>
                <w:tcPr>
                  <w:tcW w:w="1589" w:type="dxa"/>
                  <w:tcBorders>
                    <w:tl2br w:val="nil"/>
                    <w:tr2bl w:val="nil"/>
                  </w:tcBorders>
                  <w:vAlign w:val="center"/>
                </w:tcPr>
                <w:p>
                  <w:pPr>
                    <w:jc w:val="center"/>
                    <w:rPr>
                      <w:kern w:val="0"/>
                      <w:szCs w:val="21"/>
                      <w:u w:val="single"/>
                    </w:rPr>
                  </w:pPr>
                  <w:r>
                    <w:rPr>
                      <w:kern w:val="0"/>
                      <w:szCs w:val="21"/>
                      <w:u w:val="single"/>
                    </w:rPr>
                    <w:t>IV、IV+</w:t>
                  </w:r>
                </w:p>
              </w:tc>
              <w:tc>
                <w:tcPr>
                  <w:tcW w:w="1589" w:type="dxa"/>
                  <w:tcBorders>
                    <w:tl2br w:val="nil"/>
                    <w:tr2bl w:val="nil"/>
                  </w:tcBorders>
                  <w:vAlign w:val="center"/>
                </w:tcPr>
                <w:p>
                  <w:pPr>
                    <w:jc w:val="center"/>
                    <w:rPr>
                      <w:kern w:val="0"/>
                      <w:szCs w:val="21"/>
                      <w:u w:val="single"/>
                    </w:rPr>
                  </w:pPr>
                  <w:r>
                    <w:rPr>
                      <w:rFonts w:hint="eastAsia" w:ascii="仿宋" w:hAnsi="仿宋" w:eastAsia="仿宋" w:cs="仿宋"/>
                      <w:kern w:val="0"/>
                      <w:szCs w:val="21"/>
                      <w:u w:val="single"/>
                    </w:rPr>
                    <w:t>Ⅲ</w:t>
                  </w:r>
                </w:p>
              </w:tc>
              <w:tc>
                <w:tcPr>
                  <w:tcW w:w="1589" w:type="dxa"/>
                  <w:tcBorders>
                    <w:tl2br w:val="nil"/>
                    <w:tr2bl w:val="nil"/>
                  </w:tcBorders>
                  <w:vAlign w:val="center"/>
                </w:tcPr>
                <w:p>
                  <w:pPr>
                    <w:jc w:val="center"/>
                    <w:rPr>
                      <w:kern w:val="0"/>
                      <w:szCs w:val="21"/>
                      <w:u w:val="single"/>
                    </w:rPr>
                  </w:pPr>
                  <w:r>
                    <w:rPr>
                      <w:rFonts w:hint="eastAsia" w:ascii="仿宋" w:hAnsi="仿宋" w:eastAsia="仿宋" w:cs="仿宋"/>
                      <w:kern w:val="0"/>
                      <w:szCs w:val="21"/>
                      <w:u w:val="single"/>
                    </w:rPr>
                    <w:t>Ⅱ</w:t>
                  </w:r>
                </w:p>
              </w:tc>
              <w:tc>
                <w:tcPr>
                  <w:tcW w:w="1590" w:type="dxa"/>
                  <w:tcBorders>
                    <w:tl2br w:val="nil"/>
                    <w:tr2bl w:val="nil"/>
                  </w:tcBorders>
                  <w:vAlign w:val="center"/>
                </w:tcPr>
                <w:p>
                  <w:pPr>
                    <w:jc w:val="center"/>
                    <w:rPr>
                      <w:kern w:val="0"/>
                      <w:szCs w:val="21"/>
                      <w:u w:val="single"/>
                    </w:rPr>
                  </w:pPr>
                  <w:r>
                    <w:rPr>
                      <w:rFonts w:hint="eastAsia" w:ascii="宋体" w:hAnsi="宋体" w:cs="宋体"/>
                      <w:kern w:val="0"/>
                      <w:szCs w:val="21"/>
                      <w:u w:val="single"/>
                    </w:rPr>
                    <w:t>Ⅰ</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89" w:type="dxa"/>
                  <w:tcBorders>
                    <w:tl2br w:val="nil"/>
                    <w:tr2bl w:val="nil"/>
                  </w:tcBorders>
                  <w:vAlign w:val="center"/>
                </w:tcPr>
                <w:p>
                  <w:pPr>
                    <w:jc w:val="center"/>
                    <w:rPr>
                      <w:kern w:val="0"/>
                      <w:szCs w:val="21"/>
                      <w:u w:val="single"/>
                    </w:rPr>
                  </w:pPr>
                  <w:r>
                    <w:rPr>
                      <w:rFonts w:hint="eastAsia"/>
                      <w:kern w:val="0"/>
                      <w:szCs w:val="21"/>
                      <w:u w:val="single"/>
                    </w:rPr>
                    <w:t>评价工作等级</w:t>
                  </w:r>
                </w:p>
              </w:tc>
              <w:tc>
                <w:tcPr>
                  <w:tcW w:w="1589" w:type="dxa"/>
                  <w:tcBorders>
                    <w:tl2br w:val="nil"/>
                    <w:tr2bl w:val="nil"/>
                  </w:tcBorders>
                  <w:vAlign w:val="center"/>
                </w:tcPr>
                <w:p>
                  <w:pPr>
                    <w:jc w:val="center"/>
                    <w:rPr>
                      <w:kern w:val="0"/>
                      <w:szCs w:val="21"/>
                      <w:u w:val="single"/>
                    </w:rPr>
                  </w:pPr>
                  <w:r>
                    <w:rPr>
                      <w:rFonts w:hint="eastAsia"/>
                      <w:kern w:val="0"/>
                      <w:szCs w:val="21"/>
                      <w:u w:val="single"/>
                    </w:rPr>
                    <w:t>一</w:t>
                  </w:r>
                </w:p>
              </w:tc>
              <w:tc>
                <w:tcPr>
                  <w:tcW w:w="1589" w:type="dxa"/>
                  <w:tcBorders>
                    <w:tl2br w:val="nil"/>
                    <w:tr2bl w:val="nil"/>
                  </w:tcBorders>
                  <w:vAlign w:val="center"/>
                </w:tcPr>
                <w:p>
                  <w:pPr>
                    <w:jc w:val="center"/>
                    <w:rPr>
                      <w:kern w:val="0"/>
                      <w:szCs w:val="21"/>
                      <w:u w:val="single"/>
                    </w:rPr>
                  </w:pPr>
                  <w:r>
                    <w:rPr>
                      <w:rFonts w:hint="eastAsia"/>
                      <w:kern w:val="0"/>
                      <w:szCs w:val="21"/>
                      <w:u w:val="single"/>
                    </w:rPr>
                    <w:t>二</w:t>
                  </w:r>
                </w:p>
              </w:tc>
              <w:tc>
                <w:tcPr>
                  <w:tcW w:w="1589" w:type="dxa"/>
                  <w:tcBorders>
                    <w:tl2br w:val="nil"/>
                    <w:tr2bl w:val="nil"/>
                  </w:tcBorders>
                  <w:vAlign w:val="center"/>
                </w:tcPr>
                <w:p>
                  <w:pPr>
                    <w:jc w:val="center"/>
                    <w:rPr>
                      <w:kern w:val="0"/>
                      <w:szCs w:val="21"/>
                      <w:u w:val="single"/>
                    </w:rPr>
                  </w:pPr>
                  <w:r>
                    <w:rPr>
                      <w:rFonts w:hint="eastAsia"/>
                      <w:kern w:val="0"/>
                      <w:szCs w:val="21"/>
                      <w:u w:val="single"/>
                    </w:rPr>
                    <w:t>三</w:t>
                  </w:r>
                </w:p>
              </w:tc>
              <w:tc>
                <w:tcPr>
                  <w:tcW w:w="1590" w:type="dxa"/>
                  <w:tcBorders>
                    <w:tl2br w:val="nil"/>
                    <w:tr2bl w:val="nil"/>
                  </w:tcBorders>
                  <w:vAlign w:val="center"/>
                </w:tcPr>
                <w:p>
                  <w:pPr>
                    <w:jc w:val="center"/>
                    <w:rPr>
                      <w:kern w:val="0"/>
                      <w:szCs w:val="21"/>
                      <w:u w:val="single"/>
                    </w:rPr>
                  </w:pPr>
                  <w:r>
                    <w:rPr>
                      <w:rFonts w:hint="eastAsia"/>
                      <w:kern w:val="0"/>
                      <w:szCs w:val="21"/>
                      <w:u w:val="single"/>
                    </w:rPr>
                    <w:t>简单分析</w:t>
                  </w:r>
                  <w:r>
                    <w:rPr>
                      <w:rFonts w:hint="eastAsia"/>
                      <w:kern w:val="0"/>
                      <w:szCs w:val="21"/>
                      <w:u w:val="single"/>
                      <w:vertAlign w:val="superscript"/>
                    </w:rPr>
                    <w:t>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946" w:type="dxa"/>
                  <w:gridSpan w:val="5"/>
                  <w:tcBorders>
                    <w:tl2br w:val="nil"/>
                    <w:tr2bl w:val="nil"/>
                  </w:tcBorders>
                  <w:vAlign w:val="center"/>
                </w:tcPr>
                <w:p>
                  <w:pPr>
                    <w:jc w:val="left"/>
                    <w:rPr>
                      <w:kern w:val="0"/>
                      <w:szCs w:val="21"/>
                      <w:u w:val="single"/>
                    </w:rPr>
                  </w:pPr>
                  <w:r>
                    <w:rPr>
                      <w:b/>
                      <w:bCs/>
                      <w:kern w:val="0"/>
                      <w:sz w:val="18"/>
                      <w:szCs w:val="18"/>
                      <w:u w:val="single"/>
                    </w:rPr>
                    <w:t>a详细评价工作内容而言，在描述危险物质、环境影响途径、环境危害后果、风险防范措施等方面给出定性的说明。</w:t>
                  </w:r>
                </w:p>
              </w:tc>
            </w:tr>
          </w:tbl>
          <w:p>
            <w:pPr>
              <w:spacing w:line="360" w:lineRule="auto"/>
              <w:ind w:firstLine="480" w:firstLineChars="200"/>
              <w:rPr>
                <w:rFonts w:ascii="宋体" w:hAnsi="宋体" w:eastAsia="宋体" w:cs="宋体"/>
                <w:b/>
                <w:bCs/>
                <w:kern w:val="0"/>
                <w:sz w:val="24"/>
                <w:u w:val="single"/>
              </w:rPr>
            </w:pPr>
            <w:r>
              <w:rPr>
                <w:rFonts w:hint="eastAsia"/>
                <w:kern w:val="0"/>
                <w:sz w:val="24"/>
              </w:rPr>
              <w:t>由上表可知，项目Q值＜1，风</w:t>
            </w:r>
            <w:r>
              <w:rPr>
                <w:rFonts w:hint="eastAsia" w:ascii="宋体" w:hAnsi="宋体" w:eastAsia="宋体" w:cs="宋体"/>
                <w:kern w:val="0"/>
                <w:sz w:val="24"/>
                <w:u w:val="single"/>
              </w:rPr>
              <w:t>险潜势为Ⅰ，进行简单分析。本项目风险源确定为机油存储仓库和危废间，可能影响环境的途径为泄漏造成环境空气、地下水及土壤污染；泄漏引发火灾引发的伴生/次生污染；废气治理装置故障导致废气超标排放引发的环境空气污染。</w:t>
            </w:r>
          </w:p>
          <w:p>
            <w:pPr>
              <w:pStyle w:val="20"/>
              <w:spacing w:line="360" w:lineRule="auto"/>
              <w:ind w:firstLine="482"/>
              <w:jc w:val="both"/>
              <w:rPr>
                <w:sz w:val="24"/>
                <w:szCs w:val="24"/>
              </w:rPr>
            </w:pPr>
            <w:r>
              <w:rPr>
                <w:rFonts w:hint="eastAsia" w:ascii="宋体" w:hAnsi="宋体" w:cs="宋体"/>
                <w:b/>
                <w:bCs/>
                <w:kern w:val="0"/>
                <w:sz w:val="24"/>
                <w:szCs w:val="24"/>
              </w:rPr>
              <w:t>⑵</w:t>
            </w:r>
            <w:r>
              <w:rPr>
                <w:rFonts w:hint="eastAsia"/>
                <w:b/>
                <w:bCs/>
                <w:kern w:val="0"/>
                <w:sz w:val="24"/>
                <w:szCs w:val="24"/>
              </w:rPr>
              <w:t>可能的影响途径</w:t>
            </w:r>
            <w:bookmarkStart w:id="37" w:name="⑴区域位置"/>
            <w:bookmarkEnd w:id="37"/>
          </w:p>
          <w:p>
            <w:pPr>
              <w:adjustRightInd w:val="0"/>
              <w:snapToGrid w:val="0"/>
              <w:spacing w:line="360" w:lineRule="auto"/>
              <w:ind w:firstLine="480" w:firstLineChars="200"/>
              <w:jc w:val="left"/>
              <w:rPr>
                <w:sz w:val="24"/>
              </w:rPr>
            </w:pPr>
            <w:bookmarkStart w:id="38" w:name="5.环境风险识别"/>
            <w:bookmarkEnd w:id="38"/>
            <w:r>
              <w:rPr>
                <w:sz w:val="24"/>
              </w:rPr>
              <w:t>根据工程分析可知，本项目</w:t>
            </w:r>
            <w:r>
              <w:rPr>
                <w:rFonts w:hint="eastAsia"/>
                <w:sz w:val="24"/>
              </w:rPr>
              <w:t>机油</w:t>
            </w:r>
            <w:r>
              <w:rPr>
                <w:sz w:val="24"/>
              </w:rPr>
              <w:t>桶装储存，</w:t>
            </w:r>
            <w:r>
              <w:rPr>
                <w:rFonts w:hint="eastAsia"/>
                <w:sz w:val="24"/>
              </w:rPr>
              <w:t>存放于库房；废机油采用专用密封桶暂存于危险废物贮存点。</w:t>
            </w:r>
            <w:r>
              <w:rPr>
                <w:sz w:val="24"/>
              </w:rPr>
              <w:t>项目储存</w:t>
            </w:r>
            <w:r>
              <w:rPr>
                <w:rFonts w:hint="eastAsia"/>
                <w:sz w:val="24"/>
              </w:rPr>
              <w:t>的机油包装桶破裂、操作失误，可能造成泄漏事故，若未及时发现，泄漏液流出车间，可能沾染土壤，进而污染地下水。</w:t>
            </w:r>
            <w:r>
              <w:rPr>
                <w:sz w:val="24"/>
              </w:rPr>
              <w:t>项目</w:t>
            </w:r>
            <w:r>
              <w:rPr>
                <w:rFonts w:hint="eastAsia"/>
                <w:sz w:val="24"/>
              </w:rPr>
              <w:t>生产过程中的机油泄漏</w:t>
            </w:r>
            <w:r>
              <w:rPr>
                <w:sz w:val="24"/>
              </w:rPr>
              <w:t>一旦遇到明火、高热，就会发生燃烧事故。以石油化工行业储运生产为例，在收集到的981例各种事故中，火灾事故280例，占28.5%，属所在事故之首，且火灾事故的后果严重，损失巨大，由此可见石化产品在装卸储运过程中，火灾危险相当突出。</w:t>
            </w:r>
          </w:p>
          <w:p>
            <w:pPr>
              <w:autoSpaceDE w:val="0"/>
              <w:autoSpaceDN w:val="0"/>
              <w:adjustRightInd w:val="0"/>
              <w:snapToGrid w:val="0"/>
              <w:spacing w:line="360" w:lineRule="auto"/>
              <w:ind w:firstLine="480" w:firstLineChars="200"/>
              <w:rPr>
                <w:sz w:val="24"/>
              </w:rPr>
            </w:pPr>
            <w:r>
              <w:rPr>
                <w:sz w:val="24"/>
              </w:rPr>
              <w:t>可能影响环境的途径为泄漏造成环境空气、地下水及土壤污染，泄漏引发火灾引发的伴生/次生污染。</w:t>
            </w:r>
          </w:p>
          <w:p>
            <w:pPr>
              <w:widowControl/>
              <w:spacing w:line="360" w:lineRule="auto"/>
              <w:jc w:val="center"/>
              <w:rPr>
                <w:b/>
                <w:bCs/>
                <w:sz w:val="24"/>
                <w:u w:val="single"/>
                <w:lang w:val="zh-CN"/>
              </w:rPr>
            </w:pPr>
            <w:r>
              <w:rPr>
                <w:rFonts w:hint="eastAsia" w:ascii="宋体" w:hAnsi="宋体" w:cs="宋体"/>
                <w:b/>
                <w:bCs/>
                <w:color w:val="000000"/>
                <w:kern w:val="0"/>
                <w:sz w:val="24"/>
                <w:u w:val="single"/>
                <w:lang w:val="zh-CN"/>
              </w:rPr>
              <w:t>表</w:t>
            </w:r>
            <w:r>
              <w:rPr>
                <w:rFonts w:hint="eastAsia" w:ascii="宋体" w:hAnsi="宋体" w:cs="宋体"/>
                <w:b/>
                <w:bCs/>
                <w:color w:val="000000"/>
                <w:kern w:val="0"/>
                <w:sz w:val="24"/>
                <w:u w:val="single"/>
              </w:rPr>
              <w:t xml:space="preserve">4-15   </w:t>
            </w:r>
            <w:r>
              <w:rPr>
                <w:rFonts w:hint="eastAsia" w:ascii="宋体" w:hAnsi="宋体" w:cs="宋体"/>
                <w:b/>
                <w:bCs/>
                <w:color w:val="000000"/>
                <w:kern w:val="0"/>
                <w:sz w:val="24"/>
                <w:u w:val="single"/>
                <w:lang w:val="zh-CN"/>
              </w:rPr>
              <w:t>生产过程中潜在的事故及原因</w:t>
            </w:r>
          </w:p>
          <w:tbl>
            <w:tblPr>
              <w:tblStyle w:val="27"/>
              <w:tblW w:w="8019" w:type="dxa"/>
              <w:jc w:val="center"/>
              <w:tblBorders>
                <w:top w:val="single" w:color="auto" w:sz="12" w:space="0"/>
                <w:left w:val="none" w:color="auto" w:sz="0" w:space="0"/>
                <w:bottom w:val="single" w:color="auto" w:sz="12" w:space="0"/>
                <w:right w:val="none" w:color="auto" w:sz="0" w:space="0"/>
                <w:insideH w:val="single" w:color="auto" w:sz="4" w:space="0"/>
                <w:insideV w:val="single" w:color="auto" w:sz="2" w:space="0"/>
              </w:tblBorders>
              <w:tblLayout w:type="fixed"/>
              <w:tblCellMar>
                <w:top w:w="0" w:type="dxa"/>
                <w:left w:w="108" w:type="dxa"/>
                <w:bottom w:w="0" w:type="dxa"/>
                <w:right w:w="108" w:type="dxa"/>
              </w:tblCellMar>
            </w:tblPr>
            <w:tblGrid>
              <w:gridCol w:w="786"/>
              <w:gridCol w:w="2266"/>
              <w:gridCol w:w="4967"/>
            </w:tblGrid>
            <w:tr>
              <w:tblPrEx>
                <w:tblBorders>
                  <w:top w:val="single" w:color="auto" w:sz="12" w:space="0"/>
                  <w:left w:val="none" w:color="auto" w:sz="0" w:space="0"/>
                  <w:bottom w:val="single" w:color="auto" w:sz="12" w:space="0"/>
                  <w:right w:val="none" w:color="auto" w:sz="0" w:space="0"/>
                  <w:insideH w:val="single" w:color="auto" w:sz="4" w:space="0"/>
                  <w:insideV w:val="single" w:color="auto" w:sz="2" w:space="0"/>
                </w:tblBorders>
                <w:tblCellMar>
                  <w:top w:w="0" w:type="dxa"/>
                  <w:left w:w="108" w:type="dxa"/>
                  <w:bottom w:w="0" w:type="dxa"/>
                  <w:right w:w="108" w:type="dxa"/>
                </w:tblCellMar>
              </w:tblPrEx>
              <w:trPr>
                <w:trHeight w:val="23" w:hRule="atLeast"/>
                <w:jc w:val="center"/>
              </w:trPr>
              <w:tc>
                <w:tcPr>
                  <w:tcW w:w="786" w:type="dxa"/>
                  <w:vAlign w:val="center"/>
                </w:tcPr>
                <w:p>
                  <w:pPr>
                    <w:tabs>
                      <w:tab w:val="left" w:pos="0"/>
                      <w:tab w:val="left" w:pos="1395"/>
                    </w:tabs>
                    <w:snapToGrid w:val="0"/>
                    <w:jc w:val="center"/>
                    <w:rPr>
                      <w:bCs/>
                    </w:rPr>
                  </w:pPr>
                  <w:r>
                    <w:rPr>
                      <w:bCs/>
                    </w:rPr>
                    <w:t>序号</w:t>
                  </w:r>
                </w:p>
              </w:tc>
              <w:tc>
                <w:tcPr>
                  <w:tcW w:w="2266" w:type="dxa"/>
                  <w:vAlign w:val="center"/>
                </w:tcPr>
                <w:p>
                  <w:pPr>
                    <w:snapToGrid w:val="0"/>
                    <w:jc w:val="center"/>
                    <w:rPr>
                      <w:bCs/>
                    </w:rPr>
                  </w:pPr>
                  <w:r>
                    <w:rPr>
                      <w:bCs/>
                    </w:rPr>
                    <w:t>潜在事故</w:t>
                  </w:r>
                </w:p>
              </w:tc>
              <w:tc>
                <w:tcPr>
                  <w:tcW w:w="4967" w:type="dxa"/>
                  <w:vAlign w:val="center"/>
                </w:tcPr>
                <w:p>
                  <w:pPr>
                    <w:snapToGrid w:val="0"/>
                    <w:jc w:val="center"/>
                    <w:rPr>
                      <w:bCs/>
                    </w:rPr>
                  </w:pPr>
                  <w:r>
                    <w:rPr>
                      <w:bCs/>
                    </w:rPr>
                    <w:t>主要原因</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2" w:space="0"/>
                </w:tblBorders>
                <w:tblCellMar>
                  <w:top w:w="0" w:type="dxa"/>
                  <w:left w:w="108" w:type="dxa"/>
                  <w:bottom w:w="0" w:type="dxa"/>
                  <w:right w:w="108" w:type="dxa"/>
                </w:tblCellMar>
              </w:tblPrEx>
              <w:trPr>
                <w:trHeight w:val="23" w:hRule="atLeast"/>
                <w:jc w:val="center"/>
              </w:trPr>
              <w:tc>
                <w:tcPr>
                  <w:tcW w:w="786" w:type="dxa"/>
                  <w:vAlign w:val="center"/>
                </w:tcPr>
                <w:p>
                  <w:pPr>
                    <w:snapToGrid w:val="0"/>
                    <w:jc w:val="center"/>
                  </w:pPr>
                  <w:r>
                    <w:t>1</w:t>
                  </w:r>
                </w:p>
              </w:tc>
              <w:tc>
                <w:tcPr>
                  <w:tcW w:w="2266" w:type="dxa"/>
                  <w:vAlign w:val="center"/>
                </w:tcPr>
                <w:p>
                  <w:pPr>
                    <w:snapToGrid w:val="0"/>
                    <w:jc w:val="center"/>
                  </w:pPr>
                  <w:r>
                    <w:rPr>
                      <w:rFonts w:hint="eastAsia"/>
                    </w:rPr>
                    <w:t>泄漏</w:t>
                  </w:r>
                </w:p>
              </w:tc>
              <w:tc>
                <w:tcPr>
                  <w:tcW w:w="4967" w:type="dxa"/>
                  <w:vAlign w:val="center"/>
                </w:tcPr>
                <w:p>
                  <w:pPr>
                    <w:snapToGrid w:val="0"/>
                    <w:jc w:val="center"/>
                  </w:pPr>
                  <w:r>
                    <w:rPr>
                      <w:szCs w:val="20"/>
                    </w:rPr>
                    <w:t>误操作、</w:t>
                  </w:r>
                  <w:r>
                    <w:rPr>
                      <w:rFonts w:hint="eastAsia"/>
                      <w:szCs w:val="20"/>
                    </w:rPr>
                    <w:t>包装桶、包装瓶破裂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2" w:space="0"/>
                </w:tblBorders>
                <w:tblCellMar>
                  <w:top w:w="0" w:type="dxa"/>
                  <w:left w:w="108" w:type="dxa"/>
                  <w:bottom w:w="0" w:type="dxa"/>
                  <w:right w:w="108" w:type="dxa"/>
                </w:tblCellMar>
              </w:tblPrEx>
              <w:trPr>
                <w:trHeight w:val="23" w:hRule="atLeast"/>
                <w:jc w:val="center"/>
              </w:trPr>
              <w:tc>
                <w:tcPr>
                  <w:tcW w:w="786" w:type="dxa"/>
                  <w:vAlign w:val="center"/>
                </w:tcPr>
                <w:p>
                  <w:pPr>
                    <w:snapToGrid w:val="0"/>
                    <w:jc w:val="center"/>
                  </w:pPr>
                  <w:r>
                    <w:rPr>
                      <w:rFonts w:hint="eastAsia"/>
                    </w:rPr>
                    <w:t>2</w:t>
                  </w:r>
                </w:p>
              </w:tc>
              <w:tc>
                <w:tcPr>
                  <w:tcW w:w="2266" w:type="dxa"/>
                  <w:vAlign w:val="center"/>
                </w:tcPr>
                <w:p>
                  <w:pPr>
                    <w:snapToGrid w:val="0"/>
                    <w:jc w:val="center"/>
                  </w:pPr>
                  <w:r>
                    <w:rPr>
                      <w:rFonts w:hint="eastAsia"/>
                    </w:rPr>
                    <w:t>火灾</w:t>
                  </w:r>
                </w:p>
              </w:tc>
              <w:tc>
                <w:tcPr>
                  <w:tcW w:w="4967" w:type="dxa"/>
                  <w:vAlign w:val="center"/>
                </w:tcPr>
                <w:p>
                  <w:pPr>
                    <w:snapToGrid w:val="0"/>
                    <w:jc w:val="center"/>
                    <w:rPr>
                      <w:szCs w:val="20"/>
                    </w:rPr>
                  </w:pPr>
                  <w:r>
                    <w:rPr>
                      <w:szCs w:val="20"/>
                    </w:rPr>
                    <w:t>误操作、</w:t>
                  </w:r>
                  <w:r>
                    <w:rPr>
                      <w:rFonts w:hint="eastAsia"/>
                      <w:szCs w:val="20"/>
                    </w:rPr>
                    <w:t>电气火灾、</w:t>
                  </w:r>
                  <w:r>
                    <w:rPr>
                      <w:szCs w:val="20"/>
                    </w:rPr>
                    <w:t>自然灾害</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2" w:space="0"/>
                </w:tblBorders>
                <w:tblCellMar>
                  <w:top w:w="0" w:type="dxa"/>
                  <w:left w:w="108" w:type="dxa"/>
                  <w:bottom w:w="0" w:type="dxa"/>
                  <w:right w:w="108" w:type="dxa"/>
                </w:tblCellMar>
              </w:tblPrEx>
              <w:trPr>
                <w:trHeight w:val="23" w:hRule="atLeast"/>
                <w:jc w:val="center"/>
              </w:trPr>
              <w:tc>
                <w:tcPr>
                  <w:tcW w:w="786" w:type="dxa"/>
                  <w:vAlign w:val="center"/>
                </w:tcPr>
                <w:p>
                  <w:pPr>
                    <w:snapToGrid w:val="0"/>
                    <w:jc w:val="center"/>
                  </w:pPr>
                  <w:r>
                    <w:rPr>
                      <w:rFonts w:hint="eastAsia"/>
                    </w:rPr>
                    <w:t>3</w:t>
                  </w:r>
                </w:p>
              </w:tc>
              <w:tc>
                <w:tcPr>
                  <w:tcW w:w="2266" w:type="dxa"/>
                  <w:vAlign w:val="center"/>
                </w:tcPr>
                <w:p>
                  <w:pPr>
                    <w:snapToGrid w:val="0"/>
                    <w:jc w:val="center"/>
                  </w:pPr>
                  <w:r>
                    <w:rPr>
                      <w:rFonts w:hint="eastAsia"/>
                    </w:rPr>
                    <w:t>环保设施异常</w:t>
                  </w:r>
                </w:p>
              </w:tc>
              <w:tc>
                <w:tcPr>
                  <w:tcW w:w="4967" w:type="dxa"/>
                  <w:vAlign w:val="center"/>
                </w:tcPr>
                <w:p>
                  <w:pPr>
                    <w:snapToGrid w:val="0"/>
                    <w:jc w:val="center"/>
                    <w:rPr>
                      <w:szCs w:val="20"/>
                    </w:rPr>
                  </w:pPr>
                  <w:r>
                    <w:rPr>
                      <w:rFonts w:hint="eastAsia"/>
                      <w:szCs w:val="20"/>
                    </w:rPr>
                    <w:t>设备故障</w:t>
                  </w:r>
                </w:p>
              </w:tc>
            </w:tr>
          </w:tbl>
          <w:p>
            <w:pPr>
              <w:pStyle w:val="20"/>
              <w:spacing w:line="360" w:lineRule="auto"/>
              <w:ind w:firstLine="482"/>
              <w:jc w:val="both"/>
              <w:rPr>
                <w:b/>
                <w:bCs/>
                <w:kern w:val="0"/>
                <w:sz w:val="24"/>
                <w:szCs w:val="24"/>
              </w:rPr>
            </w:pPr>
            <w:bookmarkStart w:id="39" w:name="6.环境风险分析"/>
            <w:bookmarkEnd w:id="39"/>
            <w:r>
              <w:rPr>
                <w:rFonts w:hint="eastAsia" w:ascii="宋体" w:hAnsi="宋体" w:cs="宋体"/>
                <w:b/>
                <w:bCs/>
                <w:kern w:val="0"/>
                <w:sz w:val="24"/>
                <w:szCs w:val="24"/>
              </w:rPr>
              <w:t>⑶</w:t>
            </w:r>
            <w:r>
              <w:rPr>
                <w:rFonts w:hint="eastAsia"/>
                <w:b/>
                <w:bCs/>
                <w:kern w:val="0"/>
                <w:sz w:val="24"/>
                <w:szCs w:val="24"/>
              </w:rPr>
              <w:t>环境风险防范措施</w:t>
            </w:r>
          </w:p>
          <w:p>
            <w:pPr>
              <w:pStyle w:val="68"/>
              <w:spacing w:before="0" w:after="0" w:line="360" w:lineRule="auto"/>
              <w:ind w:firstLine="480"/>
              <w:rPr>
                <w:rFonts w:eastAsia="宋体"/>
                <w:b w:val="0"/>
                <w:bCs w:val="0"/>
                <w:color w:val="auto"/>
                <w:sz w:val="24"/>
              </w:rPr>
            </w:pPr>
            <w:r>
              <w:rPr>
                <w:rFonts w:hint="eastAsia" w:eastAsia="宋体"/>
                <w:b w:val="0"/>
                <w:bCs w:val="0"/>
                <w:color w:val="auto"/>
                <w:sz w:val="24"/>
              </w:rPr>
              <w:t>1）泄漏</w:t>
            </w:r>
          </w:p>
          <w:p>
            <w:pPr>
              <w:pStyle w:val="68"/>
              <w:spacing w:before="0" w:after="0" w:line="360" w:lineRule="auto"/>
              <w:ind w:firstLine="480"/>
              <w:rPr>
                <w:rFonts w:eastAsia="宋体"/>
                <w:b w:val="0"/>
                <w:bCs w:val="0"/>
                <w:color w:val="auto"/>
                <w:sz w:val="24"/>
              </w:rPr>
            </w:pPr>
            <w:r>
              <w:rPr>
                <w:rFonts w:hint="eastAsia" w:eastAsia="宋体"/>
                <w:b w:val="0"/>
                <w:bCs w:val="0"/>
                <w:color w:val="auto"/>
                <w:sz w:val="24"/>
              </w:rPr>
              <w:t>为了减少泄漏风险，必须加强机油、废机油输送、贮存时的管理工作，对出入库做好登记，并按照贮存物质的理化性质分类存放。具体措施如下：</w:t>
            </w:r>
          </w:p>
          <w:p>
            <w:pPr>
              <w:pStyle w:val="68"/>
              <w:spacing w:before="0" w:after="0" w:line="360" w:lineRule="auto"/>
              <w:ind w:firstLine="480"/>
              <w:rPr>
                <w:rFonts w:eastAsia="宋体"/>
                <w:b w:val="0"/>
                <w:bCs w:val="0"/>
                <w:color w:val="auto"/>
                <w:sz w:val="24"/>
              </w:rPr>
            </w:pPr>
            <w:r>
              <w:rPr>
                <w:rFonts w:hint="eastAsia" w:eastAsia="宋体"/>
                <w:b w:val="0"/>
                <w:bCs w:val="0"/>
                <w:color w:val="auto"/>
                <w:sz w:val="24"/>
              </w:rPr>
              <w:t>①按规定在装置区设置有关的安全标志。</w:t>
            </w:r>
          </w:p>
          <w:p>
            <w:pPr>
              <w:pStyle w:val="68"/>
              <w:spacing w:before="0" w:after="0" w:line="360" w:lineRule="auto"/>
              <w:ind w:firstLine="480"/>
              <w:rPr>
                <w:rFonts w:eastAsia="宋体"/>
                <w:b w:val="0"/>
                <w:bCs w:val="0"/>
                <w:color w:val="auto"/>
                <w:sz w:val="24"/>
              </w:rPr>
            </w:pPr>
            <w:r>
              <w:rPr>
                <w:rFonts w:hint="eastAsia" w:eastAsia="宋体"/>
                <w:b w:val="0"/>
                <w:bCs w:val="0"/>
                <w:color w:val="auto"/>
                <w:sz w:val="24"/>
              </w:rPr>
              <w:t>②按照相关要求设置消防及火灾报警系统，配备必要的消防器材。工作人员配备必要的个人防护用品。</w:t>
            </w:r>
          </w:p>
          <w:p>
            <w:pPr>
              <w:pStyle w:val="68"/>
              <w:spacing w:before="0" w:after="0" w:line="360" w:lineRule="auto"/>
              <w:ind w:firstLine="480"/>
              <w:rPr>
                <w:rFonts w:eastAsia="宋体"/>
                <w:b w:val="0"/>
                <w:bCs w:val="0"/>
                <w:color w:val="auto"/>
                <w:sz w:val="24"/>
              </w:rPr>
            </w:pPr>
            <w:r>
              <w:rPr>
                <w:rFonts w:hint="eastAsia" w:eastAsia="宋体"/>
                <w:b w:val="0"/>
                <w:bCs w:val="0"/>
                <w:color w:val="auto"/>
                <w:sz w:val="24"/>
              </w:rPr>
              <w:t>③加强危险化学物品运输车辆的管理，严格遵守危险品运输管理规定，避免运输过程事故的发生。有毒、有害危险品物质的保管和使用应建立严格的管理和规章制度，原料装卸、使用时，全过程应有人在现场监督，一旦发生事故，立即采取防范措施。本项目废机油由三方处置公司进行转运。</w:t>
            </w:r>
          </w:p>
          <w:p>
            <w:pPr>
              <w:pStyle w:val="68"/>
              <w:spacing w:before="0" w:after="0" w:line="360" w:lineRule="auto"/>
              <w:ind w:firstLine="480"/>
              <w:rPr>
                <w:rFonts w:eastAsia="宋体"/>
                <w:b w:val="0"/>
                <w:bCs w:val="0"/>
                <w:color w:val="auto"/>
                <w:sz w:val="24"/>
              </w:rPr>
            </w:pPr>
            <w:r>
              <w:rPr>
                <w:rFonts w:hint="eastAsia" w:eastAsia="宋体"/>
                <w:b w:val="0"/>
                <w:bCs w:val="0"/>
                <w:color w:val="auto"/>
                <w:sz w:val="24"/>
              </w:rPr>
              <w:t>④一旦发生危险品泄漏，立即采取措施，使用沙土、吸油毡等材料对泄漏液进行吸附，同时使用沙袋构筑临时围堰，防止泄漏液扩散，防止挥发造成更大的危险。因挥发被人体大量吸入而导致中毒，现场救援人员必须佩戴防毒面具。泄漏液及吸附沙土集中收集至应急桶内，委托资质单位处理。</w:t>
            </w:r>
          </w:p>
          <w:p>
            <w:pPr>
              <w:pStyle w:val="68"/>
              <w:spacing w:before="0" w:after="0" w:line="360" w:lineRule="auto"/>
              <w:ind w:firstLine="480"/>
              <w:rPr>
                <w:rFonts w:eastAsia="宋体"/>
                <w:b w:val="0"/>
                <w:bCs w:val="0"/>
                <w:color w:val="auto"/>
                <w:sz w:val="24"/>
              </w:rPr>
            </w:pPr>
            <w:r>
              <w:rPr>
                <w:rFonts w:hint="eastAsia" w:eastAsia="宋体"/>
                <w:b w:val="0"/>
                <w:bCs w:val="0"/>
                <w:color w:val="auto"/>
                <w:sz w:val="24"/>
              </w:rPr>
              <w:t>2）火灾</w:t>
            </w:r>
          </w:p>
          <w:p>
            <w:pPr>
              <w:pStyle w:val="26"/>
              <w:widowControl w:val="0"/>
              <w:snapToGrid/>
              <w:spacing w:before="0" w:after="0" w:line="360" w:lineRule="auto"/>
              <w:ind w:right="0" w:firstLine="480" w:firstLineChars="200"/>
              <w:rPr>
                <w:sz w:val="24"/>
                <w:szCs w:val="24"/>
              </w:rPr>
            </w:pPr>
            <w:r>
              <w:rPr>
                <w:sz w:val="24"/>
                <w:szCs w:val="24"/>
              </w:rPr>
              <w:t>防止</w:t>
            </w:r>
            <w:r>
              <w:rPr>
                <w:rFonts w:hint="eastAsia"/>
                <w:sz w:val="24"/>
                <w:szCs w:val="24"/>
              </w:rPr>
              <w:t>机油或者废机油泄漏引发火灾</w:t>
            </w:r>
            <w:r>
              <w:rPr>
                <w:sz w:val="24"/>
                <w:szCs w:val="24"/>
              </w:rPr>
              <w:t>事故的发生</w:t>
            </w:r>
            <w:r>
              <w:rPr>
                <w:rFonts w:hint="eastAsia"/>
                <w:sz w:val="24"/>
                <w:szCs w:val="24"/>
              </w:rPr>
              <w:t>，应该</w:t>
            </w:r>
            <w:r>
              <w:rPr>
                <w:sz w:val="24"/>
                <w:szCs w:val="24"/>
              </w:rPr>
              <w:t>从加强行政管理、优化工艺和设备、严格操作、加强平时的安全教育和科学的应急措施演练等方面入手预防发生泄漏。一旦发生泄漏，要积极应对，采取合理的措施，科学有效的制止泄漏，防止发生爆炸</w:t>
            </w:r>
            <w:r>
              <w:rPr>
                <w:rFonts w:hint="eastAsia"/>
                <w:sz w:val="24"/>
                <w:szCs w:val="24"/>
              </w:rPr>
              <w:t>，</w:t>
            </w:r>
            <w:r>
              <w:rPr>
                <w:sz w:val="24"/>
                <w:szCs w:val="24"/>
              </w:rPr>
              <w:t>不可盲目处置</w:t>
            </w:r>
            <w:r>
              <w:rPr>
                <w:rFonts w:hint="eastAsia"/>
                <w:sz w:val="24"/>
                <w:szCs w:val="24"/>
              </w:rPr>
              <w:t>。</w:t>
            </w:r>
            <w:r>
              <w:rPr>
                <w:sz w:val="24"/>
                <w:szCs w:val="24"/>
              </w:rPr>
              <w:t>如果发生</w:t>
            </w:r>
            <w:r>
              <w:rPr>
                <w:rFonts w:hint="eastAsia"/>
                <w:sz w:val="24"/>
                <w:szCs w:val="24"/>
              </w:rPr>
              <w:t>机油废机油</w:t>
            </w:r>
            <w:r>
              <w:rPr>
                <w:sz w:val="24"/>
                <w:szCs w:val="24"/>
              </w:rPr>
              <w:t>泄漏起火事故，</w:t>
            </w:r>
            <w:r>
              <w:rPr>
                <w:rFonts w:hint="eastAsia"/>
                <w:sz w:val="24"/>
                <w:szCs w:val="24"/>
              </w:rPr>
              <w:t>应使用干粉灭火器进行灭火</w:t>
            </w:r>
            <w:r>
              <w:rPr>
                <w:sz w:val="24"/>
                <w:szCs w:val="24"/>
              </w:rPr>
              <w:t>。</w:t>
            </w:r>
          </w:p>
          <w:p>
            <w:pPr>
              <w:pStyle w:val="26"/>
              <w:widowControl w:val="0"/>
              <w:snapToGrid/>
              <w:spacing w:before="0" w:after="0" w:line="360" w:lineRule="auto"/>
              <w:ind w:right="0" w:firstLine="480" w:firstLineChars="200"/>
              <w:rPr>
                <w:b/>
                <w:bCs/>
                <w:sz w:val="21"/>
                <w:szCs w:val="24"/>
              </w:rPr>
            </w:pPr>
            <w:r>
              <w:rPr>
                <w:sz w:val="24"/>
                <w:szCs w:val="24"/>
              </w:rPr>
              <w:t>项目发生火灾事故，进入大气的燃烧产物包括大量不完全燃烧形成的CO烟雾或其它中间化学物质，往往具有毒性，形成同毒性物质泄漏同样后果的次生环境污染事故。火灾事故救火过程产生的消防废水往往夹带各种有毒有害物质，如没有得到有效控制，可能会污染周边地表水系统，造成次生水体污染事故。</w:t>
            </w:r>
            <w:r>
              <w:rPr>
                <w:rFonts w:hint="eastAsia"/>
                <w:sz w:val="24"/>
                <w:szCs w:val="24"/>
              </w:rPr>
              <w:t>厂区配备沙袋等应急物资，发生火灾事故时利用沙袋构筑临时围堰，将消防废水控制在厂区内，同时利用沙袋封堵雨水排放口，避免消防废水排入雨水管网</w:t>
            </w:r>
            <w:r>
              <w:rPr>
                <w:sz w:val="24"/>
                <w:szCs w:val="24"/>
              </w:rPr>
              <w:t>，</w:t>
            </w:r>
            <w:r>
              <w:rPr>
                <w:rFonts w:hint="eastAsia"/>
                <w:sz w:val="24"/>
                <w:szCs w:val="24"/>
              </w:rPr>
              <w:t>利用应急泵将消防废水收集至应急罐车，</w:t>
            </w:r>
            <w:r>
              <w:rPr>
                <w:sz w:val="24"/>
                <w:szCs w:val="24"/>
              </w:rPr>
              <w:t>再将事故废水送资质单位处理，将次生危害降至最低。</w:t>
            </w:r>
          </w:p>
          <w:p>
            <w:pPr>
              <w:pStyle w:val="8"/>
              <w:tabs>
                <w:tab w:val="left" w:pos="539"/>
                <w:tab w:val="left" w:pos="1257"/>
              </w:tabs>
              <w:spacing w:line="360" w:lineRule="auto"/>
              <w:ind w:firstLine="480" w:firstLineChars="200"/>
              <w:rPr>
                <w:sz w:val="24"/>
              </w:rPr>
            </w:pPr>
            <w:r>
              <w:rPr>
                <w:rFonts w:hint="eastAsia"/>
                <w:sz w:val="24"/>
              </w:rPr>
              <w:t>3）环保设施异常</w:t>
            </w:r>
          </w:p>
          <w:p>
            <w:pPr>
              <w:pStyle w:val="8"/>
              <w:tabs>
                <w:tab w:val="left" w:pos="539"/>
                <w:tab w:val="left" w:pos="1257"/>
              </w:tabs>
              <w:spacing w:line="360" w:lineRule="auto"/>
              <w:ind w:firstLine="480" w:firstLineChars="200"/>
              <w:rPr>
                <w:sz w:val="24"/>
              </w:rPr>
            </w:pPr>
            <w:r>
              <w:rPr>
                <w:rFonts w:hint="eastAsia"/>
                <w:sz w:val="24"/>
              </w:rPr>
              <w:t>一旦发现布袋除尘器损坏或异常，应立即停产，查明事故排放原因，并及时修理，待设备正常运行后方可继续生产。</w:t>
            </w:r>
          </w:p>
          <w:p>
            <w:pPr>
              <w:pStyle w:val="8"/>
              <w:tabs>
                <w:tab w:val="left" w:pos="539"/>
                <w:tab w:val="left" w:pos="1257"/>
              </w:tabs>
              <w:spacing w:line="360" w:lineRule="auto"/>
              <w:ind w:firstLine="480" w:firstLineChars="200"/>
              <w:rPr>
                <w:sz w:val="24"/>
              </w:rPr>
            </w:pPr>
            <w:r>
              <w:rPr>
                <w:rFonts w:hint="eastAsia"/>
                <w:sz w:val="24"/>
              </w:rPr>
              <w:t>在严格采取各项风险防范应急措施以及与周边企业建立联动的情况下，可最大限度降低环境风险，一旦意外事件发生，环境风险可达到控制，能最大限度地减少环境污染危害，环境风险防范措施有效，风险影响程度可接受。</w:t>
            </w:r>
          </w:p>
          <w:p>
            <w:pPr>
              <w:spacing w:line="360" w:lineRule="auto"/>
              <w:rPr>
                <w:b/>
                <w:bCs/>
                <w:sz w:val="24"/>
              </w:rPr>
            </w:pPr>
            <w:r>
              <w:rPr>
                <w:rFonts w:hint="eastAsia"/>
                <w:b/>
                <w:bCs/>
                <w:sz w:val="24"/>
              </w:rPr>
              <w:t>4.2.7环保投资</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本项目环保投资情况见表4-16。</w:t>
            </w:r>
          </w:p>
          <w:p>
            <w:pPr>
              <w:pStyle w:val="68"/>
              <w:spacing w:before="0" w:after="0" w:line="360" w:lineRule="auto"/>
              <w:ind w:firstLine="0" w:firstLineChars="0"/>
              <w:jc w:val="center"/>
              <w:rPr>
                <w:rFonts w:eastAsia="宋体"/>
                <w:color w:val="000000"/>
                <w:kern w:val="0"/>
                <w:sz w:val="24"/>
                <w:szCs w:val="24"/>
                <w:u w:val="single"/>
                <w:lang w:val="zh-CN"/>
              </w:rPr>
            </w:pPr>
            <w:r>
              <w:rPr>
                <w:rFonts w:hint="eastAsia" w:eastAsia="宋体"/>
                <w:color w:val="000000"/>
                <w:kern w:val="0"/>
                <w:sz w:val="24"/>
                <w:szCs w:val="24"/>
                <w:u w:val="single"/>
                <w:lang w:val="zh-CN"/>
              </w:rPr>
              <w:t>表</w:t>
            </w:r>
            <w:r>
              <w:rPr>
                <w:rFonts w:hint="eastAsia" w:eastAsia="宋体"/>
                <w:color w:val="000000"/>
                <w:kern w:val="0"/>
                <w:sz w:val="24"/>
                <w:szCs w:val="24"/>
                <w:u w:val="single"/>
              </w:rPr>
              <w:t xml:space="preserve">4-16  </w:t>
            </w:r>
            <w:r>
              <w:rPr>
                <w:rFonts w:hint="eastAsia" w:eastAsia="宋体"/>
                <w:color w:val="000000"/>
                <w:kern w:val="0"/>
                <w:sz w:val="24"/>
                <w:szCs w:val="24"/>
                <w:u w:val="single"/>
                <w:lang w:val="zh-CN"/>
              </w:rPr>
              <w:t>污染治理措施及环保投资一览表</w:t>
            </w:r>
          </w:p>
          <w:tbl>
            <w:tblPr>
              <w:tblStyle w:val="27"/>
              <w:tblW w:w="8276"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35"/>
              <w:gridCol w:w="553"/>
              <w:gridCol w:w="1702"/>
              <w:gridCol w:w="3213"/>
              <w:gridCol w:w="227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790" w:type="dxa"/>
                  <w:gridSpan w:val="3"/>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项目</w:t>
                  </w:r>
                </w:p>
              </w:tc>
              <w:tc>
                <w:tcPr>
                  <w:tcW w:w="3213"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环保措施</w:t>
                  </w:r>
                </w:p>
              </w:tc>
              <w:tc>
                <w:tcPr>
                  <w:tcW w:w="2273"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金额（万元）</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35" w:type="dxa"/>
                  <w:vMerge w:val="restart"/>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施工期</w:t>
                  </w:r>
                </w:p>
              </w:tc>
              <w:tc>
                <w:tcPr>
                  <w:tcW w:w="553"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废水</w:t>
                  </w:r>
                </w:p>
              </w:tc>
              <w:tc>
                <w:tcPr>
                  <w:tcW w:w="1702"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生活污水</w:t>
                  </w:r>
                </w:p>
              </w:tc>
              <w:tc>
                <w:tcPr>
                  <w:tcW w:w="3213"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生活污水已接入市政管网，</w:t>
                  </w:r>
                </w:p>
                <w:p>
                  <w:pPr>
                    <w:adjustRightInd w:val="0"/>
                    <w:snapToGrid w:val="0"/>
                    <w:jc w:val="center"/>
                    <w:rPr>
                      <w:rFonts w:ascii="宋体" w:hAnsi="宋体" w:cs="宋体"/>
                      <w:color w:val="000000"/>
                      <w:szCs w:val="21"/>
                    </w:rPr>
                  </w:pPr>
                  <w:r>
                    <w:rPr>
                      <w:rFonts w:hint="eastAsia" w:ascii="宋体" w:hAnsi="宋体" w:cs="宋体"/>
                      <w:color w:val="000000"/>
                      <w:szCs w:val="21"/>
                    </w:rPr>
                    <w:t>排入城市污水处理厂</w:t>
                  </w:r>
                </w:p>
              </w:tc>
              <w:tc>
                <w:tcPr>
                  <w:tcW w:w="2273"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35" w:type="dxa"/>
                  <w:vMerge w:val="continue"/>
                  <w:tcBorders>
                    <w:tl2br w:val="nil"/>
                    <w:tr2bl w:val="nil"/>
                  </w:tcBorders>
                  <w:vAlign w:val="center"/>
                </w:tcPr>
                <w:p>
                  <w:pPr>
                    <w:adjustRightInd w:val="0"/>
                    <w:snapToGrid w:val="0"/>
                    <w:jc w:val="center"/>
                    <w:rPr>
                      <w:rFonts w:ascii="宋体" w:hAnsi="宋体" w:cs="宋体"/>
                      <w:color w:val="000000"/>
                      <w:szCs w:val="21"/>
                    </w:rPr>
                  </w:pPr>
                </w:p>
              </w:tc>
              <w:tc>
                <w:tcPr>
                  <w:tcW w:w="553"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废气</w:t>
                  </w:r>
                </w:p>
              </w:tc>
              <w:tc>
                <w:tcPr>
                  <w:tcW w:w="1702"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施工扬尘</w:t>
                  </w:r>
                </w:p>
              </w:tc>
              <w:tc>
                <w:tcPr>
                  <w:tcW w:w="3213" w:type="dxa"/>
                  <w:tcBorders>
                    <w:tl2br w:val="nil"/>
                    <w:tr2bl w:val="nil"/>
                  </w:tcBorders>
                  <w:vAlign w:val="center"/>
                </w:tcPr>
                <w:p>
                  <w:pPr>
                    <w:tabs>
                      <w:tab w:val="left" w:pos="210"/>
                    </w:tabs>
                    <w:adjustRightInd w:val="0"/>
                    <w:snapToGrid w:val="0"/>
                    <w:jc w:val="center"/>
                    <w:rPr>
                      <w:rFonts w:ascii="宋体" w:hAnsi="宋体" w:cs="宋体"/>
                      <w:color w:val="000000"/>
                      <w:szCs w:val="21"/>
                    </w:rPr>
                  </w:pPr>
                  <w:r>
                    <w:rPr>
                      <w:rFonts w:hint="eastAsia" w:ascii="宋体" w:hAnsi="宋体" w:cs="宋体"/>
                      <w:color w:val="000000"/>
                      <w:szCs w:val="21"/>
                    </w:rPr>
                    <w:t>篷布苫盖</w:t>
                  </w:r>
                </w:p>
              </w:tc>
              <w:tc>
                <w:tcPr>
                  <w:tcW w:w="2273"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0.1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35" w:type="dxa"/>
                  <w:vMerge w:val="continue"/>
                  <w:tcBorders>
                    <w:tl2br w:val="nil"/>
                    <w:tr2bl w:val="nil"/>
                  </w:tcBorders>
                  <w:vAlign w:val="center"/>
                </w:tcPr>
                <w:p>
                  <w:pPr>
                    <w:adjustRightInd w:val="0"/>
                    <w:snapToGrid w:val="0"/>
                    <w:jc w:val="center"/>
                    <w:rPr>
                      <w:rFonts w:ascii="宋体" w:hAnsi="宋体" w:cs="宋体"/>
                      <w:color w:val="000000"/>
                      <w:szCs w:val="21"/>
                    </w:rPr>
                  </w:pPr>
                </w:p>
              </w:tc>
              <w:tc>
                <w:tcPr>
                  <w:tcW w:w="553"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固废</w:t>
                  </w:r>
                </w:p>
              </w:tc>
              <w:tc>
                <w:tcPr>
                  <w:tcW w:w="1702"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建筑垃圾、生活垃圾</w:t>
                  </w:r>
                </w:p>
              </w:tc>
              <w:tc>
                <w:tcPr>
                  <w:tcW w:w="3213"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建筑垃圾运至指定垃圾填埋场。施工人员生活垃圾设置垃圾箱收集，交由环卫部门处置</w:t>
                  </w:r>
                </w:p>
              </w:tc>
              <w:tc>
                <w:tcPr>
                  <w:tcW w:w="2273"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535" w:type="dxa"/>
                  <w:vMerge w:val="restart"/>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营</w:t>
                  </w:r>
                </w:p>
                <w:p>
                  <w:pPr>
                    <w:adjustRightInd w:val="0"/>
                    <w:snapToGrid w:val="0"/>
                    <w:jc w:val="center"/>
                    <w:rPr>
                      <w:rFonts w:ascii="宋体" w:hAnsi="宋体" w:cs="宋体"/>
                      <w:color w:val="000000"/>
                      <w:szCs w:val="21"/>
                    </w:rPr>
                  </w:pPr>
                  <w:r>
                    <w:rPr>
                      <w:rFonts w:hint="eastAsia" w:ascii="宋体" w:hAnsi="宋体" w:cs="宋体"/>
                      <w:color w:val="000000"/>
                      <w:szCs w:val="21"/>
                    </w:rPr>
                    <w:t>运</w:t>
                  </w:r>
                </w:p>
                <w:p>
                  <w:pPr>
                    <w:adjustRightInd w:val="0"/>
                    <w:snapToGrid w:val="0"/>
                    <w:jc w:val="center"/>
                    <w:rPr>
                      <w:rFonts w:ascii="宋体" w:hAnsi="宋体" w:cs="宋体"/>
                      <w:color w:val="000000"/>
                      <w:szCs w:val="21"/>
                    </w:rPr>
                  </w:pPr>
                  <w:r>
                    <w:rPr>
                      <w:rFonts w:hint="eastAsia" w:ascii="宋体" w:hAnsi="宋体" w:cs="宋体"/>
                      <w:color w:val="000000"/>
                      <w:szCs w:val="21"/>
                    </w:rPr>
                    <w:t>期</w:t>
                  </w:r>
                </w:p>
              </w:tc>
              <w:tc>
                <w:tcPr>
                  <w:tcW w:w="553"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废水</w:t>
                  </w:r>
                </w:p>
              </w:tc>
              <w:tc>
                <w:tcPr>
                  <w:tcW w:w="1702"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生产废水</w:t>
                  </w:r>
                </w:p>
              </w:tc>
              <w:tc>
                <w:tcPr>
                  <w:tcW w:w="3213"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生活污水排入防渗旱厕，定期清掏做农肥。设备清洗废水、浸泡和冲洗废水排入自建沉淀池，定期</w:t>
                  </w:r>
                  <w:r>
                    <w:rPr>
                      <w:rFonts w:hint="eastAsia" w:ascii="宋体" w:hAnsi="宋体" w:cs="宋体"/>
                      <w:iCs/>
                      <w:szCs w:val="21"/>
                    </w:rPr>
                    <w:t>外运养殖场</w:t>
                  </w:r>
                  <w:r>
                    <w:rPr>
                      <w:rFonts w:hint="eastAsia" w:ascii="宋体" w:hAnsi="宋体" w:cs="宋体"/>
                      <w:color w:val="000000"/>
                      <w:szCs w:val="21"/>
                    </w:rPr>
                    <w:t>。</w:t>
                  </w:r>
                </w:p>
              </w:tc>
              <w:tc>
                <w:tcPr>
                  <w:tcW w:w="2273"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5" w:type="dxa"/>
                  <w:vMerge w:val="continue"/>
                  <w:tcBorders>
                    <w:tl2br w:val="nil"/>
                    <w:tr2bl w:val="nil"/>
                  </w:tcBorders>
                  <w:vAlign w:val="center"/>
                </w:tcPr>
                <w:p>
                  <w:pPr>
                    <w:adjustRightInd w:val="0"/>
                    <w:snapToGrid w:val="0"/>
                    <w:jc w:val="center"/>
                    <w:rPr>
                      <w:rFonts w:ascii="宋体" w:hAnsi="宋体" w:cs="宋体"/>
                      <w:color w:val="000000"/>
                      <w:szCs w:val="21"/>
                    </w:rPr>
                  </w:pPr>
                </w:p>
              </w:tc>
              <w:tc>
                <w:tcPr>
                  <w:tcW w:w="553"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废气</w:t>
                  </w:r>
                </w:p>
              </w:tc>
              <w:tc>
                <w:tcPr>
                  <w:tcW w:w="1702" w:type="dxa"/>
                  <w:tcBorders>
                    <w:tl2br w:val="nil"/>
                    <w:tr2bl w:val="nil"/>
                  </w:tcBorders>
                  <w:vAlign w:val="center"/>
                </w:tcPr>
                <w:p>
                  <w:pPr>
                    <w:jc w:val="center"/>
                    <w:rPr>
                      <w:rFonts w:ascii="宋体" w:hAnsi="宋体" w:cs="宋体"/>
                      <w:color w:val="000000"/>
                      <w:szCs w:val="21"/>
                    </w:rPr>
                  </w:pPr>
                  <w:r>
                    <w:rPr>
                      <w:rFonts w:hint="eastAsia"/>
                      <w:color w:val="000000"/>
                      <w:szCs w:val="21"/>
                    </w:rPr>
                    <w:t>锅炉烟气</w:t>
                  </w:r>
                </w:p>
              </w:tc>
              <w:tc>
                <w:tcPr>
                  <w:tcW w:w="3213"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布袋除尘器+30m排气筒</w:t>
                  </w:r>
                </w:p>
              </w:tc>
              <w:tc>
                <w:tcPr>
                  <w:tcW w:w="2273" w:type="dxa"/>
                  <w:tcBorders>
                    <w:tl2br w:val="nil"/>
                    <w:tr2bl w:val="nil"/>
                  </w:tcBorders>
                  <w:vAlign w:val="center"/>
                </w:tcPr>
                <w:p>
                  <w:pPr>
                    <w:jc w:val="center"/>
                    <w:rPr>
                      <w:rFonts w:ascii="宋体" w:hAnsi="宋体" w:cs="宋体"/>
                      <w:color w:val="000000"/>
                      <w:szCs w:val="21"/>
                    </w:rPr>
                  </w:pPr>
                  <w:r>
                    <w:rPr>
                      <w:rFonts w:hint="eastAsia" w:ascii="宋体" w:hAnsi="宋体" w:cs="宋体"/>
                      <w:color w:val="000000"/>
                      <w:szCs w:val="21"/>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35" w:type="dxa"/>
                  <w:vMerge w:val="continue"/>
                  <w:tcBorders>
                    <w:tl2br w:val="nil"/>
                    <w:tr2bl w:val="nil"/>
                  </w:tcBorders>
                  <w:vAlign w:val="center"/>
                </w:tcPr>
                <w:p>
                  <w:pPr>
                    <w:adjustRightInd w:val="0"/>
                    <w:snapToGrid w:val="0"/>
                    <w:jc w:val="center"/>
                    <w:rPr>
                      <w:rFonts w:ascii="宋体" w:hAnsi="宋体" w:cs="宋体"/>
                      <w:color w:val="000000"/>
                      <w:szCs w:val="21"/>
                    </w:rPr>
                  </w:pPr>
                </w:p>
              </w:tc>
              <w:tc>
                <w:tcPr>
                  <w:tcW w:w="2255" w:type="dxa"/>
                  <w:gridSpan w:val="2"/>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噪声治理</w:t>
                  </w:r>
                </w:p>
              </w:tc>
              <w:tc>
                <w:tcPr>
                  <w:tcW w:w="3213"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选购低噪设备，对设备采取加减震垫、风机口安装消音器等</w:t>
                  </w:r>
                  <w:r>
                    <w:rPr>
                      <w:rFonts w:hint="eastAsia" w:ascii="宋体" w:hAnsi="宋体" w:cs="宋体"/>
                      <w:color w:val="000000"/>
                      <w:szCs w:val="21"/>
                      <w:lang w:val="zh-CN"/>
                    </w:rPr>
                    <w:t>措施</w:t>
                  </w:r>
                  <w:r>
                    <w:rPr>
                      <w:rFonts w:hint="eastAsia" w:ascii="宋体" w:hAnsi="宋体" w:cs="宋体"/>
                      <w:color w:val="000000"/>
                      <w:szCs w:val="21"/>
                    </w:rPr>
                    <w:t>。</w:t>
                  </w:r>
                </w:p>
              </w:tc>
              <w:tc>
                <w:tcPr>
                  <w:tcW w:w="2273"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35" w:type="dxa"/>
                  <w:vMerge w:val="continue"/>
                  <w:tcBorders>
                    <w:tl2br w:val="nil"/>
                    <w:tr2bl w:val="nil"/>
                  </w:tcBorders>
                  <w:vAlign w:val="center"/>
                </w:tcPr>
                <w:p>
                  <w:pPr>
                    <w:adjustRightInd w:val="0"/>
                    <w:snapToGrid w:val="0"/>
                    <w:jc w:val="center"/>
                    <w:rPr>
                      <w:rFonts w:ascii="宋体" w:hAnsi="宋体" w:cs="宋体"/>
                      <w:color w:val="000000"/>
                      <w:szCs w:val="21"/>
                    </w:rPr>
                  </w:pPr>
                </w:p>
              </w:tc>
              <w:tc>
                <w:tcPr>
                  <w:tcW w:w="553" w:type="dxa"/>
                  <w:vMerge w:val="restart"/>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固废</w:t>
                  </w:r>
                </w:p>
              </w:tc>
              <w:tc>
                <w:tcPr>
                  <w:tcW w:w="1702" w:type="dxa"/>
                  <w:tcBorders>
                    <w:tl2br w:val="nil"/>
                    <w:tr2bl w:val="nil"/>
                  </w:tcBorders>
                  <w:vAlign w:val="center"/>
                </w:tcPr>
                <w:p>
                  <w:pPr>
                    <w:jc w:val="center"/>
                    <w:rPr>
                      <w:rFonts w:ascii="宋体" w:hAnsi="宋体" w:cs="宋体"/>
                      <w:color w:val="000000"/>
                      <w:szCs w:val="21"/>
                    </w:rPr>
                  </w:pPr>
                  <w:r>
                    <w:rPr>
                      <w:rFonts w:hint="eastAsia" w:ascii="宋体" w:hAnsi="宋体" w:cs="宋体"/>
                      <w:color w:val="000000"/>
                      <w:szCs w:val="21"/>
                    </w:rPr>
                    <w:t>布袋除尘器收集粉尘</w:t>
                  </w:r>
                </w:p>
              </w:tc>
              <w:tc>
                <w:tcPr>
                  <w:tcW w:w="3213" w:type="dxa"/>
                  <w:vMerge w:val="restart"/>
                  <w:tcBorders>
                    <w:tl2br w:val="nil"/>
                    <w:tr2bl w:val="nil"/>
                  </w:tcBorders>
                  <w:vAlign w:val="center"/>
                </w:tcPr>
                <w:p>
                  <w:pPr>
                    <w:jc w:val="center"/>
                    <w:rPr>
                      <w:rFonts w:ascii="宋体" w:hAnsi="宋体" w:cs="宋体"/>
                      <w:color w:val="000000"/>
                      <w:szCs w:val="21"/>
                    </w:rPr>
                  </w:pPr>
                  <w:r>
                    <w:rPr>
                      <w:rFonts w:hint="eastAsia" w:ascii="宋体" w:hAnsi="宋体" w:cs="宋体"/>
                      <w:color w:val="000000"/>
                      <w:szCs w:val="21"/>
                      <w:u w:val="single"/>
                    </w:rPr>
                    <w:t>暂存于灰渣间，加苫布遮盖，外售</w:t>
                  </w:r>
                  <w:r>
                    <w:rPr>
                      <w:rFonts w:hint="eastAsia" w:ascii="宋体" w:hAnsi="宋体" w:cs="宋体"/>
                      <w:szCs w:val="21"/>
                      <w:u w:val="single"/>
                    </w:rPr>
                    <w:t>有机肥厂</w:t>
                  </w:r>
                  <w:r>
                    <w:rPr>
                      <w:rFonts w:hint="eastAsia" w:ascii="宋体" w:hAnsi="宋体" w:cs="宋体"/>
                      <w:color w:val="000000"/>
                      <w:szCs w:val="21"/>
                      <w:u w:val="single"/>
                    </w:rPr>
                    <w:t>。</w:t>
                  </w:r>
                </w:p>
              </w:tc>
              <w:tc>
                <w:tcPr>
                  <w:tcW w:w="2273" w:type="dxa"/>
                  <w:vMerge w:val="restart"/>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0.1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535" w:type="dxa"/>
                  <w:vMerge w:val="continue"/>
                  <w:tcBorders>
                    <w:tl2br w:val="nil"/>
                    <w:tr2bl w:val="nil"/>
                  </w:tcBorders>
                  <w:vAlign w:val="center"/>
                </w:tcPr>
                <w:p>
                  <w:pPr>
                    <w:adjustRightInd w:val="0"/>
                    <w:snapToGrid w:val="0"/>
                    <w:jc w:val="center"/>
                    <w:rPr>
                      <w:rFonts w:ascii="宋体" w:hAnsi="宋体" w:cs="宋体"/>
                      <w:color w:val="000000"/>
                      <w:szCs w:val="21"/>
                    </w:rPr>
                  </w:pPr>
                </w:p>
              </w:tc>
              <w:tc>
                <w:tcPr>
                  <w:tcW w:w="553" w:type="dxa"/>
                  <w:vMerge w:val="continue"/>
                  <w:tcBorders>
                    <w:tl2br w:val="nil"/>
                    <w:tr2bl w:val="nil"/>
                  </w:tcBorders>
                  <w:vAlign w:val="center"/>
                </w:tcPr>
                <w:p>
                  <w:pPr>
                    <w:adjustRightInd w:val="0"/>
                    <w:snapToGrid w:val="0"/>
                    <w:jc w:val="center"/>
                    <w:rPr>
                      <w:rFonts w:ascii="宋体" w:hAnsi="宋体" w:cs="宋体"/>
                      <w:color w:val="000000"/>
                      <w:szCs w:val="21"/>
                    </w:rPr>
                  </w:pPr>
                </w:p>
              </w:tc>
              <w:tc>
                <w:tcPr>
                  <w:tcW w:w="1702" w:type="dxa"/>
                  <w:tcBorders>
                    <w:tl2br w:val="nil"/>
                    <w:tr2bl w:val="nil"/>
                  </w:tcBorders>
                  <w:vAlign w:val="center"/>
                </w:tcPr>
                <w:p>
                  <w:pPr>
                    <w:jc w:val="center"/>
                    <w:rPr>
                      <w:rFonts w:ascii="宋体" w:hAnsi="宋体" w:cs="宋体"/>
                      <w:color w:val="000000"/>
                      <w:szCs w:val="21"/>
                    </w:rPr>
                  </w:pPr>
                  <w:r>
                    <w:rPr>
                      <w:rFonts w:hint="eastAsia" w:ascii="宋体" w:hAnsi="宋体" w:cs="宋体"/>
                      <w:color w:val="000000"/>
                      <w:szCs w:val="21"/>
                    </w:rPr>
                    <w:t>锅炉灰渣</w:t>
                  </w:r>
                </w:p>
              </w:tc>
              <w:tc>
                <w:tcPr>
                  <w:tcW w:w="3213" w:type="dxa"/>
                  <w:vMerge w:val="continue"/>
                  <w:tcBorders>
                    <w:tl2br w:val="nil"/>
                    <w:tr2bl w:val="nil"/>
                  </w:tcBorders>
                  <w:vAlign w:val="center"/>
                </w:tcPr>
                <w:p>
                  <w:pPr>
                    <w:jc w:val="center"/>
                    <w:rPr>
                      <w:rFonts w:ascii="宋体" w:hAnsi="宋体" w:cs="宋体"/>
                      <w:color w:val="000000"/>
                      <w:szCs w:val="21"/>
                    </w:rPr>
                  </w:pPr>
                </w:p>
              </w:tc>
              <w:tc>
                <w:tcPr>
                  <w:tcW w:w="2273" w:type="dxa"/>
                  <w:vMerge w:val="continue"/>
                  <w:tcBorders>
                    <w:tl2br w:val="nil"/>
                    <w:tr2bl w:val="nil"/>
                  </w:tcBorders>
                  <w:vAlign w:val="center"/>
                </w:tcPr>
                <w:p>
                  <w:pPr>
                    <w:adjustRightInd w:val="0"/>
                    <w:snapToGrid w:val="0"/>
                    <w:jc w:val="center"/>
                    <w:rPr>
                      <w:rFonts w:ascii="宋体" w:hAnsi="宋体" w:cs="宋体"/>
                      <w:color w:val="00000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535" w:type="dxa"/>
                  <w:vMerge w:val="continue"/>
                  <w:tcBorders>
                    <w:tl2br w:val="nil"/>
                    <w:tr2bl w:val="nil"/>
                  </w:tcBorders>
                  <w:vAlign w:val="center"/>
                </w:tcPr>
                <w:p>
                  <w:pPr>
                    <w:adjustRightInd w:val="0"/>
                    <w:snapToGrid w:val="0"/>
                    <w:jc w:val="center"/>
                    <w:rPr>
                      <w:rFonts w:ascii="宋体" w:hAnsi="宋体" w:cs="宋体"/>
                      <w:color w:val="000000"/>
                      <w:szCs w:val="21"/>
                    </w:rPr>
                  </w:pPr>
                </w:p>
              </w:tc>
              <w:tc>
                <w:tcPr>
                  <w:tcW w:w="553" w:type="dxa"/>
                  <w:vMerge w:val="continue"/>
                  <w:tcBorders>
                    <w:tl2br w:val="nil"/>
                    <w:tr2bl w:val="nil"/>
                  </w:tcBorders>
                  <w:vAlign w:val="center"/>
                </w:tcPr>
                <w:p>
                  <w:pPr>
                    <w:adjustRightInd w:val="0"/>
                    <w:snapToGrid w:val="0"/>
                    <w:jc w:val="center"/>
                    <w:rPr>
                      <w:rFonts w:ascii="宋体" w:hAnsi="宋体" w:cs="宋体"/>
                      <w:color w:val="000000"/>
                      <w:szCs w:val="21"/>
                    </w:rPr>
                  </w:pPr>
                </w:p>
              </w:tc>
              <w:tc>
                <w:tcPr>
                  <w:tcW w:w="1702" w:type="dxa"/>
                  <w:tcBorders>
                    <w:tl2br w:val="nil"/>
                    <w:tr2bl w:val="nil"/>
                  </w:tcBorders>
                  <w:vAlign w:val="center"/>
                </w:tcPr>
                <w:p>
                  <w:pPr>
                    <w:jc w:val="center"/>
                    <w:rPr>
                      <w:rFonts w:ascii="宋体" w:hAnsi="宋体" w:cs="宋体"/>
                      <w:color w:val="000000"/>
                      <w:szCs w:val="21"/>
                    </w:rPr>
                  </w:pPr>
                  <w:r>
                    <w:rPr>
                      <w:rFonts w:hint="eastAsia" w:ascii="宋体" w:hAnsi="宋体" w:cs="宋体"/>
                      <w:color w:val="000000"/>
                      <w:szCs w:val="21"/>
                    </w:rPr>
                    <w:t>废离子交换树脂</w:t>
                  </w:r>
                </w:p>
              </w:tc>
              <w:tc>
                <w:tcPr>
                  <w:tcW w:w="3213" w:type="dxa"/>
                  <w:tcBorders>
                    <w:tl2br w:val="nil"/>
                    <w:tr2bl w:val="nil"/>
                  </w:tcBorders>
                  <w:vAlign w:val="center"/>
                </w:tcPr>
                <w:p>
                  <w:pPr>
                    <w:pStyle w:val="80"/>
                    <w:ind w:firstLine="0" w:firstLineChars="0"/>
                    <w:jc w:val="center"/>
                    <w:rPr>
                      <w:rFonts w:ascii="宋体" w:hAnsi="宋体" w:cs="宋体"/>
                      <w:color w:val="000000"/>
                      <w:szCs w:val="21"/>
                    </w:rPr>
                  </w:pPr>
                  <w:r>
                    <w:rPr>
                      <w:rFonts w:hint="eastAsia" w:ascii="宋体" w:hAnsi="宋体" w:cs="宋体"/>
                      <w:color w:val="000000"/>
                      <w:szCs w:val="21"/>
                    </w:rPr>
                    <w:t>依托现有垃圾收集箱，由环卫部门统一收集处理。</w:t>
                  </w:r>
                </w:p>
              </w:tc>
              <w:tc>
                <w:tcPr>
                  <w:tcW w:w="2273"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535" w:type="dxa"/>
                  <w:vMerge w:val="continue"/>
                  <w:tcBorders>
                    <w:tl2br w:val="nil"/>
                    <w:tr2bl w:val="nil"/>
                  </w:tcBorders>
                  <w:vAlign w:val="center"/>
                </w:tcPr>
                <w:p>
                  <w:pPr>
                    <w:adjustRightInd w:val="0"/>
                    <w:snapToGrid w:val="0"/>
                    <w:jc w:val="center"/>
                    <w:rPr>
                      <w:rFonts w:ascii="宋体" w:hAnsi="宋体" w:cs="宋体"/>
                      <w:color w:val="000000"/>
                      <w:szCs w:val="21"/>
                    </w:rPr>
                  </w:pPr>
                </w:p>
              </w:tc>
              <w:tc>
                <w:tcPr>
                  <w:tcW w:w="553" w:type="dxa"/>
                  <w:vMerge w:val="continue"/>
                  <w:tcBorders>
                    <w:tl2br w:val="nil"/>
                    <w:tr2bl w:val="nil"/>
                  </w:tcBorders>
                  <w:vAlign w:val="center"/>
                </w:tcPr>
                <w:p>
                  <w:pPr>
                    <w:adjustRightInd w:val="0"/>
                    <w:snapToGrid w:val="0"/>
                    <w:jc w:val="center"/>
                    <w:rPr>
                      <w:rFonts w:ascii="宋体" w:hAnsi="宋体" w:cs="宋体"/>
                      <w:color w:val="000000"/>
                      <w:szCs w:val="21"/>
                    </w:rPr>
                  </w:pPr>
                </w:p>
              </w:tc>
              <w:tc>
                <w:tcPr>
                  <w:tcW w:w="1702" w:type="dxa"/>
                  <w:tcBorders>
                    <w:tl2br w:val="nil"/>
                    <w:tr2bl w:val="nil"/>
                  </w:tcBorders>
                  <w:vAlign w:val="center"/>
                </w:tcPr>
                <w:p>
                  <w:pPr>
                    <w:jc w:val="center"/>
                    <w:rPr>
                      <w:rFonts w:ascii="宋体" w:hAnsi="宋体" w:cs="宋体"/>
                      <w:color w:val="000000"/>
                      <w:szCs w:val="21"/>
                    </w:rPr>
                  </w:pPr>
                  <w:r>
                    <w:rPr>
                      <w:rFonts w:hint="eastAsia" w:ascii="宋体" w:hAnsi="宋体" w:cs="宋体"/>
                      <w:color w:val="000000"/>
                      <w:szCs w:val="21"/>
                    </w:rPr>
                    <w:t>废机油</w:t>
                  </w:r>
                </w:p>
              </w:tc>
              <w:tc>
                <w:tcPr>
                  <w:tcW w:w="3213" w:type="dxa"/>
                  <w:tcBorders>
                    <w:tl2br w:val="nil"/>
                    <w:tr2bl w:val="nil"/>
                  </w:tcBorders>
                  <w:vAlign w:val="center"/>
                </w:tcPr>
                <w:p>
                  <w:pPr>
                    <w:pStyle w:val="80"/>
                    <w:ind w:firstLine="0" w:firstLineChars="0"/>
                    <w:jc w:val="center"/>
                    <w:rPr>
                      <w:rFonts w:ascii="宋体" w:hAnsi="宋体" w:cs="宋体"/>
                      <w:color w:val="000000"/>
                      <w:szCs w:val="21"/>
                    </w:rPr>
                  </w:pPr>
                  <w:r>
                    <w:rPr>
                      <w:rFonts w:hint="eastAsia" w:ascii="宋体" w:hAnsi="宋体" w:cs="宋体"/>
                      <w:color w:val="000000"/>
                      <w:szCs w:val="21"/>
                    </w:rPr>
                    <w:t>暂存于危废间内，定期委托有资质单位进行处理</w:t>
                  </w:r>
                </w:p>
              </w:tc>
              <w:tc>
                <w:tcPr>
                  <w:tcW w:w="2273"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790" w:type="dxa"/>
                  <w:gridSpan w:val="3"/>
                  <w:tcBorders>
                    <w:tl2br w:val="nil"/>
                    <w:tr2bl w:val="nil"/>
                  </w:tcBorders>
                  <w:vAlign w:val="center"/>
                </w:tcPr>
                <w:p>
                  <w:pPr>
                    <w:pStyle w:val="68"/>
                    <w:spacing w:before="0" w:after="0" w:line="240" w:lineRule="auto"/>
                    <w:ind w:firstLine="0" w:firstLineChars="0"/>
                    <w:jc w:val="center"/>
                    <w:rPr>
                      <w:rFonts w:eastAsia="宋体"/>
                      <w:b w:val="0"/>
                      <w:bCs w:val="0"/>
                      <w:color w:val="000000"/>
                      <w:sz w:val="21"/>
                      <w:szCs w:val="21"/>
                      <w:lang w:val="zh-CN"/>
                    </w:rPr>
                  </w:pPr>
                  <w:r>
                    <w:rPr>
                      <w:rFonts w:hint="eastAsia" w:eastAsia="宋体"/>
                      <w:b w:val="0"/>
                      <w:bCs w:val="0"/>
                      <w:color w:val="000000"/>
                      <w:sz w:val="21"/>
                      <w:szCs w:val="21"/>
                      <w:lang w:val="zh-CN"/>
                    </w:rPr>
                    <w:t>合计</w:t>
                  </w:r>
                </w:p>
              </w:tc>
              <w:tc>
                <w:tcPr>
                  <w:tcW w:w="3213" w:type="dxa"/>
                  <w:tcBorders>
                    <w:tl2br w:val="nil"/>
                    <w:tr2bl w:val="nil"/>
                  </w:tcBorders>
                  <w:vAlign w:val="center"/>
                </w:tcPr>
                <w:p>
                  <w:pPr>
                    <w:adjustRightInd w:val="0"/>
                    <w:snapToGrid w:val="0"/>
                    <w:jc w:val="center"/>
                    <w:rPr>
                      <w:rFonts w:ascii="宋体" w:hAnsi="宋体" w:cs="宋体"/>
                      <w:color w:val="000000"/>
                      <w:szCs w:val="21"/>
                    </w:rPr>
                  </w:pPr>
                </w:p>
              </w:tc>
              <w:tc>
                <w:tcPr>
                  <w:tcW w:w="2273" w:type="dxa"/>
                  <w:tcBorders>
                    <w:tl2br w:val="nil"/>
                    <w:tr2bl w:val="nil"/>
                  </w:tcBorders>
                  <w:vAlign w:val="center"/>
                </w:tcPr>
                <w:p>
                  <w:pPr>
                    <w:adjustRightInd w:val="0"/>
                    <w:snapToGrid w:val="0"/>
                    <w:jc w:val="center"/>
                    <w:rPr>
                      <w:rFonts w:ascii="宋体" w:hAnsi="宋体" w:cs="宋体"/>
                      <w:color w:val="000000"/>
                      <w:szCs w:val="21"/>
                    </w:rPr>
                  </w:pPr>
                  <w:r>
                    <w:rPr>
                      <w:rFonts w:hint="eastAsia" w:ascii="宋体" w:hAnsi="宋体" w:cs="宋体"/>
                      <w:color w:val="000000"/>
                      <w:szCs w:val="21"/>
                    </w:rPr>
                    <w:t>22.2</w:t>
                  </w:r>
                </w:p>
              </w:tc>
            </w:tr>
          </w:tbl>
          <w:p>
            <w:pPr>
              <w:spacing w:line="360" w:lineRule="auto"/>
              <w:ind w:firstLine="480" w:firstLineChars="200"/>
            </w:pPr>
            <w:r>
              <w:rPr>
                <w:rFonts w:hint="eastAsia" w:ascii="宋体" w:hAnsi="宋体" w:cs="宋体"/>
                <w:sz w:val="24"/>
                <w:szCs w:val="32"/>
              </w:rPr>
              <w:t>由上表可知，本项目各项环保治理措施投资总计约为22.2万元，占总投资的5.1%，上述环保投资及治理项目可使本项目各项污染物达标排放。</w:t>
            </w:r>
          </w:p>
        </w:tc>
      </w:tr>
    </w:tbl>
    <w:p>
      <w:pPr>
        <w:adjustRightInd w:val="0"/>
        <w:snapToGrid w:val="0"/>
        <w:spacing w:line="360" w:lineRule="auto"/>
        <w:rPr>
          <w:rFonts w:cs="宋体"/>
          <w:b/>
          <w:kern w:val="0"/>
          <w:sz w:val="28"/>
          <w:szCs w:val="28"/>
        </w:rPr>
        <w:sectPr>
          <w:pgSz w:w="11907" w:h="16840"/>
          <w:pgMar w:top="1134" w:right="1406" w:bottom="1134" w:left="1361" w:header="851" w:footer="851" w:gutter="0"/>
          <w:cols w:space="720" w:num="1"/>
          <w:docGrid w:linePitch="312" w:charSpace="0"/>
        </w:sectPr>
      </w:pPr>
    </w:p>
    <w:p>
      <w:pPr>
        <w:pStyle w:val="24"/>
        <w:spacing w:before="0" w:beforeAutospacing="0" w:after="0" w:afterAutospacing="0"/>
        <w:jc w:val="center"/>
        <w:outlineLvl w:val="0"/>
        <w:rPr>
          <w:rFonts w:ascii="Times New Roman" w:hAnsi="Times New Roman"/>
          <w:b/>
          <w:bCs/>
          <w:snapToGrid w:val="0"/>
          <w:sz w:val="28"/>
          <w:szCs w:val="28"/>
        </w:rPr>
      </w:pPr>
      <w:r>
        <w:rPr>
          <w:rFonts w:hint="eastAsia" w:ascii="Times New Roman" w:hAnsi="Times New Roman"/>
          <w:b/>
          <w:bCs/>
          <w:snapToGrid w:val="0"/>
          <w:sz w:val="28"/>
          <w:szCs w:val="28"/>
        </w:rPr>
        <w:t>五、</w:t>
      </w:r>
      <w:bookmarkStart w:id="40" w:name="_Hlk54167917"/>
      <w:r>
        <w:rPr>
          <w:rFonts w:hint="eastAsia" w:ascii="Times New Roman" w:hAnsi="Times New Roman"/>
          <w:b/>
          <w:bCs/>
          <w:snapToGrid w:val="0"/>
          <w:sz w:val="28"/>
          <w:szCs w:val="28"/>
        </w:rPr>
        <w:t>环境保护措施监督检查清单</w:t>
      </w:r>
      <w:bookmarkEnd w:id="40"/>
    </w:p>
    <w:tbl>
      <w:tblPr>
        <w:tblStyle w:val="27"/>
        <w:tblW w:w="880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369"/>
        <w:gridCol w:w="2164"/>
        <w:gridCol w:w="1501"/>
        <w:gridCol w:w="1714"/>
        <w:gridCol w:w="205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9" w:type="dxa"/>
            <w:tcBorders>
              <w:tl2br w:val="single" w:color="auto" w:sz="4" w:space="0"/>
            </w:tcBorders>
            <w:vAlign w:val="top"/>
          </w:tcPr>
          <w:p>
            <w:pPr>
              <w:adjustRightInd w:val="0"/>
              <w:snapToGrid w:val="0"/>
              <w:ind w:firstLine="630" w:firstLineChars="300"/>
              <w:rPr>
                <w:rFonts w:cs="宋体"/>
                <w:szCs w:val="21"/>
              </w:rPr>
            </w:pPr>
            <w:r>
              <w:rPr>
                <w:rFonts w:hint="eastAsia" w:cs="宋体"/>
                <w:szCs w:val="21"/>
              </w:rPr>
              <w:t>内容</w:t>
            </w:r>
          </w:p>
          <w:p>
            <w:pPr>
              <w:adjustRightInd w:val="0"/>
              <w:snapToGrid w:val="0"/>
              <w:rPr>
                <w:rFonts w:cs="宋体"/>
                <w:szCs w:val="21"/>
              </w:rPr>
            </w:pPr>
            <w:r>
              <w:rPr>
                <w:rFonts w:hint="eastAsia" w:cs="宋体"/>
                <w:szCs w:val="21"/>
              </w:rPr>
              <w:t>要素</w:t>
            </w:r>
          </w:p>
        </w:tc>
        <w:tc>
          <w:tcPr>
            <w:tcW w:w="2164" w:type="dxa"/>
            <w:vAlign w:val="center"/>
          </w:tcPr>
          <w:p>
            <w:pPr>
              <w:adjustRightInd w:val="0"/>
              <w:snapToGrid w:val="0"/>
              <w:jc w:val="center"/>
              <w:rPr>
                <w:rFonts w:cs="宋体"/>
                <w:szCs w:val="21"/>
              </w:rPr>
            </w:pPr>
            <w:r>
              <w:rPr>
                <w:rFonts w:hint="eastAsia" w:cs="宋体"/>
                <w:szCs w:val="21"/>
              </w:rPr>
              <w:t>排放口(编号、</w:t>
            </w:r>
          </w:p>
          <w:p>
            <w:pPr>
              <w:adjustRightInd w:val="0"/>
              <w:snapToGrid w:val="0"/>
              <w:jc w:val="center"/>
              <w:rPr>
                <w:rFonts w:cs="宋体"/>
                <w:szCs w:val="21"/>
              </w:rPr>
            </w:pPr>
            <w:r>
              <w:rPr>
                <w:rFonts w:hint="eastAsia" w:cs="宋体"/>
                <w:szCs w:val="21"/>
              </w:rPr>
              <w:t>名称)/污染源</w:t>
            </w:r>
          </w:p>
        </w:tc>
        <w:tc>
          <w:tcPr>
            <w:tcW w:w="1501" w:type="dxa"/>
            <w:vAlign w:val="center"/>
          </w:tcPr>
          <w:p>
            <w:pPr>
              <w:adjustRightInd w:val="0"/>
              <w:snapToGrid w:val="0"/>
              <w:jc w:val="center"/>
              <w:rPr>
                <w:rFonts w:cs="宋体"/>
                <w:szCs w:val="21"/>
              </w:rPr>
            </w:pPr>
            <w:r>
              <w:rPr>
                <w:rFonts w:hint="eastAsia" w:cs="宋体"/>
                <w:szCs w:val="21"/>
              </w:rPr>
              <w:t>污染物项目</w:t>
            </w:r>
          </w:p>
        </w:tc>
        <w:tc>
          <w:tcPr>
            <w:tcW w:w="1714" w:type="dxa"/>
            <w:vAlign w:val="center"/>
          </w:tcPr>
          <w:p>
            <w:pPr>
              <w:adjustRightInd w:val="0"/>
              <w:snapToGrid w:val="0"/>
              <w:jc w:val="center"/>
              <w:rPr>
                <w:rFonts w:cs="宋体"/>
                <w:szCs w:val="21"/>
              </w:rPr>
            </w:pPr>
            <w:r>
              <w:rPr>
                <w:rFonts w:hint="eastAsia" w:cs="宋体"/>
                <w:szCs w:val="21"/>
              </w:rPr>
              <w:t>环境保护措施</w:t>
            </w:r>
          </w:p>
        </w:tc>
        <w:tc>
          <w:tcPr>
            <w:tcW w:w="2052" w:type="dxa"/>
            <w:vAlign w:val="center"/>
          </w:tcPr>
          <w:p>
            <w:pPr>
              <w:adjustRightInd w:val="0"/>
              <w:snapToGrid w:val="0"/>
              <w:jc w:val="center"/>
              <w:rPr>
                <w:rFonts w:cs="宋体"/>
                <w:szCs w:val="21"/>
              </w:rPr>
            </w:pPr>
            <w:r>
              <w:rPr>
                <w:rFonts w:hint="eastAsia" w:cs="宋体"/>
                <w:szCs w:val="21"/>
              </w:rPr>
              <w:t>执行标准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9" w:type="dxa"/>
            <w:vAlign w:val="center"/>
          </w:tcPr>
          <w:p>
            <w:pPr>
              <w:adjustRightInd w:val="0"/>
              <w:snapToGrid w:val="0"/>
              <w:jc w:val="center"/>
              <w:rPr>
                <w:rFonts w:cs="宋体"/>
                <w:szCs w:val="21"/>
              </w:rPr>
            </w:pPr>
            <w:r>
              <w:rPr>
                <w:rFonts w:hint="eastAsia" w:cs="宋体"/>
                <w:szCs w:val="21"/>
              </w:rPr>
              <w:t>大气环境</w:t>
            </w:r>
          </w:p>
        </w:tc>
        <w:tc>
          <w:tcPr>
            <w:tcW w:w="2164" w:type="dxa"/>
            <w:vAlign w:val="center"/>
          </w:tcPr>
          <w:p>
            <w:pPr>
              <w:jc w:val="center"/>
              <w:rPr>
                <w:rFonts w:cs="宋体"/>
                <w:szCs w:val="21"/>
              </w:rPr>
            </w:pPr>
            <w:r>
              <w:rPr>
                <w:rFonts w:hint="eastAsia"/>
                <w:bCs/>
                <w:szCs w:val="21"/>
              </w:rPr>
              <w:t>锅炉烟囱（DA001)/锅炉烟气</w:t>
            </w:r>
          </w:p>
        </w:tc>
        <w:tc>
          <w:tcPr>
            <w:tcW w:w="1501" w:type="dxa"/>
            <w:vAlign w:val="center"/>
          </w:tcPr>
          <w:p>
            <w:pPr>
              <w:jc w:val="center"/>
              <w:rPr>
                <w:rFonts w:cs="宋体"/>
                <w:szCs w:val="21"/>
              </w:rPr>
            </w:pPr>
            <w:r>
              <w:rPr>
                <w:rFonts w:hint="eastAsia" w:cs="宋体"/>
                <w:szCs w:val="21"/>
                <w:u w:val="single"/>
              </w:rPr>
              <w:t>烟尘、二氧化硫、氮氧化物、烟气黑度</w:t>
            </w:r>
          </w:p>
        </w:tc>
        <w:tc>
          <w:tcPr>
            <w:tcW w:w="1714" w:type="dxa"/>
            <w:vAlign w:val="center"/>
          </w:tcPr>
          <w:p>
            <w:pPr>
              <w:widowControl/>
              <w:jc w:val="center"/>
              <w:textAlignment w:val="center"/>
              <w:rPr>
                <w:rFonts w:cs="宋体"/>
                <w:szCs w:val="21"/>
              </w:rPr>
            </w:pPr>
            <w:r>
              <w:rPr>
                <w:rFonts w:hint="eastAsia" w:cs="宋体"/>
                <w:szCs w:val="21"/>
              </w:rPr>
              <w:t>布袋除尘器+30m排气筒</w:t>
            </w:r>
          </w:p>
        </w:tc>
        <w:tc>
          <w:tcPr>
            <w:tcW w:w="2052" w:type="dxa"/>
            <w:tcBorders>
              <w:bottom w:val="single" w:color="000000" w:sz="4" w:space="0"/>
            </w:tcBorders>
            <w:vAlign w:val="center"/>
          </w:tcPr>
          <w:p>
            <w:pPr>
              <w:adjustRightInd w:val="0"/>
              <w:snapToGrid w:val="0"/>
              <w:jc w:val="center"/>
              <w:rPr>
                <w:rFonts w:cs="宋体"/>
                <w:szCs w:val="21"/>
              </w:rPr>
            </w:pPr>
            <w:r>
              <w:rPr>
                <w:rFonts w:hint="eastAsia" w:cs="宋体"/>
                <w:szCs w:val="21"/>
              </w:rPr>
              <w:t>《锅炉大气污染物排放标准》（GB13271-2014）中表2排放限值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9" w:type="dxa"/>
            <w:vMerge w:val="restart"/>
            <w:vAlign w:val="center"/>
          </w:tcPr>
          <w:p>
            <w:pPr>
              <w:adjustRightInd w:val="0"/>
              <w:snapToGrid w:val="0"/>
              <w:jc w:val="center"/>
              <w:rPr>
                <w:rFonts w:cs="宋体"/>
                <w:szCs w:val="21"/>
              </w:rPr>
            </w:pPr>
            <w:r>
              <w:rPr>
                <w:rFonts w:hint="eastAsia" w:cs="宋体"/>
                <w:szCs w:val="21"/>
              </w:rPr>
              <w:t>地表水环境</w:t>
            </w:r>
          </w:p>
        </w:tc>
        <w:tc>
          <w:tcPr>
            <w:tcW w:w="2164" w:type="dxa"/>
            <w:vAlign w:val="center"/>
          </w:tcPr>
          <w:p>
            <w:pPr>
              <w:adjustRightInd w:val="0"/>
              <w:snapToGrid w:val="0"/>
              <w:jc w:val="center"/>
              <w:rPr>
                <w:rFonts w:cs="宋体"/>
                <w:szCs w:val="21"/>
              </w:rPr>
            </w:pPr>
            <w:r>
              <w:rPr>
                <w:rFonts w:hint="eastAsia" w:cs="宋体"/>
                <w:szCs w:val="21"/>
              </w:rPr>
              <w:t>生活污水</w:t>
            </w:r>
          </w:p>
        </w:tc>
        <w:tc>
          <w:tcPr>
            <w:tcW w:w="1501" w:type="dxa"/>
            <w:vAlign w:val="center"/>
          </w:tcPr>
          <w:p>
            <w:pPr>
              <w:adjustRightInd w:val="0"/>
              <w:snapToGrid w:val="0"/>
              <w:jc w:val="center"/>
              <w:rPr>
                <w:rFonts w:cs="宋体"/>
                <w:szCs w:val="21"/>
              </w:rPr>
            </w:pPr>
            <w:r>
              <w:rPr>
                <w:kern w:val="0"/>
                <w:szCs w:val="21"/>
              </w:rPr>
              <w:t>COD、BOD</w:t>
            </w:r>
            <w:r>
              <w:rPr>
                <w:kern w:val="0"/>
                <w:szCs w:val="21"/>
                <w:vertAlign w:val="subscript"/>
              </w:rPr>
              <w:t>5</w:t>
            </w:r>
            <w:r>
              <w:rPr>
                <w:kern w:val="0"/>
                <w:szCs w:val="21"/>
              </w:rPr>
              <w:t>、SS、NH</w:t>
            </w:r>
            <w:r>
              <w:rPr>
                <w:kern w:val="0"/>
                <w:szCs w:val="21"/>
                <w:vertAlign w:val="subscript"/>
              </w:rPr>
              <w:t>3</w:t>
            </w:r>
            <w:r>
              <w:rPr>
                <w:kern w:val="0"/>
                <w:szCs w:val="21"/>
              </w:rPr>
              <w:t>-N</w:t>
            </w:r>
          </w:p>
        </w:tc>
        <w:tc>
          <w:tcPr>
            <w:tcW w:w="1714" w:type="dxa"/>
            <w:vAlign w:val="center"/>
          </w:tcPr>
          <w:p>
            <w:pPr>
              <w:adjustRightInd w:val="0"/>
              <w:snapToGrid w:val="0"/>
              <w:jc w:val="center"/>
              <w:rPr>
                <w:rFonts w:cs="宋体"/>
                <w:szCs w:val="21"/>
              </w:rPr>
            </w:pPr>
            <w:r>
              <w:rPr>
                <w:rFonts w:hint="eastAsia"/>
                <w:kern w:val="0"/>
                <w:szCs w:val="21"/>
              </w:rPr>
              <w:t>生活污水排入防渗旱厕，定期清掏做农肥</w:t>
            </w:r>
          </w:p>
        </w:tc>
        <w:tc>
          <w:tcPr>
            <w:tcW w:w="2052" w:type="dxa"/>
            <w:vMerge w:val="restart"/>
            <w:vAlign w:val="center"/>
          </w:tcPr>
          <w:p>
            <w:pPr>
              <w:adjustRightInd w:val="0"/>
              <w:snapToGrid w:val="0"/>
              <w:jc w:val="center"/>
              <w:rPr>
                <w:rFonts w:cs="宋体"/>
                <w:szCs w:val="21"/>
              </w:rPr>
            </w:pPr>
            <w:r>
              <w:rPr>
                <w:rFonts w:hint="eastAsia" w:cs="宋体"/>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9" w:type="dxa"/>
            <w:vMerge w:val="continue"/>
            <w:vAlign w:val="center"/>
          </w:tcPr>
          <w:p>
            <w:pPr>
              <w:adjustRightInd w:val="0"/>
              <w:snapToGrid w:val="0"/>
              <w:jc w:val="center"/>
              <w:rPr>
                <w:rFonts w:cs="宋体"/>
                <w:szCs w:val="21"/>
              </w:rPr>
            </w:pPr>
          </w:p>
        </w:tc>
        <w:tc>
          <w:tcPr>
            <w:tcW w:w="2164" w:type="dxa"/>
            <w:vAlign w:val="center"/>
          </w:tcPr>
          <w:p>
            <w:pPr>
              <w:adjustRightInd w:val="0"/>
              <w:snapToGrid w:val="0"/>
              <w:jc w:val="center"/>
              <w:rPr>
                <w:rFonts w:cs="宋体"/>
                <w:szCs w:val="21"/>
              </w:rPr>
            </w:pPr>
            <w:r>
              <w:rPr>
                <w:rFonts w:hint="eastAsia" w:cs="宋体"/>
                <w:szCs w:val="21"/>
              </w:rPr>
              <w:t>锅炉排水</w:t>
            </w:r>
          </w:p>
        </w:tc>
        <w:tc>
          <w:tcPr>
            <w:tcW w:w="1501" w:type="dxa"/>
            <w:vAlign w:val="center"/>
          </w:tcPr>
          <w:p>
            <w:pPr>
              <w:adjustRightInd w:val="0"/>
              <w:snapToGrid w:val="0"/>
              <w:jc w:val="center"/>
              <w:rPr>
                <w:kern w:val="0"/>
                <w:szCs w:val="21"/>
              </w:rPr>
            </w:pPr>
            <w:r>
              <w:rPr>
                <w:rFonts w:hint="eastAsia"/>
                <w:kern w:val="0"/>
                <w:szCs w:val="21"/>
              </w:rPr>
              <w:t>COD、SS</w:t>
            </w:r>
          </w:p>
        </w:tc>
        <w:tc>
          <w:tcPr>
            <w:tcW w:w="1714" w:type="dxa"/>
            <w:vAlign w:val="center"/>
          </w:tcPr>
          <w:p>
            <w:pPr>
              <w:adjustRightInd w:val="0"/>
              <w:snapToGrid w:val="0"/>
              <w:jc w:val="center"/>
              <w:rPr>
                <w:rFonts w:cs="宋体"/>
                <w:szCs w:val="21"/>
              </w:rPr>
            </w:pPr>
            <w:r>
              <w:rPr>
                <w:rFonts w:hint="eastAsia"/>
                <w:kern w:val="0"/>
                <w:szCs w:val="21"/>
              </w:rPr>
              <w:t>用于园区洒水降尘及灰渣调湿。</w:t>
            </w:r>
          </w:p>
        </w:tc>
        <w:tc>
          <w:tcPr>
            <w:tcW w:w="2052" w:type="dxa"/>
            <w:vMerge w:val="continue"/>
            <w:vAlign w:val="center"/>
          </w:tcPr>
          <w:p>
            <w:pPr>
              <w:adjustRightInd w:val="0"/>
              <w:snapToGrid w:val="0"/>
              <w:jc w:val="center"/>
              <w:rPr>
                <w:rFonts w:cs="宋体"/>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9" w:type="dxa"/>
            <w:vMerge w:val="continue"/>
            <w:vAlign w:val="center"/>
          </w:tcPr>
          <w:p>
            <w:pPr>
              <w:adjustRightInd w:val="0"/>
              <w:snapToGrid w:val="0"/>
              <w:jc w:val="center"/>
              <w:rPr>
                <w:rFonts w:cs="宋体"/>
                <w:szCs w:val="21"/>
              </w:rPr>
            </w:pPr>
          </w:p>
        </w:tc>
        <w:tc>
          <w:tcPr>
            <w:tcW w:w="2164" w:type="dxa"/>
            <w:vAlign w:val="center"/>
          </w:tcPr>
          <w:p>
            <w:pPr>
              <w:adjustRightInd w:val="0"/>
              <w:snapToGrid w:val="0"/>
              <w:jc w:val="center"/>
              <w:rPr>
                <w:rFonts w:cs="宋体"/>
                <w:szCs w:val="21"/>
              </w:rPr>
            </w:pPr>
            <w:r>
              <w:rPr>
                <w:rFonts w:hint="eastAsia" w:cs="宋体"/>
                <w:szCs w:val="21"/>
              </w:rPr>
              <w:t>生产废水</w:t>
            </w:r>
          </w:p>
        </w:tc>
        <w:tc>
          <w:tcPr>
            <w:tcW w:w="1501" w:type="dxa"/>
            <w:vAlign w:val="center"/>
          </w:tcPr>
          <w:p>
            <w:pPr>
              <w:adjustRightInd w:val="0"/>
              <w:snapToGrid w:val="0"/>
              <w:jc w:val="center"/>
              <w:rPr>
                <w:kern w:val="0"/>
                <w:szCs w:val="21"/>
              </w:rPr>
            </w:pPr>
            <w:r>
              <w:rPr>
                <w:kern w:val="0"/>
                <w:szCs w:val="21"/>
              </w:rPr>
              <w:t>COD、BOD</w:t>
            </w:r>
            <w:r>
              <w:rPr>
                <w:kern w:val="0"/>
                <w:szCs w:val="21"/>
                <w:vertAlign w:val="subscript"/>
              </w:rPr>
              <w:t>5</w:t>
            </w:r>
            <w:r>
              <w:rPr>
                <w:kern w:val="0"/>
                <w:szCs w:val="21"/>
              </w:rPr>
              <w:t>、SS、NH</w:t>
            </w:r>
            <w:r>
              <w:rPr>
                <w:kern w:val="0"/>
                <w:szCs w:val="21"/>
                <w:vertAlign w:val="subscript"/>
              </w:rPr>
              <w:t>3</w:t>
            </w:r>
            <w:r>
              <w:rPr>
                <w:kern w:val="0"/>
                <w:szCs w:val="21"/>
              </w:rPr>
              <w:t>-N</w:t>
            </w:r>
          </w:p>
        </w:tc>
        <w:tc>
          <w:tcPr>
            <w:tcW w:w="1714" w:type="dxa"/>
            <w:vAlign w:val="center"/>
          </w:tcPr>
          <w:p>
            <w:pPr>
              <w:adjustRightInd w:val="0"/>
              <w:snapToGrid w:val="0"/>
              <w:jc w:val="center"/>
              <w:rPr>
                <w:rFonts w:cs="宋体"/>
                <w:szCs w:val="21"/>
              </w:rPr>
            </w:pPr>
            <w:r>
              <w:rPr>
                <w:rFonts w:cs="宋体"/>
                <w:szCs w:val="21"/>
              </w:rPr>
              <w:t>地面</w:t>
            </w:r>
            <w:r>
              <w:rPr>
                <w:rFonts w:hint="eastAsia" w:cs="宋体"/>
                <w:szCs w:val="21"/>
              </w:rPr>
              <w:t>清洁</w:t>
            </w:r>
            <w:r>
              <w:rPr>
                <w:rFonts w:cs="宋体"/>
                <w:szCs w:val="21"/>
              </w:rPr>
              <w:t>废水全部消耗，高温灭菌废水循环利用不外排，设备清洗废水、浸泡和冲洗废水排入自建沉淀池，定期</w:t>
            </w:r>
            <w:r>
              <w:rPr>
                <w:rFonts w:hint="eastAsia" w:cs="宋体"/>
                <w:iCs/>
                <w:szCs w:val="21"/>
              </w:rPr>
              <w:t>外运养殖场，锅炉废水用于洒水降尘及灰渣调湿</w:t>
            </w:r>
            <w:r>
              <w:rPr>
                <w:rFonts w:cs="宋体"/>
                <w:szCs w:val="21"/>
              </w:rPr>
              <w:t>。</w:t>
            </w:r>
          </w:p>
        </w:tc>
        <w:tc>
          <w:tcPr>
            <w:tcW w:w="2052" w:type="dxa"/>
            <w:vMerge w:val="continue"/>
            <w:vAlign w:val="center"/>
          </w:tcPr>
          <w:p>
            <w:pPr>
              <w:adjustRightInd w:val="0"/>
              <w:snapToGrid w:val="0"/>
              <w:jc w:val="center"/>
              <w:rPr>
                <w:rFonts w:cs="宋体"/>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9" w:type="dxa"/>
            <w:vAlign w:val="center"/>
          </w:tcPr>
          <w:p>
            <w:pPr>
              <w:adjustRightInd w:val="0"/>
              <w:snapToGrid w:val="0"/>
              <w:jc w:val="center"/>
              <w:rPr>
                <w:rFonts w:cs="宋体"/>
                <w:szCs w:val="21"/>
              </w:rPr>
            </w:pPr>
            <w:r>
              <w:rPr>
                <w:rFonts w:hint="eastAsia" w:cs="宋体"/>
                <w:szCs w:val="21"/>
              </w:rPr>
              <w:t>声环境</w:t>
            </w:r>
          </w:p>
        </w:tc>
        <w:tc>
          <w:tcPr>
            <w:tcW w:w="2164" w:type="dxa"/>
            <w:vAlign w:val="center"/>
          </w:tcPr>
          <w:p>
            <w:pPr>
              <w:adjustRightInd w:val="0"/>
              <w:snapToGrid w:val="0"/>
              <w:jc w:val="center"/>
              <w:rPr>
                <w:rFonts w:cs="宋体"/>
                <w:szCs w:val="21"/>
              </w:rPr>
            </w:pPr>
            <w:r>
              <w:rPr>
                <w:rFonts w:hint="eastAsia" w:cs="宋体"/>
                <w:szCs w:val="21"/>
              </w:rPr>
              <w:t>厂界/生产设备</w:t>
            </w:r>
          </w:p>
        </w:tc>
        <w:tc>
          <w:tcPr>
            <w:tcW w:w="1501" w:type="dxa"/>
            <w:vAlign w:val="center"/>
          </w:tcPr>
          <w:p>
            <w:pPr>
              <w:adjustRightInd w:val="0"/>
              <w:snapToGrid w:val="0"/>
              <w:jc w:val="center"/>
              <w:rPr>
                <w:rFonts w:cs="宋体"/>
                <w:szCs w:val="21"/>
              </w:rPr>
            </w:pPr>
            <w:r>
              <w:rPr>
                <w:rFonts w:hint="eastAsia" w:cs="宋体"/>
                <w:szCs w:val="21"/>
              </w:rPr>
              <w:t>等效A声级</w:t>
            </w:r>
          </w:p>
        </w:tc>
        <w:tc>
          <w:tcPr>
            <w:tcW w:w="1714" w:type="dxa"/>
            <w:vAlign w:val="center"/>
          </w:tcPr>
          <w:p>
            <w:pPr>
              <w:adjustRightInd w:val="0"/>
              <w:snapToGrid w:val="0"/>
              <w:jc w:val="center"/>
              <w:rPr>
                <w:rFonts w:cs="宋体"/>
                <w:szCs w:val="21"/>
              </w:rPr>
            </w:pPr>
            <w:r>
              <w:rPr>
                <w:rFonts w:hint="eastAsia" w:cs="宋体"/>
                <w:szCs w:val="21"/>
              </w:rPr>
              <w:t>低噪声设备、减震、隔声</w:t>
            </w:r>
          </w:p>
        </w:tc>
        <w:tc>
          <w:tcPr>
            <w:tcW w:w="2052" w:type="dxa"/>
            <w:vAlign w:val="center"/>
          </w:tcPr>
          <w:p>
            <w:pPr>
              <w:adjustRightInd w:val="0"/>
              <w:snapToGrid w:val="0"/>
              <w:jc w:val="center"/>
              <w:rPr>
                <w:rFonts w:cs="宋体"/>
                <w:szCs w:val="21"/>
              </w:rPr>
            </w:pPr>
            <w:r>
              <w:rPr>
                <w:rFonts w:hint="eastAsia" w:cs="宋体"/>
                <w:szCs w:val="21"/>
              </w:rPr>
              <w:t>《工业企业厂界环境噪声排放标准》（GB12348-2008）1类</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9" w:type="dxa"/>
            <w:vAlign w:val="center"/>
          </w:tcPr>
          <w:p>
            <w:pPr>
              <w:adjustRightInd w:val="0"/>
              <w:snapToGrid w:val="0"/>
              <w:jc w:val="center"/>
              <w:rPr>
                <w:rFonts w:cs="宋体"/>
                <w:szCs w:val="21"/>
              </w:rPr>
            </w:pPr>
            <w:r>
              <w:rPr>
                <w:rFonts w:hint="eastAsia" w:cs="宋体"/>
                <w:szCs w:val="21"/>
              </w:rPr>
              <w:t>固体废物</w:t>
            </w:r>
          </w:p>
        </w:tc>
        <w:tc>
          <w:tcPr>
            <w:tcW w:w="7431" w:type="dxa"/>
            <w:gridSpan w:val="4"/>
            <w:vAlign w:val="center"/>
          </w:tcPr>
          <w:p>
            <w:pPr>
              <w:adjustRightInd w:val="0"/>
              <w:snapToGrid w:val="0"/>
              <w:spacing w:line="360" w:lineRule="auto"/>
              <w:ind w:firstLine="420" w:firstLineChars="200"/>
              <w:rPr>
                <w:bCs/>
                <w:szCs w:val="21"/>
              </w:rPr>
            </w:pPr>
            <w:r>
              <w:rPr>
                <w:rFonts w:hint="eastAsia"/>
                <w:bCs/>
                <w:szCs w:val="21"/>
              </w:rPr>
              <w:t>本项目固废主要为生产过程中产生的生活垃圾、预处理废物、锅炉灰渣及布袋除尘器收集灰、废布袋、废树脂、废机油等。</w:t>
            </w:r>
          </w:p>
          <w:p>
            <w:pPr>
              <w:adjustRightInd w:val="0"/>
              <w:snapToGrid w:val="0"/>
              <w:spacing w:line="360" w:lineRule="auto"/>
              <w:ind w:firstLine="420" w:firstLineChars="200"/>
              <w:rPr>
                <w:rFonts w:cs="宋体"/>
                <w:szCs w:val="21"/>
              </w:rPr>
            </w:pPr>
            <w:r>
              <w:rPr>
                <w:rFonts w:hint="eastAsia"/>
                <w:bCs/>
                <w:szCs w:val="21"/>
              </w:rPr>
              <w:t>预处理废物</w:t>
            </w:r>
            <w:r>
              <w:rPr>
                <w:rFonts w:hint="eastAsia"/>
                <w:szCs w:val="21"/>
              </w:rPr>
              <w:t>外售综合利用；锅炉灰渣及布袋除尘器收集灰袋装暂存于灰渣间，外售有机肥厂；废树脂由厂家回收；废布袋、生活垃圾环卫部门定期清运；废机油为危险废物，暂存于危废贮存点，委托资质单位处置。固体废物均得到妥善处置，不会对环境造成二次污染。</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9" w:type="dxa"/>
            <w:vAlign w:val="center"/>
          </w:tcPr>
          <w:p>
            <w:pPr>
              <w:adjustRightInd w:val="0"/>
              <w:snapToGrid w:val="0"/>
              <w:jc w:val="center"/>
              <w:rPr>
                <w:rFonts w:cs="宋体"/>
                <w:szCs w:val="21"/>
              </w:rPr>
            </w:pPr>
            <w:r>
              <w:rPr>
                <w:rFonts w:hint="eastAsia" w:cs="宋体"/>
                <w:szCs w:val="21"/>
              </w:rPr>
              <w:t>土壤及地下水</w:t>
            </w:r>
          </w:p>
          <w:p>
            <w:pPr>
              <w:adjustRightInd w:val="0"/>
              <w:snapToGrid w:val="0"/>
              <w:jc w:val="center"/>
              <w:rPr>
                <w:rFonts w:cs="宋体"/>
                <w:szCs w:val="21"/>
              </w:rPr>
            </w:pPr>
            <w:r>
              <w:rPr>
                <w:rFonts w:hint="eastAsia" w:cs="宋体"/>
                <w:szCs w:val="21"/>
              </w:rPr>
              <w:t>污染防治措施</w:t>
            </w:r>
          </w:p>
        </w:tc>
        <w:tc>
          <w:tcPr>
            <w:tcW w:w="7431" w:type="dxa"/>
            <w:gridSpan w:val="4"/>
            <w:vAlign w:val="center"/>
          </w:tcPr>
          <w:p>
            <w:pPr>
              <w:adjustRightInd w:val="0"/>
              <w:snapToGrid w:val="0"/>
              <w:spacing w:line="360" w:lineRule="auto"/>
              <w:ind w:firstLine="420" w:firstLineChars="200"/>
              <w:jc w:val="left"/>
              <w:rPr>
                <w:rFonts w:cs="宋体"/>
                <w:szCs w:val="21"/>
              </w:rPr>
            </w:pPr>
            <w:r>
              <w:rPr>
                <w:rFonts w:hint="eastAsia" w:cs="宋体"/>
                <w:szCs w:val="21"/>
              </w:rPr>
              <w:t>项目评价区内没有地下水水源保护区等需特殊保护地区；确保项目污染物不对周围地下水、土壤环境产生不利影响，本项目应加强管理，规范作业，厂区采取源头控制、分区防渗等措施。项目的建设对周围的地下水和土壤环境的影响较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9" w:type="dxa"/>
            <w:vAlign w:val="center"/>
          </w:tcPr>
          <w:p>
            <w:pPr>
              <w:adjustRightInd w:val="0"/>
              <w:snapToGrid w:val="0"/>
              <w:jc w:val="center"/>
              <w:rPr>
                <w:rFonts w:cs="宋体"/>
                <w:szCs w:val="21"/>
              </w:rPr>
            </w:pPr>
            <w:r>
              <w:rPr>
                <w:rFonts w:hint="eastAsia" w:cs="宋体"/>
                <w:szCs w:val="21"/>
              </w:rPr>
              <w:t>生态保护措施</w:t>
            </w:r>
          </w:p>
        </w:tc>
        <w:tc>
          <w:tcPr>
            <w:tcW w:w="7431" w:type="dxa"/>
            <w:gridSpan w:val="4"/>
            <w:vAlign w:val="center"/>
          </w:tcPr>
          <w:p>
            <w:pPr>
              <w:adjustRightInd w:val="0"/>
              <w:snapToGrid w:val="0"/>
              <w:spacing w:line="360" w:lineRule="auto"/>
              <w:ind w:firstLine="420" w:firstLineChars="200"/>
              <w:jc w:val="left"/>
              <w:rPr>
                <w:rFonts w:cs="宋体"/>
                <w:szCs w:val="21"/>
              </w:rPr>
            </w:pPr>
            <w:r>
              <w:rPr>
                <w:rFonts w:hint="eastAsia" w:cs="宋体"/>
                <w:szCs w:val="21"/>
              </w:rPr>
              <w:t>项目评价区内没有自然保护区、水源保护区等需特殊保护地区；没有重要湿地、珍稀动植物栖息地等生态敏感和脆弱区，故本项目的建设对周围的生态环境的影响较小。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9" w:type="dxa"/>
            <w:vAlign w:val="center"/>
          </w:tcPr>
          <w:p>
            <w:pPr>
              <w:adjustRightInd w:val="0"/>
              <w:snapToGrid w:val="0"/>
              <w:jc w:val="center"/>
              <w:rPr>
                <w:rFonts w:cs="宋体"/>
                <w:spacing w:val="-8"/>
                <w:szCs w:val="21"/>
              </w:rPr>
            </w:pPr>
            <w:r>
              <w:rPr>
                <w:rFonts w:hint="eastAsia" w:cs="宋体"/>
                <w:spacing w:val="-8"/>
                <w:szCs w:val="21"/>
              </w:rPr>
              <w:t>环境风险</w:t>
            </w:r>
          </w:p>
          <w:p>
            <w:pPr>
              <w:adjustRightInd w:val="0"/>
              <w:snapToGrid w:val="0"/>
              <w:jc w:val="center"/>
              <w:rPr>
                <w:rFonts w:cs="宋体"/>
                <w:spacing w:val="-8"/>
                <w:szCs w:val="21"/>
              </w:rPr>
            </w:pPr>
            <w:r>
              <w:rPr>
                <w:rFonts w:hint="eastAsia" w:cs="宋体"/>
                <w:spacing w:val="-8"/>
                <w:szCs w:val="21"/>
              </w:rPr>
              <w:t>防范措施</w:t>
            </w:r>
          </w:p>
        </w:tc>
        <w:tc>
          <w:tcPr>
            <w:tcW w:w="7431" w:type="dxa"/>
            <w:gridSpan w:val="4"/>
            <w:vAlign w:val="center"/>
          </w:tcPr>
          <w:p>
            <w:pPr>
              <w:adjustRightInd w:val="0"/>
              <w:snapToGrid w:val="0"/>
              <w:spacing w:line="360" w:lineRule="auto"/>
              <w:ind w:firstLine="420" w:firstLineChars="200"/>
              <w:rPr>
                <w:szCs w:val="21"/>
              </w:rPr>
            </w:pPr>
            <w:r>
              <w:rPr>
                <w:rFonts w:hint="eastAsia"/>
                <w:szCs w:val="21"/>
              </w:rPr>
              <w:t>主要环境风险为机油、废机油泄漏造成土壤、地下水污染；危险品泄漏、操作不当或电气老化引发火灾事故；环保设施异常造成废气超标排放。</w:t>
            </w:r>
          </w:p>
          <w:p>
            <w:pPr>
              <w:adjustRightInd w:val="0"/>
              <w:snapToGrid w:val="0"/>
              <w:spacing w:line="360" w:lineRule="auto"/>
              <w:ind w:firstLine="420" w:firstLineChars="200"/>
              <w:rPr>
                <w:szCs w:val="21"/>
              </w:rPr>
            </w:pPr>
            <w:r>
              <w:rPr>
                <w:rFonts w:hint="eastAsia"/>
                <w:szCs w:val="21"/>
              </w:rPr>
              <w:t>一旦发生危险品泄漏，立即采取措施，使用沙土、吸油毡等材料对泄漏液进行吸附，同时使用沙袋构筑临时围堰，防止泄漏液扩散，防止挥发造成更大的危险。因挥发被人体大量吸入而导致中毒，现场救援人员必须佩戴防毒面具。泄漏液及吸附沙土集中收集至应急桶内，委托资质单位处理。</w:t>
            </w:r>
          </w:p>
          <w:p>
            <w:pPr>
              <w:adjustRightInd w:val="0"/>
              <w:snapToGrid w:val="0"/>
              <w:spacing w:line="360" w:lineRule="auto"/>
              <w:ind w:firstLine="420" w:firstLineChars="200"/>
              <w:rPr>
                <w:szCs w:val="21"/>
              </w:rPr>
            </w:pPr>
            <w:r>
              <w:rPr>
                <w:rFonts w:hint="eastAsia"/>
                <w:szCs w:val="21"/>
              </w:rPr>
              <w:t>发生火灾事故时利用沙袋构筑临时围堰，将消防废水控制在厂区内，同时利用沙袋封堵雨水排放口，避免消防废水排入雨水管网，利用应急泵将消防废水收集至应急罐车，再将事故废水送资质单位处理，将次生危害降至最低。</w:t>
            </w:r>
          </w:p>
          <w:p>
            <w:pPr>
              <w:adjustRightInd w:val="0"/>
              <w:snapToGrid w:val="0"/>
              <w:spacing w:line="360" w:lineRule="auto"/>
              <w:ind w:firstLine="420" w:firstLineChars="200"/>
              <w:rPr>
                <w:szCs w:val="21"/>
              </w:rPr>
            </w:pPr>
            <w:r>
              <w:rPr>
                <w:rFonts w:hint="eastAsia"/>
                <w:szCs w:val="21"/>
              </w:rPr>
              <w:t>一旦发现布袋除尘器损坏或异常，应立即停产，查明事故排放原因，并及时修理，待设备正常运行后方可继续生产。</w:t>
            </w:r>
          </w:p>
          <w:p>
            <w:pPr>
              <w:adjustRightInd w:val="0"/>
              <w:snapToGrid w:val="0"/>
              <w:spacing w:line="360" w:lineRule="auto"/>
              <w:ind w:firstLine="420" w:firstLineChars="200"/>
              <w:rPr>
                <w:rFonts w:cs="宋体"/>
                <w:szCs w:val="21"/>
              </w:rPr>
            </w:pPr>
            <w:r>
              <w:rPr>
                <w:rFonts w:hint="eastAsia"/>
                <w:szCs w:val="21"/>
              </w:rPr>
              <w:t>在严格采取各项风险防范应急措施以及与周边企业建立联动的情况下，可最大限度降低环境风险，一旦意外事件发生，环境风险可达到控制，能最大限度地减少环境污染危害，环境风险防范措施有效，风险影响程度可接受</w:t>
            </w:r>
            <w:r>
              <w:rPr>
                <w:rFonts w:hint="eastAsia" w:cs="宋体"/>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9" w:type="dxa"/>
            <w:vAlign w:val="center"/>
          </w:tcPr>
          <w:p>
            <w:pPr>
              <w:adjustRightInd w:val="0"/>
              <w:snapToGrid w:val="0"/>
              <w:jc w:val="center"/>
              <w:rPr>
                <w:rFonts w:cs="宋体"/>
                <w:spacing w:val="-8"/>
                <w:szCs w:val="21"/>
              </w:rPr>
            </w:pPr>
            <w:r>
              <w:rPr>
                <w:rFonts w:hint="eastAsia" w:cs="宋体"/>
                <w:spacing w:val="-8"/>
                <w:szCs w:val="21"/>
              </w:rPr>
              <w:t>其他环境管理要求</w:t>
            </w:r>
          </w:p>
        </w:tc>
        <w:tc>
          <w:tcPr>
            <w:tcW w:w="7431" w:type="dxa"/>
            <w:gridSpan w:val="4"/>
            <w:vAlign w:val="center"/>
          </w:tcPr>
          <w:p>
            <w:pPr>
              <w:adjustRightInd w:val="0"/>
              <w:snapToGrid w:val="0"/>
              <w:spacing w:line="360" w:lineRule="auto"/>
              <w:ind w:firstLine="422" w:firstLineChars="200"/>
              <w:rPr>
                <w:rFonts w:cs="宋体"/>
                <w:szCs w:val="21"/>
              </w:rPr>
            </w:pPr>
            <w:r>
              <w:rPr>
                <w:rFonts w:hint="eastAsia" w:cs="宋体"/>
                <w:b/>
                <w:bCs/>
                <w:szCs w:val="21"/>
              </w:rPr>
              <w:t>1.排污口信息化、规范化</w:t>
            </w:r>
          </w:p>
          <w:p>
            <w:pPr>
              <w:adjustRightInd w:val="0"/>
              <w:snapToGrid w:val="0"/>
              <w:spacing w:line="360" w:lineRule="auto"/>
              <w:ind w:firstLine="420" w:firstLineChars="200"/>
              <w:rPr>
                <w:rFonts w:cs="宋体"/>
                <w:szCs w:val="21"/>
              </w:rPr>
            </w:pPr>
            <w:r>
              <w:rPr>
                <w:rFonts w:hint="eastAsia" w:cs="宋体"/>
                <w:szCs w:val="21"/>
                <w:lang w:val="zh-CN"/>
              </w:rPr>
              <w:t>根据国家环境保护总局《关于开展排放口规范化整治工作的通知》（环发[1999]24号）和《排放口规范化整治技术要求（试行）》（环监[1996]470号）和《固定污染源废气监测点位设置技术规范》（DB37/T 3535-2019）等规定的要求，一切新建、改扩建、改建的排污单位以及限期治理的排污单位必须在建设污染治理设施的同时，建设规范化排放口。因此，建设项目产生的各类污染物排放口必</w:t>
            </w:r>
            <w:r>
              <w:rPr>
                <w:rFonts w:hint="eastAsia" w:cs="宋体"/>
                <w:szCs w:val="21"/>
              </w:rPr>
              <w:t>须规范化，而且规范化工作的完成必须与污染治理设施同步。</w:t>
            </w:r>
          </w:p>
          <w:p>
            <w:pPr>
              <w:adjustRightInd w:val="0"/>
              <w:snapToGrid w:val="0"/>
              <w:spacing w:line="360" w:lineRule="auto"/>
              <w:ind w:firstLine="420" w:firstLineChars="200"/>
              <w:rPr>
                <w:rFonts w:cs="宋体"/>
                <w:szCs w:val="21"/>
              </w:rPr>
            </w:pPr>
            <w:r>
              <w:rPr>
                <w:rFonts w:hint="eastAsia" w:cs="宋体"/>
                <w:szCs w:val="21"/>
              </w:rPr>
              <w:t>⑴项目废气污染源排气筒应按照“排污口”要求进行设置，并设置便于采样、监测的采样口或采样平台；在排气筒附近醒目处设置环保标志牌。</w:t>
            </w:r>
          </w:p>
          <w:p>
            <w:pPr>
              <w:adjustRightInd w:val="0"/>
              <w:snapToGrid w:val="0"/>
              <w:spacing w:line="360" w:lineRule="auto"/>
              <w:ind w:firstLine="420" w:firstLineChars="200"/>
              <w:rPr>
                <w:rFonts w:cs="宋体"/>
                <w:szCs w:val="21"/>
              </w:rPr>
            </w:pPr>
            <w:r>
              <w:rPr>
                <w:rFonts w:hint="eastAsia" w:cs="宋体"/>
                <w:szCs w:val="21"/>
              </w:rPr>
              <w:t>⑵主要固定噪声源附近应设置环境保护图形标志牌。</w:t>
            </w:r>
          </w:p>
          <w:p>
            <w:pPr>
              <w:adjustRightInd w:val="0"/>
              <w:snapToGrid w:val="0"/>
              <w:spacing w:line="360" w:lineRule="auto"/>
              <w:ind w:firstLine="420" w:firstLineChars="200"/>
              <w:rPr>
                <w:rFonts w:cs="宋体"/>
                <w:szCs w:val="21"/>
              </w:rPr>
            </w:pPr>
            <w:r>
              <w:rPr>
                <w:rFonts w:hint="eastAsia" w:cs="宋体"/>
                <w:szCs w:val="21"/>
              </w:rPr>
              <w:t>⑶项目产生的一般固废综合利用。固体废物在厂内暂存期间要设置专门的储存设施或堆放场所、运输通道。存放场地需采取防扬散、防流失措施，并应在存放场地设置环保标志牌。</w:t>
            </w:r>
          </w:p>
          <w:p>
            <w:pPr>
              <w:adjustRightInd w:val="0"/>
              <w:snapToGrid w:val="0"/>
              <w:spacing w:line="360" w:lineRule="auto"/>
              <w:ind w:firstLine="420" w:firstLineChars="200"/>
              <w:rPr>
                <w:rFonts w:cs="宋体"/>
                <w:szCs w:val="21"/>
              </w:rPr>
            </w:pPr>
            <w:r>
              <w:rPr>
                <w:rFonts w:hint="eastAsia" w:cs="宋体"/>
                <w:szCs w:val="21"/>
              </w:rPr>
              <w:t>建设单位应将有关排污口的情况如：排污口的性质、编号、排污口的位置；主要排放的污染物种类、数量、浓度、排放规律、排放去向；污染治理设施的运行情况等进行建档管理，并报送环保主管部门备案。</w:t>
            </w:r>
          </w:p>
          <w:p>
            <w:pPr>
              <w:adjustRightInd w:val="0"/>
              <w:snapToGrid w:val="0"/>
              <w:spacing w:line="360" w:lineRule="auto"/>
              <w:ind w:firstLine="422" w:firstLineChars="200"/>
              <w:rPr>
                <w:rFonts w:cs="宋体"/>
                <w:szCs w:val="21"/>
              </w:rPr>
            </w:pPr>
            <w:r>
              <w:rPr>
                <w:rFonts w:hint="eastAsia" w:cs="宋体"/>
                <w:b/>
                <w:bCs/>
                <w:szCs w:val="21"/>
              </w:rPr>
              <w:t>2.与排污许可衔接</w:t>
            </w:r>
          </w:p>
          <w:p>
            <w:pPr>
              <w:adjustRightInd w:val="0"/>
              <w:snapToGrid w:val="0"/>
              <w:spacing w:line="360" w:lineRule="auto"/>
              <w:ind w:firstLine="420" w:firstLineChars="200"/>
              <w:rPr>
                <w:rFonts w:cs="宋体"/>
                <w:szCs w:val="21"/>
              </w:rPr>
            </w:pPr>
            <w:r>
              <w:rPr>
                <w:rFonts w:hint="eastAsia" w:cs="宋体"/>
                <w:szCs w:val="21"/>
              </w:rPr>
              <w:t>本项目运营前应严格按照国家环境保护相关法律法规以及排污许可证申请与核发技术规范要求申请排污许可证，不得无证排污或不按证排污。本项目严格按照国家排污许可证改革的要求，推进刷卡排污及污染源“一证式”管理工作，并作为建设单位在生产运营期接收环境监管和环境保护部门实施监管的主要法律文书，单位依法申请排污许可证，按证排污，自证守法。</w:t>
            </w:r>
          </w:p>
          <w:p>
            <w:pPr>
              <w:snapToGrid w:val="0"/>
              <w:spacing w:line="360" w:lineRule="auto"/>
              <w:ind w:firstLine="422" w:firstLineChars="200"/>
              <w:rPr>
                <w:b/>
                <w:bCs/>
                <w:szCs w:val="21"/>
              </w:rPr>
            </w:pPr>
            <w:r>
              <w:rPr>
                <w:rFonts w:hint="eastAsia" w:cs="宋体"/>
                <w:b/>
                <w:bCs/>
                <w:szCs w:val="21"/>
              </w:rPr>
              <w:t>3.</w:t>
            </w:r>
            <w:r>
              <w:rPr>
                <w:b/>
                <w:bCs/>
                <w:szCs w:val="21"/>
              </w:rPr>
              <w:t>竣工环保验收</w:t>
            </w:r>
          </w:p>
          <w:p>
            <w:pPr>
              <w:adjustRightInd w:val="0"/>
              <w:snapToGrid w:val="0"/>
              <w:spacing w:line="360" w:lineRule="auto"/>
              <w:ind w:firstLine="420" w:firstLineChars="200"/>
              <w:rPr>
                <w:rFonts w:cs="宋体"/>
                <w:szCs w:val="21"/>
              </w:rPr>
            </w:pPr>
            <w:r>
              <w:rPr>
                <w:rFonts w:cs="宋体"/>
                <w:szCs w:val="21"/>
              </w:rPr>
              <w:t>项目竣工后，建设单位应依据《建设项目竣工环境保护验收暂行办法》（国环规环评[2017]4号），对配套建设的环境保护设施进行验收，编制验收报告。</w:t>
            </w:r>
          </w:p>
          <w:p>
            <w:pPr>
              <w:adjustRightInd w:val="0"/>
              <w:snapToGrid w:val="0"/>
              <w:spacing w:line="360" w:lineRule="auto"/>
              <w:ind w:firstLine="422" w:firstLineChars="200"/>
              <w:rPr>
                <w:rFonts w:cs="宋体"/>
                <w:b/>
                <w:bCs/>
                <w:szCs w:val="21"/>
              </w:rPr>
            </w:pPr>
            <w:r>
              <w:rPr>
                <w:rFonts w:hint="eastAsia" w:cs="宋体"/>
                <w:b/>
                <w:bCs/>
                <w:szCs w:val="21"/>
              </w:rPr>
              <w:t>4.环境管理</w:t>
            </w:r>
          </w:p>
          <w:p>
            <w:pPr>
              <w:adjustRightInd w:val="0"/>
              <w:snapToGrid w:val="0"/>
              <w:spacing w:line="360" w:lineRule="auto"/>
              <w:ind w:firstLine="420" w:firstLineChars="200"/>
              <w:rPr>
                <w:rFonts w:cs="宋体"/>
                <w:szCs w:val="21"/>
              </w:rPr>
            </w:pPr>
            <w:r>
              <w:rPr>
                <w:rFonts w:hint="eastAsia" w:cs="宋体"/>
                <w:szCs w:val="21"/>
              </w:rPr>
              <w:t>依据《排污单位自行监测技术指南总则》、环评报告表及排污许可证要求定期做好环境监测，做好企业信息公开工作。</w:t>
            </w:r>
          </w:p>
          <w:p>
            <w:pPr>
              <w:adjustRightInd w:val="0"/>
              <w:snapToGrid w:val="0"/>
              <w:spacing w:line="360" w:lineRule="auto"/>
              <w:ind w:firstLine="422" w:firstLineChars="200"/>
              <w:rPr>
                <w:rFonts w:ascii="宋体" w:hAnsi="宋体" w:eastAsia="宋体" w:cs="宋体"/>
                <w:b/>
                <w:bCs/>
                <w:szCs w:val="21"/>
                <w:u w:val="single"/>
              </w:rPr>
            </w:pPr>
            <w:r>
              <w:rPr>
                <w:rFonts w:hint="eastAsia" w:ascii="宋体" w:hAnsi="宋体" w:eastAsia="宋体" w:cs="宋体"/>
                <w:b/>
                <w:bCs/>
                <w:szCs w:val="21"/>
                <w:u w:val="single"/>
              </w:rPr>
              <w:t>5.公众参与调查</w:t>
            </w:r>
          </w:p>
          <w:p>
            <w:pPr>
              <w:adjustRightInd w:val="0"/>
              <w:snapToGrid w:val="0"/>
              <w:spacing w:line="360" w:lineRule="auto"/>
              <w:ind w:firstLine="420" w:firstLineChars="200"/>
              <w:rPr>
                <w:rFonts w:cs="宋体"/>
                <w:szCs w:val="21"/>
              </w:rPr>
            </w:pPr>
            <w:r>
              <w:rPr>
                <w:rFonts w:hint="eastAsia" w:ascii="宋体" w:hAnsi="宋体" w:eastAsia="宋体" w:cs="宋体"/>
                <w:szCs w:val="21"/>
                <w:u w:val="single"/>
              </w:rPr>
              <w:t>2026年6月8日时家店乡人民政府对项目周围的3户人家和一个企业（加油站）进行了公众参与调查（调查表附后），调查结果显示，周围居民、企业都对本次建设项目有一定对的了解，都同意本项目建设。</w:t>
            </w:r>
          </w:p>
          <w:p>
            <w:pPr>
              <w:pStyle w:val="82"/>
              <w:numPr>
                <w:ilvl w:val="0"/>
                <w:numId w:val="0"/>
              </w:numPr>
              <w:rPr>
                <w:rFonts w:ascii="宋体" w:hAnsi="宋体" w:cs="宋体"/>
                <w:bCs/>
                <w:color w:val="auto"/>
                <w:sz w:val="24"/>
                <w:szCs w:val="24"/>
                <w:u w:val="single"/>
              </w:rPr>
            </w:pPr>
            <w:r>
              <w:rPr>
                <w:rFonts w:hint="eastAsia" w:ascii="宋体" w:hAnsi="宋体" w:cs="宋体"/>
                <w:bCs/>
                <w:sz w:val="24"/>
                <w:szCs w:val="24"/>
                <w:u w:val="single"/>
                <w:lang w:val="zh-CN"/>
              </w:rPr>
              <w:t>表5-1   项目“三同时”验收一览表</w:t>
            </w:r>
          </w:p>
          <w:tbl>
            <w:tblPr>
              <w:tblStyle w:val="27"/>
              <w:tblW w:w="736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400"/>
              <w:gridCol w:w="1639"/>
              <w:gridCol w:w="2827"/>
              <w:gridCol w:w="250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90" w:hRule="atLeast"/>
                <w:jc w:val="center"/>
              </w:trPr>
              <w:tc>
                <w:tcPr>
                  <w:tcW w:w="2039" w:type="dxa"/>
                  <w:gridSpan w:val="2"/>
                  <w:tcMar>
                    <w:top w:w="0" w:type="dxa"/>
                    <w:left w:w="68" w:type="dxa"/>
                    <w:bottom w:w="0" w:type="dxa"/>
                    <w:right w:w="68" w:type="dxa"/>
                  </w:tcMar>
                  <w:vAlign w:val="center"/>
                </w:tcPr>
                <w:p>
                  <w:pPr>
                    <w:snapToGrid w:val="0"/>
                    <w:jc w:val="center"/>
                    <w:rPr>
                      <w:rFonts w:ascii="宋体" w:hAnsi="宋体" w:cs="宋体"/>
                      <w:szCs w:val="21"/>
                      <w:u w:val="single"/>
                    </w:rPr>
                  </w:pPr>
                  <w:r>
                    <w:rPr>
                      <w:rFonts w:hint="eastAsia" w:ascii="宋体" w:hAnsi="宋体" w:cs="宋体"/>
                      <w:szCs w:val="21"/>
                      <w:u w:val="single"/>
                    </w:rPr>
                    <w:t>污染源分类</w:t>
                  </w:r>
                </w:p>
              </w:tc>
              <w:tc>
                <w:tcPr>
                  <w:tcW w:w="2827" w:type="dxa"/>
                  <w:tcMar>
                    <w:top w:w="0" w:type="dxa"/>
                    <w:left w:w="68" w:type="dxa"/>
                    <w:bottom w:w="0" w:type="dxa"/>
                    <w:right w:w="68" w:type="dxa"/>
                  </w:tcMar>
                  <w:vAlign w:val="center"/>
                </w:tcPr>
                <w:p>
                  <w:pPr>
                    <w:snapToGrid w:val="0"/>
                    <w:jc w:val="center"/>
                    <w:rPr>
                      <w:rFonts w:ascii="宋体" w:hAnsi="宋体" w:cs="宋体"/>
                      <w:szCs w:val="21"/>
                      <w:u w:val="single"/>
                    </w:rPr>
                  </w:pPr>
                  <w:r>
                    <w:rPr>
                      <w:rFonts w:hint="eastAsia" w:ascii="宋体" w:hAnsi="宋体" w:cs="宋体"/>
                      <w:szCs w:val="21"/>
                      <w:u w:val="single"/>
                    </w:rPr>
                    <w:t>环保措施</w:t>
                  </w:r>
                </w:p>
              </w:tc>
              <w:tc>
                <w:tcPr>
                  <w:tcW w:w="2502" w:type="dxa"/>
                  <w:tcMar>
                    <w:top w:w="0" w:type="dxa"/>
                    <w:left w:w="68" w:type="dxa"/>
                    <w:bottom w:w="0" w:type="dxa"/>
                    <w:right w:w="68" w:type="dxa"/>
                  </w:tcMar>
                  <w:vAlign w:val="center"/>
                </w:tcPr>
                <w:p>
                  <w:pPr>
                    <w:snapToGrid w:val="0"/>
                    <w:jc w:val="center"/>
                    <w:rPr>
                      <w:rFonts w:ascii="宋体" w:hAnsi="宋体" w:cs="宋体"/>
                      <w:szCs w:val="21"/>
                      <w:u w:val="single"/>
                    </w:rPr>
                  </w:pPr>
                  <w:r>
                    <w:rPr>
                      <w:rFonts w:hint="eastAsia" w:ascii="宋体" w:hAnsi="宋体" w:cs="宋体"/>
                      <w:szCs w:val="21"/>
                      <w:u w:val="single"/>
                    </w:rPr>
                    <w:t>验收要求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743" w:hRule="atLeast"/>
                <w:jc w:val="center"/>
              </w:trPr>
              <w:tc>
                <w:tcPr>
                  <w:tcW w:w="400" w:type="dxa"/>
                  <w:vAlign w:val="center"/>
                </w:tcPr>
                <w:p>
                  <w:pPr>
                    <w:snapToGrid w:val="0"/>
                    <w:jc w:val="center"/>
                    <w:rPr>
                      <w:rFonts w:ascii="宋体" w:hAnsi="宋体" w:cs="宋体"/>
                      <w:szCs w:val="21"/>
                      <w:u w:val="single"/>
                    </w:rPr>
                  </w:pPr>
                  <w:r>
                    <w:rPr>
                      <w:rFonts w:hint="eastAsia" w:ascii="宋体" w:hAnsi="宋体" w:cs="宋体"/>
                      <w:szCs w:val="21"/>
                      <w:u w:val="single"/>
                    </w:rPr>
                    <w:t>废水</w:t>
                  </w:r>
                </w:p>
              </w:tc>
              <w:tc>
                <w:tcPr>
                  <w:tcW w:w="1639" w:type="dxa"/>
                  <w:vAlign w:val="center"/>
                </w:tcPr>
                <w:p>
                  <w:pPr>
                    <w:snapToGrid w:val="0"/>
                    <w:jc w:val="center"/>
                    <w:rPr>
                      <w:rFonts w:ascii="宋体" w:hAnsi="宋体" w:cs="宋体"/>
                      <w:szCs w:val="21"/>
                      <w:u w:val="single"/>
                    </w:rPr>
                  </w:pPr>
                  <w:r>
                    <w:rPr>
                      <w:rFonts w:hint="eastAsia" w:ascii="宋体" w:hAnsi="宋体" w:cs="宋体"/>
                      <w:szCs w:val="21"/>
                      <w:u w:val="single"/>
                    </w:rPr>
                    <w:t>生产废水及</w:t>
                  </w:r>
                  <w:r>
                    <w:rPr>
                      <w:rFonts w:hint="eastAsia"/>
                      <w:kern w:val="21"/>
                      <w:szCs w:val="21"/>
                      <w:u w:val="single"/>
                    </w:rPr>
                    <w:t>锅炉排污水</w:t>
                  </w:r>
                </w:p>
              </w:tc>
              <w:tc>
                <w:tcPr>
                  <w:tcW w:w="2827" w:type="dxa"/>
                  <w:tcMar>
                    <w:top w:w="0" w:type="dxa"/>
                    <w:left w:w="68" w:type="dxa"/>
                    <w:bottom w:w="0" w:type="dxa"/>
                    <w:right w:w="68" w:type="dxa"/>
                  </w:tcMar>
                  <w:vAlign w:val="center"/>
                </w:tcPr>
                <w:p>
                  <w:pPr>
                    <w:snapToGrid w:val="0"/>
                    <w:jc w:val="center"/>
                    <w:rPr>
                      <w:rFonts w:ascii="宋体" w:hAnsi="宋体" w:cs="宋体"/>
                      <w:bCs/>
                      <w:szCs w:val="21"/>
                      <w:u w:val="single"/>
                    </w:rPr>
                  </w:pPr>
                  <w:r>
                    <w:rPr>
                      <w:rFonts w:cs="宋体"/>
                      <w:szCs w:val="21"/>
                      <w:u w:val="single"/>
                    </w:rPr>
                    <w:t>地面</w:t>
                  </w:r>
                  <w:r>
                    <w:rPr>
                      <w:rFonts w:hint="eastAsia" w:cs="宋体"/>
                      <w:szCs w:val="21"/>
                      <w:u w:val="single"/>
                    </w:rPr>
                    <w:t>清洁</w:t>
                  </w:r>
                  <w:r>
                    <w:rPr>
                      <w:rFonts w:cs="宋体"/>
                      <w:szCs w:val="21"/>
                      <w:u w:val="single"/>
                    </w:rPr>
                    <w:t>废水全部消耗，高温灭菌废水循环利用不外排，设备清洗废水、浸泡和冲洗废水排入自建沉淀池，定期</w:t>
                  </w:r>
                  <w:r>
                    <w:rPr>
                      <w:rFonts w:hint="eastAsia" w:cs="宋体"/>
                      <w:iCs/>
                      <w:szCs w:val="21"/>
                      <w:u w:val="single"/>
                    </w:rPr>
                    <w:t>外运养殖场，锅炉废水用于洒水降尘及灰渣调湿</w:t>
                  </w:r>
                  <w:r>
                    <w:rPr>
                      <w:rFonts w:cs="宋体"/>
                      <w:szCs w:val="21"/>
                      <w:u w:val="single"/>
                    </w:rPr>
                    <w:t>。</w:t>
                  </w:r>
                </w:p>
              </w:tc>
              <w:tc>
                <w:tcPr>
                  <w:tcW w:w="2502" w:type="dxa"/>
                  <w:tcMar>
                    <w:top w:w="0" w:type="dxa"/>
                    <w:left w:w="68" w:type="dxa"/>
                    <w:bottom w:w="0" w:type="dxa"/>
                    <w:right w:w="68" w:type="dxa"/>
                  </w:tcMar>
                  <w:vAlign w:val="center"/>
                </w:tcPr>
                <w:p>
                  <w:pPr>
                    <w:snapToGrid w:val="0"/>
                    <w:jc w:val="center"/>
                    <w:rPr>
                      <w:rFonts w:ascii="宋体" w:hAnsi="宋体" w:cs="宋体"/>
                      <w:szCs w:val="21"/>
                      <w:u w:val="single"/>
                    </w:rPr>
                  </w:pPr>
                  <w:r>
                    <w:rPr>
                      <w:rFonts w:hint="eastAsia" w:ascii="宋体" w:hAnsi="宋体" w:cs="宋体"/>
                      <w:szCs w:val="21"/>
                      <w:u w:val="single"/>
                    </w:rPr>
                    <w:t>不外排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172" w:hRule="atLeast"/>
                <w:jc w:val="center"/>
              </w:trPr>
              <w:tc>
                <w:tcPr>
                  <w:tcW w:w="400" w:type="dxa"/>
                  <w:vAlign w:val="center"/>
                </w:tcPr>
                <w:p>
                  <w:pPr>
                    <w:snapToGrid w:val="0"/>
                    <w:jc w:val="center"/>
                    <w:rPr>
                      <w:rFonts w:ascii="宋体" w:hAnsi="宋体" w:cs="宋体"/>
                      <w:szCs w:val="21"/>
                      <w:u w:val="single"/>
                    </w:rPr>
                  </w:pPr>
                  <w:r>
                    <w:rPr>
                      <w:rFonts w:hint="eastAsia" w:ascii="宋体" w:hAnsi="宋体" w:cs="宋体"/>
                      <w:szCs w:val="21"/>
                      <w:u w:val="single"/>
                    </w:rPr>
                    <w:t>废气</w:t>
                  </w:r>
                </w:p>
              </w:tc>
              <w:tc>
                <w:tcPr>
                  <w:tcW w:w="1639" w:type="dxa"/>
                  <w:vAlign w:val="center"/>
                </w:tcPr>
                <w:p>
                  <w:pPr>
                    <w:snapToGrid w:val="0"/>
                    <w:jc w:val="center"/>
                    <w:rPr>
                      <w:rFonts w:ascii="宋体" w:hAnsi="宋体" w:cs="宋体"/>
                      <w:szCs w:val="21"/>
                      <w:u w:val="single"/>
                    </w:rPr>
                  </w:pPr>
                  <w:r>
                    <w:rPr>
                      <w:rFonts w:hint="eastAsia" w:ascii="宋体" w:hAnsi="宋体" w:cs="宋体"/>
                      <w:szCs w:val="21"/>
                      <w:u w:val="single"/>
                    </w:rPr>
                    <w:t>生物质锅炉</w:t>
                  </w:r>
                </w:p>
              </w:tc>
              <w:tc>
                <w:tcPr>
                  <w:tcW w:w="2827" w:type="dxa"/>
                  <w:tcMar>
                    <w:top w:w="0" w:type="dxa"/>
                    <w:left w:w="68" w:type="dxa"/>
                    <w:bottom w:w="0" w:type="dxa"/>
                    <w:right w:w="68" w:type="dxa"/>
                  </w:tcMar>
                  <w:vAlign w:val="center"/>
                </w:tcPr>
                <w:p>
                  <w:pPr>
                    <w:snapToGrid w:val="0"/>
                    <w:jc w:val="center"/>
                    <w:rPr>
                      <w:rFonts w:ascii="宋体" w:hAnsi="宋体" w:cs="宋体"/>
                      <w:szCs w:val="21"/>
                      <w:u w:val="single"/>
                    </w:rPr>
                  </w:pPr>
                  <w:r>
                    <w:rPr>
                      <w:rFonts w:hint="eastAsia"/>
                      <w:szCs w:val="21"/>
                      <w:u w:val="single"/>
                    </w:rPr>
                    <w:t>布袋除尘器+30m排气筒排放</w:t>
                  </w:r>
                </w:p>
              </w:tc>
              <w:tc>
                <w:tcPr>
                  <w:tcW w:w="2502" w:type="dxa"/>
                  <w:tcMar>
                    <w:top w:w="0" w:type="dxa"/>
                    <w:left w:w="68" w:type="dxa"/>
                    <w:bottom w:w="0" w:type="dxa"/>
                    <w:right w:w="68" w:type="dxa"/>
                  </w:tcMar>
                  <w:vAlign w:val="center"/>
                </w:tcPr>
                <w:p>
                  <w:pPr>
                    <w:snapToGrid w:val="0"/>
                    <w:jc w:val="center"/>
                    <w:rPr>
                      <w:rFonts w:ascii="宋体" w:hAnsi="宋体" w:cs="宋体"/>
                      <w:szCs w:val="21"/>
                      <w:u w:val="single"/>
                    </w:rPr>
                  </w:pPr>
                  <w:r>
                    <w:rPr>
                      <w:rFonts w:hint="eastAsia" w:ascii="宋体" w:hAnsi="宋体" w:cs="宋体"/>
                      <w:szCs w:val="21"/>
                      <w:u w:val="single"/>
                    </w:rPr>
                    <w:t>满足《锅炉大气污染物排放标准》（GB13271-2014）表2排放限值要求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90" w:hRule="atLeast"/>
                <w:jc w:val="center"/>
              </w:trPr>
              <w:tc>
                <w:tcPr>
                  <w:tcW w:w="400" w:type="dxa"/>
                  <w:vAlign w:val="center"/>
                </w:tcPr>
                <w:p>
                  <w:pPr>
                    <w:snapToGrid w:val="0"/>
                    <w:jc w:val="center"/>
                    <w:rPr>
                      <w:rFonts w:ascii="宋体" w:hAnsi="宋体" w:cs="宋体"/>
                      <w:szCs w:val="21"/>
                      <w:u w:val="single"/>
                    </w:rPr>
                  </w:pPr>
                  <w:r>
                    <w:rPr>
                      <w:rFonts w:hint="eastAsia" w:ascii="宋体" w:hAnsi="宋体" w:cs="宋体"/>
                      <w:szCs w:val="21"/>
                      <w:u w:val="single"/>
                    </w:rPr>
                    <w:t>噪声</w:t>
                  </w:r>
                </w:p>
              </w:tc>
              <w:tc>
                <w:tcPr>
                  <w:tcW w:w="1639" w:type="dxa"/>
                  <w:vAlign w:val="center"/>
                </w:tcPr>
                <w:p>
                  <w:pPr>
                    <w:snapToGrid w:val="0"/>
                    <w:jc w:val="center"/>
                    <w:rPr>
                      <w:rFonts w:ascii="宋体" w:hAnsi="宋体" w:cs="宋体"/>
                      <w:szCs w:val="21"/>
                      <w:u w:val="single"/>
                    </w:rPr>
                  </w:pPr>
                  <w:r>
                    <w:rPr>
                      <w:rFonts w:hint="eastAsia" w:ascii="宋体" w:hAnsi="宋体" w:cs="宋体"/>
                      <w:szCs w:val="21"/>
                      <w:u w:val="single"/>
                    </w:rPr>
                    <w:t>产噪设备</w:t>
                  </w:r>
                </w:p>
              </w:tc>
              <w:tc>
                <w:tcPr>
                  <w:tcW w:w="2827" w:type="dxa"/>
                  <w:tcMar>
                    <w:top w:w="0" w:type="dxa"/>
                    <w:left w:w="68" w:type="dxa"/>
                    <w:bottom w:w="0" w:type="dxa"/>
                    <w:right w:w="68" w:type="dxa"/>
                  </w:tcMar>
                  <w:vAlign w:val="center"/>
                </w:tcPr>
                <w:p>
                  <w:pPr>
                    <w:snapToGrid w:val="0"/>
                    <w:jc w:val="center"/>
                    <w:rPr>
                      <w:rFonts w:ascii="宋体" w:hAnsi="宋体" w:cs="宋体"/>
                      <w:szCs w:val="21"/>
                      <w:u w:val="single"/>
                    </w:rPr>
                  </w:pPr>
                  <w:r>
                    <w:rPr>
                      <w:rFonts w:hint="eastAsia" w:cs="宋体"/>
                      <w:szCs w:val="21"/>
                      <w:u w:val="single"/>
                    </w:rPr>
                    <w:t>低噪声设备、减震、隔声</w:t>
                  </w:r>
                </w:p>
              </w:tc>
              <w:tc>
                <w:tcPr>
                  <w:tcW w:w="2502" w:type="dxa"/>
                  <w:tcMar>
                    <w:top w:w="0" w:type="dxa"/>
                    <w:left w:w="68" w:type="dxa"/>
                    <w:bottom w:w="0" w:type="dxa"/>
                    <w:right w:w="68" w:type="dxa"/>
                  </w:tcMar>
                  <w:vAlign w:val="center"/>
                </w:tcPr>
                <w:p>
                  <w:pPr>
                    <w:snapToGrid w:val="0"/>
                    <w:jc w:val="center"/>
                    <w:rPr>
                      <w:rFonts w:ascii="宋体" w:hAnsi="宋体" w:cs="宋体"/>
                      <w:szCs w:val="21"/>
                      <w:u w:val="single"/>
                    </w:rPr>
                  </w:pPr>
                  <w:r>
                    <w:rPr>
                      <w:rFonts w:hint="eastAsia" w:ascii="宋体" w:hAnsi="宋体" w:cs="宋体"/>
                      <w:szCs w:val="21"/>
                      <w:u w:val="single"/>
                    </w:rPr>
                    <w:t>满足《工业企业厂界环境噪声排放标准》（GB12348-2008）中的1类标准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494" w:hRule="atLeast"/>
                <w:jc w:val="center"/>
              </w:trPr>
              <w:tc>
                <w:tcPr>
                  <w:tcW w:w="400" w:type="dxa"/>
                  <w:vMerge w:val="restart"/>
                  <w:vAlign w:val="center"/>
                </w:tcPr>
                <w:p>
                  <w:pPr>
                    <w:snapToGrid w:val="0"/>
                    <w:jc w:val="center"/>
                    <w:rPr>
                      <w:rFonts w:ascii="宋体" w:hAnsi="宋体" w:cs="宋体"/>
                      <w:szCs w:val="21"/>
                      <w:u w:val="single"/>
                    </w:rPr>
                  </w:pPr>
                  <w:r>
                    <w:rPr>
                      <w:rFonts w:hint="eastAsia" w:ascii="宋体" w:hAnsi="宋体" w:cs="宋体"/>
                      <w:szCs w:val="21"/>
                      <w:u w:val="single"/>
                    </w:rPr>
                    <w:t>固体废物</w:t>
                  </w:r>
                </w:p>
              </w:tc>
              <w:tc>
                <w:tcPr>
                  <w:tcW w:w="1639" w:type="dxa"/>
                  <w:vAlign w:val="center"/>
                </w:tcPr>
                <w:p>
                  <w:pPr>
                    <w:jc w:val="center"/>
                    <w:rPr>
                      <w:rFonts w:ascii="宋体" w:hAnsi="宋体" w:cs="宋体"/>
                      <w:szCs w:val="21"/>
                      <w:u w:val="single"/>
                    </w:rPr>
                  </w:pPr>
                  <w:r>
                    <w:rPr>
                      <w:rFonts w:hint="eastAsia" w:ascii="宋体" w:hAnsi="宋体" w:cs="宋体"/>
                      <w:color w:val="000000"/>
                      <w:szCs w:val="21"/>
                      <w:u w:val="single"/>
                    </w:rPr>
                    <w:t>布袋除尘器收集粉尘</w:t>
                  </w:r>
                </w:p>
              </w:tc>
              <w:tc>
                <w:tcPr>
                  <w:tcW w:w="2827" w:type="dxa"/>
                  <w:vMerge w:val="restart"/>
                  <w:tcMar>
                    <w:top w:w="0" w:type="dxa"/>
                    <w:left w:w="68" w:type="dxa"/>
                    <w:bottom w:w="0" w:type="dxa"/>
                    <w:right w:w="68" w:type="dxa"/>
                  </w:tcMar>
                  <w:vAlign w:val="center"/>
                </w:tcPr>
                <w:p>
                  <w:pPr>
                    <w:jc w:val="center"/>
                    <w:rPr>
                      <w:rFonts w:ascii="宋体" w:hAnsi="宋体" w:cs="宋体"/>
                      <w:szCs w:val="21"/>
                      <w:u w:val="single"/>
                    </w:rPr>
                  </w:pPr>
                  <w:r>
                    <w:rPr>
                      <w:rFonts w:hint="eastAsia" w:ascii="宋体" w:hAnsi="宋体" w:cs="宋体"/>
                      <w:color w:val="000000"/>
                      <w:szCs w:val="21"/>
                      <w:u w:val="single"/>
                    </w:rPr>
                    <w:t>暂存于灰渣间，加苫布遮盖，外售</w:t>
                  </w:r>
                  <w:r>
                    <w:rPr>
                      <w:rFonts w:hint="eastAsia" w:ascii="宋体" w:hAnsi="宋体" w:cs="宋体"/>
                      <w:szCs w:val="21"/>
                      <w:u w:val="single"/>
                    </w:rPr>
                    <w:t>有机肥厂</w:t>
                  </w:r>
                  <w:r>
                    <w:rPr>
                      <w:rFonts w:hint="eastAsia" w:ascii="宋体" w:hAnsi="宋体" w:cs="宋体"/>
                      <w:color w:val="000000"/>
                      <w:szCs w:val="21"/>
                      <w:u w:val="single"/>
                    </w:rPr>
                    <w:t>。</w:t>
                  </w:r>
                </w:p>
              </w:tc>
              <w:tc>
                <w:tcPr>
                  <w:tcW w:w="2502" w:type="dxa"/>
                  <w:vMerge w:val="restart"/>
                  <w:tcMar>
                    <w:top w:w="0" w:type="dxa"/>
                    <w:left w:w="68" w:type="dxa"/>
                    <w:bottom w:w="0" w:type="dxa"/>
                    <w:right w:w="68" w:type="dxa"/>
                  </w:tcMar>
                  <w:vAlign w:val="center"/>
                </w:tcPr>
                <w:p>
                  <w:pPr>
                    <w:snapToGrid w:val="0"/>
                    <w:jc w:val="center"/>
                    <w:rPr>
                      <w:rFonts w:ascii="宋体" w:hAnsi="宋体" w:cs="宋体"/>
                      <w:szCs w:val="21"/>
                      <w:u w:val="single"/>
                    </w:rPr>
                  </w:pPr>
                  <w:r>
                    <w:rPr>
                      <w:rFonts w:hint="eastAsia" w:ascii="宋体" w:hAnsi="宋体" w:cs="宋体"/>
                      <w:szCs w:val="21"/>
                      <w:u w:val="single"/>
                    </w:rPr>
                    <w:t>不产生二次污染</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544" w:hRule="atLeast"/>
                <w:jc w:val="center"/>
              </w:trPr>
              <w:tc>
                <w:tcPr>
                  <w:tcW w:w="400" w:type="dxa"/>
                  <w:vMerge w:val="continue"/>
                  <w:vAlign w:val="center"/>
                </w:tcPr>
                <w:p>
                  <w:pPr>
                    <w:snapToGrid w:val="0"/>
                    <w:jc w:val="center"/>
                    <w:rPr>
                      <w:rFonts w:ascii="宋体" w:hAnsi="宋体" w:cs="宋体"/>
                      <w:szCs w:val="21"/>
                      <w:u w:val="single"/>
                    </w:rPr>
                  </w:pPr>
                </w:p>
              </w:tc>
              <w:tc>
                <w:tcPr>
                  <w:tcW w:w="1639" w:type="dxa"/>
                  <w:vAlign w:val="center"/>
                </w:tcPr>
                <w:p>
                  <w:pPr>
                    <w:jc w:val="center"/>
                    <w:rPr>
                      <w:rFonts w:ascii="宋体" w:hAnsi="宋体" w:cs="宋体"/>
                      <w:szCs w:val="21"/>
                      <w:u w:val="single"/>
                    </w:rPr>
                  </w:pPr>
                  <w:r>
                    <w:rPr>
                      <w:rFonts w:hint="eastAsia" w:ascii="宋体" w:hAnsi="宋体" w:cs="宋体"/>
                      <w:color w:val="000000"/>
                      <w:szCs w:val="21"/>
                      <w:u w:val="single"/>
                    </w:rPr>
                    <w:t>锅炉灰渣</w:t>
                  </w:r>
                </w:p>
              </w:tc>
              <w:tc>
                <w:tcPr>
                  <w:tcW w:w="2827" w:type="dxa"/>
                  <w:vMerge w:val="continue"/>
                  <w:tcMar>
                    <w:top w:w="0" w:type="dxa"/>
                    <w:left w:w="68" w:type="dxa"/>
                    <w:bottom w:w="0" w:type="dxa"/>
                    <w:right w:w="68" w:type="dxa"/>
                  </w:tcMar>
                  <w:vAlign w:val="center"/>
                </w:tcPr>
                <w:p>
                  <w:pPr>
                    <w:jc w:val="center"/>
                    <w:rPr>
                      <w:rFonts w:ascii="宋体" w:hAnsi="宋体" w:cs="宋体"/>
                      <w:szCs w:val="21"/>
                      <w:u w:val="single"/>
                    </w:rPr>
                  </w:pPr>
                </w:p>
              </w:tc>
              <w:tc>
                <w:tcPr>
                  <w:tcW w:w="2502" w:type="dxa"/>
                  <w:vMerge w:val="continue"/>
                  <w:tcMar>
                    <w:top w:w="0" w:type="dxa"/>
                    <w:left w:w="68" w:type="dxa"/>
                    <w:bottom w:w="0" w:type="dxa"/>
                    <w:right w:w="68" w:type="dxa"/>
                  </w:tcMar>
                  <w:vAlign w:val="center"/>
                </w:tcPr>
                <w:p>
                  <w:pPr>
                    <w:snapToGrid w:val="0"/>
                    <w:jc w:val="center"/>
                    <w:rPr>
                      <w:rFonts w:ascii="宋体" w:hAnsi="宋体" w:cs="宋体"/>
                      <w:szCs w:val="21"/>
                      <w:u w:val="singl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692" w:hRule="atLeast"/>
                <w:jc w:val="center"/>
              </w:trPr>
              <w:tc>
                <w:tcPr>
                  <w:tcW w:w="400" w:type="dxa"/>
                  <w:vMerge w:val="continue"/>
                  <w:vAlign w:val="center"/>
                </w:tcPr>
                <w:p>
                  <w:pPr>
                    <w:snapToGrid w:val="0"/>
                    <w:jc w:val="center"/>
                    <w:rPr>
                      <w:rFonts w:ascii="宋体" w:hAnsi="宋体" w:cs="宋体"/>
                      <w:szCs w:val="21"/>
                      <w:u w:val="single"/>
                    </w:rPr>
                  </w:pPr>
                </w:p>
              </w:tc>
              <w:tc>
                <w:tcPr>
                  <w:tcW w:w="1639" w:type="dxa"/>
                  <w:vAlign w:val="center"/>
                </w:tcPr>
                <w:p>
                  <w:pPr>
                    <w:jc w:val="center"/>
                    <w:rPr>
                      <w:rFonts w:ascii="宋体" w:hAnsi="宋体" w:cs="宋体"/>
                      <w:szCs w:val="21"/>
                      <w:u w:val="single"/>
                    </w:rPr>
                  </w:pPr>
                  <w:r>
                    <w:rPr>
                      <w:rFonts w:hint="eastAsia" w:ascii="宋体" w:hAnsi="宋体" w:cs="宋体"/>
                      <w:color w:val="000000"/>
                      <w:szCs w:val="21"/>
                      <w:u w:val="single"/>
                    </w:rPr>
                    <w:t>废离子交换树脂</w:t>
                  </w:r>
                </w:p>
              </w:tc>
              <w:tc>
                <w:tcPr>
                  <w:tcW w:w="2827" w:type="dxa"/>
                  <w:tcMar>
                    <w:top w:w="0" w:type="dxa"/>
                    <w:left w:w="68" w:type="dxa"/>
                    <w:bottom w:w="0" w:type="dxa"/>
                    <w:right w:w="68" w:type="dxa"/>
                  </w:tcMar>
                  <w:vAlign w:val="center"/>
                </w:tcPr>
                <w:p>
                  <w:pPr>
                    <w:pStyle w:val="80"/>
                    <w:ind w:firstLine="0" w:firstLineChars="0"/>
                    <w:jc w:val="center"/>
                    <w:rPr>
                      <w:rFonts w:ascii="宋体" w:hAnsi="宋体" w:cs="宋体"/>
                      <w:szCs w:val="21"/>
                      <w:u w:val="single"/>
                    </w:rPr>
                  </w:pPr>
                  <w:r>
                    <w:rPr>
                      <w:rFonts w:hint="eastAsia" w:ascii="宋体" w:hAnsi="宋体" w:cs="宋体"/>
                      <w:color w:val="000000"/>
                      <w:szCs w:val="21"/>
                      <w:u w:val="single"/>
                    </w:rPr>
                    <w:t>依托现有垃圾收集箱，由环卫部门统一收集处理。</w:t>
                  </w:r>
                </w:p>
              </w:tc>
              <w:tc>
                <w:tcPr>
                  <w:tcW w:w="2502" w:type="dxa"/>
                  <w:vMerge w:val="continue"/>
                  <w:tcMar>
                    <w:top w:w="0" w:type="dxa"/>
                    <w:left w:w="68" w:type="dxa"/>
                    <w:bottom w:w="0" w:type="dxa"/>
                    <w:right w:w="68" w:type="dxa"/>
                  </w:tcMar>
                  <w:vAlign w:val="center"/>
                </w:tcPr>
                <w:p>
                  <w:pPr>
                    <w:snapToGrid w:val="0"/>
                    <w:jc w:val="center"/>
                    <w:rPr>
                      <w:rFonts w:ascii="宋体" w:hAnsi="宋体" w:cs="宋体"/>
                      <w:szCs w:val="21"/>
                      <w:u w:val="singl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739" w:hRule="atLeast"/>
                <w:jc w:val="center"/>
              </w:trPr>
              <w:tc>
                <w:tcPr>
                  <w:tcW w:w="400" w:type="dxa"/>
                  <w:vMerge w:val="continue"/>
                  <w:vAlign w:val="center"/>
                </w:tcPr>
                <w:p>
                  <w:pPr>
                    <w:snapToGrid w:val="0"/>
                    <w:jc w:val="center"/>
                    <w:rPr>
                      <w:rFonts w:ascii="宋体" w:hAnsi="宋体" w:cs="宋体"/>
                      <w:szCs w:val="21"/>
                      <w:u w:val="single"/>
                    </w:rPr>
                  </w:pPr>
                </w:p>
              </w:tc>
              <w:tc>
                <w:tcPr>
                  <w:tcW w:w="1639" w:type="dxa"/>
                  <w:vAlign w:val="center"/>
                </w:tcPr>
                <w:p>
                  <w:pPr>
                    <w:jc w:val="center"/>
                    <w:rPr>
                      <w:rFonts w:ascii="宋体" w:hAnsi="宋体" w:cs="宋体"/>
                      <w:szCs w:val="21"/>
                      <w:u w:val="single"/>
                    </w:rPr>
                  </w:pPr>
                  <w:r>
                    <w:rPr>
                      <w:rFonts w:hint="eastAsia" w:ascii="宋体" w:hAnsi="宋体" w:cs="宋体"/>
                      <w:color w:val="000000"/>
                      <w:szCs w:val="21"/>
                      <w:u w:val="single"/>
                    </w:rPr>
                    <w:t>废机油</w:t>
                  </w:r>
                </w:p>
              </w:tc>
              <w:tc>
                <w:tcPr>
                  <w:tcW w:w="2827" w:type="dxa"/>
                  <w:tcMar>
                    <w:top w:w="0" w:type="dxa"/>
                    <w:left w:w="68" w:type="dxa"/>
                    <w:bottom w:w="0" w:type="dxa"/>
                    <w:right w:w="68" w:type="dxa"/>
                  </w:tcMar>
                  <w:vAlign w:val="center"/>
                </w:tcPr>
                <w:p>
                  <w:pPr>
                    <w:pStyle w:val="80"/>
                    <w:ind w:firstLine="0" w:firstLineChars="0"/>
                    <w:jc w:val="center"/>
                    <w:rPr>
                      <w:rFonts w:ascii="宋体" w:hAnsi="宋体" w:cs="宋体"/>
                      <w:szCs w:val="21"/>
                      <w:u w:val="single"/>
                    </w:rPr>
                  </w:pPr>
                  <w:r>
                    <w:rPr>
                      <w:rFonts w:hint="eastAsia" w:ascii="宋体" w:hAnsi="宋体" w:cs="宋体"/>
                      <w:color w:val="000000"/>
                      <w:szCs w:val="21"/>
                      <w:u w:val="single"/>
                    </w:rPr>
                    <w:t>暂存于危废间内，定期委托有资质单位进行处理</w:t>
                  </w:r>
                </w:p>
              </w:tc>
              <w:tc>
                <w:tcPr>
                  <w:tcW w:w="2502" w:type="dxa"/>
                  <w:vMerge w:val="continue"/>
                  <w:tcMar>
                    <w:top w:w="0" w:type="dxa"/>
                    <w:left w:w="68" w:type="dxa"/>
                    <w:bottom w:w="0" w:type="dxa"/>
                    <w:right w:w="68" w:type="dxa"/>
                  </w:tcMar>
                  <w:vAlign w:val="center"/>
                </w:tcPr>
                <w:p>
                  <w:pPr>
                    <w:snapToGrid w:val="0"/>
                    <w:jc w:val="center"/>
                    <w:rPr>
                      <w:rFonts w:ascii="宋体" w:hAnsi="宋体" w:cs="宋体"/>
                      <w:szCs w:val="21"/>
                      <w:u w:val="single"/>
                    </w:rPr>
                  </w:pPr>
                </w:p>
              </w:tc>
            </w:tr>
          </w:tbl>
          <w:p>
            <w:pPr>
              <w:adjustRightInd w:val="0"/>
              <w:snapToGrid w:val="0"/>
              <w:spacing w:line="360" w:lineRule="auto"/>
              <w:ind w:firstLine="420" w:firstLineChars="200"/>
              <w:rPr>
                <w:rFonts w:cs="宋体"/>
                <w:szCs w:val="21"/>
              </w:rPr>
            </w:pPr>
          </w:p>
          <w:p>
            <w:pPr>
              <w:adjustRightInd w:val="0"/>
              <w:snapToGrid w:val="0"/>
              <w:spacing w:line="360" w:lineRule="auto"/>
              <w:ind w:firstLine="420" w:firstLineChars="200"/>
              <w:rPr>
                <w:rFonts w:cs="宋体"/>
                <w:szCs w:val="21"/>
              </w:rPr>
            </w:pPr>
          </w:p>
          <w:p>
            <w:pPr>
              <w:adjustRightInd w:val="0"/>
              <w:snapToGrid w:val="0"/>
              <w:spacing w:line="360" w:lineRule="auto"/>
              <w:ind w:firstLine="420" w:firstLineChars="200"/>
              <w:rPr>
                <w:rFonts w:cs="宋体"/>
                <w:szCs w:val="21"/>
              </w:rPr>
            </w:pPr>
          </w:p>
        </w:tc>
      </w:tr>
    </w:tbl>
    <w:p>
      <w:pPr>
        <w:pStyle w:val="24"/>
        <w:spacing w:before="0" w:beforeAutospacing="0" w:after="0" w:afterAutospacing="0"/>
        <w:jc w:val="center"/>
        <w:outlineLvl w:val="0"/>
        <w:rPr>
          <w:rFonts w:ascii="Times New Roman" w:hAnsi="Times New Roman"/>
          <w:b/>
          <w:bCs/>
          <w:snapToGrid w:val="0"/>
          <w:sz w:val="28"/>
          <w:szCs w:val="28"/>
        </w:rPr>
      </w:pPr>
      <w:r>
        <w:rPr>
          <w:rFonts w:ascii="Times New Roman" w:hAnsi="Times New Roman"/>
          <w:snapToGrid w:val="0"/>
        </w:rPr>
        <w:br w:type="page"/>
      </w:r>
      <w:r>
        <w:rPr>
          <w:rFonts w:hint="eastAsia" w:ascii="Times New Roman" w:hAnsi="Times New Roman"/>
          <w:b/>
          <w:bCs/>
          <w:snapToGrid w:val="0"/>
          <w:sz w:val="28"/>
          <w:szCs w:val="28"/>
        </w:rPr>
        <w:t>六、结论</w:t>
      </w:r>
    </w:p>
    <w:tbl>
      <w:tblPr>
        <w:tblStyle w:val="27"/>
        <w:tblW w:w="886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8865" w:type="dxa"/>
            <w:vAlign w:val="top"/>
          </w:tcPr>
          <w:p>
            <w:pPr>
              <w:spacing w:line="360" w:lineRule="auto"/>
              <w:ind w:firstLine="480" w:firstLineChars="200"/>
              <w:rPr>
                <w:sz w:val="24"/>
              </w:rPr>
            </w:pPr>
            <w:r>
              <w:rPr>
                <w:sz w:val="24"/>
              </w:rPr>
              <w:t>综上所述，</w:t>
            </w:r>
            <w:r>
              <w:rPr>
                <w:rFonts w:hint="eastAsia"/>
                <w:sz w:val="24"/>
              </w:rPr>
              <w:t>本项目符合国家现阶段产业政策，符合“三线一单”管控要求，符合现行的相关法律法规及规划的要求。项目建成后污染物排放量较小，污染较轻，满足总量控制要求，在严格执行本报告提出的污染防治措施原则下，从环境保护角度看，本项目选址合理、项目可行。</w:t>
            </w:r>
          </w:p>
          <w:p>
            <w:pPr>
              <w:pStyle w:val="26"/>
              <w:ind w:firstLine="180"/>
            </w:pPr>
          </w:p>
        </w:tc>
      </w:tr>
    </w:tbl>
    <w:p>
      <w:pPr>
        <w:sectPr>
          <w:pgSz w:w="11906" w:h="16838"/>
          <w:pgMar w:top="1701" w:right="1531" w:bottom="1701" w:left="1531" w:header="851" w:footer="851" w:gutter="0"/>
          <w:cols w:space="720" w:num="1"/>
          <w:docGrid w:linePitch="312" w:charSpace="0"/>
        </w:sectPr>
      </w:pPr>
    </w:p>
    <w:p>
      <w:pPr>
        <w:pStyle w:val="24"/>
        <w:adjustRightInd w:val="0"/>
        <w:snapToGrid w:val="0"/>
        <w:spacing w:before="0" w:beforeAutospacing="0" w:after="0" w:afterAutospacing="0" w:line="360" w:lineRule="auto"/>
        <w:outlineLvl w:val="0"/>
        <w:rPr>
          <w:rFonts w:ascii="Times New Roman" w:hAnsi="Times New Roman"/>
          <w:snapToGrid w:val="0"/>
          <w:sz w:val="32"/>
          <w:szCs w:val="32"/>
        </w:rPr>
      </w:pPr>
      <w:r>
        <w:rPr>
          <w:rFonts w:hint="eastAsia" w:ascii="Times New Roman" w:hAnsi="Times New Roman"/>
          <w:snapToGrid w:val="0"/>
          <w:sz w:val="32"/>
          <w:szCs w:val="32"/>
        </w:rPr>
        <w:t>附表</w:t>
      </w:r>
    </w:p>
    <w:p>
      <w:pPr>
        <w:pStyle w:val="24"/>
        <w:adjustRightInd w:val="0"/>
        <w:snapToGrid w:val="0"/>
        <w:spacing w:before="0" w:beforeAutospacing="0" w:after="0" w:afterAutospacing="0"/>
        <w:jc w:val="center"/>
        <w:outlineLvl w:val="0"/>
        <w:rPr>
          <w:rFonts w:ascii="Times New Roman" w:hAnsi="Times New Roman"/>
          <w:b/>
          <w:bCs/>
          <w:snapToGrid w:val="0"/>
          <w:sz w:val="28"/>
          <w:szCs w:val="28"/>
        </w:rPr>
      </w:pPr>
      <w:r>
        <w:rPr>
          <w:rFonts w:hint="eastAsia" w:ascii="Times New Roman" w:hAnsi="Times New Roman"/>
          <w:b/>
          <w:bCs/>
          <w:snapToGrid w:val="0"/>
          <w:sz w:val="28"/>
          <w:szCs w:val="28"/>
        </w:rPr>
        <w:t>建设项目污染物排放量汇总表</w:t>
      </w:r>
    </w:p>
    <w:tbl>
      <w:tblPr>
        <w:tblStyle w:val="27"/>
        <w:tblW w:w="13788"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88"/>
        <w:gridCol w:w="1417"/>
        <w:gridCol w:w="1701"/>
        <w:gridCol w:w="1276"/>
        <w:gridCol w:w="1701"/>
        <w:gridCol w:w="1559"/>
        <w:gridCol w:w="1761"/>
        <w:gridCol w:w="1573"/>
        <w:gridCol w:w="121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88" w:type="dxa"/>
            <w:tcBorders>
              <w:tl2br w:val="single" w:color="auto" w:sz="4" w:space="0"/>
            </w:tcBorders>
            <w:tcMar>
              <w:left w:w="28" w:type="dxa"/>
              <w:right w:w="28" w:type="dxa"/>
            </w:tcMar>
            <w:vAlign w:val="center"/>
          </w:tcPr>
          <w:p>
            <w:pPr>
              <w:pStyle w:val="37"/>
              <w:spacing w:beforeLines="0" w:line="240" w:lineRule="auto"/>
              <w:ind w:firstLine="0" w:firstLineChars="0"/>
              <w:jc w:val="right"/>
              <w:rPr>
                <w:rFonts w:ascii="Times New Roman" w:cs="宋体"/>
                <w:snapToGrid w:val="0"/>
                <w:spacing w:val="-6"/>
                <w:kern w:val="21"/>
                <w:sz w:val="21"/>
                <w:szCs w:val="21"/>
              </w:rPr>
            </w:pPr>
            <w:r>
              <w:rPr>
                <w:rFonts w:hint="eastAsia" w:ascii="Times New Roman" w:cs="宋体"/>
                <w:snapToGrid w:val="0"/>
                <w:spacing w:val="-6"/>
                <w:kern w:val="21"/>
                <w:sz w:val="21"/>
                <w:szCs w:val="21"/>
              </w:rPr>
              <w:t>项目</w:t>
            </w:r>
          </w:p>
          <w:p>
            <w:pPr>
              <w:pStyle w:val="37"/>
              <w:spacing w:beforeLines="0" w:line="240" w:lineRule="auto"/>
              <w:ind w:firstLine="0" w:firstLineChars="0"/>
              <w:jc w:val="left"/>
              <w:rPr>
                <w:rFonts w:ascii="Times New Roman" w:cs="宋体"/>
                <w:snapToGrid w:val="0"/>
                <w:spacing w:val="-6"/>
                <w:kern w:val="21"/>
                <w:sz w:val="21"/>
                <w:szCs w:val="21"/>
              </w:rPr>
            </w:pPr>
            <w:r>
              <w:rPr>
                <w:rFonts w:hint="eastAsia" w:ascii="Times New Roman" w:cs="宋体"/>
                <w:snapToGrid w:val="0"/>
                <w:spacing w:val="-6"/>
                <w:kern w:val="21"/>
                <w:sz w:val="21"/>
                <w:szCs w:val="21"/>
              </w:rPr>
              <w:t>分类</w:t>
            </w:r>
          </w:p>
        </w:tc>
        <w:tc>
          <w:tcPr>
            <w:tcW w:w="1417" w:type="dxa"/>
            <w:tcMar>
              <w:left w:w="28" w:type="dxa"/>
              <w:right w:w="28" w:type="dxa"/>
            </w:tcMar>
            <w:vAlign w:val="center"/>
          </w:tcPr>
          <w:p>
            <w:pPr>
              <w:pStyle w:val="37"/>
              <w:spacing w:beforeLines="0" w:line="240" w:lineRule="auto"/>
              <w:ind w:firstLine="0" w:firstLineChars="0"/>
              <w:rPr>
                <w:rFonts w:ascii="Times New Roman" w:cs="宋体"/>
                <w:snapToGrid w:val="0"/>
                <w:spacing w:val="-6"/>
                <w:kern w:val="21"/>
                <w:sz w:val="21"/>
                <w:szCs w:val="21"/>
              </w:rPr>
            </w:pPr>
            <w:r>
              <w:rPr>
                <w:rFonts w:hint="eastAsia" w:ascii="Times New Roman" w:cs="宋体"/>
                <w:snapToGrid w:val="0"/>
                <w:spacing w:val="-6"/>
                <w:kern w:val="21"/>
                <w:sz w:val="21"/>
                <w:szCs w:val="21"/>
              </w:rPr>
              <w:t>污染物名称</w:t>
            </w:r>
          </w:p>
        </w:tc>
        <w:tc>
          <w:tcPr>
            <w:tcW w:w="1701" w:type="dxa"/>
            <w:tcMar>
              <w:left w:w="28" w:type="dxa"/>
              <w:right w:w="28" w:type="dxa"/>
            </w:tcMar>
            <w:vAlign w:val="center"/>
          </w:tcPr>
          <w:p>
            <w:pPr>
              <w:pStyle w:val="37"/>
              <w:spacing w:beforeLines="0" w:line="240" w:lineRule="auto"/>
              <w:ind w:firstLine="0" w:firstLineChars="0"/>
              <w:rPr>
                <w:rFonts w:ascii="Times New Roman"/>
                <w:snapToGrid w:val="0"/>
                <w:spacing w:val="-6"/>
                <w:kern w:val="21"/>
                <w:sz w:val="21"/>
                <w:szCs w:val="21"/>
              </w:rPr>
            </w:pPr>
            <w:r>
              <w:rPr>
                <w:rFonts w:ascii="Times New Roman"/>
                <w:snapToGrid w:val="0"/>
                <w:spacing w:val="-6"/>
                <w:kern w:val="21"/>
                <w:sz w:val="21"/>
                <w:szCs w:val="21"/>
              </w:rPr>
              <w:t>现有工程</w:t>
            </w:r>
          </w:p>
          <w:p>
            <w:pPr>
              <w:pStyle w:val="37"/>
              <w:spacing w:beforeLines="0" w:line="240" w:lineRule="auto"/>
              <w:ind w:firstLine="0" w:firstLineChars="0"/>
              <w:rPr>
                <w:rFonts w:ascii="Times New Roman"/>
                <w:snapToGrid w:val="0"/>
                <w:spacing w:val="-6"/>
                <w:kern w:val="21"/>
                <w:sz w:val="21"/>
                <w:szCs w:val="21"/>
              </w:rPr>
            </w:pPr>
            <w:r>
              <w:rPr>
                <w:rFonts w:ascii="Times New Roman"/>
                <w:snapToGrid w:val="0"/>
                <w:spacing w:val="-6"/>
                <w:kern w:val="21"/>
                <w:sz w:val="21"/>
                <w:szCs w:val="21"/>
              </w:rPr>
              <w:t>排放量（固</w:t>
            </w:r>
            <w:r>
              <w:rPr>
                <w:rFonts w:hint="eastAsia" w:ascii="Times New Roman"/>
                <w:snapToGrid w:val="0"/>
                <w:spacing w:val="-6"/>
                <w:kern w:val="21"/>
                <w:sz w:val="21"/>
                <w:szCs w:val="21"/>
              </w:rPr>
              <w:t>体</w:t>
            </w:r>
            <w:r>
              <w:rPr>
                <w:rFonts w:ascii="Times New Roman"/>
                <w:snapToGrid w:val="0"/>
                <w:spacing w:val="-6"/>
                <w:kern w:val="21"/>
                <w:sz w:val="21"/>
                <w:szCs w:val="21"/>
              </w:rPr>
              <w:t>废</w:t>
            </w:r>
            <w:r>
              <w:rPr>
                <w:rFonts w:hint="eastAsia" w:ascii="Times New Roman"/>
                <w:snapToGrid w:val="0"/>
                <w:spacing w:val="-6"/>
                <w:kern w:val="21"/>
                <w:sz w:val="21"/>
                <w:szCs w:val="21"/>
              </w:rPr>
              <w:t>物</w:t>
            </w:r>
            <w:r>
              <w:rPr>
                <w:rFonts w:ascii="Times New Roman"/>
                <w:snapToGrid w:val="0"/>
                <w:spacing w:val="-6"/>
                <w:kern w:val="21"/>
                <w:sz w:val="21"/>
                <w:szCs w:val="21"/>
              </w:rPr>
              <w:t>产生量）</w:t>
            </w:r>
            <w:r>
              <w:rPr>
                <w:rFonts w:ascii="Times New Roman"/>
                <w:snapToGrid w:val="0"/>
                <w:spacing w:val="-6"/>
                <w:kern w:val="21"/>
                <w:sz w:val="21"/>
                <w:szCs w:val="21"/>
              </w:rPr>
              <w:fldChar w:fldCharType="begin"/>
            </w:r>
            <w:r>
              <w:rPr>
                <w:rFonts w:ascii="Times New Roman"/>
                <w:snapToGrid w:val="0"/>
                <w:spacing w:val="-6"/>
                <w:kern w:val="21"/>
                <w:sz w:val="21"/>
                <w:szCs w:val="21"/>
              </w:rPr>
              <w:instrText xml:space="preserve"> = 1 \* GB3 \* MERGEFORMAT </w:instrText>
            </w:r>
            <w:r>
              <w:rPr>
                <w:rFonts w:ascii="Times New Roman"/>
                <w:snapToGrid w:val="0"/>
                <w:spacing w:val="-6"/>
                <w:kern w:val="21"/>
                <w:sz w:val="21"/>
                <w:szCs w:val="21"/>
              </w:rPr>
              <w:fldChar w:fldCharType="separate"/>
            </w:r>
            <w:r>
              <w:rPr>
                <w:rFonts w:hint="eastAsia" w:ascii="Times New Roman" w:cs="宋体"/>
                <w:kern w:val="2"/>
                <w:sz w:val="21"/>
                <w:szCs w:val="21"/>
              </w:rPr>
              <w:t>①</w:t>
            </w:r>
            <w:r>
              <w:rPr>
                <w:rFonts w:ascii="Times New Roman"/>
                <w:snapToGrid w:val="0"/>
                <w:spacing w:val="-6"/>
                <w:kern w:val="21"/>
                <w:sz w:val="21"/>
                <w:szCs w:val="21"/>
              </w:rPr>
              <w:fldChar w:fldCharType="end"/>
            </w:r>
          </w:p>
        </w:tc>
        <w:tc>
          <w:tcPr>
            <w:tcW w:w="1276" w:type="dxa"/>
            <w:tcMar>
              <w:left w:w="28" w:type="dxa"/>
              <w:right w:w="28" w:type="dxa"/>
            </w:tcMar>
            <w:vAlign w:val="center"/>
          </w:tcPr>
          <w:p>
            <w:pPr>
              <w:pStyle w:val="37"/>
              <w:spacing w:beforeLines="0" w:line="240" w:lineRule="auto"/>
              <w:ind w:firstLine="0" w:firstLineChars="0"/>
              <w:rPr>
                <w:rFonts w:ascii="Times New Roman"/>
                <w:snapToGrid w:val="0"/>
                <w:spacing w:val="-6"/>
                <w:kern w:val="21"/>
                <w:sz w:val="21"/>
                <w:szCs w:val="21"/>
              </w:rPr>
            </w:pPr>
            <w:r>
              <w:rPr>
                <w:rFonts w:ascii="Times New Roman"/>
                <w:snapToGrid w:val="0"/>
                <w:spacing w:val="-6"/>
                <w:kern w:val="21"/>
                <w:sz w:val="21"/>
                <w:szCs w:val="21"/>
              </w:rPr>
              <w:t>现有工程</w:t>
            </w:r>
          </w:p>
          <w:p>
            <w:pPr>
              <w:pStyle w:val="37"/>
              <w:spacing w:beforeLines="0" w:line="240" w:lineRule="auto"/>
              <w:ind w:firstLine="0" w:firstLineChars="0"/>
              <w:rPr>
                <w:rFonts w:ascii="Times New Roman"/>
                <w:snapToGrid w:val="0"/>
                <w:spacing w:val="-6"/>
                <w:kern w:val="21"/>
                <w:sz w:val="21"/>
                <w:szCs w:val="21"/>
              </w:rPr>
            </w:pPr>
            <w:r>
              <w:rPr>
                <w:rFonts w:ascii="Times New Roman"/>
                <w:snapToGrid w:val="0"/>
                <w:spacing w:val="-6"/>
                <w:kern w:val="21"/>
                <w:sz w:val="21"/>
                <w:szCs w:val="21"/>
              </w:rPr>
              <w:t>许可排放量</w:t>
            </w:r>
          </w:p>
          <w:p>
            <w:pPr>
              <w:pStyle w:val="37"/>
              <w:spacing w:beforeLines="0" w:line="240" w:lineRule="auto"/>
              <w:ind w:firstLine="0" w:firstLineChars="0"/>
              <w:rPr>
                <w:rFonts w:ascii="Times New Roman"/>
                <w:snapToGrid w:val="0"/>
                <w:spacing w:val="-6"/>
                <w:kern w:val="21"/>
                <w:sz w:val="21"/>
                <w:szCs w:val="21"/>
              </w:rPr>
            </w:pPr>
            <w:r>
              <w:rPr>
                <w:rFonts w:ascii="Times New Roman"/>
                <w:snapToGrid w:val="0"/>
                <w:spacing w:val="-6"/>
                <w:kern w:val="21"/>
                <w:sz w:val="21"/>
                <w:szCs w:val="21"/>
              </w:rPr>
              <w:fldChar w:fldCharType="begin"/>
            </w:r>
            <w:r>
              <w:rPr>
                <w:rFonts w:ascii="Times New Roman"/>
                <w:snapToGrid w:val="0"/>
                <w:spacing w:val="-6"/>
                <w:kern w:val="21"/>
                <w:sz w:val="21"/>
                <w:szCs w:val="21"/>
              </w:rPr>
              <w:instrText xml:space="preserve"> = 2 \* GB3 \* MERGEFORMAT </w:instrText>
            </w:r>
            <w:r>
              <w:rPr>
                <w:rFonts w:ascii="Times New Roman"/>
                <w:snapToGrid w:val="0"/>
                <w:spacing w:val="-6"/>
                <w:kern w:val="21"/>
                <w:sz w:val="21"/>
                <w:szCs w:val="21"/>
              </w:rPr>
              <w:fldChar w:fldCharType="separate"/>
            </w:r>
            <w:r>
              <w:rPr>
                <w:rFonts w:hint="eastAsia" w:ascii="Times New Roman" w:cs="宋体"/>
                <w:snapToGrid w:val="0"/>
                <w:spacing w:val="-6"/>
                <w:kern w:val="21"/>
                <w:sz w:val="21"/>
                <w:szCs w:val="21"/>
              </w:rPr>
              <w:t>②</w:t>
            </w:r>
            <w:r>
              <w:rPr>
                <w:rFonts w:ascii="Times New Roman"/>
                <w:snapToGrid w:val="0"/>
                <w:spacing w:val="-6"/>
                <w:kern w:val="21"/>
                <w:sz w:val="21"/>
                <w:szCs w:val="21"/>
              </w:rPr>
              <w:fldChar w:fldCharType="end"/>
            </w:r>
          </w:p>
        </w:tc>
        <w:tc>
          <w:tcPr>
            <w:tcW w:w="1701" w:type="dxa"/>
            <w:tcMar>
              <w:left w:w="28" w:type="dxa"/>
              <w:right w:w="28" w:type="dxa"/>
            </w:tcMar>
            <w:vAlign w:val="center"/>
          </w:tcPr>
          <w:p>
            <w:pPr>
              <w:pStyle w:val="37"/>
              <w:spacing w:beforeLines="0" w:line="240" w:lineRule="auto"/>
              <w:ind w:firstLine="0" w:firstLineChars="0"/>
              <w:rPr>
                <w:rFonts w:ascii="Times New Roman"/>
                <w:snapToGrid w:val="0"/>
                <w:spacing w:val="-6"/>
                <w:kern w:val="21"/>
                <w:sz w:val="21"/>
                <w:szCs w:val="21"/>
              </w:rPr>
            </w:pPr>
            <w:r>
              <w:rPr>
                <w:rFonts w:ascii="Times New Roman"/>
                <w:snapToGrid w:val="0"/>
                <w:spacing w:val="-6"/>
                <w:kern w:val="21"/>
                <w:sz w:val="21"/>
                <w:szCs w:val="21"/>
              </w:rPr>
              <w:t>在建工程</w:t>
            </w:r>
          </w:p>
          <w:p>
            <w:pPr>
              <w:pStyle w:val="37"/>
              <w:spacing w:beforeLines="0" w:line="240" w:lineRule="auto"/>
              <w:ind w:firstLine="0" w:firstLineChars="0"/>
              <w:rPr>
                <w:rFonts w:ascii="Times New Roman"/>
                <w:snapToGrid w:val="0"/>
                <w:spacing w:val="-6"/>
                <w:kern w:val="21"/>
                <w:sz w:val="21"/>
                <w:szCs w:val="21"/>
              </w:rPr>
            </w:pPr>
            <w:r>
              <w:rPr>
                <w:rFonts w:ascii="Times New Roman"/>
                <w:snapToGrid w:val="0"/>
                <w:spacing w:val="-6"/>
                <w:kern w:val="21"/>
                <w:sz w:val="21"/>
                <w:szCs w:val="21"/>
              </w:rPr>
              <w:t>排放量（固</w:t>
            </w:r>
            <w:r>
              <w:rPr>
                <w:rFonts w:hint="eastAsia" w:ascii="Times New Roman"/>
                <w:snapToGrid w:val="0"/>
                <w:spacing w:val="-6"/>
                <w:kern w:val="21"/>
                <w:sz w:val="21"/>
                <w:szCs w:val="21"/>
              </w:rPr>
              <w:t>体</w:t>
            </w:r>
            <w:r>
              <w:rPr>
                <w:rFonts w:ascii="Times New Roman"/>
                <w:snapToGrid w:val="0"/>
                <w:spacing w:val="-6"/>
                <w:kern w:val="21"/>
                <w:sz w:val="21"/>
                <w:szCs w:val="21"/>
              </w:rPr>
              <w:t>废</w:t>
            </w:r>
            <w:r>
              <w:rPr>
                <w:rFonts w:hint="eastAsia" w:ascii="Times New Roman"/>
                <w:snapToGrid w:val="0"/>
                <w:spacing w:val="-6"/>
                <w:kern w:val="21"/>
                <w:sz w:val="21"/>
                <w:szCs w:val="21"/>
              </w:rPr>
              <w:t>物</w:t>
            </w:r>
            <w:r>
              <w:rPr>
                <w:rFonts w:ascii="Times New Roman"/>
                <w:snapToGrid w:val="0"/>
                <w:spacing w:val="-6"/>
                <w:kern w:val="21"/>
                <w:sz w:val="21"/>
                <w:szCs w:val="21"/>
              </w:rPr>
              <w:t>产生量）</w:t>
            </w:r>
            <w:r>
              <w:rPr>
                <w:rFonts w:ascii="Times New Roman"/>
                <w:snapToGrid w:val="0"/>
                <w:spacing w:val="-6"/>
                <w:kern w:val="21"/>
                <w:sz w:val="21"/>
                <w:szCs w:val="21"/>
              </w:rPr>
              <w:fldChar w:fldCharType="begin"/>
            </w:r>
            <w:r>
              <w:rPr>
                <w:rFonts w:ascii="Times New Roman"/>
                <w:snapToGrid w:val="0"/>
                <w:spacing w:val="-6"/>
                <w:kern w:val="21"/>
                <w:sz w:val="21"/>
                <w:szCs w:val="21"/>
              </w:rPr>
              <w:instrText xml:space="preserve"> = 3 \* GB3 \* MERGEFORMAT </w:instrText>
            </w:r>
            <w:r>
              <w:rPr>
                <w:rFonts w:ascii="Times New Roman"/>
                <w:snapToGrid w:val="0"/>
                <w:spacing w:val="-6"/>
                <w:kern w:val="21"/>
                <w:sz w:val="21"/>
                <w:szCs w:val="21"/>
              </w:rPr>
              <w:fldChar w:fldCharType="separate"/>
            </w:r>
            <w:r>
              <w:rPr>
                <w:rFonts w:hint="eastAsia" w:ascii="Times New Roman" w:cs="宋体"/>
                <w:kern w:val="2"/>
                <w:sz w:val="21"/>
                <w:szCs w:val="21"/>
              </w:rPr>
              <w:t>③</w:t>
            </w:r>
            <w:r>
              <w:rPr>
                <w:rFonts w:ascii="Times New Roman"/>
                <w:snapToGrid w:val="0"/>
                <w:spacing w:val="-6"/>
                <w:kern w:val="21"/>
                <w:sz w:val="21"/>
                <w:szCs w:val="21"/>
              </w:rPr>
              <w:fldChar w:fldCharType="end"/>
            </w:r>
          </w:p>
        </w:tc>
        <w:tc>
          <w:tcPr>
            <w:tcW w:w="1559" w:type="dxa"/>
            <w:tcMar>
              <w:left w:w="28" w:type="dxa"/>
              <w:right w:w="28" w:type="dxa"/>
            </w:tcMar>
            <w:vAlign w:val="center"/>
          </w:tcPr>
          <w:p>
            <w:pPr>
              <w:pStyle w:val="37"/>
              <w:spacing w:beforeLines="0" w:line="240" w:lineRule="auto"/>
              <w:ind w:firstLine="0" w:firstLineChars="0"/>
              <w:rPr>
                <w:rFonts w:ascii="Times New Roman"/>
                <w:snapToGrid w:val="0"/>
                <w:spacing w:val="-6"/>
                <w:kern w:val="21"/>
                <w:sz w:val="21"/>
                <w:szCs w:val="21"/>
              </w:rPr>
            </w:pPr>
            <w:r>
              <w:rPr>
                <w:rFonts w:ascii="Times New Roman"/>
                <w:snapToGrid w:val="0"/>
                <w:spacing w:val="-6"/>
                <w:kern w:val="21"/>
                <w:sz w:val="21"/>
                <w:szCs w:val="21"/>
              </w:rPr>
              <w:t>本项目</w:t>
            </w:r>
          </w:p>
          <w:p>
            <w:pPr>
              <w:pStyle w:val="37"/>
              <w:spacing w:beforeLines="0" w:line="240" w:lineRule="auto"/>
              <w:ind w:firstLine="0" w:firstLineChars="0"/>
              <w:rPr>
                <w:rFonts w:ascii="Times New Roman"/>
                <w:snapToGrid w:val="0"/>
                <w:spacing w:val="-6"/>
                <w:kern w:val="21"/>
                <w:sz w:val="21"/>
                <w:szCs w:val="21"/>
              </w:rPr>
            </w:pPr>
            <w:r>
              <w:rPr>
                <w:rFonts w:ascii="Times New Roman"/>
                <w:snapToGrid w:val="0"/>
                <w:spacing w:val="-6"/>
                <w:kern w:val="21"/>
                <w:sz w:val="21"/>
                <w:szCs w:val="21"/>
              </w:rPr>
              <w:t>排放量（固</w:t>
            </w:r>
            <w:r>
              <w:rPr>
                <w:rFonts w:hint="eastAsia" w:ascii="Times New Roman"/>
                <w:snapToGrid w:val="0"/>
                <w:spacing w:val="-6"/>
                <w:kern w:val="21"/>
                <w:sz w:val="21"/>
                <w:szCs w:val="21"/>
              </w:rPr>
              <w:t>体</w:t>
            </w:r>
            <w:r>
              <w:rPr>
                <w:rFonts w:ascii="Times New Roman"/>
                <w:snapToGrid w:val="0"/>
                <w:spacing w:val="-6"/>
                <w:kern w:val="21"/>
                <w:sz w:val="21"/>
                <w:szCs w:val="21"/>
              </w:rPr>
              <w:t>废</w:t>
            </w:r>
            <w:r>
              <w:rPr>
                <w:rFonts w:hint="eastAsia" w:ascii="Times New Roman"/>
                <w:snapToGrid w:val="0"/>
                <w:spacing w:val="-6"/>
                <w:kern w:val="21"/>
                <w:sz w:val="21"/>
                <w:szCs w:val="21"/>
              </w:rPr>
              <w:t>物</w:t>
            </w:r>
            <w:r>
              <w:rPr>
                <w:rFonts w:ascii="Times New Roman"/>
                <w:snapToGrid w:val="0"/>
                <w:spacing w:val="-6"/>
                <w:kern w:val="21"/>
                <w:sz w:val="21"/>
                <w:szCs w:val="21"/>
              </w:rPr>
              <w:t>产生量）</w:t>
            </w:r>
            <w:r>
              <w:rPr>
                <w:rFonts w:ascii="Times New Roman"/>
                <w:snapToGrid w:val="0"/>
                <w:spacing w:val="-6"/>
                <w:kern w:val="21"/>
                <w:sz w:val="21"/>
                <w:szCs w:val="21"/>
              </w:rPr>
              <w:fldChar w:fldCharType="begin"/>
            </w:r>
            <w:r>
              <w:rPr>
                <w:rFonts w:ascii="Times New Roman"/>
                <w:snapToGrid w:val="0"/>
                <w:spacing w:val="-6"/>
                <w:kern w:val="21"/>
                <w:sz w:val="21"/>
                <w:szCs w:val="21"/>
              </w:rPr>
              <w:instrText xml:space="preserve"> = 4 \* GB3 \* MERGEFORMAT </w:instrText>
            </w:r>
            <w:r>
              <w:rPr>
                <w:rFonts w:ascii="Times New Roman"/>
                <w:snapToGrid w:val="0"/>
                <w:spacing w:val="-6"/>
                <w:kern w:val="21"/>
                <w:sz w:val="21"/>
                <w:szCs w:val="21"/>
              </w:rPr>
              <w:fldChar w:fldCharType="separate"/>
            </w:r>
            <w:r>
              <w:rPr>
                <w:rFonts w:hint="eastAsia" w:ascii="Times New Roman" w:cs="宋体"/>
                <w:kern w:val="2"/>
                <w:sz w:val="21"/>
                <w:szCs w:val="21"/>
              </w:rPr>
              <w:t>④</w:t>
            </w:r>
            <w:r>
              <w:rPr>
                <w:rFonts w:ascii="Times New Roman"/>
                <w:snapToGrid w:val="0"/>
                <w:spacing w:val="-6"/>
                <w:kern w:val="21"/>
                <w:sz w:val="21"/>
                <w:szCs w:val="21"/>
              </w:rPr>
              <w:fldChar w:fldCharType="end"/>
            </w:r>
          </w:p>
        </w:tc>
        <w:tc>
          <w:tcPr>
            <w:tcW w:w="1761" w:type="dxa"/>
            <w:tcMar>
              <w:left w:w="28" w:type="dxa"/>
              <w:right w:w="28" w:type="dxa"/>
            </w:tcMar>
            <w:vAlign w:val="center"/>
          </w:tcPr>
          <w:p>
            <w:pPr>
              <w:pStyle w:val="37"/>
              <w:spacing w:beforeLines="0" w:line="240" w:lineRule="auto"/>
              <w:ind w:firstLine="0" w:firstLineChars="0"/>
              <w:rPr>
                <w:rFonts w:ascii="Times New Roman"/>
                <w:snapToGrid w:val="0"/>
                <w:spacing w:val="-16"/>
                <w:kern w:val="21"/>
                <w:sz w:val="21"/>
                <w:szCs w:val="21"/>
              </w:rPr>
            </w:pPr>
            <w:r>
              <w:rPr>
                <w:rFonts w:ascii="Times New Roman"/>
                <w:snapToGrid w:val="0"/>
                <w:spacing w:val="-16"/>
                <w:kern w:val="21"/>
                <w:sz w:val="21"/>
                <w:szCs w:val="21"/>
              </w:rPr>
              <w:t>以新带老削减量</w:t>
            </w:r>
          </w:p>
          <w:p>
            <w:pPr>
              <w:pStyle w:val="37"/>
              <w:spacing w:beforeLines="0" w:line="240" w:lineRule="auto"/>
              <w:ind w:firstLine="0" w:firstLineChars="0"/>
              <w:rPr>
                <w:rFonts w:ascii="Times New Roman"/>
                <w:snapToGrid w:val="0"/>
                <w:spacing w:val="-16"/>
                <w:kern w:val="21"/>
                <w:sz w:val="21"/>
                <w:szCs w:val="21"/>
              </w:rPr>
            </w:pPr>
            <w:r>
              <w:rPr>
                <w:rFonts w:ascii="Times New Roman"/>
                <w:snapToGrid w:val="0"/>
                <w:spacing w:val="-16"/>
                <w:kern w:val="21"/>
                <w:sz w:val="21"/>
                <w:szCs w:val="21"/>
              </w:rPr>
              <w:t>（新建项目不填）</w:t>
            </w:r>
            <w:r>
              <w:rPr>
                <w:rFonts w:ascii="Times New Roman"/>
                <w:snapToGrid w:val="0"/>
                <w:spacing w:val="-16"/>
                <w:kern w:val="21"/>
                <w:sz w:val="21"/>
                <w:szCs w:val="21"/>
              </w:rPr>
              <w:fldChar w:fldCharType="begin"/>
            </w:r>
            <w:r>
              <w:rPr>
                <w:rFonts w:ascii="Times New Roman"/>
                <w:snapToGrid w:val="0"/>
                <w:spacing w:val="-16"/>
                <w:kern w:val="21"/>
                <w:sz w:val="21"/>
                <w:szCs w:val="21"/>
              </w:rPr>
              <w:instrText xml:space="preserve"> = 5 \* GB3 \* MERGEFORMAT </w:instrText>
            </w:r>
            <w:r>
              <w:rPr>
                <w:rFonts w:ascii="Times New Roman"/>
                <w:snapToGrid w:val="0"/>
                <w:spacing w:val="-16"/>
                <w:kern w:val="21"/>
                <w:sz w:val="21"/>
                <w:szCs w:val="21"/>
              </w:rPr>
              <w:fldChar w:fldCharType="separate"/>
            </w:r>
            <w:r>
              <w:rPr>
                <w:rFonts w:hint="eastAsia" w:ascii="Times New Roman" w:cs="宋体"/>
                <w:kern w:val="2"/>
                <w:sz w:val="21"/>
                <w:szCs w:val="21"/>
              </w:rPr>
              <w:t>⑤</w:t>
            </w:r>
            <w:r>
              <w:rPr>
                <w:rFonts w:ascii="Times New Roman"/>
                <w:snapToGrid w:val="0"/>
                <w:spacing w:val="-16"/>
                <w:kern w:val="21"/>
                <w:sz w:val="21"/>
                <w:szCs w:val="21"/>
              </w:rPr>
              <w:fldChar w:fldCharType="end"/>
            </w:r>
          </w:p>
        </w:tc>
        <w:tc>
          <w:tcPr>
            <w:tcW w:w="1573" w:type="dxa"/>
            <w:tcMar>
              <w:left w:w="28" w:type="dxa"/>
              <w:right w:w="28" w:type="dxa"/>
            </w:tcMar>
            <w:vAlign w:val="center"/>
          </w:tcPr>
          <w:p>
            <w:pPr>
              <w:pStyle w:val="37"/>
              <w:spacing w:beforeLines="0" w:line="240" w:lineRule="auto"/>
              <w:ind w:firstLine="0" w:firstLineChars="0"/>
              <w:rPr>
                <w:rFonts w:ascii="Times New Roman"/>
                <w:snapToGrid w:val="0"/>
                <w:spacing w:val="-16"/>
                <w:kern w:val="21"/>
                <w:sz w:val="21"/>
                <w:szCs w:val="21"/>
              </w:rPr>
            </w:pPr>
            <w:r>
              <w:rPr>
                <w:rFonts w:ascii="Times New Roman"/>
                <w:snapToGrid w:val="0"/>
                <w:spacing w:val="-16"/>
                <w:kern w:val="21"/>
                <w:sz w:val="21"/>
                <w:szCs w:val="21"/>
              </w:rPr>
              <w:t>本项目建成后</w:t>
            </w:r>
          </w:p>
          <w:p>
            <w:pPr>
              <w:pStyle w:val="37"/>
              <w:spacing w:beforeLines="0" w:line="240" w:lineRule="auto"/>
              <w:ind w:firstLine="0" w:firstLineChars="0"/>
              <w:rPr>
                <w:rFonts w:ascii="Times New Roman"/>
                <w:snapToGrid w:val="0"/>
                <w:spacing w:val="-16"/>
                <w:kern w:val="21"/>
                <w:sz w:val="21"/>
                <w:szCs w:val="21"/>
              </w:rPr>
            </w:pPr>
            <w:r>
              <w:rPr>
                <w:rFonts w:hint="eastAsia" w:ascii="Times New Roman"/>
                <w:snapToGrid w:val="0"/>
                <w:spacing w:val="-16"/>
                <w:kern w:val="21"/>
                <w:sz w:val="21"/>
                <w:szCs w:val="21"/>
              </w:rPr>
              <w:t>全厂</w:t>
            </w:r>
            <w:r>
              <w:rPr>
                <w:rFonts w:ascii="Times New Roman"/>
                <w:snapToGrid w:val="0"/>
                <w:spacing w:val="-16"/>
                <w:kern w:val="21"/>
                <w:sz w:val="21"/>
                <w:szCs w:val="21"/>
              </w:rPr>
              <w:t>排放量（固</w:t>
            </w:r>
            <w:r>
              <w:rPr>
                <w:rFonts w:hint="eastAsia" w:ascii="Times New Roman"/>
                <w:snapToGrid w:val="0"/>
                <w:spacing w:val="-16"/>
                <w:kern w:val="21"/>
                <w:sz w:val="21"/>
                <w:szCs w:val="21"/>
              </w:rPr>
              <w:t>体</w:t>
            </w:r>
            <w:r>
              <w:rPr>
                <w:rFonts w:ascii="Times New Roman"/>
                <w:snapToGrid w:val="0"/>
                <w:spacing w:val="-16"/>
                <w:kern w:val="21"/>
                <w:sz w:val="21"/>
                <w:szCs w:val="21"/>
              </w:rPr>
              <w:t>废</w:t>
            </w:r>
            <w:r>
              <w:rPr>
                <w:rFonts w:hint="eastAsia" w:ascii="Times New Roman"/>
                <w:snapToGrid w:val="0"/>
                <w:spacing w:val="-16"/>
                <w:kern w:val="21"/>
                <w:sz w:val="21"/>
                <w:szCs w:val="21"/>
              </w:rPr>
              <w:t>物</w:t>
            </w:r>
            <w:r>
              <w:rPr>
                <w:rFonts w:ascii="Times New Roman"/>
                <w:snapToGrid w:val="0"/>
                <w:spacing w:val="-16"/>
                <w:kern w:val="21"/>
                <w:sz w:val="21"/>
                <w:szCs w:val="21"/>
              </w:rPr>
              <w:t>产生量）</w:t>
            </w:r>
            <w:r>
              <w:rPr>
                <w:rFonts w:ascii="Times New Roman"/>
                <w:snapToGrid w:val="0"/>
                <w:spacing w:val="-16"/>
                <w:kern w:val="21"/>
                <w:sz w:val="21"/>
                <w:szCs w:val="21"/>
              </w:rPr>
              <w:fldChar w:fldCharType="begin"/>
            </w:r>
            <w:r>
              <w:rPr>
                <w:rFonts w:ascii="Times New Roman"/>
                <w:snapToGrid w:val="0"/>
                <w:spacing w:val="-16"/>
                <w:kern w:val="21"/>
                <w:sz w:val="21"/>
                <w:szCs w:val="21"/>
              </w:rPr>
              <w:instrText xml:space="preserve"> = 6 \* GB3 \* MERGEFORMAT </w:instrText>
            </w:r>
            <w:r>
              <w:rPr>
                <w:rFonts w:ascii="Times New Roman"/>
                <w:snapToGrid w:val="0"/>
                <w:spacing w:val="-16"/>
                <w:kern w:val="21"/>
                <w:sz w:val="21"/>
                <w:szCs w:val="21"/>
              </w:rPr>
              <w:fldChar w:fldCharType="separate"/>
            </w:r>
            <w:r>
              <w:rPr>
                <w:rFonts w:hint="eastAsia" w:ascii="Times New Roman" w:cs="宋体"/>
                <w:kern w:val="2"/>
                <w:sz w:val="21"/>
                <w:szCs w:val="21"/>
              </w:rPr>
              <w:t>⑥</w:t>
            </w:r>
            <w:r>
              <w:rPr>
                <w:rFonts w:ascii="Times New Roman"/>
                <w:snapToGrid w:val="0"/>
                <w:spacing w:val="-16"/>
                <w:kern w:val="21"/>
                <w:sz w:val="21"/>
                <w:szCs w:val="21"/>
              </w:rPr>
              <w:fldChar w:fldCharType="end"/>
            </w:r>
          </w:p>
        </w:tc>
        <w:tc>
          <w:tcPr>
            <w:tcW w:w="1212" w:type="dxa"/>
            <w:tcMar>
              <w:left w:w="28" w:type="dxa"/>
              <w:right w:w="28" w:type="dxa"/>
            </w:tcMar>
            <w:vAlign w:val="center"/>
          </w:tcPr>
          <w:p>
            <w:pPr>
              <w:pStyle w:val="37"/>
              <w:spacing w:beforeLines="0" w:line="240" w:lineRule="auto"/>
              <w:ind w:firstLine="0" w:firstLineChars="0"/>
              <w:rPr>
                <w:rFonts w:ascii="Times New Roman"/>
                <w:snapToGrid w:val="0"/>
                <w:spacing w:val="-6"/>
                <w:kern w:val="21"/>
                <w:sz w:val="21"/>
                <w:szCs w:val="21"/>
              </w:rPr>
            </w:pPr>
            <w:r>
              <w:rPr>
                <w:rFonts w:ascii="Times New Roman"/>
                <w:snapToGrid w:val="0"/>
                <w:spacing w:val="-6"/>
                <w:kern w:val="21"/>
                <w:sz w:val="21"/>
                <w:szCs w:val="21"/>
              </w:rPr>
              <w:t>变化量</w:t>
            </w:r>
          </w:p>
          <w:p>
            <w:pPr>
              <w:pStyle w:val="37"/>
              <w:spacing w:beforeLines="0" w:line="240" w:lineRule="auto"/>
              <w:ind w:firstLine="0" w:firstLineChars="0"/>
              <w:rPr>
                <w:rFonts w:ascii="Times New Roman"/>
                <w:snapToGrid w:val="0"/>
                <w:spacing w:val="-6"/>
                <w:kern w:val="21"/>
                <w:sz w:val="21"/>
                <w:szCs w:val="21"/>
              </w:rPr>
            </w:pPr>
            <w:r>
              <w:rPr>
                <w:rFonts w:ascii="Times New Roman"/>
                <w:snapToGrid w:val="0"/>
                <w:spacing w:val="-6"/>
                <w:kern w:val="21"/>
                <w:sz w:val="21"/>
                <w:szCs w:val="21"/>
              </w:rPr>
              <w:fldChar w:fldCharType="begin"/>
            </w:r>
            <w:r>
              <w:rPr>
                <w:rFonts w:ascii="Times New Roman"/>
                <w:snapToGrid w:val="0"/>
                <w:spacing w:val="-6"/>
                <w:kern w:val="21"/>
                <w:sz w:val="21"/>
                <w:szCs w:val="21"/>
              </w:rPr>
              <w:instrText xml:space="preserve"> = 7 \* GB3 \* MERGEFORMAT </w:instrText>
            </w:r>
            <w:r>
              <w:rPr>
                <w:rFonts w:ascii="Times New Roman"/>
                <w:snapToGrid w:val="0"/>
                <w:spacing w:val="-6"/>
                <w:kern w:val="21"/>
                <w:sz w:val="21"/>
                <w:szCs w:val="21"/>
              </w:rPr>
              <w:fldChar w:fldCharType="separate"/>
            </w:r>
            <w:r>
              <w:rPr>
                <w:rFonts w:hint="eastAsia" w:ascii="Times New Roman" w:cs="宋体"/>
                <w:kern w:val="2"/>
                <w:sz w:val="21"/>
                <w:szCs w:val="21"/>
              </w:rPr>
              <w:t>⑦</w:t>
            </w:r>
            <w:r>
              <w:rPr>
                <w:rFonts w:ascii="Times New Roman"/>
                <w:snapToGrid w:val="0"/>
                <w:spacing w:val="-6"/>
                <w:kern w:val="21"/>
                <w:sz w:val="21"/>
                <w:szCs w:val="21"/>
              </w:rPr>
              <w:fldChar w:fldCharType="end"/>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88" w:type="dxa"/>
            <w:vMerge w:val="restart"/>
            <w:vAlign w:val="center"/>
          </w:tcPr>
          <w:p>
            <w:pPr>
              <w:pStyle w:val="37"/>
              <w:spacing w:beforeLines="0" w:line="240" w:lineRule="auto"/>
              <w:ind w:firstLine="0" w:firstLineChars="0"/>
              <w:rPr>
                <w:rFonts w:ascii="Times New Roman" w:cs="宋体"/>
                <w:snapToGrid w:val="0"/>
                <w:kern w:val="21"/>
                <w:sz w:val="21"/>
                <w:szCs w:val="21"/>
              </w:rPr>
            </w:pPr>
            <w:r>
              <w:rPr>
                <w:rFonts w:hint="eastAsia" w:ascii="Times New Roman" w:cs="宋体"/>
                <w:snapToGrid w:val="0"/>
                <w:kern w:val="21"/>
                <w:sz w:val="21"/>
                <w:szCs w:val="21"/>
              </w:rPr>
              <w:t>废气</w:t>
            </w:r>
          </w:p>
        </w:tc>
        <w:tc>
          <w:tcPr>
            <w:tcW w:w="1417" w:type="dxa"/>
            <w:vAlign w:val="center"/>
          </w:tcPr>
          <w:p>
            <w:pPr>
              <w:pStyle w:val="37"/>
              <w:spacing w:beforeLines="0" w:line="240" w:lineRule="auto"/>
              <w:ind w:firstLine="0" w:firstLineChars="0"/>
              <w:rPr>
                <w:rFonts w:ascii="Times New Roman" w:cs="宋体"/>
                <w:snapToGrid w:val="0"/>
                <w:kern w:val="21"/>
                <w:sz w:val="21"/>
                <w:szCs w:val="21"/>
              </w:rPr>
            </w:pPr>
            <w:r>
              <w:rPr>
                <w:rFonts w:ascii="Times New Roman"/>
                <w:sz w:val="21"/>
                <w:szCs w:val="21"/>
              </w:rPr>
              <w:t>SO</w:t>
            </w:r>
            <w:r>
              <w:rPr>
                <w:rFonts w:ascii="Times New Roman"/>
                <w:sz w:val="21"/>
                <w:szCs w:val="21"/>
                <w:vertAlign w:val="subscript"/>
              </w:rPr>
              <w:t>2</w:t>
            </w:r>
          </w:p>
        </w:tc>
        <w:tc>
          <w:tcPr>
            <w:tcW w:w="1701" w:type="dxa"/>
            <w:vAlign w:val="center"/>
          </w:tcPr>
          <w:p>
            <w:pPr>
              <w:pStyle w:val="37"/>
              <w:spacing w:beforeLines="0" w:line="240" w:lineRule="auto"/>
              <w:ind w:firstLine="0" w:firstLineChars="0"/>
              <w:rPr>
                <w:rFonts w:ascii="Times New Roman" w:cs="宋体"/>
                <w:i/>
                <w:iCs/>
                <w:snapToGrid w:val="0"/>
                <w:kern w:val="21"/>
                <w:sz w:val="21"/>
                <w:szCs w:val="21"/>
                <w:u w:val="single"/>
              </w:rPr>
            </w:pPr>
          </w:p>
        </w:tc>
        <w:tc>
          <w:tcPr>
            <w:tcW w:w="1276" w:type="dxa"/>
            <w:vAlign w:val="center"/>
          </w:tcPr>
          <w:p>
            <w:pPr>
              <w:pStyle w:val="37"/>
              <w:spacing w:beforeLines="0" w:line="240" w:lineRule="auto"/>
              <w:ind w:firstLine="0" w:firstLineChars="0"/>
              <w:rPr>
                <w:rFonts w:ascii="Times New Roman" w:cs="宋体"/>
                <w:i/>
                <w:iCs/>
                <w:snapToGrid w:val="0"/>
                <w:kern w:val="21"/>
                <w:sz w:val="21"/>
                <w:szCs w:val="21"/>
                <w:u w:val="single"/>
              </w:rPr>
            </w:pPr>
          </w:p>
        </w:tc>
        <w:tc>
          <w:tcPr>
            <w:tcW w:w="1701" w:type="dxa"/>
            <w:vAlign w:val="center"/>
          </w:tcPr>
          <w:p>
            <w:pPr>
              <w:pStyle w:val="37"/>
              <w:spacing w:beforeLines="0" w:line="240" w:lineRule="auto"/>
              <w:ind w:firstLine="0" w:firstLineChars="0"/>
              <w:rPr>
                <w:rFonts w:ascii="Times New Roman" w:cs="宋体"/>
                <w:i/>
                <w:iCs/>
                <w:snapToGrid w:val="0"/>
                <w:kern w:val="21"/>
                <w:sz w:val="21"/>
                <w:szCs w:val="21"/>
                <w:u w:val="single"/>
              </w:rPr>
            </w:pPr>
          </w:p>
        </w:tc>
        <w:tc>
          <w:tcPr>
            <w:tcW w:w="1559" w:type="dxa"/>
            <w:vAlign w:val="center"/>
          </w:tcPr>
          <w:p>
            <w:pPr>
              <w:widowControl/>
              <w:jc w:val="center"/>
              <w:textAlignment w:val="center"/>
              <w:rPr>
                <w:szCs w:val="21"/>
              </w:rPr>
            </w:pPr>
            <w:r>
              <w:rPr>
                <w:rFonts w:hint="eastAsia"/>
                <w:szCs w:val="21"/>
              </w:rPr>
              <w:t>0.0583</w:t>
            </w:r>
          </w:p>
        </w:tc>
        <w:tc>
          <w:tcPr>
            <w:tcW w:w="1761" w:type="dxa"/>
            <w:vAlign w:val="bottom"/>
          </w:tcPr>
          <w:p>
            <w:pPr>
              <w:jc w:val="center"/>
              <w:rPr>
                <w:rFonts w:cs="宋体"/>
                <w:i/>
                <w:iCs/>
                <w:snapToGrid w:val="0"/>
                <w:kern w:val="21"/>
                <w:szCs w:val="21"/>
              </w:rPr>
            </w:pPr>
          </w:p>
        </w:tc>
        <w:tc>
          <w:tcPr>
            <w:tcW w:w="1573" w:type="dxa"/>
            <w:vAlign w:val="center"/>
          </w:tcPr>
          <w:p>
            <w:pPr>
              <w:widowControl/>
              <w:jc w:val="center"/>
              <w:textAlignment w:val="center"/>
              <w:rPr>
                <w:szCs w:val="21"/>
              </w:rPr>
            </w:pPr>
            <w:r>
              <w:rPr>
                <w:rFonts w:hint="eastAsia"/>
                <w:szCs w:val="21"/>
              </w:rPr>
              <w:t xml:space="preserve">0.0583 </w:t>
            </w:r>
          </w:p>
        </w:tc>
        <w:tc>
          <w:tcPr>
            <w:tcW w:w="1212" w:type="dxa"/>
            <w:vAlign w:val="center"/>
          </w:tcPr>
          <w:p>
            <w:pPr>
              <w:widowControl/>
              <w:jc w:val="center"/>
              <w:textAlignment w:val="center"/>
              <w:rPr>
                <w:szCs w:val="21"/>
              </w:rPr>
            </w:pPr>
            <w:r>
              <w:rPr>
                <w:rFonts w:hint="eastAsia"/>
                <w:szCs w:val="21"/>
              </w:rPr>
              <w:t xml:space="preserve">+0.0583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88" w:type="dxa"/>
            <w:vMerge w:val="continue"/>
            <w:vAlign w:val="center"/>
          </w:tcPr>
          <w:p>
            <w:pPr>
              <w:pStyle w:val="37"/>
              <w:spacing w:beforeLines="0" w:line="240" w:lineRule="auto"/>
              <w:ind w:firstLine="0" w:firstLineChars="0"/>
              <w:rPr>
                <w:rFonts w:ascii="Times New Roman" w:cs="宋体"/>
                <w:snapToGrid w:val="0"/>
                <w:kern w:val="21"/>
                <w:sz w:val="21"/>
                <w:szCs w:val="21"/>
              </w:rPr>
            </w:pPr>
          </w:p>
        </w:tc>
        <w:tc>
          <w:tcPr>
            <w:tcW w:w="1417" w:type="dxa"/>
            <w:vAlign w:val="center"/>
          </w:tcPr>
          <w:p>
            <w:pPr>
              <w:widowControl/>
              <w:jc w:val="center"/>
              <w:textAlignment w:val="center"/>
              <w:rPr>
                <w:rFonts w:cs="宋体"/>
                <w:snapToGrid w:val="0"/>
                <w:kern w:val="21"/>
                <w:szCs w:val="21"/>
              </w:rPr>
            </w:pPr>
            <w:r>
              <w:rPr>
                <w:rFonts w:hint="eastAsia" w:cs="宋体"/>
                <w:snapToGrid w:val="0"/>
                <w:kern w:val="21"/>
                <w:szCs w:val="21"/>
              </w:rPr>
              <w:t>烟尘</w:t>
            </w:r>
          </w:p>
        </w:tc>
        <w:tc>
          <w:tcPr>
            <w:tcW w:w="1701" w:type="dxa"/>
            <w:vAlign w:val="center"/>
          </w:tcPr>
          <w:p>
            <w:pPr>
              <w:pStyle w:val="37"/>
              <w:spacing w:beforeLines="0" w:line="240" w:lineRule="auto"/>
              <w:ind w:firstLine="0" w:firstLineChars="0"/>
              <w:rPr>
                <w:rFonts w:ascii="Times New Roman" w:cs="宋体"/>
                <w:i/>
                <w:iCs/>
                <w:snapToGrid w:val="0"/>
                <w:kern w:val="21"/>
                <w:sz w:val="21"/>
                <w:szCs w:val="21"/>
                <w:u w:val="single"/>
              </w:rPr>
            </w:pPr>
          </w:p>
        </w:tc>
        <w:tc>
          <w:tcPr>
            <w:tcW w:w="1276" w:type="dxa"/>
            <w:vAlign w:val="center"/>
          </w:tcPr>
          <w:p>
            <w:pPr>
              <w:pStyle w:val="37"/>
              <w:spacing w:beforeLines="0" w:line="240" w:lineRule="auto"/>
              <w:ind w:firstLine="0" w:firstLineChars="0"/>
              <w:rPr>
                <w:rFonts w:ascii="Times New Roman" w:cs="宋体"/>
                <w:i/>
                <w:iCs/>
                <w:snapToGrid w:val="0"/>
                <w:kern w:val="21"/>
                <w:sz w:val="21"/>
                <w:szCs w:val="21"/>
                <w:u w:val="single"/>
              </w:rPr>
            </w:pPr>
          </w:p>
        </w:tc>
        <w:tc>
          <w:tcPr>
            <w:tcW w:w="1701" w:type="dxa"/>
            <w:vAlign w:val="center"/>
          </w:tcPr>
          <w:p>
            <w:pPr>
              <w:pStyle w:val="37"/>
              <w:spacing w:beforeLines="0" w:line="240" w:lineRule="auto"/>
              <w:ind w:firstLine="0" w:firstLineChars="0"/>
              <w:rPr>
                <w:rFonts w:ascii="Times New Roman" w:cs="宋体"/>
                <w:i/>
                <w:iCs/>
                <w:snapToGrid w:val="0"/>
                <w:kern w:val="21"/>
                <w:sz w:val="21"/>
                <w:szCs w:val="21"/>
                <w:u w:val="single"/>
              </w:rPr>
            </w:pPr>
          </w:p>
        </w:tc>
        <w:tc>
          <w:tcPr>
            <w:tcW w:w="1559" w:type="dxa"/>
            <w:vAlign w:val="center"/>
          </w:tcPr>
          <w:p>
            <w:pPr>
              <w:widowControl/>
              <w:jc w:val="center"/>
              <w:textAlignment w:val="center"/>
              <w:rPr>
                <w:szCs w:val="21"/>
              </w:rPr>
            </w:pPr>
            <w:r>
              <w:rPr>
                <w:rFonts w:hint="eastAsia"/>
                <w:szCs w:val="21"/>
              </w:rPr>
              <w:t>0.038</w:t>
            </w:r>
          </w:p>
        </w:tc>
        <w:tc>
          <w:tcPr>
            <w:tcW w:w="1761" w:type="dxa"/>
            <w:vAlign w:val="bottom"/>
          </w:tcPr>
          <w:p>
            <w:pPr>
              <w:jc w:val="center"/>
              <w:rPr>
                <w:rFonts w:cs="宋体"/>
                <w:i/>
                <w:iCs/>
                <w:snapToGrid w:val="0"/>
                <w:kern w:val="21"/>
                <w:szCs w:val="21"/>
              </w:rPr>
            </w:pPr>
          </w:p>
        </w:tc>
        <w:tc>
          <w:tcPr>
            <w:tcW w:w="1573" w:type="dxa"/>
            <w:vAlign w:val="center"/>
          </w:tcPr>
          <w:p>
            <w:pPr>
              <w:widowControl/>
              <w:jc w:val="center"/>
              <w:textAlignment w:val="center"/>
              <w:rPr>
                <w:szCs w:val="21"/>
              </w:rPr>
            </w:pPr>
            <w:r>
              <w:rPr>
                <w:rFonts w:hint="eastAsia"/>
                <w:szCs w:val="21"/>
              </w:rPr>
              <w:t>0.038</w:t>
            </w:r>
          </w:p>
        </w:tc>
        <w:tc>
          <w:tcPr>
            <w:tcW w:w="1212" w:type="dxa"/>
            <w:vAlign w:val="center"/>
          </w:tcPr>
          <w:p>
            <w:pPr>
              <w:widowControl/>
              <w:jc w:val="center"/>
              <w:textAlignment w:val="center"/>
              <w:rPr>
                <w:szCs w:val="21"/>
              </w:rPr>
            </w:pPr>
            <w:r>
              <w:rPr>
                <w:rFonts w:hint="eastAsia"/>
                <w:szCs w:val="21"/>
              </w:rPr>
              <w:t>+0.038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1588" w:type="dxa"/>
            <w:vMerge w:val="continue"/>
            <w:vAlign w:val="center"/>
          </w:tcPr>
          <w:p>
            <w:pPr>
              <w:pStyle w:val="37"/>
              <w:spacing w:beforeLines="0" w:line="240" w:lineRule="auto"/>
              <w:ind w:firstLine="0" w:firstLineChars="0"/>
              <w:rPr>
                <w:rFonts w:ascii="Times New Roman" w:cs="宋体"/>
                <w:snapToGrid w:val="0"/>
                <w:kern w:val="21"/>
                <w:sz w:val="21"/>
                <w:szCs w:val="21"/>
              </w:rPr>
            </w:pPr>
          </w:p>
        </w:tc>
        <w:tc>
          <w:tcPr>
            <w:tcW w:w="1417" w:type="dxa"/>
            <w:vAlign w:val="center"/>
          </w:tcPr>
          <w:p>
            <w:pPr>
              <w:widowControl/>
              <w:jc w:val="center"/>
              <w:textAlignment w:val="center"/>
              <w:rPr>
                <w:kern w:val="0"/>
                <w:szCs w:val="21"/>
              </w:rPr>
            </w:pPr>
            <w:r>
              <w:rPr>
                <w:kern w:val="0"/>
                <w:szCs w:val="21"/>
              </w:rPr>
              <w:t>NOx</w:t>
            </w:r>
          </w:p>
        </w:tc>
        <w:tc>
          <w:tcPr>
            <w:tcW w:w="1701" w:type="dxa"/>
            <w:vAlign w:val="center"/>
          </w:tcPr>
          <w:p>
            <w:pPr>
              <w:pStyle w:val="37"/>
              <w:spacing w:beforeLines="0" w:line="240" w:lineRule="auto"/>
              <w:ind w:firstLine="0" w:firstLineChars="0"/>
              <w:rPr>
                <w:rFonts w:ascii="Times New Roman" w:cs="宋体"/>
                <w:i/>
                <w:iCs/>
                <w:snapToGrid w:val="0"/>
                <w:kern w:val="21"/>
                <w:sz w:val="21"/>
                <w:szCs w:val="21"/>
                <w:u w:val="single"/>
              </w:rPr>
            </w:pPr>
          </w:p>
        </w:tc>
        <w:tc>
          <w:tcPr>
            <w:tcW w:w="1276" w:type="dxa"/>
            <w:vAlign w:val="center"/>
          </w:tcPr>
          <w:p>
            <w:pPr>
              <w:pStyle w:val="37"/>
              <w:spacing w:beforeLines="0" w:line="240" w:lineRule="auto"/>
              <w:ind w:firstLine="0" w:firstLineChars="0"/>
              <w:rPr>
                <w:rFonts w:ascii="Times New Roman" w:cs="宋体"/>
                <w:i/>
                <w:iCs/>
                <w:snapToGrid w:val="0"/>
                <w:kern w:val="21"/>
                <w:sz w:val="21"/>
                <w:szCs w:val="21"/>
                <w:u w:val="single"/>
              </w:rPr>
            </w:pPr>
          </w:p>
        </w:tc>
        <w:tc>
          <w:tcPr>
            <w:tcW w:w="1701" w:type="dxa"/>
            <w:vAlign w:val="center"/>
          </w:tcPr>
          <w:p>
            <w:pPr>
              <w:pStyle w:val="37"/>
              <w:spacing w:beforeLines="0" w:line="240" w:lineRule="auto"/>
              <w:ind w:firstLine="0" w:firstLineChars="0"/>
              <w:rPr>
                <w:rFonts w:ascii="Times New Roman" w:cs="宋体"/>
                <w:i/>
                <w:iCs/>
                <w:snapToGrid w:val="0"/>
                <w:kern w:val="21"/>
                <w:sz w:val="21"/>
                <w:szCs w:val="21"/>
                <w:u w:val="single"/>
              </w:rPr>
            </w:pPr>
          </w:p>
        </w:tc>
        <w:tc>
          <w:tcPr>
            <w:tcW w:w="1559" w:type="dxa"/>
            <w:vAlign w:val="center"/>
          </w:tcPr>
          <w:p>
            <w:pPr>
              <w:widowControl/>
              <w:jc w:val="center"/>
              <w:textAlignment w:val="center"/>
              <w:rPr>
                <w:szCs w:val="21"/>
              </w:rPr>
            </w:pPr>
            <w:r>
              <w:rPr>
                <w:rFonts w:hint="eastAsia"/>
                <w:szCs w:val="21"/>
              </w:rPr>
              <w:t>0.0775</w:t>
            </w:r>
          </w:p>
        </w:tc>
        <w:tc>
          <w:tcPr>
            <w:tcW w:w="1761" w:type="dxa"/>
            <w:vAlign w:val="bottom"/>
          </w:tcPr>
          <w:p>
            <w:pPr>
              <w:jc w:val="center"/>
              <w:rPr>
                <w:rFonts w:cs="宋体"/>
                <w:i/>
                <w:iCs/>
                <w:snapToGrid w:val="0"/>
                <w:kern w:val="21"/>
                <w:szCs w:val="21"/>
              </w:rPr>
            </w:pPr>
          </w:p>
        </w:tc>
        <w:tc>
          <w:tcPr>
            <w:tcW w:w="1573" w:type="dxa"/>
            <w:vAlign w:val="center"/>
          </w:tcPr>
          <w:p>
            <w:pPr>
              <w:widowControl/>
              <w:jc w:val="center"/>
              <w:textAlignment w:val="center"/>
              <w:rPr>
                <w:szCs w:val="21"/>
              </w:rPr>
            </w:pPr>
            <w:r>
              <w:rPr>
                <w:rFonts w:hint="eastAsia"/>
                <w:szCs w:val="21"/>
              </w:rPr>
              <w:t>0.0775</w:t>
            </w:r>
          </w:p>
        </w:tc>
        <w:tc>
          <w:tcPr>
            <w:tcW w:w="1212" w:type="dxa"/>
            <w:vAlign w:val="center"/>
          </w:tcPr>
          <w:p>
            <w:pPr>
              <w:widowControl/>
              <w:jc w:val="center"/>
              <w:textAlignment w:val="center"/>
              <w:rPr>
                <w:szCs w:val="21"/>
              </w:rPr>
            </w:pPr>
            <w:r>
              <w:rPr>
                <w:rFonts w:hint="eastAsia"/>
                <w:szCs w:val="21"/>
              </w:rPr>
              <w:t>+0.0775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88" w:type="dxa"/>
            <w:vMerge w:val="restart"/>
            <w:vAlign w:val="center"/>
          </w:tcPr>
          <w:p>
            <w:pPr>
              <w:pStyle w:val="37"/>
              <w:spacing w:beforeLines="0" w:line="240" w:lineRule="auto"/>
              <w:ind w:firstLine="0" w:firstLineChars="0"/>
              <w:rPr>
                <w:rFonts w:ascii="Times New Roman" w:cs="宋体"/>
                <w:snapToGrid w:val="0"/>
                <w:kern w:val="21"/>
                <w:sz w:val="21"/>
                <w:szCs w:val="21"/>
              </w:rPr>
            </w:pPr>
            <w:r>
              <w:rPr>
                <w:rFonts w:hint="eastAsia" w:ascii="Times New Roman" w:cs="宋体"/>
                <w:snapToGrid w:val="0"/>
                <w:kern w:val="21"/>
                <w:sz w:val="21"/>
                <w:szCs w:val="21"/>
              </w:rPr>
              <w:t>一般工业</w:t>
            </w:r>
          </w:p>
          <w:p>
            <w:pPr>
              <w:pStyle w:val="37"/>
              <w:spacing w:beforeLines="0" w:line="240" w:lineRule="auto"/>
              <w:ind w:firstLine="0" w:firstLineChars="0"/>
              <w:rPr>
                <w:rFonts w:ascii="Times New Roman" w:cs="宋体"/>
                <w:snapToGrid w:val="0"/>
                <w:kern w:val="21"/>
                <w:sz w:val="21"/>
                <w:szCs w:val="21"/>
              </w:rPr>
            </w:pPr>
            <w:r>
              <w:rPr>
                <w:rFonts w:hint="eastAsia" w:ascii="Times New Roman" w:cs="宋体"/>
                <w:snapToGrid w:val="0"/>
                <w:kern w:val="21"/>
                <w:sz w:val="21"/>
                <w:szCs w:val="21"/>
              </w:rPr>
              <w:t>固体废物</w:t>
            </w:r>
          </w:p>
        </w:tc>
        <w:tc>
          <w:tcPr>
            <w:tcW w:w="1417" w:type="dxa"/>
            <w:vAlign w:val="center"/>
          </w:tcPr>
          <w:p>
            <w:pPr>
              <w:jc w:val="center"/>
            </w:pPr>
            <w:r>
              <w:rPr>
                <w:rFonts w:hint="eastAsia"/>
              </w:rPr>
              <w:t>生活垃圾</w:t>
            </w:r>
          </w:p>
        </w:tc>
        <w:tc>
          <w:tcPr>
            <w:tcW w:w="1701" w:type="dxa"/>
            <w:vAlign w:val="bottom"/>
          </w:tcPr>
          <w:p>
            <w:pPr>
              <w:pStyle w:val="37"/>
              <w:spacing w:beforeLines="0" w:line="240" w:lineRule="auto"/>
              <w:ind w:firstLine="0" w:firstLineChars="0"/>
              <w:rPr>
                <w:rFonts w:ascii="Times New Roman" w:cs="宋体"/>
                <w:snapToGrid w:val="0"/>
                <w:kern w:val="21"/>
                <w:sz w:val="21"/>
                <w:szCs w:val="21"/>
              </w:rPr>
            </w:pPr>
          </w:p>
        </w:tc>
        <w:tc>
          <w:tcPr>
            <w:tcW w:w="1276" w:type="dxa"/>
            <w:vAlign w:val="bottom"/>
          </w:tcPr>
          <w:p>
            <w:pPr>
              <w:pStyle w:val="37"/>
              <w:spacing w:beforeLines="0" w:line="240" w:lineRule="auto"/>
              <w:ind w:firstLine="0" w:firstLineChars="0"/>
              <w:rPr>
                <w:rFonts w:ascii="Times New Roman" w:cs="宋体"/>
                <w:snapToGrid w:val="0"/>
                <w:kern w:val="21"/>
                <w:sz w:val="21"/>
                <w:szCs w:val="21"/>
              </w:rPr>
            </w:pPr>
          </w:p>
        </w:tc>
        <w:tc>
          <w:tcPr>
            <w:tcW w:w="1701" w:type="dxa"/>
            <w:vAlign w:val="bottom"/>
          </w:tcPr>
          <w:p>
            <w:pPr>
              <w:pStyle w:val="37"/>
              <w:spacing w:beforeLines="0" w:line="240" w:lineRule="auto"/>
              <w:ind w:firstLine="0" w:firstLineChars="0"/>
              <w:rPr>
                <w:rFonts w:ascii="Times New Roman" w:cs="宋体"/>
                <w:snapToGrid w:val="0"/>
                <w:kern w:val="21"/>
                <w:sz w:val="21"/>
                <w:szCs w:val="21"/>
              </w:rPr>
            </w:pPr>
          </w:p>
        </w:tc>
        <w:tc>
          <w:tcPr>
            <w:tcW w:w="1559" w:type="dxa"/>
            <w:vAlign w:val="center"/>
          </w:tcPr>
          <w:p>
            <w:pPr>
              <w:jc w:val="center"/>
            </w:pPr>
            <w:r>
              <w:rPr>
                <w:rFonts w:hint="eastAsia"/>
              </w:rPr>
              <w:t>0.125</w:t>
            </w:r>
          </w:p>
        </w:tc>
        <w:tc>
          <w:tcPr>
            <w:tcW w:w="1761" w:type="dxa"/>
            <w:vAlign w:val="bottom"/>
          </w:tcPr>
          <w:p>
            <w:pPr>
              <w:jc w:val="center"/>
              <w:rPr>
                <w:rFonts w:cs="宋体"/>
                <w:snapToGrid w:val="0"/>
                <w:kern w:val="21"/>
                <w:szCs w:val="21"/>
              </w:rPr>
            </w:pPr>
          </w:p>
        </w:tc>
        <w:tc>
          <w:tcPr>
            <w:tcW w:w="1573" w:type="dxa"/>
            <w:vAlign w:val="center"/>
          </w:tcPr>
          <w:p>
            <w:pPr>
              <w:jc w:val="center"/>
            </w:pPr>
            <w:r>
              <w:rPr>
                <w:rFonts w:hint="eastAsia"/>
              </w:rPr>
              <w:t>0.125</w:t>
            </w:r>
          </w:p>
        </w:tc>
        <w:tc>
          <w:tcPr>
            <w:tcW w:w="1212" w:type="dxa"/>
            <w:vAlign w:val="center"/>
          </w:tcPr>
          <w:p>
            <w:pPr>
              <w:jc w:val="center"/>
            </w:pPr>
            <w:r>
              <w:rPr>
                <w:rFonts w:hint="eastAsia"/>
              </w:rPr>
              <w:t>+0.125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88" w:type="dxa"/>
            <w:vMerge w:val="continue"/>
            <w:vAlign w:val="center"/>
          </w:tcPr>
          <w:p>
            <w:pPr>
              <w:pStyle w:val="37"/>
              <w:spacing w:beforeLines="0" w:line="240" w:lineRule="auto"/>
              <w:ind w:firstLine="0" w:firstLineChars="0"/>
              <w:rPr>
                <w:rFonts w:ascii="Times New Roman" w:cs="宋体"/>
                <w:snapToGrid w:val="0"/>
                <w:kern w:val="21"/>
                <w:sz w:val="21"/>
                <w:szCs w:val="21"/>
              </w:rPr>
            </w:pPr>
          </w:p>
        </w:tc>
        <w:tc>
          <w:tcPr>
            <w:tcW w:w="1417" w:type="dxa"/>
            <w:vAlign w:val="center"/>
          </w:tcPr>
          <w:p>
            <w:pPr>
              <w:jc w:val="center"/>
            </w:pPr>
            <w:r>
              <w:rPr>
                <w:rFonts w:hint="eastAsia"/>
              </w:rPr>
              <w:t>预处理废物</w:t>
            </w:r>
          </w:p>
        </w:tc>
        <w:tc>
          <w:tcPr>
            <w:tcW w:w="1701" w:type="dxa"/>
            <w:vAlign w:val="bottom"/>
          </w:tcPr>
          <w:p>
            <w:pPr>
              <w:pStyle w:val="37"/>
              <w:spacing w:beforeLines="0" w:line="240" w:lineRule="auto"/>
              <w:ind w:firstLine="0" w:firstLineChars="0"/>
              <w:rPr>
                <w:rFonts w:ascii="Times New Roman" w:cs="宋体"/>
                <w:snapToGrid w:val="0"/>
                <w:kern w:val="21"/>
                <w:sz w:val="21"/>
                <w:szCs w:val="21"/>
              </w:rPr>
            </w:pPr>
          </w:p>
        </w:tc>
        <w:tc>
          <w:tcPr>
            <w:tcW w:w="1276" w:type="dxa"/>
            <w:vAlign w:val="bottom"/>
          </w:tcPr>
          <w:p>
            <w:pPr>
              <w:pStyle w:val="37"/>
              <w:spacing w:beforeLines="0" w:line="240" w:lineRule="auto"/>
              <w:ind w:firstLine="0" w:firstLineChars="0"/>
              <w:rPr>
                <w:rFonts w:ascii="Times New Roman" w:cs="宋体"/>
                <w:snapToGrid w:val="0"/>
                <w:kern w:val="21"/>
                <w:sz w:val="21"/>
                <w:szCs w:val="21"/>
              </w:rPr>
            </w:pPr>
          </w:p>
        </w:tc>
        <w:tc>
          <w:tcPr>
            <w:tcW w:w="1701" w:type="dxa"/>
            <w:vAlign w:val="bottom"/>
          </w:tcPr>
          <w:p>
            <w:pPr>
              <w:pStyle w:val="37"/>
              <w:spacing w:beforeLines="0" w:line="240" w:lineRule="auto"/>
              <w:ind w:firstLine="0" w:firstLineChars="0"/>
              <w:rPr>
                <w:rFonts w:ascii="Times New Roman" w:cs="宋体"/>
                <w:snapToGrid w:val="0"/>
                <w:kern w:val="21"/>
                <w:sz w:val="21"/>
                <w:szCs w:val="21"/>
              </w:rPr>
            </w:pPr>
          </w:p>
        </w:tc>
        <w:tc>
          <w:tcPr>
            <w:tcW w:w="1559" w:type="dxa"/>
            <w:vAlign w:val="center"/>
          </w:tcPr>
          <w:p>
            <w:pPr>
              <w:jc w:val="center"/>
            </w:pPr>
            <w:r>
              <w:rPr>
                <w:rFonts w:hint="eastAsia"/>
              </w:rPr>
              <w:t>680.4</w:t>
            </w:r>
          </w:p>
        </w:tc>
        <w:tc>
          <w:tcPr>
            <w:tcW w:w="1761" w:type="dxa"/>
            <w:vAlign w:val="bottom"/>
          </w:tcPr>
          <w:p>
            <w:pPr>
              <w:jc w:val="center"/>
              <w:rPr>
                <w:rFonts w:cs="宋体"/>
                <w:snapToGrid w:val="0"/>
                <w:kern w:val="21"/>
                <w:szCs w:val="21"/>
              </w:rPr>
            </w:pPr>
          </w:p>
        </w:tc>
        <w:tc>
          <w:tcPr>
            <w:tcW w:w="1573" w:type="dxa"/>
            <w:vAlign w:val="center"/>
          </w:tcPr>
          <w:p>
            <w:pPr>
              <w:jc w:val="center"/>
            </w:pPr>
            <w:r>
              <w:rPr>
                <w:rFonts w:hint="eastAsia"/>
              </w:rPr>
              <w:t>680.4</w:t>
            </w:r>
          </w:p>
        </w:tc>
        <w:tc>
          <w:tcPr>
            <w:tcW w:w="1212" w:type="dxa"/>
            <w:vAlign w:val="center"/>
          </w:tcPr>
          <w:p>
            <w:pPr>
              <w:jc w:val="center"/>
            </w:pPr>
            <w:r>
              <w:rPr>
                <w:rFonts w:hint="eastAsia"/>
              </w:rPr>
              <w:t>+680.4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88" w:type="dxa"/>
            <w:vMerge w:val="continue"/>
            <w:vAlign w:val="center"/>
          </w:tcPr>
          <w:p>
            <w:pPr>
              <w:pStyle w:val="37"/>
              <w:spacing w:beforeLines="0" w:line="240" w:lineRule="auto"/>
              <w:ind w:firstLine="0" w:firstLineChars="0"/>
              <w:rPr>
                <w:rFonts w:ascii="Times New Roman" w:cs="宋体"/>
                <w:snapToGrid w:val="0"/>
                <w:kern w:val="21"/>
                <w:sz w:val="21"/>
                <w:szCs w:val="21"/>
              </w:rPr>
            </w:pPr>
          </w:p>
        </w:tc>
        <w:tc>
          <w:tcPr>
            <w:tcW w:w="1417" w:type="dxa"/>
            <w:vAlign w:val="center"/>
          </w:tcPr>
          <w:p>
            <w:pPr>
              <w:jc w:val="center"/>
            </w:pPr>
            <w:r>
              <w:rPr>
                <w:rFonts w:hint="eastAsia"/>
              </w:rPr>
              <w:t>锅炉</w:t>
            </w:r>
            <w:r>
              <w:t>灰渣</w:t>
            </w:r>
          </w:p>
        </w:tc>
        <w:tc>
          <w:tcPr>
            <w:tcW w:w="1701" w:type="dxa"/>
            <w:vAlign w:val="bottom"/>
          </w:tcPr>
          <w:p>
            <w:pPr>
              <w:pStyle w:val="37"/>
              <w:spacing w:beforeLines="0" w:line="240" w:lineRule="auto"/>
              <w:ind w:firstLine="0" w:firstLineChars="0"/>
              <w:rPr>
                <w:rFonts w:ascii="Times New Roman" w:cs="宋体"/>
                <w:snapToGrid w:val="0"/>
                <w:kern w:val="21"/>
                <w:sz w:val="21"/>
                <w:szCs w:val="21"/>
              </w:rPr>
            </w:pPr>
          </w:p>
        </w:tc>
        <w:tc>
          <w:tcPr>
            <w:tcW w:w="1276" w:type="dxa"/>
            <w:vAlign w:val="bottom"/>
          </w:tcPr>
          <w:p>
            <w:pPr>
              <w:pStyle w:val="37"/>
              <w:spacing w:beforeLines="0" w:line="240" w:lineRule="auto"/>
              <w:ind w:firstLine="0" w:firstLineChars="0"/>
              <w:rPr>
                <w:rFonts w:ascii="Times New Roman" w:cs="宋体"/>
                <w:snapToGrid w:val="0"/>
                <w:kern w:val="21"/>
                <w:sz w:val="21"/>
                <w:szCs w:val="21"/>
              </w:rPr>
            </w:pPr>
          </w:p>
        </w:tc>
        <w:tc>
          <w:tcPr>
            <w:tcW w:w="1701" w:type="dxa"/>
            <w:vAlign w:val="bottom"/>
          </w:tcPr>
          <w:p>
            <w:pPr>
              <w:pStyle w:val="37"/>
              <w:spacing w:beforeLines="0" w:line="240" w:lineRule="auto"/>
              <w:ind w:firstLine="0" w:firstLineChars="0"/>
              <w:rPr>
                <w:rFonts w:ascii="Times New Roman" w:cs="宋体"/>
                <w:snapToGrid w:val="0"/>
                <w:kern w:val="21"/>
                <w:sz w:val="21"/>
                <w:szCs w:val="21"/>
              </w:rPr>
            </w:pPr>
          </w:p>
        </w:tc>
        <w:tc>
          <w:tcPr>
            <w:tcW w:w="1559" w:type="dxa"/>
            <w:vAlign w:val="center"/>
          </w:tcPr>
          <w:p>
            <w:pPr>
              <w:jc w:val="center"/>
            </w:pPr>
            <w:r>
              <w:rPr>
                <w:rFonts w:hint="eastAsia"/>
              </w:rPr>
              <w:t>15.339</w:t>
            </w:r>
          </w:p>
        </w:tc>
        <w:tc>
          <w:tcPr>
            <w:tcW w:w="1761" w:type="dxa"/>
            <w:vAlign w:val="bottom"/>
          </w:tcPr>
          <w:p>
            <w:pPr>
              <w:jc w:val="center"/>
              <w:rPr>
                <w:rFonts w:cs="宋体"/>
                <w:snapToGrid w:val="0"/>
                <w:kern w:val="21"/>
                <w:szCs w:val="21"/>
              </w:rPr>
            </w:pPr>
          </w:p>
        </w:tc>
        <w:tc>
          <w:tcPr>
            <w:tcW w:w="1573" w:type="dxa"/>
            <w:vAlign w:val="center"/>
          </w:tcPr>
          <w:p>
            <w:pPr>
              <w:jc w:val="center"/>
            </w:pPr>
            <w:r>
              <w:rPr>
                <w:rFonts w:hint="eastAsia"/>
              </w:rPr>
              <w:t>15.339</w:t>
            </w:r>
          </w:p>
        </w:tc>
        <w:tc>
          <w:tcPr>
            <w:tcW w:w="1212" w:type="dxa"/>
            <w:vAlign w:val="center"/>
          </w:tcPr>
          <w:p>
            <w:pPr>
              <w:jc w:val="center"/>
            </w:pPr>
            <w:r>
              <w:rPr>
                <w:rFonts w:hint="eastAsia"/>
              </w:rPr>
              <w:t>+15.339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1588" w:type="dxa"/>
            <w:vMerge w:val="continue"/>
            <w:vAlign w:val="center"/>
          </w:tcPr>
          <w:p>
            <w:pPr>
              <w:pStyle w:val="37"/>
              <w:spacing w:beforeLines="0" w:line="240" w:lineRule="auto"/>
              <w:ind w:firstLine="0" w:firstLineChars="0"/>
              <w:rPr>
                <w:rFonts w:ascii="Times New Roman" w:cs="宋体"/>
                <w:snapToGrid w:val="0"/>
                <w:kern w:val="21"/>
                <w:sz w:val="21"/>
                <w:szCs w:val="21"/>
              </w:rPr>
            </w:pPr>
          </w:p>
        </w:tc>
        <w:tc>
          <w:tcPr>
            <w:tcW w:w="1417" w:type="dxa"/>
            <w:vAlign w:val="center"/>
          </w:tcPr>
          <w:p>
            <w:pPr>
              <w:jc w:val="center"/>
            </w:pPr>
            <w:r>
              <w:t>布袋除尘器收集灰</w:t>
            </w:r>
          </w:p>
        </w:tc>
        <w:tc>
          <w:tcPr>
            <w:tcW w:w="1701" w:type="dxa"/>
            <w:vAlign w:val="bottom"/>
          </w:tcPr>
          <w:p>
            <w:pPr>
              <w:pStyle w:val="37"/>
              <w:spacing w:beforeLines="0" w:line="240" w:lineRule="auto"/>
              <w:ind w:firstLine="0" w:firstLineChars="0"/>
              <w:rPr>
                <w:rFonts w:ascii="Times New Roman" w:cs="宋体"/>
                <w:snapToGrid w:val="0"/>
                <w:kern w:val="21"/>
                <w:sz w:val="21"/>
                <w:szCs w:val="21"/>
              </w:rPr>
            </w:pPr>
          </w:p>
        </w:tc>
        <w:tc>
          <w:tcPr>
            <w:tcW w:w="1276" w:type="dxa"/>
            <w:vAlign w:val="bottom"/>
          </w:tcPr>
          <w:p>
            <w:pPr>
              <w:pStyle w:val="37"/>
              <w:spacing w:beforeLines="0" w:line="240" w:lineRule="auto"/>
              <w:ind w:firstLine="0" w:firstLineChars="0"/>
              <w:rPr>
                <w:rFonts w:ascii="Times New Roman" w:cs="宋体"/>
                <w:snapToGrid w:val="0"/>
                <w:kern w:val="21"/>
                <w:sz w:val="21"/>
                <w:szCs w:val="21"/>
              </w:rPr>
            </w:pPr>
          </w:p>
        </w:tc>
        <w:tc>
          <w:tcPr>
            <w:tcW w:w="1701" w:type="dxa"/>
            <w:vAlign w:val="bottom"/>
          </w:tcPr>
          <w:p>
            <w:pPr>
              <w:pStyle w:val="37"/>
              <w:spacing w:beforeLines="0" w:line="240" w:lineRule="auto"/>
              <w:ind w:firstLine="0" w:firstLineChars="0"/>
              <w:rPr>
                <w:rFonts w:ascii="Times New Roman" w:cs="宋体"/>
                <w:snapToGrid w:val="0"/>
                <w:kern w:val="21"/>
                <w:sz w:val="21"/>
                <w:szCs w:val="21"/>
              </w:rPr>
            </w:pPr>
          </w:p>
        </w:tc>
        <w:tc>
          <w:tcPr>
            <w:tcW w:w="1559" w:type="dxa"/>
            <w:vAlign w:val="center"/>
          </w:tcPr>
          <w:p>
            <w:pPr>
              <w:jc w:val="center"/>
            </w:pPr>
            <w:r>
              <w:rPr>
                <w:rFonts w:hint="eastAsia"/>
              </w:rPr>
              <w:t>3.8</w:t>
            </w:r>
          </w:p>
        </w:tc>
        <w:tc>
          <w:tcPr>
            <w:tcW w:w="1761" w:type="dxa"/>
            <w:vAlign w:val="bottom"/>
          </w:tcPr>
          <w:p>
            <w:pPr>
              <w:jc w:val="center"/>
              <w:rPr>
                <w:rFonts w:cs="宋体"/>
                <w:snapToGrid w:val="0"/>
                <w:kern w:val="21"/>
                <w:szCs w:val="21"/>
              </w:rPr>
            </w:pPr>
          </w:p>
        </w:tc>
        <w:tc>
          <w:tcPr>
            <w:tcW w:w="1573" w:type="dxa"/>
            <w:vAlign w:val="center"/>
          </w:tcPr>
          <w:p>
            <w:pPr>
              <w:jc w:val="center"/>
            </w:pPr>
            <w:r>
              <w:rPr>
                <w:rFonts w:hint="eastAsia"/>
              </w:rPr>
              <w:t>3.8</w:t>
            </w:r>
          </w:p>
        </w:tc>
        <w:tc>
          <w:tcPr>
            <w:tcW w:w="1212" w:type="dxa"/>
            <w:vAlign w:val="center"/>
          </w:tcPr>
          <w:p>
            <w:pPr>
              <w:jc w:val="center"/>
            </w:pPr>
            <w:r>
              <w:rPr>
                <w:rFonts w:hint="eastAsia"/>
              </w:rPr>
              <w:t>+3.8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88" w:type="dxa"/>
            <w:vMerge w:val="continue"/>
            <w:vAlign w:val="center"/>
          </w:tcPr>
          <w:p>
            <w:pPr>
              <w:pStyle w:val="37"/>
              <w:spacing w:beforeLines="0" w:line="240" w:lineRule="auto"/>
              <w:ind w:firstLine="0" w:firstLineChars="0"/>
              <w:rPr>
                <w:rFonts w:ascii="Times New Roman" w:cs="宋体"/>
                <w:snapToGrid w:val="0"/>
                <w:kern w:val="21"/>
                <w:sz w:val="21"/>
                <w:szCs w:val="21"/>
              </w:rPr>
            </w:pPr>
          </w:p>
        </w:tc>
        <w:tc>
          <w:tcPr>
            <w:tcW w:w="1417" w:type="dxa"/>
            <w:vAlign w:val="center"/>
          </w:tcPr>
          <w:p>
            <w:pPr>
              <w:jc w:val="center"/>
            </w:pPr>
            <w:r>
              <w:rPr>
                <w:rFonts w:hint="eastAsia"/>
              </w:rPr>
              <w:t>废布袋</w:t>
            </w:r>
          </w:p>
        </w:tc>
        <w:tc>
          <w:tcPr>
            <w:tcW w:w="1701" w:type="dxa"/>
            <w:vAlign w:val="bottom"/>
          </w:tcPr>
          <w:p>
            <w:pPr>
              <w:pStyle w:val="37"/>
              <w:spacing w:beforeLines="0" w:line="240" w:lineRule="auto"/>
              <w:ind w:firstLine="0" w:firstLineChars="0"/>
              <w:rPr>
                <w:rFonts w:ascii="Times New Roman" w:cs="宋体"/>
                <w:snapToGrid w:val="0"/>
                <w:kern w:val="21"/>
                <w:sz w:val="21"/>
                <w:szCs w:val="21"/>
              </w:rPr>
            </w:pPr>
          </w:p>
        </w:tc>
        <w:tc>
          <w:tcPr>
            <w:tcW w:w="1276" w:type="dxa"/>
            <w:vAlign w:val="bottom"/>
          </w:tcPr>
          <w:p>
            <w:pPr>
              <w:pStyle w:val="37"/>
              <w:spacing w:beforeLines="0" w:line="240" w:lineRule="auto"/>
              <w:ind w:firstLine="0" w:firstLineChars="0"/>
              <w:rPr>
                <w:rFonts w:ascii="Times New Roman" w:cs="宋体"/>
                <w:snapToGrid w:val="0"/>
                <w:kern w:val="21"/>
                <w:sz w:val="21"/>
                <w:szCs w:val="21"/>
              </w:rPr>
            </w:pPr>
          </w:p>
        </w:tc>
        <w:tc>
          <w:tcPr>
            <w:tcW w:w="1701" w:type="dxa"/>
            <w:vAlign w:val="bottom"/>
          </w:tcPr>
          <w:p>
            <w:pPr>
              <w:pStyle w:val="37"/>
              <w:spacing w:beforeLines="0" w:line="240" w:lineRule="auto"/>
              <w:ind w:firstLine="0" w:firstLineChars="0"/>
              <w:rPr>
                <w:rFonts w:ascii="Times New Roman" w:cs="宋体"/>
                <w:snapToGrid w:val="0"/>
                <w:kern w:val="21"/>
                <w:sz w:val="21"/>
                <w:szCs w:val="21"/>
              </w:rPr>
            </w:pPr>
          </w:p>
        </w:tc>
        <w:tc>
          <w:tcPr>
            <w:tcW w:w="1559" w:type="dxa"/>
            <w:vAlign w:val="center"/>
          </w:tcPr>
          <w:p>
            <w:pPr>
              <w:jc w:val="center"/>
            </w:pPr>
            <w:r>
              <w:rPr>
                <w:rFonts w:hint="eastAsia"/>
              </w:rPr>
              <w:t>0.2</w:t>
            </w:r>
          </w:p>
        </w:tc>
        <w:tc>
          <w:tcPr>
            <w:tcW w:w="1761" w:type="dxa"/>
            <w:vAlign w:val="bottom"/>
          </w:tcPr>
          <w:p>
            <w:pPr>
              <w:jc w:val="center"/>
              <w:rPr>
                <w:rFonts w:cs="宋体"/>
                <w:snapToGrid w:val="0"/>
                <w:kern w:val="21"/>
                <w:szCs w:val="21"/>
              </w:rPr>
            </w:pPr>
          </w:p>
        </w:tc>
        <w:tc>
          <w:tcPr>
            <w:tcW w:w="1573" w:type="dxa"/>
            <w:vAlign w:val="center"/>
          </w:tcPr>
          <w:p>
            <w:pPr>
              <w:jc w:val="center"/>
            </w:pPr>
            <w:r>
              <w:rPr>
                <w:rFonts w:hint="eastAsia"/>
              </w:rPr>
              <w:t>0.2</w:t>
            </w:r>
          </w:p>
        </w:tc>
        <w:tc>
          <w:tcPr>
            <w:tcW w:w="1212" w:type="dxa"/>
            <w:vAlign w:val="center"/>
          </w:tcPr>
          <w:p>
            <w:pPr>
              <w:jc w:val="center"/>
            </w:pPr>
            <w:r>
              <w:rPr>
                <w:rFonts w:hint="eastAsia"/>
              </w:rPr>
              <w:t>+0.2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88" w:type="dxa"/>
            <w:vMerge w:val="continue"/>
            <w:vAlign w:val="center"/>
          </w:tcPr>
          <w:p>
            <w:pPr>
              <w:pStyle w:val="37"/>
              <w:spacing w:beforeLines="0" w:line="240" w:lineRule="auto"/>
              <w:ind w:firstLine="0" w:firstLineChars="0"/>
              <w:rPr>
                <w:rFonts w:ascii="Times New Roman" w:cs="宋体"/>
                <w:snapToGrid w:val="0"/>
                <w:kern w:val="21"/>
                <w:sz w:val="21"/>
                <w:szCs w:val="21"/>
              </w:rPr>
            </w:pPr>
          </w:p>
        </w:tc>
        <w:tc>
          <w:tcPr>
            <w:tcW w:w="1417" w:type="dxa"/>
            <w:vAlign w:val="center"/>
          </w:tcPr>
          <w:p>
            <w:pPr>
              <w:jc w:val="center"/>
            </w:pPr>
            <w:r>
              <w:rPr>
                <w:rFonts w:hint="eastAsia"/>
              </w:rPr>
              <w:t>废树脂</w:t>
            </w:r>
          </w:p>
        </w:tc>
        <w:tc>
          <w:tcPr>
            <w:tcW w:w="1701" w:type="dxa"/>
            <w:vAlign w:val="center"/>
          </w:tcPr>
          <w:p>
            <w:pPr>
              <w:pStyle w:val="37"/>
              <w:spacing w:beforeLines="0" w:line="240" w:lineRule="auto"/>
              <w:ind w:firstLine="0" w:firstLineChars="0"/>
              <w:rPr>
                <w:rFonts w:ascii="Times New Roman" w:cs="宋体"/>
                <w:snapToGrid w:val="0"/>
                <w:kern w:val="21"/>
                <w:sz w:val="21"/>
                <w:szCs w:val="21"/>
              </w:rPr>
            </w:pPr>
          </w:p>
        </w:tc>
        <w:tc>
          <w:tcPr>
            <w:tcW w:w="1276" w:type="dxa"/>
            <w:vAlign w:val="center"/>
          </w:tcPr>
          <w:p>
            <w:pPr>
              <w:pStyle w:val="37"/>
              <w:spacing w:beforeLines="0" w:line="240" w:lineRule="auto"/>
              <w:ind w:firstLine="0" w:firstLineChars="0"/>
              <w:rPr>
                <w:rFonts w:ascii="Times New Roman" w:cs="宋体"/>
                <w:snapToGrid w:val="0"/>
                <w:kern w:val="21"/>
                <w:sz w:val="21"/>
                <w:szCs w:val="21"/>
              </w:rPr>
            </w:pPr>
          </w:p>
        </w:tc>
        <w:tc>
          <w:tcPr>
            <w:tcW w:w="1701" w:type="dxa"/>
            <w:vAlign w:val="center"/>
          </w:tcPr>
          <w:p>
            <w:pPr>
              <w:pStyle w:val="37"/>
              <w:spacing w:beforeLines="0" w:line="240" w:lineRule="auto"/>
              <w:ind w:firstLine="0" w:firstLineChars="0"/>
              <w:rPr>
                <w:rFonts w:ascii="Times New Roman" w:cs="宋体"/>
                <w:snapToGrid w:val="0"/>
                <w:kern w:val="21"/>
                <w:sz w:val="21"/>
                <w:szCs w:val="21"/>
              </w:rPr>
            </w:pPr>
          </w:p>
        </w:tc>
        <w:tc>
          <w:tcPr>
            <w:tcW w:w="1559" w:type="dxa"/>
            <w:vAlign w:val="center"/>
          </w:tcPr>
          <w:p>
            <w:pPr>
              <w:jc w:val="center"/>
            </w:pPr>
            <w:r>
              <w:rPr>
                <w:rFonts w:hint="eastAsia"/>
              </w:rPr>
              <w:t>0.01</w:t>
            </w:r>
          </w:p>
        </w:tc>
        <w:tc>
          <w:tcPr>
            <w:tcW w:w="1761" w:type="dxa"/>
            <w:vAlign w:val="bottom"/>
          </w:tcPr>
          <w:p>
            <w:pPr>
              <w:jc w:val="center"/>
              <w:rPr>
                <w:rFonts w:cs="宋体"/>
                <w:snapToGrid w:val="0"/>
                <w:kern w:val="21"/>
                <w:szCs w:val="21"/>
              </w:rPr>
            </w:pPr>
          </w:p>
        </w:tc>
        <w:tc>
          <w:tcPr>
            <w:tcW w:w="1573" w:type="dxa"/>
            <w:vAlign w:val="center"/>
          </w:tcPr>
          <w:p>
            <w:pPr>
              <w:jc w:val="center"/>
            </w:pPr>
            <w:r>
              <w:rPr>
                <w:rFonts w:hint="eastAsia"/>
              </w:rPr>
              <w:t>0.01</w:t>
            </w:r>
          </w:p>
        </w:tc>
        <w:tc>
          <w:tcPr>
            <w:tcW w:w="1212" w:type="dxa"/>
            <w:vAlign w:val="center"/>
          </w:tcPr>
          <w:p>
            <w:pPr>
              <w:jc w:val="center"/>
            </w:pPr>
            <w:r>
              <w:rPr>
                <w:rFonts w:hint="eastAsia"/>
              </w:rPr>
              <w:t>+0.01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88" w:type="dxa"/>
            <w:vAlign w:val="top"/>
          </w:tcPr>
          <w:p>
            <w:pPr>
              <w:pStyle w:val="37"/>
              <w:spacing w:beforeLines="0" w:line="240" w:lineRule="auto"/>
              <w:ind w:firstLine="0" w:firstLineChars="0"/>
              <w:rPr>
                <w:rFonts w:ascii="Times New Roman" w:cs="宋体"/>
                <w:snapToGrid w:val="0"/>
                <w:kern w:val="21"/>
                <w:sz w:val="21"/>
                <w:szCs w:val="21"/>
              </w:rPr>
            </w:pPr>
            <w:r>
              <w:rPr>
                <w:rFonts w:hint="eastAsia" w:ascii="Times New Roman" w:cs="宋体"/>
                <w:snapToGrid w:val="0"/>
                <w:kern w:val="21"/>
                <w:sz w:val="21"/>
                <w:szCs w:val="21"/>
              </w:rPr>
              <w:t>危险废物</w:t>
            </w:r>
          </w:p>
        </w:tc>
        <w:tc>
          <w:tcPr>
            <w:tcW w:w="1417" w:type="dxa"/>
            <w:vAlign w:val="center"/>
          </w:tcPr>
          <w:p>
            <w:pPr>
              <w:jc w:val="center"/>
            </w:pPr>
            <w:r>
              <w:rPr>
                <w:rFonts w:hint="eastAsia"/>
              </w:rPr>
              <w:t>废机油</w:t>
            </w:r>
          </w:p>
        </w:tc>
        <w:tc>
          <w:tcPr>
            <w:tcW w:w="1701" w:type="dxa"/>
            <w:vAlign w:val="top"/>
          </w:tcPr>
          <w:p>
            <w:pPr>
              <w:pStyle w:val="37"/>
              <w:spacing w:beforeLines="0" w:line="240" w:lineRule="auto"/>
              <w:ind w:firstLine="0" w:firstLineChars="0"/>
              <w:rPr>
                <w:rFonts w:ascii="Times New Roman" w:cs="宋体"/>
                <w:snapToGrid w:val="0"/>
                <w:kern w:val="21"/>
                <w:sz w:val="21"/>
                <w:szCs w:val="21"/>
              </w:rPr>
            </w:pPr>
          </w:p>
        </w:tc>
        <w:tc>
          <w:tcPr>
            <w:tcW w:w="1276" w:type="dxa"/>
            <w:vAlign w:val="top"/>
          </w:tcPr>
          <w:p>
            <w:pPr>
              <w:pStyle w:val="37"/>
              <w:spacing w:beforeLines="0" w:line="240" w:lineRule="auto"/>
              <w:ind w:firstLine="0" w:firstLineChars="0"/>
              <w:rPr>
                <w:rFonts w:ascii="Times New Roman" w:cs="宋体"/>
                <w:snapToGrid w:val="0"/>
                <w:kern w:val="21"/>
                <w:sz w:val="21"/>
                <w:szCs w:val="21"/>
              </w:rPr>
            </w:pPr>
          </w:p>
        </w:tc>
        <w:tc>
          <w:tcPr>
            <w:tcW w:w="1701" w:type="dxa"/>
            <w:vAlign w:val="top"/>
          </w:tcPr>
          <w:p>
            <w:pPr>
              <w:pStyle w:val="37"/>
              <w:spacing w:beforeLines="0" w:line="240" w:lineRule="auto"/>
              <w:ind w:firstLine="0" w:firstLineChars="0"/>
              <w:rPr>
                <w:rFonts w:ascii="Times New Roman" w:cs="宋体"/>
                <w:snapToGrid w:val="0"/>
                <w:kern w:val="21"/>
                <w:sz w:val="21"/>
                <w:szCs w:val="21"/>
              </w:rPr>
            </w:pPr>
          </w:p>
        </w:tc>
        <w:tc>
          <w:tcPr>
            <w:tcW w:w="1559" w:type="dxa"/>
            <w:vAlign w:val="center"/>
          </w:tcPr>
          <w:p>
            <w:pPr>
              <w:jc w:val="center"/>
            </w:pPr>
            <w:r>
              <w:rPr>
                <w:rFonts w:hint="eastAsia"/>
              </w:rPr>
              <w:t>0.005</w:t>
            </w:r>
          </w:p>
        </w:tc>
        <w:tc>
          <w:tcPr>
            <w:tcW w:w="1761" w:type="dxa"/>
            <w:vAlign w:val="top"/>
          </w:tcPr>
          <w:p>
            <w:pPr>
              <w:jc w:val="center"/>
              <w:rPr>
                <w:rFonts w:cs="宋体"/>
                <w:snapToGrid w:val="0"/>
                <w:kern w:val="21"/>
                <w:szCs w:val="21"/>
              </w:rPr>
            </w:pPr>
          </w:p>
        </w:tc>
        <w:tc>
          <w:tcPr>
            <w:tcW w:w="1573" w:type="dxa"/>
            <w:vAlign w:val="center"/>
          </w:tcPr>
          <w:p>
            <w:pPr>
              <w:jc w:val="center"/>
            </w:pPr>
            <w:r>
              <w:rPr>
                <w:rFonts w:hint="eastAsia"/>
              </w:rPr>
              <w:t>0.005</w:t>
            </w:r>
          </w:p>
        </w:tc>
        <w:tc>
          <w:tcPr>
            <w:tcW w:w="1212" w:type="dxa"/>
            <w:vAlign w:val="center"/>
          </w:tcPr>
          <w:p>
            <w:pPr>
              <w:jc w:val="center"/>
            </w:pPr>
            <w:r>
              <w:rPr>
                <w:rFonts w:hint="eastAsia"/>
              </w:rPr>
              <w:t>+0.005</w:t>
            </w:r>
          </w:p>
        </w:tc>
      </w:tr>
    </w:tbl>
    <w:p>
      <w:pPr>
        <w:pStyle w:val="37"/>
        <w:spacing w:beforeLines="80" w:after="24"/>
        <w:ind w:firstLine="0" w:firstLineChars="0"/>
        <w:jc w:val="left"/>
        <w:rPr>
          <w:rFonts w:ascii="Times New Roman"/>
          <w:snapToGrid w:val="0"/>
          <w:spacing w:val="-6"/>
          <w:kern w:val="21"/>
          <w:szCs w:val="21"/>
        </w:rPr>
      </w:pPr>
      <w:r>
        <w:rPr>
          <w:rFonts w:ascii="Times New Roman"/>
          <w:snapToGrid w:val="0"/>
          <w:kern w:val="21"/>
          <w:szCs w:val="21"/>
        </w:rPr>
        <w:t>注：</w:t>
      </w:r>
      <w:r>
        <w:rPr>
          <w:rFonts w:ascii="Times New Roman"/>
          <w:snapToGrid w:val="0"/>
          <w:spacing w:val="-16"/>
          <w:kern w:val="21"/>
          <w:szCs w:val="21"/>
        </w:rPr>
        <w:fldChar w:fldCharType="begin"/>
      </w:r>
      <w:r>
        <w:rPr>
          <w:rFonts w:ascii="Times New Roman"/>
          <w:snapToGrid w:val="0"/>
          <w:spacing w:val="-16"/>
          <w:kern w:val="21"/>
          <w:szCs w:val="21"/>
        </w:rPr>
        <w:instrText xml:space="preserve"> = 6 \* GB3 \* MERGEFORMAT </w:instrText>
      </w:r>
      <w:r>
        <w:rPr>
          <w:rFonts w:ascii="Times New Roman"/>
          <w:snapToGrid w:val="0"/>
          <w:spacing w:val="-16"/>
          <w:kern w:val="21"/>
          <w:szCs w:val="21"/>
        </w:rPr>
        <w:fldChar w:fldCharType="separate"/>
      </w:r>
      <w:r>
        <w:rPr>
          <w:rFonts w:hint="eastAsia" w:ascii="Times New Roman"/>
          <w:szCs w:val="21"/>
        </w:rPr>
        <w:t>⑥</w:t>
      </w:r>
      <w:r>
        <w:rPr>
          <w:rFonts w:ascii="Times New Roman"/>
          <w:snapToGrid w:val="0"/>
          <w:spacing w:val="-16"/>
          <w:kern w:val="21"/>
          <w:szCs w:val="21"/>
        </w:rPr>
        <w:fldChar w:fldCharType="end"/>
      </w:r>
      <w:r>
        <w:rPr>
          <w:rFonts w:ascii="Times New Roman"/>
          <w:snapToGrid w:val="0"/>
          <w:spacing w:val="-16"/>
          <w:kern w:val="21"/>
          <w:szCs w:val="21"/>
        </w:rPr>
        <w:t>=</w:t>
      </w:r>
      <w:r>
        <w:rPr>
          <w:rFonts w:ascii="Times New Roman"/>
          <w:snapToGrid w:val="0"/>
          <w:spacing w:val="-6"/>
          <w:kern w:val="21"/>
          <w:szCs w:val="21"/>
        </w:rPr>
        <w:fldChar w:fldCharType="begin"/>
      </w:r>
      <w:r>
        <w:rPr>
          <w:rFonts w:ascii="Times New Roman"/>
          <w:snapToGrid w:val="0"/>
          <w:spacing w:val="-6"/>
          <w:kern w:val="21"/>
          <w:szCs w:val="21"/>
        </w:rPr>
        <w:instrText xml:space="preserve"> = 1 \* GB3 \* MERGEFORMAT </w:instrText>
      </w:r>
      <w:r>
        <w:rPr>
          <w:rFonts w:ascii="Times New Roman"/>
          <w:snapToGrid w:val="0"/>
          <w:spacing w:val="-6"/>
          <w:kern w:val="21"/>
          <w:szCs w:val="21"/>
        </w:rPr>
        <w:fldChar w:fldCharType="separate"/>
      </w:r>
      <w:r>
        <w:rPr>
          <w:rFonts w:hint="eastAsia" w:ascii="Times New Roman"/>
          <w:szCs w:val="21"/>
        </w:rPr>
        <w:t>①</w:t>
      </w:r>
      <w:r>
        <w:rPr>
          <w:rFonts w:ascii="Times New Roman"/>
          <w:snapToGrid w:val="0"/>
          <w:spacing w:val="-6"/>
          <w:kern w:val="21"/>
          <w:szCs w:val="21"/>
        </w:rPr>
        <w:fldChar w:fldCharType="end"/>
      </w:r>
      <w:r>
        <w:rPr>
          <w:rFonts w:ascii="Times New Roman"/>
          <w:snapToGrid w:val="0"/>
          <w:spacing w:val="-6"/>
          <w:kern w:val="21"/>
          <w:szCs w:val="21"/>
        </w:rPr>
        <w:t>+</w:t>
      </w:r>
      <w:r>
        <w:rPr>
          <w:rFonts w:ascii="Times New Roman"/>
          <w:snapToGrid w:val="0"/>
          <w:spacing w:val="-6"/>
          <w:kern w:val="21"/>
          <w:szCs w:val="21"/>
        </w:rPr>
        <w:fldChar w:fldCharType="begin"/>
      </w:r>
      <w:r>
        <w:rPr>
          <w:rFonts w:ascii="Times New Roman"/>
          <w:snapToGrid w:val="0"/>
          <w:spacing w:val="-6"/>
          <w:kern w:val="21"/>
          <w:szCs w:val="21"/>
        </w:rPr>
        <w:instrText xml:space="preserve"> = 3 \* GB3 \* MERGEFORMAT </w:instrText>
      </w:r>
      <w:r>
        <w:rPr>
          <w:rFonts w:ascii="Times New Roman"/>
          <w:snapToGrid w:val="0"/>
          <w:spacing w:val="-6"/>
          <w:kern w:val="21"/>
          <w:szCs w:val="21"/>
        </w:rPr>
        <w:fldChar w:fldCharType="separate"/>
      </w:r>
      <w:r>
        <w:rPr>
          <w:rFonts w:hint="eastAsia" w:ascii="Times New Roman"/>
          <w:szCs w:val="21"/>
        </w:rPr>
        <w:t>③</w:t>
      </w:r>
      <w:r>
        <w:rPr>
          <w:rFonts w:ascii="Times New Roman"/>
          <w:snapToGrid w:val="0"/>
          <w:spacing w:val="-6"/>
          <w:kern w:val="21"/>
          <w:szCs w:val="21"/>
        </w:rPr>
        <w:fldChar w:fldCharType="end"/>
      </w:r>
      <w:r>
        <w:rPr>
          <w:rFonts w:ascii="Times New Roman"/>
          <w:snapToGrid w:val="0"/>
          <w:spacing w:val="-6"/>
          <w:kern w:val="21"/>
          <w:szCs w:val="21"/>
        </w:rPr>
        <w:t>+</w:t>
      </w:r>
      <w:r>
        <w:rPr>
          <w:rFonts w:ascii="Times New Roman"/>
          <w:snapToGrid w:val="0"/>
          <w:spacing w:val="-6"/>
          <w:kern w:val="21"/>
          <w:szCs w:val="21"/>
        </w:rPr>
        <w:fldChar w:fldCharType="begin"/>
      </w:r>
      <w:r>
        <w:rPr>
          <w:rFonts w:ascii="Times New Roman"/>
          <w:snapToGrid w:val="0"/>
          <w:spacing w:val="-6"/>
          <w:kern w:val="21"/>
          <w:szCs w:val="21"/>
        </w:rPr>
        <w:instrText xml:space="preserve"> = 4 \* GB3 \* MERGEFORMAT </w:instrText>
      </w:r>
      <w:r>
        <w:rPr>
          <w:rFonts w:ascii="Times New Roman"/>
          <w:snapToGrid w:val="0"/>
          <w:spacing w:val="-6"/>
          <w:kern w:val="21"/>
          <w:szCs w:val="21"/>
        </w:rPr>
        <w:fldChar w:fldCharType="separate"/>
      </w:r>
      <w:r>
        <w:rPr>
          <w:rFonts w:hint="eastAsia" w:ascii="Times New Roman"/>
          <w:szCs w:val="21"/>
        </w:rPr>
        <w:t>④</w:t>
      </w:r>
      <w:r>
        <w:rPr>
          <w:rFonts w:ascii="Times New Roman"/>
          <w:snapToGrid w:val="0"/>
          <w:spacing w:val="-6"/>
          <w:kern w:val="21"/>
          <w:szCs w:val="21"/>
        </w:rPr>
        <w:fldChar w:fldCharType="end"/>
      </w:r>
      <w:r>
        <w:rPr>
          <w:rFonts w:ascii="Times New Roman"/>
          <w:snapToGrid w:val="0"/>
          <w:spacing w:val="-6"/>
          <w:kern w:val="21"/>
          <w:szCs w:val="21"/>
        </w:rPr>
        <w:t>-</w:t>
      </w:r>
      <w:r>
        <w:rPr>
          <w:rFonts w:ascii="Times New Roman"/>
          <w:snapToGrid w:val="0"/>
          <w:spacing w:val="-16"/>
          <w:kern w:val="21"/>
          <w:szCs w:val="21"/>
        </w:rPr>
        <w:fldChar w:fldCharType="begin"/>
      </w:r>
      <w:r>
        <w:rPr>
          <w:rFonts w:ascii="Times New Roman"/>
          <w:snapToGrid w:val="0"/>
          <w:spacing w:val="-16"/>
          <w:kern w:val="21"/>
          <w:szCs w:val="21"/>
        </w:rPr>
        <w:instrText xml:space="preserve"> = 5 \* GB3 \* MERGEFORMAT </w:instrText>
      </w:r>
      <w:r>
        <w:rPr>
          <w:rFonts w:ascii="Times New Roman"/>
          <w:snapToGrid w:val="0"/>
          <w:spacing w:val="-16"/>
          <w:kern w:val="21"/>
          <w:szCs w:val="21"/>
        </w:rPr>
        <w:fldChar w:fldCharType="separate"/>
      </w:r>
      <w:r>
        <w:rPr>
          <w:rFonts w:hint="eastAsia" w:ascii="Times New Roman"/>
          <w:szCs w:val="21"/>
        </w:rPr>
        <w:t>⑤</w:t>
      </w:r>
      <w:r>
        <w:rPr>
          <w:rFonts w:ascii="Times New Roman"/>
          <w:snapToGrid w:val="0"/>
          <w:spacing w:val="-16"/>
          <w:kern w:val="21"/>
          <w:szCs w:val="21"/>
        </w:rPr>
        <w:fldChar w:fldCharType="end"/>
      </w:r>
      <w:r>
        <w:rPr>
          <w:rFonts w:ascii="Times New Roman"/>
          <w:snapToGrid w:val="0"/>
          <w:spacing w:val="-16"/>
          <w:kern w:val="21"/>
          <w:szCs w:val="21"/>
        </w:rPr>
        <w:t>；</w:t>
      </w:r>
      <w:r>
        <w:rPr>
          <w:rFonts w:ascii="Times New Roman"/>
          <w:snapToGrid w:val="0"/>
          <w:spacing w:val="-6"/>
          <w:kern w:val="21"/>
          <w:szCs w:val="21"/>
        </w:rPr>
        <w:fldChar w:fldCharType="begin"/>
      </w:r>
      <w:r>
        <w:rPr>
          <w:rFonts w:ascii="Times New Roman"/>
          <w:snapToGrid w:val="0"/>
          <w:spacing w:val="-6"/>
          <w:kern w:val="21"/>
          <w:szCs w:val="21"/>
        </w:rPr>
        <w:instrText xml:space="preserve"> = 7 \* GB3 \* MERGEFORMAT </w:instrText>
      </w:r>
      <w:r>
        <w:rPr>
          <w:rFonts w:ascii="Times New Roman"/>
          <w:snapToGrid w:val="0"/>
          <w:spacing w:val="-6"/>
          <w:kern w:val="21"/>
          <w:szCs w:val="21"/>
        </w:rPr>
        <w:fldChar w:fldCharType="separate"/>
      </w:r>
      <w:r>
        <w:rPr>
          <w:rFonts w:hint="eastAsia" w:ascii="Times New Roman"/>
          <w:szCs w:val="21"/>
        </w:rPr>
        <w:t>⑦</w:t>
      </w:r>
      <w:r>
        <w:rPr>
          <w:rFonts w:ascii="Times New Roman"/>
          <w:snapToGrid w:val="0"/>
          <w:spacing w:val="-6"/>
          <w:kern w:val="21"/>
          <w:szCs w:val="21"/>
        </w:rPr>
        <w:fldChar w:fldCharType="end"/>
      </w:r>
      <w:r>
        <w:rPr>
          <w:rFonts w:ascii="Times New Roman"/>
          <w:snapToGrid w:val="0"/>
          <w:spacing w:val="-6"/>
          <w:kern w:val="21"/>
          <w:szCs w:val="21"/>
        </w:rPr>
        <w:t>=</w:t>
      </w:r>
      <w:r>
        <w:rPr>
          <w:rFonts w:ascii="Times New Roman"/>
          <w:snapToGrid w:val="0"/>
          <w:spacing w:val="-16"/>
          <w:kern w:val="21"/>
          <w:szCs w:val="21"/>
        </w:rPr>
        <w:fldChar w:fldCharType="begin"/>
      </w:r>
      <w:r>
        <w:rPr>
          <w:rFonts w:ascii="Times New Roman"/>
          <w:snapToGrid w:val="0"/>
          <w:spacing w:val="-16"/>
          <w:kern w:val="21"/>
          <w:szCs w:val="21"/>
        </w:rPr>
        <w:instrText xml:space="preserve"> = 6 \* GB3 \* MERGEFORMAT </w:instrText>
      </w:r>
      <w:r>
        <w:rPr>
          <w:rFonts w:ascii="Times New Roman"/>
          <w:snapToGrid w:val="0"/>
          <w:spacing w:val="-16"/>
          <w:kern w:val="21"/>
          <w:szCs w:val="21"/>
        </w:rPr>
        <w:fldChar w:fldCharType="separate"/>
      </w:r>
      <w:r>
        <w:rPr>
          <w:rFonts w:hint="eastAsia" w:ascii="Times New Roman"/>
          <w:szCs w:val="21"/>
        </w:rPr>
        <w:t>⑥</w:t>
      </w:r>
      <w:r>
        <w:rPr>
          <w:rFonts w:ascii="Times New Roman"/>
          <w:snapToGrid w:val="0"/>
          <w:spacing w:val="-16"/>
          <w:kern w:val="21"/>
          <w:szCs w:val="21"/>
        </w:rPr>
        <w:fldChar w:fldCharType="end"/>
      </w:r>
      <w:r>
        <w:rPr>
          <w:rFonts w:ascii="Times New Roman"/>
          <w:snapToGrid w:val="0"/>
          <w:spacing w:val="-16"/>
          <w:kern w:val="21"/>
          <w:szCs w:val="21"/>
        </w:rPr>
        <w:t>-</w:t>
      </w:r>
      <w:r>
        <w:rPr>
          <w:rFonts w:ascii="Times New Roman"/>
          <w:snapToGrid w:val="0"/>
          <w:spacing w:val="-6"/>
          <w:kern w:val="21"/>
          <w:szCs w:val="21"/>
        </w:rPr>
        <w:fldChar w:fldCharType="begin"/>
      </w:r>
      <w:r>
        <w:rPr>
          <w:rFonts w:ascii="Times New Roman"/>
          <w:snapToGrid w:val="0"/>
          <w:spacing w:val="-6"/>
          <w:kern w:val="21"/>
          <w:szCs w:val="21"/>
        </w:rPr>
        <w:instrText xml:space="preserve"> = 1 \* GB3 \* MERGEFORMAT </w:instrText>
      </w:r>
      <w:r>
        <w:rPr>
          <w:rFonts w:ascii="Times New Roman"/>
          <w:snapToGrid w:val="0"/>
          <w:spacing w:val="-6"/>
          <w:kern w:val="21"/>
          <w:szCs w:val="21"/>
        </w:rPr>
        <w:fldChar w:fldCharType="separate"/>
      </w:r>
      <w:r>
        <w:rPr>
          <w:rFonts w:hint="eastAsia" w:ascii="Times New Roman"/>
          <w:szCs w:val="21"/>
        </w:rPr>
        <w:t>①</w:t>
      </w:r>
      <w:r>
        <w:rPr>
          <w:rFonts w:ascii="Times New Roman"/>
          <w:snapToGrid w:val="0"/>
          <w:spacing w:val="-6"/>
          <w:kern w:val="21"/>
          <w:szCs w:val="21"/>
        </w:rPr>
        <w:fldChar w:fldCharType="end"/>
      </w:r>
    </w:p>
    <w:p>
      <w:pPr>
        <w:rPr>
          <w:sz w:val="24"/>
        </w:rPr>
      </w:pPr>
      <w:r>
        <w:rPr>
          <w:rFonts w:hint="eastAsia"/>
          <w:sz w:val="24"/>
        </w:rPr>
        <w:t>单位：t/a</w:t>
      </w:r>
    </w:p>
    <w:p/>
    <w:sectPr>
      <w:footerReference r:id="rId4" w:type="default"/>
      <w:pgSz w:w="16838" w:h="11906" w:orient="landscape"/>
      <w:pgMar w:top="1531" w:right="1701" w:bottom="1531" w:left="1701"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康简魏碑">
    <w:altName w:val="宋体"/>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MingLiU">
    <w:altName w:val="PMingLiU-ExtB"/>
    <w:panose1 w:val="02020509000000000000"/>
    <w:charset w:val="88"/>
    <w:family w:val="auto"/>
    <w:pitch w:val="default"/>
    <w:sig w:usb0="00000000" w:usb1="00000000" w:usb2="00000016" w:usb3="00000000" w:csb0="00100001"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360" w:firstLine="360"/>
      <w:jc w:val="center"/>
    </w:pPr>
    <w:r>
      <w:rPr>
        <w:rFonts w:ascii="Times New Roman" w:hAnsi="Times New Roman" w:eastAsia="宋体" w:cs="Times New Roman"/>
        <w:kern w:val="0"/>
        <w:sz w:val="18"/>
        <w:szCs w:val="20"/>
        <w:lang w:val="en-US" w:eastAsia="zh-CN" w:bidi="ar-SA"/>
      </w:rPr>
      <w:pict>
        <v:shape id="文本框 2050" o:spid="_x0000_s2049" o:spt="202" type="#_x0000_t202" style="position:absolute;left:0pt;margin-top:0pt;height:144pt;width:144pt;mso-position-horizontal:center;mso-position-horizontal-relative:margin;mso-wrap-style:none;z-index:251659264;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pPr>
                  <w:pStyle w:val="17"/>
                  <w:rPr>
                    <w:rStyle w:val="30"/>
                    <w:rFonts w:ascii="宋体" w:hAnsi="宋体"/>
                    <w:sz w:val="28"/>
                    <w:szCs w:val="28"/>
                  </w:rPr>
                </w:pPr>
                <w:r>
                  <w:rPr>
                    <w:rStyle w:val="30"/>
                    <w:rFonts w:hint="eastAsia" w:ascii="宋体" w:hAnsi="宋体"/>
                    <w:sz w:val="28"/>
                    <w:szCs w:val="28"/>
                  </w:rPr>
                  <w:t>—</w:t>
                </w:r>
                <w:r>
                  <w:rPr>
                    <w:rStyle w:val="30"/>
                    <w:rFonts w:hint="eastAsia" w:ascii="宋体" w:hAnsi="宋体"/>
                    <w:sz w:val="20"/>
                  </w:rPr>
                  <w:t xml:space="preserve">  </w:t>
                </w:r>
                <w:r>
                  <w:rPr>
                    <w:rFonts w:ascii="宋体" w:hAnsi="宋体"/>
                    <w:szCs w:val="18"/>
                  </w:rPr>
                  <w:fldChar w:fldCharType="begin"/>
                </w:r>
                <w:r>
                  <w:rPr>
                    <w:rStyle w:val="30"/>
                    <w:rFonts w:ascii="宋体" w:hAnsi="宋体"/>
                    <w:szCs w:val="18"/>
                  </w:rPr>
                  <w:instrText xml:space="preserve">PAGE  </w:instrText>
                </w:r>
                <w:r>
                  <w:rPr>
                    <w:rFonts w:ascii="宋体" w:hAnsi="宋体"/>
                    <w:szCs w:val="18"/>
                  </w:rPr>
                  <w:fldChar w:fldCharType="separate"/>
                </w:r>
                <w:r>
                  <w:rPr>
                    <w:rStyle w:val="30"/>
                    <w:rFonts w:ascii="宋体" w:hAnsi="宋体"/>
                    <w:szCs w:val="18"/>
                  </w:rPr>
                  <w:t>2</w:t>
                </w:r>
                <w:r>
                  <w:rPr>
                    <w:rFonts w:ascii="宋体" w:hAnsi="宋体"/>
                    <w:szCs w:val="18"/>
                  </w:rPr>
                  <w:fldChar w:fldCharType="end"/>
                </w:r>
                <w:r>
                  <w:rPr>
                    <w:rStyle w:val="30"/>
                    <w:rFonts w:hint="eastAsia" w:ascii="宋体" w:hAnsi="宋体"/>
                    <w:szCs w:val="18"/>
                  </w:rPr>
                  <w:t xml:space="preserve"> </w:t>
                </w:r>
                <w:r>
                  <w:rPr>
                    <w:rStyle w:val="30"/>
                    <w:rFonts w:hint="eastAsia" w:ascii="宋体" w:hAnsi="宋体"/>
                    <w:sz w:val="20"/>
                  </w:rPr>
                  <w:t xml:space="preserve"> </w:t>
                </w:r>
                <w:r>
                  <w:rPr>
                    <w:rStyle w:val="30"/>
                    <w:rFonts w:hint="eastAsia" w:ascii="宋体" w:hAnsi="宋体"/>
                    <w:sz w:val="28"/>
                    <w:szCs w:val="28"/>
                  </w:rPr>
                  <w:t>—</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360" w:firstLine="360"/>
      <w:jc w:val="center"/>
    </w:pPr>
    <w:r>
      <w:rPr>
        <w:rFonts w:ascii="Times New Roman" w:hAnsi="Times New Roman" w:eastAsia="宋体" w:cs="Times New Roman"/>
        <w:kern w:val="0"/>
        <w:sz w:val="18"/>
        <w:szCs w:val="20"/>
        <w:lang w:val="en-US" w:eastAsia="zh-CN" w:bidi="ar-SA"/>
      </w:rPr>
      <w:pict>
        <v:shape id="文本框 2052" o:spid="_x0000_s2050" o:spt="202" type="#_x0000_t202" style="position:absolute;left:0pt;margin-top:0pt;height:144pt;width:144pt;mso-position-horizontal:center;mso-position-horizontal-relative:margin;mso-wrap-style:none;z-index:251660288;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pPr>
                  <w:pStyle w:val="17"/>
                  <w:rPr>
                    <w:rStyle w:val="30"/>
                    <w:rFonts w:ascii="宋体" w:hAnsi="宋体"/>
                    <w:sz w:val="28"/>
                    <w:szCs w:val="28"/>
                  </w:rPr>
                </w:pPr>
                <w:r>
                  <w:rPr>
                    <w:rStyle w:val="30"/>
                    <w:rFonts w:hint="eastAsia" w:ascii="宋体" w:hAnsi="宋体"/>
                    <w:sz w:val="28"/>
                    <w:szCs w:val="28"/>
                  </w:rPr>
                  <w:t>—</w:t>
                </w:r>
                <w:r>
                  <w:rPr>
                    <w:rStyle w:val="30"/>
                    <w:rFonts w:hint="eastAsia" w:ascii="宋体" w:hAnsi="宋体"/>
                    <w:sz w:val="20"/>
                  </w:rPr>
                  <w:t xml:space="preserve">  </w:t>
                </w:r>
                <w:r>
                  <w:rPr>
                    <w:rFonts w:ascii="宋体" w:hAnsi="宋体"/>
                    <w:sz w:val="26"/>
                    <w:szCs w:val="26"/>
                  </w:rPr>
                  <w:fldChar w:fldCharType="begin"/>
                </w:r>
                <w:r>
                  <w:rPr>
                    <w:rStyle w:val="30"/>
                    <w:rFonts w:ascii="宋体" w:hAnsi="宋体"/>
                    <w:sz w:val="26"/>
                    <w:szCs w:val="26"/>
                  </w:rPr>
                  <w:instrText xml:space="preserve">PAGE  </w:instrText>
                </w:r>
                <w:r>
                  <w:rPr>
                    <w:rFonts w:ascii="宋体" w:hAnsi="宋体"/>
                    <w:sz w:val="26"/>
                    <w:szCs w:val="26"/>
                  </w:rPr>
                  <w:fldChar w:fldCharType="separate"/>
                </w:r>
                <w:r>
                  <w:rPr>
                    <w:rStyle w:val="30"/>
                    <w:rFonts w:ascii="宋体" w:hAnsi="宋体"/>
                    <w:sz w:val="26"/>
                    <w:szCs w:val="26"/>
                  </w:rPr>
                  <w:t>46</w:t>
                </w:r>
                <w:r>
                  <w:rPr>
                    <w:rFonts w:ascii="宋体" w:hAnsi="宋体"/>
                    <w:sz w:val="26"/>
                    <w:szCs w:val="26"/>
                  </w:rPr>
                  <w:fldChar w:fldCharType="end"/>
                </w:r>
                <w:r>
                  <w:rPr>
                    <w:rStyle w:val="30"/>
                    <w:rFonts w:hint="eastAsia" w:ascii="宋体" w:hAnsi="宋体"/>
                    <w:sz w:val="20"/>
                  </w:rPr>
                  <w:t xml:space="preserve">  </w:t>
                </w:r>
                <w:r>
                  <w:rPr>
                    <w:rStyle w:val="30"/>
                    <w:rFonts w:hint="eastAsia" w:ascii="宋体" w:hAnsi="宋体"/>
                    <w:sz w:val="28"/>
                    <w:szCs w:val="28"/>
                  </w:rPr>
                  <w:t>—</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FA3B63"/>
    <w:multiLevelType w:val="multilevel"/>
    <w:tmpl w:val="19FA3B63"/>
    <w:lvl w:ilvl="0" w:tentative="0">
      <w:start w:val="1"/>
      <w:numFmt w:val="decimal"/>
      <w:pStyle w:val="82"/>
      <w:lvlText w:val="表%1"/>
      <w:lvlJc w:val="left"/>
      <w:pPr>
        <w:ind w:left="1979" w:hanging="420"/>
      </w:pPr>
      <w:rPr>
        <w:rFonts w:hint="eastAsia"/>
        <w:sz w:val="21"/>
        <w:szCs w:val="21"/>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463B1207"/>
    <w:multiLevelType w:val="multilevel"/>
    <w:tmpl w:val="463B1207"/>
    <w:lvl w:ilvl="0" w:tentative="0">
      <w:start w:val="1"/>
      <w:numFmt w:val="decimal"/>
      <w:isLgl/>
      <w:lvlText w:val="%1"/>
      <w:lvlJc w:val="left"/>
      <w:pPr>
        <w:tabs>
          <w:tab w:val="left" w:pos="425"/>
        </w:tabs>
        <w:ind w:left="680" w:hanging="680"/>
      </w:pPr>
      <w:rPr>
        <w:rFonts w:hint="eastAsia" w:cs="Times New Roman"/>
      </w:rPr>
    </w:lvl>
    <w:lvl w:ilvl="1" w:tentative="0">
      <w:start w:val="1"/>
      <w:numFmt w:val="decimal"/>
      <w:lvlText w:val="%1.%2"/>
      <w:lvlJc w:val="left"/>
      <w:pPr>
        <w:tabs>
          <w:tab w:val="left" w:pos="425"/>
        </w:tabs>
        <w:ind w:left="1361" w:hanging="1361"/>
      </w:pPr>
      <w:rPr>
        <w:rFonts w:hint="default" w:ascii="Times New Roman" w:hAnsi="Times New Roman" w:eastAsia="宋体" w:cs="Times New Roman"/>
      </w:rPr>
    </w:lvl>
    <w:lvl w:ilvl="2" w:tentative="0">
      <w:start w:val="1"/>
      <w:numFmt w:val="decimal"/>
      <w:pStyle w:val="46"/>
      <w:lvlText w:val="%1.%2.%3"/>
      <w:lvlJc w:val="left"/>
      <w:pPr>
        <w:tabs>
          <w:tab w:val="left" w:pos="1418"/>
        </w:tabs>
        <w:ind w:left="2694" w:hanging="1985"/>
      </w:pPr>
      <w:rPr>
        <w:rFonts w:hint="eastAsia" w:ascii="宋体" w:hAnsi="宋体" w:eastAsia="宋体" w:cs="Times New Roman"/>
        <w:b/>
      </w:rPr>
    </w:lvl>
    <w:lvl w:ilvl="3" w:tentative="0">
      <w:start w:val="1"/>
      <w:numFmt w:val="decimal"/>
      <w:lvlText w:val="%1.%2.%3.%4"/>
      <w:lvlJc w:val="left"/>
      <w:pPr>
        <w:tabs>
          <w:tab w:val="left" w:pos="851"/>
        </w:tabs>
        <w:ind w:left="2552" w:hanging="2552"/>
      </w:pPr>
      <w:rPr>
        <w:rFonts w:hint="eastAsia" w:cs="Times New Roman"/>
      </w:rPr>
    </w:lvl>
    <w:lvl w:ilvl="4" w:tentative="0">
      <w:start w:val="1"/>
      <w:numFmt w:val="decimal"/>
      <w:lvlRestart w:val="0"/>
      <w:lvlText w:val="表%1-%5"/>
      <w:lvlJc w:val="left"/>
      <w:pPr>
        <w:tabs>
          <w:tab w:val="left" w:pos="4423"/>
        </w:tabs>
        <w:ind w:left="4678" w:hanging="992"/>
      </w:pPr>
      <w:rPr>
        <w:rFonts w:hint="eastAsia" w:cs="Times New Roman"/>
      </w:rPr>
    </w:lvl>
    <w:lvl w:ilvl="5" w:tentative="0">
      <w:start w:val="1"/>
      <w:numFmt w:val="decimal"/>
      <w:lvlRestart w:val="0"/>
      <w:lvlText w:val="图%1-%6"/>
      <w:lvlJc w:val="left"/>
      <w:pPr>
        <w:tabs>
          <w:tab w:val="left" w:pos="3617"/>
        </w:tabs>
        <w:ind w:left="4014" w:hanging="1134"/>
      </w:pPr>
      <w:rPr>
        <w:rFonts w:cs="Times New Roman"/>
        <w:b w:val="0"/>
        <w:bCs w:val="0"/>
        <w:i w:val="0"/>
        <w:iCs w:val="0"/>
        <w:caps w:val="0"/>
        <w:smallCaps w:val="0"/>
        <w:strike w:val="0"/>
        <w:dstrike w:val="0"/>
        <w:spacing w:val="0"/>
        <w:position w:val="0"/>
        <w:u w:val="none"/>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2">
    <w:nsid w:val="543FA22C"/>
    <w:multiLevelType w:val="singleLevel"/>
    <w:tmpl w:val="543FA22C"/>
    <w:lvl w:ilvl="0" w:tentative="0">
      <w:start w:val="1"/>
      <w:numFmt w:val="bullet"/>
      <w:pStyle w:val="13"/>
      <w:lvlText w:val=""/>
      <w:lvlJc w:val="left"/>
      <w:pPr>
        <w:tabs>
          <w:tab w:val="left" w:pos="2040"/>
        </w:tabs>
        <w:ind w:left="2040" w:hanging="36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trackedChanges"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13913DC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0" w:semiHidden="0" w:name="heading 2" w:locked="1"/>
    <w:lsdException w:qFormat="1" w:unhideWhenUsed="0" w:uiPriority="0" w:semiHidden="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qFormat="1" w:unhideWhenUsed="0" w:uiPriority="0" w:semiHidden="0" w:name="toc 1" w:locked="1"/>
    <w:lsdException w:qFormat="1"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ocked="1"/>
    <w:lsdException w:unhideWhenUsed="0" w:uiPriority="0" w:semiHidden="0" w:name="footnote text" w:locked="1"/>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ocked="1"/>
    <w:lsdException w:qFormat="1" w:uiPriority="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qFormat="1" w:unhideWhenUsed="0" w:uiPriority="0" w:name="annotation reference"/>
    <w:lsdException w:unhideWhenUsed="0" w:uiPriority="0" w:semiHidden="0" w:name="line number" w:locked="1"/>
    <w:lsdException w:qFormat="1"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qFormat="1"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0" w:semiHidden="0" w:name="Subtitle" w:locked="1"/>
    <w:lsdException w:unhideWhenUsed="0" w:uiPriority="0" w:semiHidden="0" w:name="Salutation" w:locked="1"/>
    <w:lsdException w:qFormat="1" w:unhideWhenUsed="0" w:uiPriority="0" w:semiHidden="0" w:name="Date"/>
    <w:lsdException w:qFormat="1" w:unhideWhenUsed="0" w:uiPriority="0" w:semiHidden="0" w:name="Body Text First Indent" w:locked="1"/>
    <w:lsdException w:qFormat="1" w:uiPriority="99" w:semiHidden="0" w:name="Body Text First Indent 2" w:locked="1"/>
    <w:lsdException w:qFormat="1" w:unhideWhenUsed="0" w:uiPriority="0" w:semiHidden="0" w:name="Note Heading" w:locked="1"/>
    <w:lsdException w:unhideWhenUsed="0" w:uiPriority="0" w:semiHidden="0" w:name="Body Text 2" w:locked="1"/>
    <w:lsdException w:unhideWhenUsed="0" w:uiPriority="0" w:semiHidden="0" w:name="Body Text 3" w:locked="1"/>
    <w:lsdException w:qFormat="1" w:unhideWhenUsed="0" w:uiPriority="0" w:semiHidden="0" w:name="Body Text Indent 2" w:locked="1"/>
    <w:lsdException w:qFormat="1" w:unhideWhenUsed="0" w:uiPriority="99" w:semiHidden="0" w:name="Body Text Indent 3" w:locked="1"/>
    <w:lsdException w:unhideWhenUsed="0" w:uiPriority="0" w:semiHidden="0" w:name="Block Text" w:locked="1"/>
    <w:lsdException w:qFormat="1" w:unhideWhenUsed="0" w:uiPriority="0" w:semiHidden="0" w:name="Hyperlink" w:locked="1"/>
    <w:lsdException w:unhideWhenUsed="0" w:uiPriority="0" w:semiHidden="0" w:name="FollowedHyperlink" w:locked="1"/>
    <w:lsdException w:qFormat="1" w:unhideWhenUsed="0" w:uiPriority="0" w:semiHidden="0" w:name="Strong" w:locked="1"/>
    <w:lsdException w:qFormat="1" w:unhideWhenUsed="0" w:uiPriority="0" w:semiHidden="0" w:name="Emphasis" w:locked="1"/>
    <w:lsdException w:unhideWhenUsed="0" w:uiPriority="0" w:semiHidden="0" w:name="Document Map" w:locked="1"/>
    <w:lsdException w:qFormat="1" w:unhideWhenUsed="0" w:uiPriority="0" w:semiHidden="0" w:name="Plain Text" w:locked="1"/>
    <w:lsdException w:unhideWhenUsed="0" w:uiPriority="0" w:semiHidden="0" w:name="E-mail Signature" w:locked="1"/>
    <w:lsdException w:qFormat="1" w:unhideWhenUsed="0" w:uiPriority="0" w:semiHidden="0" w:name="Normal (Web)"/>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locked/>
    <w:uiPriority w:val="99"/>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4">
    <w:name w:val="heading 2"/>
    <w:basedOn w:val="1"/>
    <w:next w:val="1"/>
    <w:qFormat/>
    <w:locked/>
    <w:uiPriority w:val="0"/>
    <w:pPr>
      <w:keepNext/>
      <w:keepLines/>
      <w:spacing w:before="260" w:after="260" w:line="415" w:lineRule="auto"/>
      <w:outlineLvl w:val="1"/>
    </w:pPr>
    <w:rPr>
      <w:rFonts w:ascii="Arial" w:hAnsi="Arial" w:eastAsia="黑体"/>
      <w:b/>
      <w:bCs/>
      <w:sz w:val="32"/>
      <w:szCs w:val="32"/>
    </w:rPr>
  </w:style>
  <w:style w:type="paragraph" w:styleId="5">
    <w:name w:val="heading 3"/>
    <w:basedOn w:val="1"/>
    <w:next w:val="1"/>
    <w:qFormat/>
    <w:locked/>
    <w:uiPriority w:val="0"/>
    <w:pPr>
      <w:keepNext/>
      <w:keepLines/>
      <w:spacing w:before="260" w:after="260" w:line="415" w:lineRule="auto"/>
      <w:outlineLvl w:val="2"/>
    </w:pPr>
    <w:rPr>
      <w:b/>
      <w:bCs/>
      <w:sz w:val="32"/>
      <w:szCs w:val="32"/>
    </w:rPr>
  </w:style>
  <w:style w:type="paragraph" w:styleId="6">
    <w:name w:val="heading 4"/>
    <w:basedOn w:val="1"/>
    <w:next w:val="1"/>
    <w:qFormat/>
    <w:locked/>
    <w:uiPriority w:val="0"/>
    <w:pPr>
      <w:keepNext/>
      <w:keepLines/>
      <w:spacing w:line="480" w:lineRule="exact"/>
      <w:outlineLvl w:val="3"/>
    </w:pPr>
    <w:rPr>
      <w:b/>
    </w:rPr>
  </w:style>
  <w:style w:type="character" w:default="1" w:styleId="28">
    <w:name w:val="Default Paragraph Font"/>
    <w:semiHidden/>
    <w:unhideWhenUsed/>
    <w:qFormat/>
    <w:uiPriority w:val="1"/>
  </w:style>
  <w:style w:type="table" w:default="1" w:styleId="27">
    <w:name w:val="Normal Table"/>
    <w:semiHidden/>
    <w:unhideWhenUsed/>
    <w:uiPriority w:val="99"/>
    <w:tblPr>
      <w:tblCellMar>
        <w:top w:w="0" w:type="dxa"/>
        <w:left w:w="108" w:type="dxa"/>
        <w:bottom w:w="0" w:type="dxa"/>
        <w:right w:w="108" w:type="dxa"/>
      </w:tblCellMar>
    </w:tblPr>
  </w:style>
  <w:style w:type="paragraph" w:styleId="2">
    <w:name w:val="Body Text"/>
    <w:basedOn w:val="1"/>
    <w:next w:val="1"/>
    <w:link w:val="83"/>
    <w:qFormat/>
    <w:uiPriority w:val="0"/>
    <w:pPr>
      <w:widowControl/>
      <w:snapToGrid w:val="0"/>
      <w:spacing w:before="60" w:after="160" w:line="259" w:lineRule="auto"/>
      <w:ind w:right="113"/>
    </w:pPr>
    <w:rPr>
      <w:kern w:val="0"/>
      <w:sz w:val="18"/>
      <w:szCs w:val="20"/>
    </w:rPr>
  </w:style>
  <w:style w:type="paragraph" w:styleId="7">
    <w:name w:val="Note Heading"/>
    <w:basedOn w:val="1"/>
    <w:next w:val="1"/>
    <w:qFormat/>
    <w:locked/>
    <w:uiPriority w:val="0"/>
    <w:pPr>
      <w:jc w:val="center"/>
    </w:pPr>
  </w:style>
  <w:style w:type="paragraph" w:styleId="8">
    <w:name w:val="Normal Indent"/>
    <w:basedOn w:val="1"/>
    <w:next w:val="9"/>
    <w:qFormat/>
    <w:locked/>
    <w:uiPriority w:val="0"/>
    <w:pPr>
      <w:ind w:firstLine="420"/>
    </w:pPr>
  </w:style>
  <w:style w:type="paragraph" w:styleId="9">
    <w:name w:val="Body Text First Indent 2"/>
    <w:basedOn w:val="10"/>
    <w:unhideWhenUsed/>
    <w:qFormat/>
    <w:locked/>
    <w:uiPriority w:val="99"/>
    <w:pPr>
      <w:ind w:firstLine="420" w:firstLineChars="200"/>
    </w:pPr>
    <w:rPr>
      <w:kern w:val="2"/>
    </w:rPr>
  </w:style>
  <w:style w:type="paragraph" w:styleId="10">
    <w:name w:val="Body Text Indent"/>
    <w:basedOn w:val="1"/>
    <w:link w:val="84"/>
    <w:qFormat/>
    <w:uiPriority w:val="0"/>
    <w:pPr>
      <w:spacing w:after="120"/>
      <w:ind w:left="420" w:leftChars="200"/>
    </w:pPr>
    <w:rPr>
      <w:kern w:val="0"/>
      <w:sz w:val="24"/>
      <w:szCs w:val="20"/>
    </w:rPr>
  </w:style>
  <w:style w:type="paragraph" w:styleId="11">
    <w:name w:val="annotation text"/>
    <w:basedOn w:val="1"/>
    <w:link w:val="86"/>
    <w:semiHidden/>
    <w:qFormat/>
    <w:uiPriority w:val="0"/>
    <w:pPr>
      <w:jc w:val="left"/>
    </w:pPr>
    <w:rPr>
      <w:kern w:val="0"/>
      <w:sz w:val="24"/>
      <w:szCs w:val="20"/>
    </w:rPr>
  </w:style>
  <w:style w:type="paragraph" w:styleId="12">
    <w:name w:val="Plain Text"/>
    <w:basedOn w:val="1"/>
    <w:next w:val="1"/>
    <w:qFormat/>
    <w:locked/>
    <w:uiPriority w:val="0"/>
    <w:rPr>
      <w:rFonts w:ascii="宋体" w:hAnsi="Courier New" w:cs="Courier New"/>
      <w:szCs w:val="21"/>
    </w:rPr>
  </w:style>
  <w:style w:type="paragraph" w:styleId="13">
    <w:name w:val="List Bullet 5"/>
    <w:basedOn w:val="1"/>
    <w:qFormat/>
    <w:locked/>
    <w:uiPriority w:val="0"/>
    <w:pPr>
      <w:numPr>
        <w:ilvl w:val="0"/>
        <w:numId w:val="1"/>
      </w:numPr>
    </w:pPr>
  </w:style>
  <w:style w:type="paragraph" w:styleId="14">
    <w:name w:val="Date"/>
    <w:basedOn w:val="1"/>
    <w:next w:val="1"/>
    <w:link w:val="87"/>
    <w:qFormat/>
    <w:uiPriority w:val="0"/>
    <w:pPr>
      <w:ind w:left="100" w:leftChars="2500"/>
    </w:pPr>
    <w:rPr>
      <w:kern w:val="0"/>
      <w:sz w:val="24"/>
      <w:szCs w:val="20"/>
    </w:rPr>
  </w:style>
  <w:style w:type="paragraph" w:styleId="15">
    <w:name w:val="Body Text Indent 2"/>
    <w:basedOn w:val="1"/>
    <w:qFormat/>
    <w:locked/>
    <w:uiPriority w:val="0"/>
    <w:pPr>
      <w:adjustRightInd w:val="0"/>
      <w:snapToGrid w:val="0"/>
      <w:spacing w:line="360" w:lineRule="auto"/>
      <w:ind w:firstLine="1944" w:firstLineChars="1080"/>
    </w:pPr>
    <w:rPr>
      <w:sz w:val="18"/>
    </w:rPr>
  </w:style>
  <w:style w:type="paragraph" w:styleId="16">
    <w:name w:val="Balloon Text"/>
    <w:basedOn w:val="1"/>
    <w:link w:val="88"/>
    <w:semiHidden/>
    <w:qFormat/>
    <w:uiPriority w:val="0"/>
    <w:rPr>
      <w:kern w:val="0"/>
      <w:sz w:val="18"/>
      <w:szCs w:val="20"/>
    </w:rPr>
  </w:style>
  <w:style w:type="paragraph" w:styleId="17">
    <w:name w:val="footer"/>
    <w:basedOn w:val="1"/>
    <w:link w:val="89"/>
    <w:qFormat/>
    <w:uiPriority w:val="99"/>
    <w:pPr>
      <w:tabs>
        <w:tab w:val="center" w:pos="4153"/>
        <w:tab w:val="right" w:pos="8306"/>
      </w:tabs>
      <w:snapToGrid w:val="0"/>
      <w:jc w:val="left"/>
    </w:pPr>
    <w:rPr>
      <w:kern w:val="0"/>
      <w:sz w:val="18"/>
      <w:szCs w:val="20"/>
    </w:rPr>
  </w:style>
  <w:style w:type="paragraph" w:styleId="18">
    <w:name w:val="header"/>
    <w:basedOn w:val="1"/>
    <w:next w:val="19"/>
    <w:link w:val="85"/>
    <w:qFormat/>
    <w:uiPriority w:val="0"/>
    <w:pPr>
      <w:pBdr>
        <w:bottom w:val="single" w:color="auto" w:sz="6" w:space="1"/>
      </w:pBdr>
      <w:tabs>
        <w:tab w:val="center" w:pos="4153"/>
        <w:tab w:val="right" w:pos="8306"/>
      </w:tabs>
      <w:snapToGrid w:val="0"/>
      <w:jc w:val="center"/>
    </w:pPr>
    <w:rPr>
      <w:kern w:val="0"/>
      <w:sz w:val="18"/>
      <w:szCs w:val="20"/>
    </w:rPr>
  </w:style>
  <w:style w:type="paragraph" w:customStyle="1" w:styleId="19">
    <w:name w:val="样式5"/>
    <w:basedOn w:val="20"/>
    <w:qFormat/>
    <w:uiPriority w:val="0"/>
    <w:pPr>
      <w:spacing w:line="360" w:lineRule="auto"/>
      <w:ind w:firstLine="510"/>
    </w:pPr>
  </w:style>
  <w:style w:type="paragraph" w:customStyle="1" w:styleId="20">
    <w:name w:val="正文1"/>
    <w:basedOn w:val="1"/>
    <w:next w:val="1"/>
    <w:qFormat/>
    <w:uiPriority w:val="0"/>
    <w:pPr>
      <w:snapToGrid w:val="0"/>
      <w:spacing w:line="270" w:lineRule="exact"/>
      <w:jc w:val="center"/>
    </w:pPr>
    <w:rPr>
      <w:spacing w:val="8"/>
      <w:kern w:val="21"/>
      <w:szCs w:val="20"/>
    </w:rPr>
  </w:style>
  <w:style w:type="paragraph" w:styleId="21">
    <w:name w:val="toc 1"/>
    <w:basedOn w:val="1"/>
    <w:next w:val="1"/>
    <w:qFormat/>
    <w:locked/>
    <w:uiPriority w:val="0"/>
  </w:style>
  <w:style w:type="paragraph" w:styleId="22">
    <w:name w:val="Body Text Indent 3"/>
    <w:basedOn w:val="1"/>
    <w:qFormat/>
    <w:locked/>
    <w:uiPriority w:val="99"/>
    <w:pPr>
      <w:spacing w:line="580" w:lineRule="exact"/>
      <w:ind w:firstLine="608"/>
    </w:pPr>
    <w:rPr>
      <w:rFonts w:ascii="华康简魏碑" w:hAnsi="华康简魏碑" w:eastAsia="华康简魏碑"/>
      <w:sz w:val="28"/>
    </w:rPr>
  </w:style>
  <w:style w:type="paragraph" w:styleId="23">
    <w:name w:val="toc 2"/>
    <w:basedOn w:val="1"/>
    <w:next w:val="1"/>
    <w:qFormat/>
    <w:locked/>
    <w:uiPriority w:val="0"/>
    <w:pPr>
      <w:ind w:left="420" w:leftChars="200"/>
    </w:pPr>
  </w:style>
  <w:style w:type="paragraph" w:styleId="24">
    <w:name w:val="Normal (Web)"/>
    <w:basedOn w:val="1"/>
    <w:link w:val="90"/>
    <w:qFormat/>
    <w:uiPriority w:val="0"/>
    <w:pPr>
      <w:widowControl/>
      <w:spacing w:before="100" w:beforeAutospacing="1" w:after="100" w:afterAutospacing="1"/>
      <w:jc w:val="left"/>
    </w:pPr>
    <w:rPr>
      <w:rFonts w:ascii="宋体" w:hAnsi="宋体"/>
      <w:kern w:val="0"/>
      <w:sz w:val="24"/>
      <w:szCs w:val="20"/>
    </w:rPr>
  </w:style>
  <w:style w:type="paragraph" w:styleId="25">
    <w:name w:val="annotation subject"/>
    <w:basedOn w:val="11"/>
    <w:next w:val="11"/>
    <w:link w:val="91"/>
    <w:semiHidden/>
    <w:qFormat/>
    <w:uiPriority w:val="0"/>
    <w:rPr>
      <w:b/>
    </w:rPr>
  </w:style>
  <w:style w:type="paragraph" w:styleId="26">
    <w:name w:val="Body Text First Indent"/>
    <w:basedOn w:val="2"/>
    <w:qFormat/>
    <w:locked/>
    <w:uiPriority w:val="0"/>
    <w:pPr>
      <w:spacing w:after="120" w:line="240" w:lineRule="auto"/>
      <w:ind w:firstLine="420" w:firstLineChars="100"/>
    </w:pPr>
  </w:style>
  <w:style w:type="character" w:styleId="29">
    <w:name w:val="Strong"/>
    <w:basedOn w:val="28"/>
    <w:qFormat/>
    <w:locked/>
    <w:uiPriority w:val="0"/>
    <w:rPr>
      <w:b/>
    </w:rPr>
  </w:style>
  <w:style w:type="character" w:styleId="30">
    <w:name w:val="page number"/>
    <w:basedOn w:val="28"/>
    <w:qFormat/>
    <w:locked/>
    <w:uiPriority w:val="0"/>
  </w:style>
  <w:style w:type="character" w:styleId="31">
    <w:name w:val="Emphasis"/>
    <w:basedOn w:val="28"/>
    <w:qFormat/>
    <w:locked/>
    <w:uiPriority w:val="0"/>
    <w:rPr>
      <w:i/>
    </w:rPr>
  </w:style>
  <w:style w:type="character" w:styleId="32">
    <w:name w:val="Hyperlink"/>
    <w:basedOn w:val="28"/>
    <w:qFormat/>
    <w:locked/>
    <w:uiPriority w:val="0"/>
    <w:rPr>
      <w:color w:val="0000FF"/>
      <w:u w:val="single"/>
    </w:rPr>
  </w:style>
  <w:style w:type="character" w:styleId="33">
    <w:name w:val="annotation reference"/>
    <w:semiHidden/>
    <w:qFormat/>
    <w:uiPriority w:val="0"/>
    <w:rPr>
      <w:sz w:val="21"/>
    </w:rPr>
  </w:style>
  <w:style w:type="paragraph" w:customStyle="1" w:styleId="34">
    <w:name w:val="Default"/>
    <w:basedOn w:val="35"/>
    <w:qFormat/>
    <w:uiPriority w:val="0"/>
    <w:pPr>
      <w:widowControl w:val="0"/>
      <w:autoSpaceDE w:val="0"/>
      <w:autoSpaceDN w:val="0"/>
      <w:adjustRightInd w:val="0"/>
    </w:pPr>
    <w:rPr>
      <w:rFonts w:ascii="宋体" w:hAnsi="宋体" w:eastAsia="宋体" w:cs="宋体"/>
      <w:color w:val="000000"/>
      <w:sz w:val="24"/>
    </w:rPr>
  </w:style>
  <w:style w:type="paragraph" w:customStyle="1" w:styleId="35">
    <w:name w:val="标题 段落4级"/>
    <w:qFormat/>
    <w:uiPriority w:val="0"/>
    <w:pPr>
      <w:spacing w:line="500" w:lineRule="exact"/>
      <w:outlineLvl w:val="3"/>
    </w:pPr>
    <w:rPr>
      <w:rFonts w:ascii="Times New Roman" w:hAnsi="Times New Roman" w:eastAsia="仿宋_GB2312" w:cs="Calibri"/>
      <w:b/>
      <w:kern w:val="2"/>
      <w:sz w:val="28"/>
      <w:szCs w:val="24"/>
      <w:lang w:val="en-US" w:eastAsia="zh-CN" w:bidi="ar-SA"/>
    </w:rPr>
  </w:style>
  <w:style w:type="paragraph" w:customStyle="1" w:styleId="36">
    <w:name w:val="正文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7">
    <w:name w:val="表格"/>
    <w:basedOn w:val="38"/>
    <w:next w:val="1"/>
    <w:link w:val="106"/>
    <w:qFormat/>
    <w:uiPriority w:val="0"/>
    <w:pPr>
      <w:adjustRightInd w:val="0"/>
      <w:snapToGrid w:val="0"/>
      <w:spacing w:beforeLines="10" w:afterLines="10" w:line="259" w:lineRule="auto"/>
      <w:jc w:val="center"/>
    </w:pPr>
    <w:rPr>
      <w:rFonts w:ascii="宋体"/>
      <w:kern w:val="0"/>
      <w:szCs w:val="20"/>
    </w:rPr>
  </w:style>
  <w:style w:type="paragraph" w:customStyle="1" w:styleId="38">
    <w:name w:val="表头"/>
    <w:basedOn w:val="1"/>
    <w:next w:val="1"/>
    <w:qFormat/>
    <w:uiPriority w:val="0"/>
    <w:pPr>
      <w:spacing w:line="360" w:lineRule="auto"/>
      <w:ind w:firstLine="960" w:firstLineChars="400"/>
    </w:pPr>
    <w:rPr>
      <w:sz w:val="24"/>
    </w:rPr>
  </w:style>
  <w:style w:type="paragraph" w:customStyle="1" w:styleId="39">
    <w:name w:val="表格居中内容"/>
    <w:basedOn w:val="1"/>
    <w:qFormat/>
    <w:uiPriority w:val="0"/>
    <w:pPr>
      <w:jc w:val="center"/>
    </w:pPr>
  </w:style>
  <w:style w:type="paragraph" w:customStyle="1" w:styleId="40">
    <w:name w:val="Body text|1"/>
    <w:basedOn w:val="1"/>
    <w:qFormat/>
    <w:uiPriority w:val="0"/>
    <w:pPr>
      <w:spacing w:line="394" w:lineRule="auto"/>
    </w:pPr>
    <w:rPr>
      <w:rFonts w:ascii="MingLiU" w:hAnsi="MingLiU" w:eastAsia="MingLiU" w:cs="MingLiU"/>
      <w:sz w:val="18"/>
      <w:szCs w:val="18"/>
      <w:lang w:val="zh-TW" w:eastAsia="zh-TW" w:bidi="zh-TW"/>
    </w:rPr>
  </w:style>
  <w:style w:type="paragraph" w:customStyle="1" w:styleId="41">
    <w:name w:val="报告正文"/>
    <w:basedOn w:val="1"/>
    <w:next w:val="1"/>
    <w:qFormat/>
    <w:uiPriority w:val="0"/>
    <w:pPr>
      <w:adjustRightInd w:val="0"/>
      <w:snapToGrid w:val="0"/>
      <w:ind w:firstLine="420"/>
    </w:pPr>
    <w:rPr>
      <w:kern w:val="0"/>
      <w:szCs w:val="20"/>
    </w:rPr>
  </w:style>
  <w:style w:type="paragraph" w:customStyle="1" w:styleId="42">
    <w:name w:val="文本文本文本"/>
    <w:basedOn w:val="1"/>
    <w:qFormat/>
    <w:uiPriority w:val="0"/>
    <w:pPr>
      <w:spacing w:line="360" w:lineRule="auto"/>
      <w:ind w:firstLine="480" w:firstLineChars="200"/>
    </w:pPr>
    <w:rPr>
      <w:rFonts w:hAnsi="宋体"/>
    </w:rPr>
  </w:style>
  <w:style w:type="paragraph" w:customStyle="1" w:styleId="43">
    <w:name w:val="四级标题括号"/>
    <w:basedOn w:val="42"/>
    <w:qFormat/>
    <w:uiPriority w:val="0"/>
    <w:pPr>
      <w:outlineLvl w:val="3"/>
    </w:pPr>
    <w:rPr>
      <w:rFonts w:ascii="宋体" w:cs="宋体"/>
      <w:b/>
      <w:color w:val="000000"/>
      <w:sz w:val="24"/>
      <w:szCs w:val="20"/>
      <w:lang w:val="zh-CN"/>
    </w:rPr>
  </w:style>
  <w:style w:type="paragraph" w:customStyle="1" w:styleId="44">
    <w:name w:val="p20"/>
    <w:basedOn w:val="1"/>
    <w:qFormat/>
    <w:uiPriority w:val="0"/>
    <w:pPr>
      <w:widowControl/>
      <w:spacing w:line="360" w:lineRule="auto"/>
      <w:ind w:firstLine="420"/>
    </w:pPr>
    <w:rPr>
      <w:kern w:val="0"/>
      <w:sz w:val="30"/>
      <w:szCs w:val="30"/>
    </w:rPr>
  </w:style>
  <w:style w:type="paragraph" w:customStyle="1" w:styleId="45">
    <w:name w:val="普通(网站)2"/>
    <w:basedOn w:val="1"/>
    <w:qFormat/>
    <w:uiPriority w:val="0"/>
    <w:pPr>
      <w:widowControl/>
      <w:spacing w:before="100" w:beforeAutospacing="1" w:after="100" w:afterAutospacing="1"/>
      <w:jc w:val="left"/>
    </w:pPr>
    <w:rPr>
      <w:rFonts w:ascii="宋体" w:hAnsi="宋体"/>
      <w:sz w:val="24"/>
      <w:szCs w:val="20"/>
    </w:rPr>
  </w:style>
  <w:style w:type="paragraph" w:customStyle="1" w:styleId="46">
    <w:name w:val="三级标题3"/>
    <w:basedOn w:val="1"/>
    <w:qFormat/>
    <w:uiPriority w:val="0"/>
    <w:pPr>
      <w:numPr>
        <w:ilvl w:val="2"/>
        <w:numId w:val="2"/>
      </w:numPr>
      <w:tabs>
        <w:tab w:val="left" w:pos="425"/>
      </w:tabs>
      <w:spacing w:beforeLines="20" w:afterLines="20" w:line="360" w:lineRule="auto"/>
      <w:ind w:left="0" w:hanging="945" w:hangingChars="945"/>
      <w:outlineLvl w:val="2"/>
    </w:pPr>
    <w:rPr>
      <w:b/>
      <w:sz w:val="24"/>
      <w:lang w:val="zh-CN"/>
    </w:rPr>
  </w:style>
  <w:style w:type="paragraph" w:customStyle="1" w:styleId="47">
    <w:name w:val="O.K.表格内容"/>
    <w:basedOn w:val="1"/>
    <w:qFormat/>
    <w:uiPriority w:val="0"/>
    <w:pPr>
      <w:jc w:val="center"/>
    </w:pPr>
    <w:rPr>
      <w:snapToGrid w:val="0"/>
      <w:kern w:val="0"/>
      <w:szCs w:val="21"/>
    </w:rPr>
  </w:style>
  <w:style w:type="paragraph" w:customStyle="1" w:styleId="48">
    <w:name w:val="List Paragraph"/>
    <w:basedOn w:val="1"/>
    <w:qFormat/>
    <w:uiPriority w:val="0"/>
    <w:pPr>
      <w:ind w:firstLine="420" w:firstLineChars="200"/>
    </w:pPr>
    <w:rPr>
      <w:szCs w:val="20"/>
    </w:rPr>
  </w:style>
  <w:style w:type="paragraph" w:customStyle="1" w:styleId="49">
    <w:name w:val="0正文"/>
    <w:basedOn w:val="10"/>
    <w:qFormat/>
    <w:uiPriority w:val="0"/>
    <w:pPr>
      <w:spacing w:line="360" w:lineRule="auto"/>
      <w:ind w:firstLine="200" w:firstLineChars="200"/>
    </w:pPr>
    <w:rPr>
      <w:szCs w:val="22"/>
      <w:lang w:eastAsia="en-US"/>
    </w:rPr>
  </w:style>
  <w:style w:type="paragraph" w:customStyle="1" w:styleId="50">
    <w:name w:val="列出段落1"/>
    <w:basedOn w:val="1"/>
    <w:qFormat/>
    <w:uiPriority w:val="0"/>
    <w:pPr>
      <w:ind w:firstLine="420" w:firstLineChars="200"/>
    </w:pPr>
  </w:style>
  <w:style w:type="paragraph" w:customStyle="1" w:styleId="51">
    <w:name w:val="环保表头"/>
    <w:qFormat/>
    <w:uiPriority w:val="0"/>
    <w:pPr>
      <w:spacing w:beforeLines="50"/>
      <w:jc w:val="center"/>
    </w:pPr>
    <w:rPr>
      <w:rFonts w:ascii="宋体" w:hAnsi="宋体" w:eastAsia="Times New Roman" w:cs="Times New Roman"/>
      <w:b/>
      <w:color w:val="FF0000"/>
      <w:sz w:val="21"/>
      <w:szCs w:val="21"/>
      <w:lang w:val="en-US" w:eastAsia="zh-CN" w:bidi="ar-SA"/>
    </w:rPr>
  </w:style>
  <w:style w:type="paragraph" w:customStyle="1" w:styleId="52">
    <w:name w:val="1"/>
    <w:basedOn w:val="1"/>
    <w:next w:val="12"/>
    <w:qFormat/>
    <w:uiPriority w:val="0"/>
    <w:rPr>
      <w:rFonts w:ascii="宋体" w:hAnsi="Courier New"/>
    </w:rPr>
  </w:style>
  <w:style w:type="paragraph" w:customStyle="1" w:styleId="53">
    <w:name w:val="报告表格"/>
    <w:basedOn w:val="1"/>
    <w:next w:val="1"/>
    <w:qFormat/>
    <w:uiPriority w:val="0"/>
    <w:pPr>
      <w:autoSpaceDE w:val="0"/>
      <w:autoSpaceDN w:val="0"/>
      <w:adjustRightInd w:val="0"/>
      <w:spacing w:line="318" w:lineRule="atLeast"/>
      <w:jc w:val="center"/>
      <w:textAlignment w:val="bottom"/>
    </w:pPr>
    <w:rPr>
      <w:kern w:val="0"/>
      <w:sz w:val="24"/>
      <w:szCs w:val="20"/>
    </w:rPr>
  </w:style>
  <w:style w:type="paragraph" w:customStyle="1" w:styleId="54">
    <w:name w:val="Table Paragraph"/>
    <w:basedOn w:val="1"/>
    <w:qFormat/>
    <w:uiPriority w:val="1"/>
    <w:pPr>
      <w:jc w:val="center"/>
    </w:pPr>
    <w:rPr>
      <w:rFonts w:ascii="宋体" w:hAnsi="宋体" w:cs="宋体"/>
      <w:lang w:val="zh-CN" w:bidi="zh-CN"/>
    </w:rPr>
  </w:style>
  <w:style w:type="paragraph" w:customStyle="1" w:styleId="55">
    <w:name w:val="表内文字"/>
    <w:qFormat/>
    <w:uiPriority w:val="0"/>
    <w:pPr>
      <w:widowControl w:val="0"/>
      <w:adjustRightInd w:val="0"/>
      <w:snapToGrid w:val="0"/>
      <w:spacing w:line="240" w:lineRule="atLeast"/>
    </w:pPr>
    <w:rPr>
      <w:rFonts w:ascii="Times New Roman" w:hAnsi="Times New Roman" w:eastAsia="宋体" w:cs="Times New Roman"/>
      <w:snapToGrid w:val="0"/>
      <w:sz w:val="21"/>
      <w:lang w:val="en-US" w:eastAsia="zh-CN" w:bidi="ar-SA"/>
    </w:rPr>
  </w:style>
  <w:style w:type="paragraph" w:customStyle="1" w:styleId="56">
    <w:name w:val="韩笑表内容"/>
    <w:basedOn w:val="1"/>
    <w:qFormat/>
    <w:uiPriority w:val="0"/>
    <w:pPr>
      <w:jc w:val="center"/>
    </w:pPr>
    <w:rPr>
      <w:szCs w:val="21"/>
    </w:rPr>
  </w:style>
  <w:style w:type="paragraph" w:customStyle="1" w:styleId="57">
    <w:name w:val="4"/>
    <w:basedOn w:val="12"/>
    <w:qFormat/>
    <w:uiPriority w:val="0"/>
    <w:pPr>
      <w:spacing w:line="360" w:lineRule="auto"/>
      <w:ind w:firstLine="480" w:firstLineChars="200"/>
    </w:pPr>
    <w:rPr>
      <w:rFonts w:cs="Times New Roman"/>
      <w:color w:val="000000"/>
      <w:sz w:val="24"/>
      <w:szCs w:val="20"/>
    </w:rPr>
  </w:style>
  <w:style w:type="paragraph" w:customStyle="1" w:styleId="58">
    <w:name w:val="博士论文正文"/>
    <w:basedOn w:val="1"/>
    <w:qFormat/>
    <w:uiPriority w:val="0"/>
    <w:pPr>
      <w:snapToGrid w:val="0"/>
      <w:spacing w:line="360" w:lineRule="auto"/>
      <w:ind w:firstLine="200" w:firstLineChars="200"/>
    </w:pPr>
    <w:rPr>
      <w:sz w:val="24"/>
    </w:rPr>
  </w:style>
  <w:style w:type="paragraph" w:customStyle="1" w:styleId="59">
    <w:name w:val="正文文本1"/>
    <w:basedOn w:val="1"/>
    <w:qFormat/>
    <w:uiPriority w:val="99"/>
    <w:pPr>
      <w:spacing w:line="500" w:lineRule="exact"/>
    </w:pPr>
    <w:rPr>
      <w:rFonts w:ascii="宋体" w:hAnsi="宋体"/>
      <w:sz w:val="28"/>
    </w:rPr>
  </w:style>
  <w:style w:type="paragraph" w:customStyle="1" w:styleId="60">
    <w:name w:val="正文_1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1">
    <w:name w:val="表格标题"/>
    <w:basedOn w:val="1"/>
    <w:qFormat/>
    <w:uiPriority w:val="0"/>
    <w:pPr>
      <w:spacing w:line="360" w:lineRule="auto"/>
      <w:jc w:val="center"/>
    </w:pPr>
    <w:rPr>
      <w:sz w:val="24"/>
    </w:rPr>
  </w:style>
  <w:style w:type="paragraph" w:customStyle="1" w:styleId="62">
    <w:name w:val="图表"/>
    <w:basedOn w:val="1"/>
    <w:qFormat/>
    <w:uiPriority w:val="0"/>
    <w:pPr>
      <w:tabs>
        <w:tab w:val="left" w:pos="1322"/>
        <w:tab w:val="center" w:pos="4635"/>
      </w:tabs>
      <w:adjustRightInd w:val="0"/>
      <w:snapToGrid w:val="0"/>
      <w:jc w:val="center"/>
      <w:outlineLvl w:val="1"/>
    </w:pPr>
    <w:rPr>
      <w:rFonts w:eastAsia="黑体"/>
      <w:b/>
      <w:snapToGrid w:val="0"/>
      <w:kern w:val="0"/>
      <w:sz w:val="22"/>
      <w:szCs w:val="22"/>
    </w:rPr>
  </w:style>
  <w:style w:type="paragraph" w:customStyle="1" w:styleId="63">
    <w:name w:val="表格内容"/>
    <w:basedOn w:val="38"/>
    <w:qFormat/>
    <w:uiPriority w:val="0"/>
    <w:rPr>
      <w:kern w:val="0"/>
      <w:szCs w:val="21"/>
    </w:rPr>
  </w:style>
  <w:style w:type="paragraph" w:customStyle="1" w:styleId="64">
    <w:name w:val="xl24"/>
    <w:basedOn w:val="1"/>
    <w:qFormat/>
    <w:uiPriority w:val="0"/>
    <w:pPr>
      <w:widowControl/>
      <w:pBdr>
        <w:bottom w:val="single" w:color="auto" w:sz="4" w:space="0"/>
        <w:right w:val="single" w:color="auto" w:sz="4" w:space="0"/>
      </w:pBdr>
      <w:spacing w:before="100" w:beforeAutospacing="1" w:after="100" w:afterAutospacing="1"/>
      <w:jc w:val="center"/>
    </w:pPr>
    <w:rPr>
      <w:kern w:val="0"/>
      <w:szCs w:val="21"/>
    </w:rPr>
  </w:style>
  <w:style w:type="paragraph" w:customStyle="1" w:styleId="65">
    <w:name w:val="表格的字"/>
    <w:basedOn w:val="1"/>
    <w:qFormat/>
    <w:uiPriority w:val="0"/>
    <w:pPr>
      <w:jc w:val="center"/>
    </w:pPr>
  </w:style>
  <w:style w:type="paragraph" w:customStyle="1" w:styleId="66">
    <w:name w:val="表格文字"/>
    <w:basedOn w:val="1"/>
    <w:qFormat/>
    <w:uiPriority w:val="0"/>
    <w:pPr>
      <w:snapToGrid w:val="0"/>
      <w:jc w:val="center"/>
    </w:pPr>
    <w:rPr>
      <w:szCs w:val="21"/>
    </w:rPr>
  </w:style>
  <w:style w:type="paragraph" w:customStyle="1" w:styleId="67">
    <w:name w:val="[1]正文"/>
    <w:basedOn w:val="1"/>
    <w:qFormat/>
    <w:uiPriority w:val="0"/>
    <w:pPr>
      <w:widowControl/>
      <w:snapToGrid w:val="0"/>
      <w:spacing w:line="360" w:lineRule="auto"/>
      <w:ind w:firstLine="200" w:firstLineChars="200"/>
      <w:jc w:val="left"/>
    </w:pPr>
    <w:rPr>
      <w:rFonts w:ascii="Calibri" w:hAnsi="Calibri"/>
      <w:kern w:val="0"/>
      <w:sz w:val="24"/>
      <w:szCs w:val="28"/>
    </w:rPr>
  </w:style>
  <w:style w:type="paragraph" w:customStyle="1" w:styleId="68">
    <w:name w:val="样式 正文11 + 首行缩进:  2 字符"/>
    <w:basedOn w:val="69"/>
    <w:qFormat/>
    <w:uiPriority w:val="0"/>
    <w:pPr>
      <w:spacing w:line="500" w:lineRule="exact"/>
      <w:ind w:firstLine="560" w:firstLineChars="200"/>
    </w:pPr>
    <w:rPr>
      <w:rFonts w:ascii="宋体" w:hAnsi="宋体" w:cs="宋体"/>
      <w:color w:val="FF0000"/>
      <w:sz w:val="28"/>
    </w:rPr>
  </w:style>
  <w:style w:type="paragraph" w:customStyle="1" w:styleId="69">
    <w:name w:val="O.K.1"/>
    <w:basedOn w:val="4"/>
    <w:qFormat/>
    <w:uiPriority w:val="0"/>
    <w:pPr>
      <w:ind w:firstLine="482"/>
    </w:pPr>
  </w:style>
  <w:style w:type="paragraph" w:customStyle="1" w:styleId="70">
    <w:name w:val="雷丹正文"/>
    <w:basedOn w:val="1"/>
    <w:qFormat/>
    <w:uiPriority w:val="0"/>
    <w:pPr>
      <w:adjustRightInd w:val="0"/>
      <w:snapToGrid w:val="0"/>
    </w:pPr>
  </w:style>
  <w:style w:type="paragraph" w:customStyle="1" w:styleId="71">
    <w:name w:val="正文文本缩进 31"/>
    <w:basedOn w:val="1"/>
    <w:qFormat/>
    <w:uiPriority w:val="0"/>
    <w:pPr>
      <w:spacing w:after="120"/>
      <w:ind w:left="420" w:leftChars="200"/>
    </w:pPr>
    <w:rPr>
      <w:sz w:val="16"/>
      <w:szCs w:val="16"/>
    </w:rPr>
  </w:style>
  <w:style w:type="paragraph" w:customStyle="1" w:styleId="72">
    <w:name w:val="报告表表头"/>
    <w:basedOn w:val="1"/>
    <w:qFormat/>
    <w:uiPriority w:val="0"/>
    <w:pPr>
      <w:adjustRightInd w:val="0"/>
      <w:ind w:firstLine="480"/>
      <w:jc w:val="center"/>
      <w:textAlignment w:val="baseline"/>
    </w:pPr>
    <w:rPr>
      <w:b/>
      <w:bCs/>
      <w:szCs w:val="21"/>
    </w:rPr>
  </w:style>
  <w:style w:type="paragraph" w:customStyle="1" w:styleId="73">
    <w:name w:val="我的正文"/>
    <w:basedOn w:val="1"/>
    <w:qFormat/>
    <w:uiPriority w:val="0"/>
    <w:pPr>
      <w:spacing w:line="360" w:lineRule="auto"/>
      <w:ind w:firstLine="200" w:firstLineChars="200"/>
    </w:pPr>
    <w:rPr>
      <w:kern w:val="0"/>
      <w:sz w:val="24"/>
    </w:rPr>
  </w:style>
  <w:style w:type="paragraph" w:customStyle="1" w:styleId="74">
    <w:name w:val="Table Text"/>
    <w:basedOn w:val="1"/>
    <w:semiHidden/>
    <w:qFormat/>
    <w:uiPriority w:val="0"/>
    <w:rPr>
      <w:rFonts w:ascii="仿宋" w:hAnsi="仿宋" w:eastAsia="仿宋" w:cs="仿宋"/>
      <w:sz w:val="24"/>
      <w:lang w:eastAsia="en-US"/>
    </w:rPr>
  </w:style>
  <w:style w:type="paragraph" w:customStyle="1" w:styleId="75">
    <w:name w:val="正文内容（环科院报告书）"/>
    <w:basedOn w:val="1"/>
    <w:qFormat/>
    <w:uiPriority w:val="0"/>
    <w:pPr>
      <w:spacing w:line="360" w:lineRule="auto"/>
      <w:ind w:firstLine="480" w:firstLineChars="200"/>
    </w:pPr>
    <w:rPr>
      <w:sz w:val="24"/>
      <w:szCs w:val="20"/>
    </w:rPr>
  </w:style>
  <w:style w:type="paragraph" w:customStyle="1" w:styleId="76">
    <w:name w:val="Normal (Web)1"/>
    <w:basedOn w:val="1"/>
    <w:next w:val="77"/>
    <w:qFormat/>
    <w:uiPriority w:val="0"/>
    <w:pPr>
      <w:widowControl/>
    </w:pPr>
    <w:rPr>
      <w:rFonts w:ascii="宋体"/>
      <w:sz w:val="24"/>
      <w:szCs w:val="21"/>
    </w:rPr>
  </w:style>
  <w:style w:type="paragraph" w:customStyle="1" w:styleId="77">
    <w:name w:val="Date1"/>
    <w:basedOn w:val="1"/>
    <w:next w:val="1"/>
    <w:qFormat/>
    <w:uiPriority w:val="0"/>
    <w:pPr>
      <w:ind w:left="2500" w:leftChars="2500"/>
    </w:pPr>
  </w:style>
  <w:style w:type="paragraph" w:customStyle="1" w:styleId="78">
    <w:name w:val="正文 任"/>
    <w:basedOn w:val="2"/>
    <w:qFormat/>
    <w:uiPriority w:val="0"/>
    <w:pPr>
      <w:ind w:firstLine="480" w:firstLineChars="200"/>
    </w:pPr>
  </w:style>
  <w:style w:type="paragraph" w:customStyle="1" w:styleId="79">
    <w:name w:val="任表格"/>
    <w:basedOn w:val="1"/>
    <w:qFormat/>
    <w:uiPriority w:val="0"/>
    <w:pPr>
      <w:jc w:val="center"/>
    </w:pPr>
    <w:rPr>
      <w:szCs w:val="21"/>
    </w:rPr>
  </w:style>
  <w:style w:type="paragraph" w:customStyle="1" w:styleId="80">
    <w:name w:val="环评正文2"/>
    <w:basedOn w:val="1"/>
    <w:qFormat/>
    <w:uiPriority w:val="0"/>
    <w:pPr>
      <w:ind w:firstLine="1680" w:firstLineChars="200"/>
    </w:pPr>
  </w:style>
  <w:style w:type="paragraph" w:customStyle="1" w:styleId="81">
    <w:name w:val="正文5"/>
    <w:qFormat/>
    <w:uiPriority w:val="0"/>
    <w:pPr>
      <w:spacing w:line="360" w:lineRule="auto"/>
      <w:ind w:firstLine="200" w:firstLineChars="200"/>
    </w:pPr>
    <w:rPr>
      <w:rFonts w:ascii="Times New Roman" w:hAnsi="Times New Roman" w:eastAsia="宋体" w:cs="宋体"/>
      <w:sz w:val="24"/>
      <w:lang w:val="en-US" w:eastAsia="zh-CN" w:bidi="ar-SA"/>
    </w:rPr>
  </w:style>
  <w:style w:type="paragraph" w:customStyle="1" w:styleId="82">
    <w:name w:val="bgb表头"/>
    <w:basedOn w:val="1"/>
    <w:next w:val="1"/>
    <w:qFormat/>
    <w:uiPriority w:val="0"/>
    <w:pPr>
      <w:numPr>
        <w:ilvl w:val="0"/>
        <w:numId w:val="3"/>
      </w:numPr>
      <w:adjustRightInd w:val="0"/>
      <w:snapToGrid w:val="0"/>
      <w:contextualSpacing/>
      <w:jc w:val="center"/>
    </w:pPr>
    <w:rPr>
      <w:rFonts w:ascii="Calibri" w:hAnsi="Calibri"/>
      <w:b/>
      <w:color w:val="000000"/>
      <w:kern w:val="0"/>
      <w:szCs w:val="21"/>
    </w:rPr>
  </w:style>
  <w:style w:type="character" w:customStyle="1" w:styleId="83">
    <w:name w:val="正文文本 Char Char"/>
    <w:link w:val="2"/>
    <w:uiPriority w:val="0"/>
    <w:rPr>
      <w:sz w:val="18"/>
    </w:rPr>
  </w:style>
  <w:style w:type="character" w:customStyle="1" w:styleId="84">
    <w:name w:val="正文文本缩进 Char Char"/>
    <w:link w:val="10"/>
    <w:uiPriority w:val="0"/>
    <w:rPr>
      <w:rFonts w:ascii="Times New Roman" w:hAnsi="Times New Roman" w:eastAsia="宋体"/>
      <w:sz w:val="24"/>
    </w:rPr>
  </w:style>
  <w:style w:type="character" w:customStyle="1" w:styleId="85">
    <w:name w:val="页眉 Char Char"/>
    <w:link w:val="18"/>
    <w:uiPriority w:val="0"/>
    <w:rPr>
      <w:sz w:val="18"/>
    </w:rPr>
  </w:style>
  <w:style w:type="character" w:customStyle="1" w:styleId="86">
    <w:name w:val="批注文字 Char Char"/>
    <w:link w:val="11"/>
    <w:uiPriority w:val="0"/>
    <w:rPr>
      <w:rFonts w:ascii="Times New Roman" w:hAnsi="Times New Roman" w:eastAsia="宋体"/>
      <w:sz w:val="24"/>
    </w:rPr>
  </w:style>
  <w:style w:type="character" w:customStyle="1" w:styleId="87">
    <w:name w:val="日期 Char Char"/>
    <w:link w:val="14"/>
    <w:uiPriority w:val="0"/>
    <w:rPr>
      <w:rFonts w:ascii="Times New Roman" w:hAnsi="Times New Roman" w:eastAsia="宋体"/>
      <w:sz w:val="24"/>
    </w:rPr>
  </w:style>
  <w:style w:type="character" w:customStyle="1" w:styleId="88">
    <w:name w:val="批注框文本 Char Char"/>
    <w:link w:val="16"/>
    <w:uiPriority w:val="0"/>
    <w:rPr>
      <w:rFonts w:ascii="Times New Roman" w:hAnsi="Times New Roman" w:eastAsia="宋体"/>
      <w:sz w:val="18"/>
    </w:rPr>
  </w:style>
  <w:style w:type="character" w:customStyle="1" w:styleId="89">
    <w:name w:val="页脚 Char Char"/>
    <w:link w:val="17"/>
    <w:uiPriority w:val="99"/>
    <w:rPr>
      <w:sz w:val="18"/>
    </w:rPr>
  </w:style>
  <w:style w:type="character" w:customStyle="1" w:styleId="90">
    <w:name w:val="普通(网站) Char Char"/>
    <w:link w:val="24"/>
    <w:uiPriority w:val="0"/>
    <w:rPr>
      <w:rFonts w:ascii="宋体" w:hAnsi="宋体" w:eastAsia="宋体"/>
      <w:sz w:val="24"/>
    </w:rPr>
  </w:style>
  <w:style w:type="character" w:customStyle="1" w:styleId="91">
    <w:name w:val="批注主题 Char Char"/>
    <w:link w:val="25"/>
    <w:uiPriority w:val="0"/>
    <w:rPr>
      <w:rFonts w:ascii="Times New Roman" w:hAnsi="Times New Roman" w:eastAsia="宋体"/>
      <w:b/>
      <w:kern w:val="2"/>
      <w:sz w:val="24"/>
    </w:rPr>
  </w:style>
  <w:style w:type="character" w:customStyle="1" w:styleId="92">
    <w:name w:val="font51"/>
    <w:basedOn w:val="28"/>
    <w:qFormat/>
    <w:uiPriority w:val="0"/>
    <w:rPr>
      <w:rFonts w:hint="default" w:ascii="Times New Roman" w:hAnsi="Times New Roman" w:cs="Times New Roman"/>
      <w:color w:val="000000"/>
      <w:sz w:val="21"/>
      <w:szCs w:val="21"/>
      <w:u w:val="none"/>
      <w:vertAlign w:val="superscript"/>
    </w:rPr>
  </w:style>
  <w:style w:type="character" w:customStyle="1" w:styleId="93">
    <w:name w:val="font101"/>
    <w:basedOn w:val="28"/>
    <w:qFormat/>
    <w:uiPriority w:val="0"/>
    <w:rPr>
      <w:rFonts w:hint="default" w:ascii="Times New Roman" w:hAnsi="Times New Roman" w:cs="Times New Roman"/>
      <w:color w:val="000000"/>
      <w:sz w:val="21"/>
      <w:szCs w:val="21"/>
      <w:u w:val="none"/>
    </w:rPr>
  </w:style>
  <w:style w:type="character" w:customStyle="1" w:styleId="94">
    <w:name w:val="font31"/>
    <w:basedOn w:val="28"/>
    <w:qFormat/>
    <w:uiPriority w:val="0"/>
    <w:rPr>
      <w:rFonts w:hint="eastAsia" w:ascii="宋体" w:hAnsi="宋体" w:eastAsia="宋体" w:cs="宋体"/>
      <w:color w:val="000000"/>
      <w:sz w:val="21"/>
      <w:szCs w:val="21"/>
      <w:u w:val="none"/>
    </w:rPr>
  </w:style>
  <w:style w:type="character" w:customStyle="1" w:styleId="95">
    <w:name w:val="页脚 字符"/>
    <w:basedOn w:val="28"/>
    <w:qFormat/>
    <w:uiPriority w:val="99"/>
  </w:style>
  <w:style w:type="character" w:customStyle="1" w:styleId="96">
    <w:name w:val="批注文字 字符1"/>
    <w:semiHidden/>
    <w:qFormat/>
    <w:uiPriority w:val="0"/>
    <w:rPr>
      <w:rFonts w:ascii="Times New Roman" w:hAnsi="Times New Roman" w:eastAsia="宋体"/>
      <w:sz w:val="24"/>
    </w:rPr>
  </w:style>
  <w:style w:type="character" w:customStyle="1" w:styleId="97">
    <w:name w:val="font81"/>
    <w:basedOn w:val="28"/>
    <w:qFormat/>
    <w:uiPriority w:val="0"/>
    <w:rPr>
      <w:rFonts w:hint="eastAsia" w:ascii="宋体" w:hAnsi="宋体" w:eastAsia="宋体" w:cs="宋体"/>
      <w:color w:val="000000"/>
      <w:sz w:val="21"/>
      <w:szCs w:val="21"/>
      <w:u w:val="none"/>
      <w:vertAlign w:val="superscript"/>
    </w:rPr>
  </w:style>
  <w:style w:type="character" w:customStyle="1" w:styleId="98">
    <w:name w:val="标题 3 Char Char Char"/>
    <w:qFormat/>
    <w:uiPriority w:val="0"/>
    <w:rPr>
      <w:rFonts w:ascii="宋体" w:hAnsi="宋体" w:cs="Arial"/>
      <w:sz w:val="24"/>
      <w:szCs w:val="32"/>
    </w:rPr>
  </w:style>
  <w:style w:type="character" w:customStyle="1" w:styleId="99">
    <w:name w:val="font01"/>
    <w:basedOn w:val="28"/>
    <w:qFormat/>
    <w:uiPriority w:val="0"/>
    <w:rPr>
      <w:rFonts w:hint="default" w:ascii="Times New Roman" w:hAnsi="Times New Roman" w:cs="Times New Roman"/>
      <w:color w:val="000000"/>
      <w:sz w:val="21"/>
      <w:szCs w:val="21"/>
      <w:u w:val="none"/>
      <w:vertAlign w:val="superscript"/>
    </w:rPr>
  </w:style>
  <w:style w:type="character" w:customStyle="1" w:styleId="100">
    <w:name w:val="font71"/>
    <w:basedOn w:val="28"/>
    <w:qFormat/>
    <w:uiPriority w:val="0"/>
    <w:rPr>
      <w:rFonts w:hint="default" w:ascii="Times New Roman" w:hAnsi="Times New Roman" w:cs="Times New Roman"/>
      <w:color w:val="000000"/>
      <w:sz w:val="21"/>
      <w:szCs w:val="21"/>
      <w:u w:val="none"/>
      <w:vertAlign w:val="superscript"/>
    </w:rPr>
  </w:style>
  <w:style w:type="character" w:customStyle="1" w:styleId="101">
    <w:name w:val="font11"/>
    <w:basedOn w:val="28"/>
    <w:qFormat/>
    <w:uiPriority w:val="0"/>
    <w:rPr>
      <w:rFonts w:hint="eastAsia" w:ascii="宋体" w:hAnsi="宋体" w:eastAsia="宋体" w:cs="宋体"/>
      <w:color w:val="000000"/>
      <w:sz w:val="21"/>
      <w:szCs w:val="21"/>
      <w:u w:val="none"/>
      <w:vertAlign w:val="superscript"/>
    </w:rPr>
  </w:style>
  <w:style w:type="character" w:customStyle="1" w:styleId="102">
    <w:name w:val="font91"/>
    <w:basedOn w:val="28"/>
    <w:qFormat/>
    <w:uiPriority w:val="0"/>
    <w:rPr>
      <w:rFonts w:hint="eastAsia" w:ascii="宋体" w:hAnsi="宋体" w:eastAsia="宋体" w:cs="宋体"/>
      <w:color w:val="000000"/>
      <w:sz w:val="18"/>
      <w:szCs w:val="18"/>
      <w:u w:val="none"/>
      <w:vertAlign w:val="superscript"/>
    </w:rPr>
  </w:style>
  <w:style w:type="character" w:customStyle="1" w:styleId="103">
    <w:name w:val="font41"/>
    <w:basedOn w:val="28"/>
    <w:qFormat/>
    <w:uiPriority w:val="0"/>
    <w:rPr>
      <w:rFonts w:hint="eastAsia" w:ascii="宋体" w:hAnsi="宋体" w:eastAsia="宋体" w:cs="宋体"/>
      <w:color w:val="000000"/>
      <w:sz w:val="21"/>
      <w:szCs w:val="21"/>
      <w:u w:val="none"/>
      <w:vertAlign w:val="superscript"/>
    </w:rPr>
  </w:style>
  <w:style w:type="character" w:customStyle="1" w:styleId="104">
    <w:name w:val="正文文本 字符1"/>
    <w:semiHidden/>
    <w:qFormat/>
    <w:uiPriority w:val="0"/>
    <w:rPr>
      <w:rFonts w:ascii="Times New Roman" w:hAnsi="Times New Roman" w:eastAsia="宋体"/>
      <w:sz w:val="24"/>
    </w:rPr>
  </w:style>
  <w:style w:type="character" w:customStyle="1" w:styleId="105">
    <w:name w:val="font61"/>
    <w:basedOn w:val="28"/>
    <w:qFormat/>
    <w:uiPriority w:val="0"/>
    <w:rPr>
      <w:rFonts w:hint="default" w:ascii="Times New Roman" w:hAnsi="Times New Roman" w:cs="Times New Roman"/>
      <w:color w:val="000000"/>
      <w:sz w:val="21"/>
      <w:szCs w:val="21"/>
      <w:u w:val="none"/>
    </w:rPr>
  </w:style>
  <w:style w:type="character" w:customStyle="1" w:styleId="106">
    <w:name w:val="表格 Char Char"/>
    <w:link w:val="37"/>
    <w:qFormat/>
    <w:locked/>
    <w:uiPriority w:val="0"/>
    <w:rPr>
      <w:rFonts w:ascii="宋体"/>
      <w:sz w:val="21"/>
    </w:rPr>
  </w:style>
  <w:style w:type="character" w:customStyle="1" w:styleId="107">
    <w:name w:val="font21"/>
    <w:basedOn w:val="28"/>
    <w:qFormat/>
    <w:uiPriority w:val="0"/>
    <w:rPr>
      <w:rFonts w:hint="default" w:ascii="Times New Roman" w:hAnsi="Times New Roman" w:cs="Times New Roman"/>
      <w:color w:val="000000"/>
      <w:sz w:val="21"/>
      <w:szCs w:val="21"/>
      <w:u w:val="none"/>
    </w:rPr>
  </w:style>
  <w:style w:type="character" w:customStyle="1" w:styleId="108">
    <w:name w:val="日期 字符"/>
    <w:semiHidden/>
    <w:qFormat/>
    <w:uiPriority w:val="0"/>
    <w:rPr>
      <w:rFonts w:ascii="Times New Roman" w:hAnsi="Times New Roman" w:eastAsia="宋体"/>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4.wmf"/><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12.wmf"/><Relationship Id="rId24" Type="http://schemas.openxmlformats.org/officeDocument/2006/relationships/oleObject" Target="embeddings/oleObject8.bin"/><Relationship Id="rId23" Type="http://schemas.openxmlformats.org/officeDocument/2006/relationships/image" Target="media/image11.wmf"/><Relationship Id="rId22" Type="http://schemas.openxmlformats.org/officeDocument/2006/relationships/oleObject" Target="embeddings/oleObject7.bin"/><Relationship Id="rId21" Type="http://schemas.openxmlformats.org/officeDocument/2006/relationships/image" Target="media/image10.wmf"/><Relationship Id="rId20" Type="http://schemas.openxmlformats.org/officeDocument/2006/relationships/oleObject" Target="embeddings/oleObject6.bin"/><Relationship Id="rId2" Type="http://schemas.openxmlformats.org/officeDocument/2006/relationships/settings" Target="settings.xml"/><Relationship Id="rId19" Type="http://schemas.openxmlformats.org/officeDocument/2006/relationships/image" Target="media/image9.wmf"/><Relationship Id="rId18" Type="http://schemas.openxmlformats.org/officeDocument/2006/relationships/oleObject" Target="embeddings/oleObject5.bin"/><Relationship Id="rId17" Type="http://schemas.openxmlformats.org/officeDocument/2006/relationships/image" Target="media/image8.wmf"/><Relationship Id="rId16" Type="http://schemas.openxmlformats.org/officeDocument/2006/relationships/oleObject" Target="embeddings/oleObject4.bin"/><Relationship Id="rId15" Type="http://schemas.openxmlformats.org/officeDocument/2006/relationships/image" Target="media/image7.wmf"/><Relationship Id="rId14" Type="http://schemas.openxmlformats.org/officeDocument/2006/relationships/oleObject" Target="embeddings/oleObject3.bin"/><Relationship Id="rId13" Type="http://schemas.openxmlformats.org/officeDocument/2006/relationships/image" Target="media/image6.wmf"/><Relationship Id="rId12" Type="http://schemas.openxmlformats.org/officeDocument/2006/relationships/oleObject" Target="embeddings/oleObject2.bin"/><Relationship Id="rId11" Type="http://schemas.openxmlformats.org/officeDocument/2006/relationships/image" Target="media/image5.w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49"/>
    <customShpInfo spid="_x0000_s2050"/>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wdzx97.dot</Template>
  <Company>微软中国</Company>
  <Pages>46</Pages>
  <Words>5097</Words>
  <Characters>29057</Characters>
  <Lines>242</Lines>
  <Paragraphs>68</Paragraphs>
  <TotalTime>0</TotalTime>
  <ScaleCrop>false</ScaleCrop>
  <LinksUpToDate>false</LinksUpToDate>
  <CharactersWithSpaces>0</CharactersWithSpaces>
  <Application>WPS Office_11.8.2.12011_F1E327BC-269C-435d-A152-05C5408002CA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2020-12-24T01:29:00Z</dcterms:created>
  <dc:creator>lhj</dc:creator>
  <cp:lastModifiedBy>Administrator</cp:lastModifiedBy>
  <cp:lastPrinted>2024-05-29T07:05:00Z</cp:lastPrinted>
  <dcterms:modified xsi:type="dcterms:W3CDTF">2026-09-10T08:38:28Z</dcterms:modified>
  <dc:title>附件2</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2052-11.8.2.12011</vt:lpwstr>
  </property>
  <property fmtid="{D5CDD505-2E9C-101B-9397-08002B2CF9AE}" pid="3" name="ICV">
    <vt:lpwstr>EC764A24C29F462F982D9A3E7E893A83_13</vt:lpwstr>
  </property>
  <property fmtid="{D5CDD505-2E9C-101B-9397-08002B2CF9AE}" pid="4" name="KSOTemplateDocerSaveRecord">
    <vt:lpwstr>eyJoZGlkIjoiNzczZDI4ODMwNjhiNTJkZDQyYmQ5ZmU2M2JjYmQxZTMiLCJ1c2VySWQiOiIyNzIxMjQ4NSJ9</vt:lpwstr>
  </property>
</Properties>
</file>