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rPr>
          <w:sz w:val="24"/>
          <w:szCs w:val="24"/>
        </w:rPr>
      </w:pPr>
    </w:p>
    <w:p>
      <w:pPr>
        <w:pStyle w:val="2"/>
        <w:spacing w:before="0" w:after="0" w:line="240" w:lineRule="auto"/>
        <w:ind w:firstLine="148" w:firstLineChars="49"/>
        <w:rPr>
          <w:bCs w:val="0"/>
          <w:kern w:val="2"/>
          <w:sz w:val="30"/>
          <w:szCs w:val="20"/>
        </w:rPr>
      </w:pPr>
      <w:bookmarkStart w:id="0" w:name="_Toc18346"/>
      <w:r>
        <w:rPr>
          <w:rFonts w:eastAsia="黑体"/>
          <w:snapToGrid w:val="0"/>
          <w:sz w:val="30"/>
          <w:szCs w:val="30"/>
        </w:rPr>
        <w:t>一、建设项目基本情况</w:t>
      </w:r>
      <w:bookmarkEnd w:id="0"/>
    </w:p>
    <w:tbl>
      <w:tblPr>
        <w:tblStyle w:val="26"/>
        <w:tblW w:w="87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97"/>
        <w:gridCol w:w="2068"/>
        <w:gridCol w:w="1871"/>
        <w:gridCol w:w="27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997" w:type="dxa"/>
            <w:vAlign w:val="center"/>
          </w:tcPr>
          <w:p>
            <w:pPr>
              <w:jc w:val="center"/>
              <w:rPr>
                <w:szCs w:val="21"/>
              </w:rPr>
            </w:pPr>
            <w:r>
              <w:rPr>
                <w:szCs w:val="21"/>
              </w:rPr>
              <w:t>建设项目名称</w:t>
            </w:r>
          </w:p>
        </w:tc>
        <w:tc>
          <w:tcPr>
            <w:tcW w:w="6720" w:type="dxa"/>
            <w:gridSpan w:val="3"/>
            <w:vAlign w:val="center"/>
          </w:tcPr>
          <w:p>
            <w:pPr>
              <w:jc w:val="center"/>
              <w:rPr>
                <w:szCs w:val="21"/>
              </w:rPr>
            </w:pPr>
            <w:r>
              <w:rPr>
                <w:szCs w:val="21"/>
              </w:rPr>
              <w:t>柳河赵氏木业有限公司锅炉改造项目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97" w:type="dxa"/>
            <w:vAlign w:val="center"/>
          </w:tcPr>
          <w:p>
            <w:pPr>
              <w:jc w:val="center"/>
              <w:rPr>
                <w:szCs w:val="21"/>
              </w:rPr>
            </w:pPr>
            <w:r>
              <w:rPr>
                <w:szCs w:val="21"/>
              </w:rPr>
              <w:t>项目代码</w:t>
            </w:r>
          </w:p>
        </w:tc>
        <w:tc>
          <w:tcPr>
            <w:tcW w:w="6720" w:type="dxa"/>
            <w:gridSpan w:val="3"/>
            <w:vAlign w:val="center"/>
          </w:tcPr>
          <w:p>
            <w:pPr>
              <w:jc w:val="center"/>
              <w:rPr>
                <w:szCs w:val="21"/>
              </w:rPr>
            </w:pPr>
            <w:r>
              <w:rPr>
                <w:szCs w:val="21"/>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97" w:type="dxa"/>
            <w:vAlign w:val="center"/>
          </w:tcPr>
          <w:p>
            <w:pPr>
              <w:jc w:val="center"/>
              <w:rPr>
                <w:szCs w:val="21"/>
              </w:rPr>
            </w:pPr>
            <w:r>
              <w:rPr>
                <w:szCs w:val="21"/>
              </w:rPr>
              <w:t>建设单位联系人</w:t>
            </w:r>
          </w:p>
        </w:tc>
        <w:tc>
          <w:tcPr>
            <w:tcW w:w="2068" w:type="dxa"/>
            <w:vAlign w:val="center"/>
          </w:tcPr>
          <w:p>
            <w:pPr>
              <w:jc w:val="center"/>
              <w:rPr>
                <w:szCs w:val="21"/>
              </w:rPr>
            </w:pPr>
            <w:r>
              <w:rPr>
                <w:szCs w:val="21"/>
              </w:rPr>
              <w:t>陈国东</w:t>
            </w:r>
          </w:p>
        </w:tc>
        <w:tc>
          <w:tcPr>
            <w:tcW w:w="1871" w:type="dxa"/>
            <w:vAlign w:val="center"/>
          </w:tcPr>
          <w:p>
            <w:pPr>
              <w:jc w:val="center"/>
              <w:rPr>
                <w:szCs w:val="21"/>
              </w:rPr>
            </w:pPr>
            <w:r>
              <w:rPr>
                <w:szCs w:val="21"/>
              </w:rPr>
              <w:t>联系方式</w:t>
            </w:r>
          </w:p>
        </w:tc>
        <w:tc>
          <w:tcPr>
            <w:tcW w:w="2781" w:type="dxa"/>
            <w:vAlign w:val="center"/>
          </w:tcPr>
          <w:p>
            <w:pPr>
              <w:jc w:val="center"/>
              <w:rPr>
                <w:szCs w:val="21"/>
              </w:rPr>
            </w:pPr>
            <w:r>
              <w:rPr>
                <w:szCs w:val="21"/>
              </w:rPr>
              <w:t>18743538986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97" w:type="dxa"/>
            <w:vAlign w:val="center"/>
          </w:tcPr>
          <w:p>
            <w:pPr>
              <w:jc w:val="center"/>
              <w:rPr>
                <w:szCs w:val="21"/>
              </w:rPr>
            </w:pPr>
            <w:r>
              <w:rPr>
                <w:szCs w:val="21"/>
              </w:rPr>
              <w:t>建设地点</w:t>
            </w:r>
          </w:p>
        </w:tc>
        <w:tc>
          <w:tcPr>
            <w:tcW w:w="6720" w:type="dxa"/>
            <w:gridSpan w:val="3"/>
            <w:vAlign w:val="center"/>
          </w:tcPr>
          <w:p>
            <w:pPr>
              <w:jc w:val="center"/>
              <w:rPr>
                <w:szCs w:val="21"/>
              </w:rPr>
            </w:pPr>
            <w:r>
              <w:rPr>
                <w:szCs w:val="21"/>
              </w:rPr>
              <w:t>吉林柳河经济开发区柳河赵氏木业有限公司院内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97" w:type="dxa"/>
            <w:vAlign w:val="center"/>
          </w:tcPr>
          <w:p>
            <w:pPr>
              <w:jc w:val="center"/>
              <w:rPr>
                <w:szCs w:val="21"/>
              </w:rPr>
            </w:pPr>
            <w:r>
              <w:rPr>
                <w:szCs w:val="21"/>
              </w:rPr>
              <w:t>地理坐标</w:t>
            </w:r>
          </w:p>
        </w:tc>
        <w:tc>
          <w:tcPr>
            <w:tcW w:w="6720" w:type="dxa"/>
            <w:gridSpan w:val="3"/>
            <w:vAlign w:val="center"/>
          </w:tcPr>
          <w:p>
            <w:pPr>
              <w:jc w:val="center"/>
              <w:rPr>
                <w:szCs w:val="21"/>
              </w:rPr>
            </w:pPr>
            <w:r>
              <w:rPr>
                <w:szCs w:val="21"/>
              </w:rPr>
              <w:t>125度45分19.923秒，42度17分58.680秒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997" w:type="dxa"/>
            <w:vAlign w:val="center"/>
          </w:tcPr>
          <w:p>
            <w:pPr>
              <w:jc w:val="center"/>
              <w:rPr>
                <w:szCs w:val="21"/>
              </w:rPr>
            </w:pPr>
            <w:r>
              <w:rPr>
                <w:szCs w:val="21"/>
              </w:rPr>
              <w:t>国民经济</w:t>
            </w:r>
          </w:p>
          <w:p>
            <w:pPr>
              <w:jc w:val="center"/>
              <w:rPr>
                <w:szCs w:val="21"/>
              </w:rPr>
            </w:pPr>
            <w:r>
              <w:rPr>
                <w:szCs w:val="21"/>
              </w:rPr>
              <w:t>行业类别</w:t>
            </w:r>
          </w:p>
        </w:tc>
        <w:tc>
          <w:tcPr>
            <w:tcW w:w="2068" w:type="dxa"/>
            <w:vAlign w:val="center"/>
          </w:tcPr>
          <w:p>
            <w:pPr>
              <w:jc w:val="center"/>
              <w:rPr>
                <w:szCs w:val="21"/>
              </w:rPr>
            </w:pPr>
            <w:r>
              <w:rPr>
                <w:szCs w:val="21"/>
              </w:rPr>
              <w:t>D4430热力生产和供应</w:t>
            </w:r>
          </w:p>
        </w:tc>
        <w:tc>
          <w:tcPr>
            <w:tcW w:w="1871" w:type="dxa"/>
            <w:vAlign w:val="center"/>
          </w:tcPr>
          <w:p>
            <w:pPr>
              <w:jc w:val="center"/>
              <w:rPr>
                <w:szCs w:val="21"/>
              </w:rPr>
            </w:pPr>
            <w:r>
              <w:rPr>
                <w:szCs w:val="21"/>
              </w:rPr>
              <w:t>建设项目</w:t>
            </w:r>
          </w:p>
          <w:p>
            <w:pPr>
              <w:jc w:val="center"/>
              <w:rPr>
                <w:szCs w:val="21"/>
              </w:rPr>
            </w:pPr>
            <w:r>
              <w:rPr>
                <w:szCs w:val="21"/>
              </w:rPr>
              <w:t>行业类别</w:t>
            </w:r>
          </w:p>
        </w:tc>
        <w:tc>
          <w:tcPr>
            <w:tcW w:w="2781" w:type="dxa"/>
            <w:vAlign w:val="center"/>
          </w:tcPr>
          <w:p>
            <w:pPr>
              <w:jc w:val="center"/>
              <w:rPr>
                <w:szCs w:val="21"/>
              </w:rPr>
            </w:pPr>
            <w:r>
              <w:rPr>
                <w:szCs w:val="21"/>
              </w:rPr>
              <w:t>四十一、电力、热力生产和供应业 91、热力生产和供应工程（包括建设单位自建自用的供热工程）中燃煤、燃油锅炉总容量65吨/小时（45.5兆瓦）及以下的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997" w:type="dxa"/>
            <w:vAlign w:val="center"/>
          </w:tcPr>
          <w:p>
            <w:pPr>
              <w:spacing w:line="300" w:lineRule="exact"/>
              <w:jc w:val="center"/>
              <w:rPr>
                <w:szCs w:val="21"/>
              </w:rPr>
            </w:pPr>
            <w:r>
              <w:rPr>
                <w:szCs w:val="21"/>
              </w:rPr>
              <w:t>建设性质</w:t>
            </w:r>
          </w:p>
        </w:tc>
        <w:tc>
          <w:tcPr>
            <w:tcW w:w="2068" w:type="dxa"/>
            <w:vAlign w:val="center"/>
          </w:tcPr>
          <w:p>
            <w:pPr>
              <w:spacing w:line="300" w:lineRule="exact"/>
              <w:jc w:val="left"/>
              <w:rPr>
                <w:szCs w:val="21"/>
              </w:rPr>
            </w:pPr>
            <w:r>
              <w:rPr>
                <w:szCs w:val="21"/>
              </w:rPr>
              <w:sym w:font="Wingdings 2" w:char="00A3"/>
            </w:r>
            <w:r>
              <w:rPr>
                <w:szCs w:val="21"/>
              </w:rPr>
              <w:t>新建（迁建）</w:t>
            </w:r>
          </w:p>
          <w:p>
            <w:pPr>
              <w:spacing w:line="300" w:lineRule="exact"/>
              <w:jc w:val="left"/>
              <w:rPr>
                <w:szCs w:val="21"/>
              </w:rPr>
            </w:pPr>
            <w:r>
              <w:rPr>
                <w:szCs w:val="21"/>
              </w:rPr>
              <w:sym w:font="Wingdings 2" w:char="00A3"/>
            </w:r>
            <w:r>
              <w:rPr>
                <w:szCs w:val="21"/>
              </w:rPr>
              <w:t>改建</w:t>
            </w:r>
          </w:p>
          <w:p>
            <w:pPr>
              <w:spacing w:line="300" w:lineRule="exact"/>
              <w:jc w:val="left"/>
              <w:rPr>
                <w:szCs w:val="21"/>
              </w:rPr>
            </w:pPr>
            <w:r>
              <w:rPr>
                <w:szCs w:val="21"/>
              </w:rPr>
              <w:sym w:font="Wingdings 2" w:char="0052"/>
            </w:r>
            <w:r>
              <w:rPr>
                <w:szCs w:val="21"/>
              </w:rPr>
              <w:t>扩建</w:t>
            </w:r>
          </w:p>
          <w:p>
            <w:pPr>
              <w:spacing w:line="300" w:lineRule="exact"/>
              <w:jc w:val="left"/>
              <w:rPr>
                <w:szCs w:val="21"/>
              </w:rPr>
            </w:pPr>
            <w:r>
              <w:rPr>
                <w:szCs w:val="21"/>
              </w:rPr>
              <w:sym w:font="Wingdings 2" w:char="00A3"/>
            </w:r>
            <w:r>
              <w:rPr>
                <w:szCs w:val="21"/>
              </w:rPr>
              <w:t>技术改造</w:t>
            </w:r>
          </w:p>
        </w:tc>
        <w:tc>
          <w:tcPr>
            <w:tcW w:w="1871" w:type="dxa"/>
            <w:vAlign w:val="center"/>
          </w:tcPr>
          <w:p>
            <w:pPr>
              <w:spacing w:line="300" w:lineRule="exact"/>
              <w:jc w:val="center"/>
              <w:rPr>
                <w:szCs w:val="21"/>
              </w:rPr>
            </w:pPr>
            <w:r>
              <w:rPr>
                <w:szCs w:val="21"/>
              </w:rPr>
              <w:t>建设项目</w:t>
            </w:r>
          </w:p>
          <w:p>
            <w:pPr>
              <w:spacing w:line="300" w:lineRule="exact"/>
              <w:jc w:val="center"/>
              <w:rPr>
                <w:szCs w:val="21"/>
              </w:rPr>
            </w:pPr>
            <w:r>
              <w:rPr>
                <w:szCs w:val="21"/>
              </w:rPr>
              <w:t>申报情形</w:t>
            </w:r>
          </w:p>
        </w:tc>
        <w:tc>
          <w:tcPr>
            <w:tcW w:w="2781" w:type="dxa"/>
            <w:vAlign w:val="center"/>
          </w:tcPr>
          <w:p>
            <w:pPr>
              <w:spacing w:line="300" w:lineRule="exact"/>
              <w:jc w:val="left"/>
              <w:rPr>
                <w:szCs w:val="21"/>
              </w:rPr>
            </w:pPr>
            <w:r>
              <w:rPr>
                <w:szCs w:val="21"/>
              </w:rPr>
              <w:sym w:font="Wingdings 2" w:char="0052"/>
            </w:r>
            <w:r>
              <w:rPr>
                <w:szCs w:val="21"/>
              </w:rPr>
              <w:t>首次申报项目</w:t>
            </w:r>
          </w:p>
          <w:p>
            <w:pPr>
              <w:spacing w:line="300" w:lineRule="exact"/>
              <w:jc w:val="left"/>
              <w:rPr>
                <w:szCs w:val="21"/>
              </w:rPr>
            </w:pPr>
            <w:r>
              <w:rPr>
                <w:szCs w:val="21"/>
              </w:rPr>
              <w:sym w:font="Wingdings 2" w:char="00A3"/>
            </w:r>
            <w:r>
              <w:rPr>
                <w:szCs w:val="21"/>
              </w:rPr>
              <w:t>不予批准后再次申报项目</w:t>
            </w:r>
          </w:p>
          <w:p>
            <w:pPr>
              <w:spacing w:line="300" w:lineRule="exact"/>
              <w:jc w:val="left"/>
              <w:rPr>
                <w:szCs w:val="21"/>
              </w:rPr>
            </w:pPr>
            <w:r>
              <w:rPr>
                <w:szCs w:val="21"/>
              </w:rPr>
              <w:sym w:font="Wingdings 2" w:char="00A3"/>
            </w:r>
            <w:r>
              <w:rPr>
                <w:szCs w:val="21"/>
              </w:rPr>
              <w:t>超五年重新审核项目</w:t>
            </w:r>
          </w:p>
          <w:p>
            <w:pPr>
              <w:spacing w:line="300" w:lineRule="exact"/>
              <w:jc w:val="left"/>
              <w:rPr>
                <w:szCs w:val="21"/>
              </w:rPr>
            </w:pPr>
            <w:r>
              <w:rPr>
                <w:szCs w:val="21"/>
              </w:rPr>
              <w:sym w:font="Wingdings 2" w:char="00A3"/>
            </w:r>
            <w:r>
              <w:rPr>
                <w:szCs w:val="21"/>
              </w:rPr>
              <w:t>重大变动重新报批项目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97" w:type="dxa"/>
            <w:vAlign w:val="center"/>
          </w:tcPr>
          <w:p>
            <w:pPr>
              <w:jc w:val="center"/>
              <w:rPr>
                <w:szCs w:val="21"/>
              </w:rPr>
            </w:pPr>
            <w:r>
              <w:rPr>
                <w:szCs w:val="21"/>
              </w:rPr>
              <w:t>项目审批（核准/</w:t>
            </w:r>
          </w:p>
          <w:p>
            <w:pPr>
              <w:jc w:val="center"/>
              <w:rPr>
                <w:szCs w:val="21"/>
              </w:rPr>
            </w:pPr>
            <w:r>
              <w:rPr>
                <w:szCs w:val="21"/>
              </w:rPr>
              <w:t>备案）部门（选填）</w:t>
            </w:r>
          </w:p>
        </w:tc>
        <w:tc>
          <w:tcPr>
            <w:tcW w:w="2068" w:type="dxa"/>
            <w:vAlign w:val="center"/>
          </w:tcPr>
          <w:p>
            <w:pPr>
              <w:jc w:val="center"/>
              <w:rPr>
                <w:szCs w:val="21"/>
              </w:rPr>
            </w:pPr>
            <w:r>
              <w:rPr>
                <w:szCs w:val="21"/>
              </w:rPr>
              <w:t>/</w:t>
            </w:r>
          </w:p>
        </w:tc>
        <w:tc>
          <w:tcPr>
            <w:tcW w:w="1871" w:type="dxa"/>
            <w:vAlign w:val="center"/>
          </w:tcPr>
          <w:p>
            <w:pPr>
              <w:jc w:val="center"/>
              <w:rPr>
                <w:szCs w:val="21"/>
              </w:rPr>
            </w:pPr>
            <w:r>
              <w:rPr>
                <w:szCs w:val="21"/>
              </w:rPr>
              <w:t>项目审批（核准/</w:t>
            </w:r>
          </w:p>
          <w:p>
            <w:pPr>
              <w:jc w:val="center"/>
              <w:rPr>
                <w:szCs w:val="21"/>
              </w:rPr>
            </w:pPr>
            <w:r>
              <w:rPr>
                <w:szCs w:val="21"/>
              </w:rPr>
              <w:t>备案）文号（选填）</w:t>
            </w:r>
          </w:p>
        </w:tc>
        <w:tc>
          <w:tcPr>
            <w:tcW w:w="2781" w:type="dxa"/>
            <w:vAlign w:val="center"/>
          </w:tcPr>
          <w:p>
            <w:pPr>
              <w:jc w:val="center"/>
              <w:rPr>
                <w:szCs w:val="21"/>
              </w:rPr>
            </w:pPr>
            <w:r>
              <w:rPr>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97" w:type="dxa"/>
            <w:vAlign w:val="center"/>
          </w:tcPr>
          <w:p>
            <w:pPr>
              <w:jc w:val="center"/>
              <w:rPr>
                <w:szCs w:val="21"/>
              </w:rPr>
            </w:pPr>
            <w:r>
              <w:rPr>
                <w:szCs w:val="21"/>
              </w:rPr>
              <w:t>总投资（万元）</w:t>
            </w:r>
          </w:p>
        </w:tc>
        <w:tc>
          <w:tcPr>
            <w:tcW w:w="2068" w:type="dxa"/>
            <w:vAlign w:val="center"/>
          </w:tcPr>
          <w:p>
            <w:pPr>
              <w:jc w:val="center"/>
              <w:rPr>
                <w:szCs w:val="21"/>
              </w:rPr>
            </w:pPr>
            <w:r>
              <w:rPr>
                <w:szCs w:val="21"/>
              </w:rPr>
              <w:t>20.00</w:t>
            </w:r>
          </w:p>
        </w:tc>
        <w:tc>
          <w:tcPr>
            <w:tcW w:w="1871" w:type="dxa"/>
            <w:vAlign w:val="center"/>
          </w:tcPr>
          <w:p>
            <w:pPr>
              <w:jc w:val="center"/>
              <w:rPr>
                <w:szCs w:val="21"/>
              </w:rPr>
            </w:pPr>
            <w:r>
              <w:rPr>
                <w:szCs w:val="21"/>
              </w:rPr>
              <w:t>环保投资（万元）</w:t>
            </w:r>
          </w:p>
        </w:tc>
        <w:tc>
          <w:tcPr>
            <w:tcW w:w="2781" w:type="dxa"/>
            <w:vAlign w:val="center"/>
          </w:tcPr>
          <w:p>
            <w:pPr>
              <w:jc w:val="center"/>
              <w:rPr>
                <w:szCs w:val="21"/>
              </w:rPr>
            </w:pPr>
            <w:r>
              <w:rPr>
                <w:szCs w:val="21"/>
              </w:rPr>
              <w:t>6.00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97" w:type="dxa"/>
            <w:vAlign w:val="center"/>
          </w:tcPr>
          <w:p>
            <w:pPr>
              <w:jc w:val="center"/>
              <w:rPr>
                <w:szCs w:val="21"/>
              </w:rPr>
            </w:pPr>
            <w:r>
              <w:rPr>
                <w:szCs w:val="21"/>
              </w:rPr>
              <w:t>环保投资占比（%）</w:t>
            </w:r>
          </w:p>
        </w:tc>
        <w:tc>
          <w:tcPr>
            <w:tcW w:w="2068" w:type="dxa"/>
            <w:vAlign w:val="center"/>
          </w:tcPr>
          <w:p>
            <w:pPr>
              <w:jc w:val="center"/>
              <w:rPr>
                <w:szCs w:val="21"/>
              </w:rPr>
            </w:pPr>
            <w:r>
              <w:rPr>
                <w:szCs w:val="21"/>
              </w:rPr>
              <w:t>30.00</w:t>
            </w:r>
          </w:p>
        </w:tc>
        <w:tc>
          <w:tcPr>
            <w:tcW w:w="1871" w:type="dxa"/>
            <w:vAlign w:val="center"/>
          </w:tcPr>
          <w:p>
            <w:pPr>
              <w:jc w:val="center"/>
              <w:rPr>
                <w:szCs w:val="21"/>
              </w:rPr>
            </w:pPr>
            <w:r>
              <w:rPr>
                <w:szCs w:val="21"/>
              </w:rPr>
              <w:t>施工工期</w:t>
            </w:r>
          </w:p>
        </w:tc>
        <w:tc>
          <w:tcPr>
            <w:tcW w:w="2781" w:type="dxa"/>
            <w:vAlign w:val="center"/>
          </w:tcPr>
          <w:p>
            <w:pPr>
              <w:jc w:val="center"/>
              <w:rPr>
                <w:szCs w:val="21"/>
              </w:rPr>
            </w:pPr>
            <w:r>
              <w:rPr>
                <w:szCs w:val="21"/>
              </w:rPr>
              <w:t>1个月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997" w:type="dxa"/>
            <w:vAlign w:val="center"/>
          </w:tcPr>
          <w:p>
            <w:pPr>
              <w:spacing w:line="300" w:lineRule="exact"/>
              <w:jc w:val="center"/>
              <w:rPr>
                <w:szCs w:val="21"/>
              </w:rPr>
            </w:pPr>
            <w:r>
              <w:rPr>
                <w:szCs w:val="21"/>
              </w:rPr>
              <w:t>是否开工建设</w:t>
            </w:r>
          </w:p>
        </w:tc>
        <w:tc>
          <w:tcPr>
            <w:tcW w:w="2068" w:type="dxa"/>
            <w:vAlign w:val="center"/>
          </w:tcPr>
          <w:p>
            <w:pPr>
              <w:spacing w:line="300" w:lineRule="exact"/>
              <w:jc w:val="left"/>
              <w:rPr>
                <w:szCs w:val="21"/>
              </w:rPr>
            </w:pPr>
            <w:r>
              <w:rPr>
                <w:szCs w:val="21"/>
              </w:rPr>
              <w:sym w:font="Wingdings 2" w:char="0052"/>
            </w:r>
            <w:r>
              <w:rPr>
                <w:szCs w:val="21"/>
              </w:rPr>
              <w:t>否</w:t>
            </w:r>
          </w:p>
          <w:p>
            <w:pPr>
              <w:spacing w:line="300" w:lineRule="exact"/>
              <w:jc w:val="left"/>
              <w:rPr>
                <w:szCs w:val="21"/>
              </w:rPr>
            </w:pPr>
            <w:r>
              <w:rPr>
                <w:szCs w:val="21"/>
              </w:rPr>
              <w:sym w:font="Wingdings 2" w:char="00A3"/>
            </w:r>
            <w:r>
              <w:rPr>
                <w:szCs w:val="21"/>
              </w:rPr>
              <w:t>是：</w:t>
            </w:r>
            <w:r>
              <w:rPr>
                <w:szCs w:val="21"/>
                <w:u w:val="single"/>
              </w:rPr>
              <w:t xml:space="preserve">           </w:t>
            </w:r>
          </w:p>
        </w:tc>
        <w:tc>
          <w:tcPr>
            <w:tcW w:w="1871" w:type="dxa"/>
            <w:vAlign w:val="center"/>
          </w:tcPr>
          <w:p>
            <w:pPr>
              <w:spacing w:line="300" w:lineRule="exact"/>
              <w:jc w:val="center"/>
              <w:rPr>
                <w:szCs w:val="21"/>
              </w:rPr>
            </w:pPr>
            <w:r>
              <w:rPr>
                <w:szCs w:val="21"/>
              </w:rPr>
              <w:t>用地（用海）</w:t>
            </w:r>
          </w:p>
          <w:p>
            <w:pPr>
              <w:spacing w:line="300" w:lineRule="exact"/>
              <w:jc w:val="center"/>
              <w:rPr>
                <w:szCs w:val="21"/>
              </w:rPr>
            </w:pPr>
            <w:r>
              <w:rPr>
                <w:szCs w:val="21"/>
              </w:rPr>
              <w:t>面积（m</w:t>
            </w:r>
            <w:r>
              <w:rPr>
                <w:szCs w:val="21"/>
                <w:vertAlign w:val="superscript"/>
              </w:rPr>
              <w:t>2</w:t>
            </w:r>
            <w:r>
              <w:rPr>
                <w:szCs w:val="21"/>
              </w:rPr>
              <w:t>）</w:t>
            </w:r>
          </w:p>
        </w:tc>
        <w:tc>
          <w:tcPr>
            <w:tcW w:w="2781" w:type="dxa"/>
            <w:vAlign w:val="center"/>
          </w:tcPr>
          <w:p>
            <w:pPr>
              <w:spacing w:line="300" w:lineRule="exact"/>
              <w:jc w:val="center"/>
              <w:rPr>
                <w:szCs w:val="21"/>
              </w:rPr>
            </w:pPr>
            <w:r>
              <w:rPr>
                <w:rFonts w:hint="eastAsia"/>
                <w:szCs w:val="21"/>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717" w:type="dxa"/>
            <w:gridSpan w:val="4"/>
            <w:vAlign w:val="center"/>
          </w:tcPr>
          <w:p>
            <w:pPr>
              <w:jc w:val="left"/>
              <w:rPr>
                <w:b/>
                <w:bCs/>
                <w:szCs w:val="21"/>
              </w:rPr>
            </w:pPr>
            <w:r>
              <w:rPr>
                <w:b/>
                <w:bCs/>
                <w:szCs w:val="21"/>
              </w:rPr>
              <w:t>专项评价设置情况</w:t>
            </w:r>
          </w:p>
          <w:p>
            <w:pPr>
              <w:spacing w:line="360" w:lineRule="auto"/>
              <w:ind w:firstLine="420" w:firstLineChars="200"/>
              <w:jc w:val="left"/>
              <w:rPr>
                <w:szCs w:val="21"/>
              </w:rPr>
            </w:pPr>
            <w:r>
              <w:rPr>
                <w:szCs w:val="21"/>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717" w:type="dxa"/>
            <w:gridSpan w:val="4"/>
            <w:vAlign w:val="center"/>
          </w:tcPr>
          <w:p>
            <w:pPr>
              <w:jc w:val="left"/>
              <w:rPr>
                <w:b/>
                <w:bCs/>
                <w:szCs w:val="21"/>
              </w:rPr>
            </w:pPr>
            <w:r>
              <w:rPr>
                <w:b/>
                <w:bCs/>
                <w:szCs w:val="21"/>
              </w:rPr>
              <w:t>规划情况</w:t>
            </w:r>
          </w:p>
          <w:p>
            <w:pPr>
              <w:spacing w:line="360" w:lineRule="auto"/>
              <w:ind w:firstLine="420" w:firstLineChars="200"/>
              <w:jc w:val="left"/>
              <w:rPr>
                <w:szCs w:val="21"/>
              </w:rPr>
            </w:pPr>
            <w:r>
              <w:rPr>
                <w:szCs w:val="21"/>
              </w:rPr>
              <w:t>柳河工业集中区是吉林省政府开发办于2005年设立的省级工业集中区，由吉林省吉规城市建筑设计有限责任公司编制《柳河工业集中区总体规划（2017-2030）》。</w:t>
            </w:r>
          </w:p>
          <w:p>
            <w:pPr>
              <w:spacing w:line="360" w:lineRule="auto"/>
              <w:ind w:firstLine="420" w:firstLineChars="200"/>
              <w:jc w:val="left"/>
              <w:rPr>
                <w:szCs w:val="21"/>
              </w:rPr>
            </w:pPr>
            <w:r>
              <w:rPr>
                <w:szCs w:val="21"/>
              </w:rPr>
              <w:t>2020年7月14日，吉林省人民政府同意将柳河工业集中区晋升为省级开发区，晋升后开发区名称为吉林柳河经济开发区（详见附件）。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717" w:type="dxa"/>
            <w:gridSpan w:val="4"/>
            <w:vAlign w:val="center"/>
          </w:tcPr>
          <w:p>
            <w:pPr>
              <w:jc w:val="left"/>
              <w:rPr>
                <w:b/>
                <w:bCs/>
                <w:szCs w:val="21"/>
              </w:rPr>
            </w:pPr>
            <w:r>
              <w:rPr>
                <w:b/>
                <w:bCs/>
                <w:szCs w:val="21"/>
              </w:rPr>
              <w:t>规划环境影响评价情况</w:t>
            </w:r>
          </w:p>
          <w:p>
            <w:pPr>
              <w:spacing w:line="360" w:lineRule="auto"/>
              <w:ind w:firstLine="420" w:firstLineChars="200"/>
              <w:jc w:val="left"/>
              <w:rPr>
                <w:szCs w:val="21"/>
              </w:rPr>
            </w:pPr>
            <w:r>
              <w:rPr>
                <w:szCs w:val="21"/>
              </w:rPr>
              <w:t>1、规划环境影响评价文件：《柳河工业集中区总体规划（2017-2030）环境影响评价报告书》</w:t>
            </w:r>
          </w:p>
          <w:p>
            <w:pPr>
              <w:spacing w:line="360" w:lineRule="auto"/>
              <w:ind w:firstLine="420" w:firstLineChars="200"/>
              <w:jc w:val="left"/>
              <w:rPr>
                <w:szCs w:val="21"/>
              </w:rPr>
            </w:pPr>
            <w:r>
              <w:rPr>
                <w:szCs w:val="21"/>
              </w:rPr>
              <w:t>2、审查机关：吉林省生态环境厅</w:t>
            </w:r>
          </w:p>
          <w:p>
            <w:pPr>
              <w:wordWrap w:val="0"/>
              <w:spacing w:line="360" w:lineRule="auto"/>
              <w:ind w:firstLine="420" w:firstLineChars="200"/>
              <w:jc w:val="left"/>
              <w:rPr>
                <w:szCs w:val="21"/>
              </w:rPr>
            </w:pPr>
            <w:r>
              <w:rPr>
                <w:szCs w:val="21"/>
              </w:rPr>
              <w:t>3、审查文件名称及文号：吉林省生态环境厅关于审查《柳河工业集中区总体规划（2017-2030）环境影响评价报告书》的意见。文号：吉环环评字【2021】15号。日期：2021年4月14日，详见附件。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717" w:type="dxa"/>
            <w:gridSpan w:val="4"/>
            <w:vAlign w:val="center"/>
          </w:tcPr>
          <w:p>
            <w:pPr>
              <w:jc w:val="left"/>
              <w:rPr>
                <w:b/>
                <w:bCs/>
                <w:szCs w:val="21"/>
              </w:rPr>
            </w:pPr>
            <w:r>
              <w:rPr>
                <w:b/>
                <w:bCs/>
                <w:szCs w:val="21"/>
              </w:rPr>
              <w:t>规划及规划环境影响评价符合性分析</w:t>
            </w:r>
          </w:p>
          <w:p>
            <w:pPr>
              <w:spacing w:line="360" w:lineRule="auto"/>
              <w:ind w:firstLine="420" w:firstLineChars="200"/>
              <w:jc w:val="left"/>
              <w:rPr>
                <w:szCs w:val="21"/>
              </w:rPr>
            </w:pPr>
            <w:r>
              <w:rPr>
                <w:szCs w:val="21"/>
              </w:rPr>
              <w:t>1、规划符合性分析</w:t>
            </w:r>
          </w:p>
          <w:p>
            <w:pPr>
              <w:spacing w:line="360" w:lineRule="auto"/>
              <w:ind w:firstLine="420" w:firstLineChars="200"/>
              <w:jc w:val="left"/>
              <w:rPr>
                <w:szCs w:val="21"/>
              </w:rPr>
            </w:pPr>
            <w:r>
              <w:rPr>
                <w:szCs w:val="21"/>
              </w:rPr>
              <w:t>（1）规划内容</w:t>
            </w:r>
          </w:p>
          <w:p>
            <w:pPr>
              <w:spacing w:line="360" w:lineRule="auto"/>
              <w:ind w:firstLine="420" w:firstLineChars="200"/>
              <w:jc w:val="left"/>
              <w:rPr>
                <w:szCs w:val="21"/>
              </w:rPr>
            </w:pPr>
            <w:r>
              <w:rPr>
                <w:szCs w:val="21"/>
              </w:rPr>
              <w:t>规划范围：柳河工业集中区用地范围，西起柳河镇长青路，北起柳梅分界岭，东至集双高速公路柳河北出口，南至通梅公路小五道路口处，占地面积12km</w:t>
            </w:r>
            <w:r>
              <w:rPr>
                <w:szCs w:val="21"/>
                <w:vertAlign w:val="superscript"/>
              </w:rPr>
              <w:t>2</w:t>
            </w:r>
            <w:r>
              <w:rPr>
                <w:szCs w:val="21"/>
              </w:rPr>
              <w:t>。</w:t>
            </w:r>
          </w:p>
          <w:p>
            <w:pPr>
              <w:spacing w:line="360" w:lineRule="auto"/>
              <w:ind w:firstLine="420" w:firstLineChars="200"/>
              <w:jc w:val="left"/>
              <w:rPr>
                <w:szCs w:val="21"/>
              </w:rPr>
            </w:pPr>
            <w:r>
              <w:rPr>
                <w:szCs w:val="21"/>
              </w:rPr>
              <w:t>规划年限：2017-2030年，规划基期年2016年；近期规划至2020年；中期至2025年；远期规划至2030年。</w:t>
            </w:r>
          </w:p>
          <w:p>
            <w:pPr>
              <w:spacing w:line="360" w:lineRule="auto"/>
              <w:ind w:firstLine="420" w:firstLineChars="200"/>
              <w:jc w:val="left"/>
              <w:rPr>
                <w:szCs w:val="21"/>
              </w:rPr>
            </w:pPr>
            <w:r>
              <w:rPr>
                <w:szCs w:val="21"/>
              </w:rPr>
              <w:t>工业集中区的空间功能组织可以划分为“一核四园”。包括：金融创新中心、大健康综合产业园、新材料新装备产业园、科技转化产业园、综合产业园。</w:t>
            </w:r>
          </w:p>
          <w:p>
            <w:pPr>
              <w:spacing w:line="360" w:lineRule="auto"/>
              <w:ind w:firstLine="420" w:firstLineChars="200"/>
              <w:jc w:val="left"/>
              <w:rPr>
                <w:szCs w:val="21"/>
              </w:rPr>
            </w:pPr>
            <w:r>
              <w:rPr>
                <w:szCs w:val="21"/>
              </w:rPr>
              <w:t>①金融创新中心</w:t>
            </w:r>
          </w:p>
          <w:p>
            <w:pPr>
              <w:spacing w:line="360" w:lineRule="auto"/>
              <w:ind w:firstLine="420" w:firstLineChars="200"/>
              <w:jc w:val="left"/>
              <w:rPr>
                <w:szCs w:val="21"/>
              </w:rPr>
            </w:pPr>
            <w:r>
              <w:rPr>
                <w:szCs w:val="21"/>
              </w:rPr>
              <w:t>作为整个工业集中区的引擎，带动整个园区的发展，用地规模60.65万平方米。位于集中区中间位置，规划建设金融、商业、商务、办公于一体的中心。</w:t>
            </w:r>
          </w:p>
          <w:p>
            <w:pPr>
              <w:spacing w:line="360" w:lineRule="auto"/>
              <w:ind w:firstLine="420" w:firstLineChars="200"/>
              <w:jc w:val="left"/>
              <w:rPr>
                <w:szCs w:val="21"/>
              </w:rPr>
            </w:pPr>
            <w:r>
              <w:rPr>
                <w:szCs w:val="21"/>
              </w:rPr>
              <w:t>②大健康综合产业园</w:t>
            </w:r>
          </w:p>
          <w:p>
            <w:pPr>
              <w:spacing w:line="360" w:lineRule="auto"/>
              <w:ind w:firstLine="420" w:firstLineChars="200"/>
              <w:jc w:val="left"/>
              <w:rPr>
                <w:szCs w:val="21"/>
              </w:rPr>
            </w:pPr>
            <w:r>
              <w:rPr>
                <w:szCs w:val="21"/>
              </w:rPr>
              <w:t>打造柳河医药健康产业集群。用地规模681.51万平方米。位于集中区的西南侧，占地面积较大，该园区内现状以医药及农副产品加工产业为主。</w:t>
            </w:r>
          </w:p>
          <w:p>
            <w:pPr>
              <w:spacing w:line="360" w:lineRule="auto"/>
              <w:ind w:firstLine="420" w:firstLineChars="200"/>
              <w:jc w:val="left"/>
              <w:rPr>
                <w:szCs w:val="21"/>
              </w:rPr>
            </w:pPr>
            <w:r>
              <w:rPr>
                <w:szCs w:val="21"/>
              </w:rPr>
              <w:t>③科技转化产业园</w:t>
            </w:r>
          </w:p>
          <w:p>
            <w:pPr>
              <w:spacing w:line="360" w:lineRule="auto"/>
              <w:ind w:firstLine="420" w:firstLineChars="200"/>
              <w:jc w:val="left"/>
              <w:rPr>
                <w:szCs w:val="21"/>
              </w:rPr>
            </w:pPr>
            <w:r>
              <w:rPr>
                <w:szCs w:val="21"/>
              </w:rPr>
              <w:t>将园区打造成为全省科技转化示范基地，重点打造药品研发、新能源生物质研发和葡萄酒研发为主的科技转化园区。依托国家级紫鑫药品研发中心、国家级山葡萄技术研发分中心和省级玄武岩产品质量监督检验中心等平台，集聚新技术、新产品、新业态，着力打造“大众创业、万众创新”基地。用地规模130.6万平方米。位于金融创新中心的东北侧，规划为药品、新能源生物质研发和葡萄酒为主的科技转化园区。</w:t>
            </w:r>
          </w:p>
          <w:p>
            <w:pPr>
              <w:spacing w:line="360" w:lineRule="auto"/>
              <w:ind w:firstLine="420" w:firstLineChars="200"/>
              <w:jc w:val="left"/>
              <w:rPr>
                <w:szCs w:val="21"/>
              </w:rPr>
            </w:pPr>
            <w:r>
              <w:rPr>
                <w:szCs w:val="21"/>
              </w:rPr>
              <w:t>④综合产业园</w:t>
            </w:r>
          </w:p>
          <w:p>
            <w:pPr>
              <w:spacing w:line="360" w:lineRule="auto"/>
              <w:ind w:firstLine="420" w:firstLineChars="200"/>
              <w:jc w:val="left"/>
              <w:rPr>
                <w:szCs w:val="21"/>
              </w:rPr>
            </w:pPr>
            <w:r>
              <w:rPr>
                <w:szCs w:val="21"/>
              </w:rPr>
              <w:t>将园区打造成为物流配送、产业加工（葡萄酒加工）等产业的综合性园区，依托便捷的对外交通条件（集双高速），大力发展仓储物流业。用地规模196.24万平方米。位于科技企业转化园东北侧，位于集中区东北侧，靠近高速口。</w:t>
            </w:r>
          </w:p>
          <w:p>
            <w:pPr>
              <w:spacing w:line="360" w:lineRule="auto"/>
              <w:ind w:firstLine="420" w:firstLineChars="200"/>
              <w:jc w:val="left"/>
              <w:rPr>
                <w:szCs w:val="21"/>
              </w:rPr>
            </w:pPr>
            <w:r>
              <w:rPr>
                <w:szCs w:val="21"/>
              </w:rPr>
              <w:t>⑤新材料新装备产业园</w:t>
            </w:r>
          </w:p>
          <w:p>
            <w:pPr>
              <w:spacing w:line="360" w:lineRule="auto"/>
              <w:ind w:firstLine="420" w:firstLineChars="200"/>
              <w:jc w:val="left"/>
              <w:rPr>
                <w:szCs w:val="21"/>
              </w:rPr>
            </w:pPr>
            <w:r>
              <w:rPr>
                <w:szCs w:val="21"/>
              </w:rPr>
              <w:t>将园区打造成为全省新材料新装备深加工示范基地，依托石灰石、玄武岩、秸秆等资源优势，大力发展石墨电极、大理石加工、水泥预制件和秸秆加工等相关产业，积极引进战略投资者，组织实施一批科技含量高、符合国家政策的新材料产业项目。用地规模133.88万平方米。位于集中区的东侧及南侧，紧邻大健康产业园区，目前引进的企业主要为理石、建材等新型材料产业。</w:t>
            </w:r>
          </w:p>
          <w:p>
            <w:pPr>
              <w:spacing w:line="360" w:lineRule="auto"/>
              <w:ind w:firstLine="420" w:firstLineChars="200"/>
              <w:jc w:val="left"/>
              <w:rPr>
                <w:szCs w:val="21"/>
              </w:rPr>
            </w:pPr>
            <w:r>
              <w:rPr>
                <w:szCs w:val="21"/>
              </w:rPr>
              <w:t>（2）与园区产业定位的符合性分析</w:t>
            </w:r>
          </w:p>
          <w:p>
            <w:pPr>
              <w:spacing w:line="360" w:lineRule="auto"/>
              <w:ind w:firstLine="420" w:firstLineChars="200"/>
              <w:jc w:val="left"/>
              <w:rPr>
                <w:szCs w:val="21"/>
              </w:rPr>
            </w:pPr>
            <w:r>
              <w:rPr>
                <w:szCs w:val="21"/>
              </w:rPr>
              <w:t>本项目为锅炉</w:t>
            </w:r>
            <w:r>
              <w:rPr>
                <w:rFonts w:hint="eastAsia"/>
                <w:szCs w:val="21"/>
              </w:rPr>
              <w:t>扩建</w:t>
            </w:r>
            <w:r>
              <w:rPr>
                <w:szCs w:val="21"/>
              </w:rPr>
              <w:t>工程，将原有0.5MW燃生物质锅炉拆除，原址建设一台额定热功率1600kW的有机热载体液相炉（导热油炉）。项目位于柳河工业集中区大健康综合产业园内，企业为柳河赵氏木业有限公司（原为柳河木王家具制造有限公司，情况说明详见附件）。</w:t>
            </w:r>
          </w:p>
          <w:p>
            <w:pPr>
              <w:spacing w:line="360" w:lineRule="auto"/>
              <w:ind w:firstLine="420" w:firstLineChars="200"/>
              <w:jc w:val="left"/>
              <w:rPr>
                <w:szCs w:val="21"/>
              </w:rPr>
            </w:pPr>
            <w:r>
              <w:rPr>
                <w:szCs w:val="21"/>
              </w:rPr>
              <w:t>大健康综合产业园的规划定位为打造柳河医药健康产业集群，用地规模681.51万平方米，位于集中区西南侧，现状以医药及农副产品加工产业为主。本项目为家具制造企业（柳河赵氏木业有限公司）的配套供热设施</w:t>
            </w:r>
            <w:r>
              <w:rPr>
                <w:rFonts w:hint="eastAsia"/>
                <w:szCs w:val="21"/>
              </w:rPr>
              <w:t>工程</w:t>
            </w:r>
            <w:r>
              <w:rPr>
                <w:szCs w:val="21"/>
              </w:rPr>
              <w:t>，并非新增与园区主导产业无关的建设项目，而是为保留企业正常生产提供必需的供热保障。</w:t>
            </w:r>
          </w:p>
          <w:p>
            <w:pPr>
              <w:spacing w:line="360" w:lineRule="auto"/>
              <w:ind w:firstLine="420" w:firstLineChars="200"/>
              <w:jc w:val="left"/>
              <w:rPr>
                <w:szCs w:val="21"/>
              </w:rPr>
            </w:pPr>
            <w:r>
              <w:rPr>
                <w:szCs w:val="21"/>
              </w:rPr>
              <w:t>（3）与规划环评审查意见的符合性分析</w:t>
            </w:r>
          </w:p>
          <w:p>
            <w:pPr>
              <w:spacing w:line="360" w:lineRule="auto"/>
              <w:ind w:firstLine="420" w:firstLineChars="200"/>
              <w:jc w:val="left"/>
              <w:rPr>
                <w:szCs w:val="21"/>
              </w:rPr>
            </w:pPr>
            <w:r>
              <w:rPr>
                <w:szCs w:val="21"/>
              </w:rPr>
              <w:t>园区规划环评审查意见明确要求：“禁止对吉林省红石石棉制品有限公司和柳河木王家具制造有限公司进行扩建。对不符合产业定位的企业制定限期淘汰或逐步搬迁计划，确保产业发展与区域生态环境保护、人居环境质量保障相协调。”</w:t>
            </w:r>
          </w:p>
          <w:p>
            <w:pPr>
              <w:spacing w:line="360" w:lineRule="auto"/>
              <w:ind w:firstLine="420" w:firstLineChars="200"/>
              <w:jc w:val="left"/>
              <w:rPr>
                <w:szCs w:val="21"/>
              </w:rPr>
            </w:pPr>
            <w:r>
              <w:rPr>
                <w:szCs w:val="21"/>
              </w:rPr>
              <w:t>本项目仅为锅炉设备的更新（燃生物质锅炉拆除，</w:t>
            </w:r>
            <w:r>
              <w:rPr>
                <w:rFonts w:hint="eastAsia"/>
                <w:szCs w:val="21"/>
              </w:rPr>
              <w:t>原址建设</w:t>
            </w:r>
            <w:r>
              <w:rPr>
                <w:szCs w:val="21"/>
              </w:rPr>
              <w:t>生物质有机热载体液相炉），从场区不扩建角度出发，不增加用地、不扩大生产规模、不新增产能，不构成对柳河赵氏木业有限公司的“扩建”行为。因此，本项目符合规划环评审查意见中关于“禁止扩建”的管控要求，不属于对被禁止扩建企业的违规扩建。具体与规划环评审查意见的符合性分析详见后文。</w:t>
            </w:r>
          </w:p>
          <w:p>
            <w:pPr>
              <w:spacing w:line="360" w:lineRule="auto"/>
              <w:ind w:firstLine="420" w:firstLineChars="200"/>
              <w:jc w:val="left"/>
              <w:rPr>
                <w:szCs w:val="21"/>
              </w:rPr>
            </w:pPr>
            <w:r>
              <w:rPr>
                <w:szCs w:val="21"/>
              </w:rPr>
              <w:t>（4）与园区集中供热规划的衔接承诺</w:t>
            </w:r>
          </w:p>
          <w:p>
            <w:pPr>
              <w:spacing w:line="360" w:lineRule="auto"/>
              <w:ind w:firstLine="420" w:firstLineChars="200"/>
              <w:jc w:val="left"/>
              <w:rPr>
                <w:szCs w:val="21"/>
              </w:rPr>
            </w:pPr>
            <w:r>
              <w:rPr>
                <w:szCs w:val="21"/>
              </w:rPr>
              <w:t>根据《柳河工业集中区总体规划（2017-2030）》及规划环评审查意见（吉环环评字【2021】15号）要求，园区应按照规划时限完成集中供热热源及管网建设，在实现集中供热后，拆除集中供热以外的分散供热锅炉。</w:t>
            </w:r>
          </w:p>
          <w:p>
            <w:pPr>
              <w:spacing w:line="360" w:lineRule="auto"/>
              <w:ind w:firstLine="420" w:firstLineChars="200"/>
              <w:jc w:val="left"/>
              <w:rPr>
                <w:szCs w:val="21"/>
              </w:rPr>
            </w:pPr>
            <w:r>
              <w:rPr>
                <w:szCs w:val="21"/>
              </w:rPr>
              <w:t>目前吉林柳河经济开发区集中供热热源及管网尚未建成，本项目作为企业生产必需的过渡热源，以生物质成型燃料为能源，采用有机热载体液相炉为企业生产提供热能，符合规划环评审查意见中“在实现工业集中区集中供热之前，应采用清洁能源作为过渡热源”的要求。</w:t>
            </w:r>
          </w:p>
          <w:p>
            <w:pPr>
              <w:spacing w:line="360" w:lineRule="auto"/>
              <w:ind w:firstLine="420" w:firstLineChars="200"/>
              <w:jc w:val="left"/>
              <w:rPr>
                <w:color w:val="FF0000"/>
                <w:szCs w:val="21"/>
              </w:rPr>
            </w:pPr>
            <w:r>
              <w:rPr>
                <w:color w:val="FF0000"/>
                <w:szCs w:val="21"/>
              </w:rPr>
              <w:t>本环评要求，待吉林柳河经济开发区集中供热管网覆盖本项目厂区且具备接入条件后，本项目有机热载体液相炉（导热油炉）将无条件拆除，届时企业生产用热全部接入园区集中供热系统，不再保留自备供热热源。企业将积极配合园区集中供热建设进度，做好供热系统对接的准备工作，确保集中供热建成后平稳过渡。</w:t>
            </w:r>
          </w:p>
          <w:p>
            <w:pPr>
              <w:spacing w:line="360" w:lineRule="auto"/>
              <w:ind w:firstLine="420" w:firstLineChars="200"/>
              <w:jc w:val="left"/>
              <w:rPr>
                <w:szCs w:val="21"/>
              </w:rPr>
            </w:pPr>
            <w:r>
              <w:rPr>
                <w:szCs w:val="21"/>
              </w:rPr>
              <w:t>（5）与园区其他规划要求的符合性分析</w:t>
            </w:r>
          </w:p>
          <w:p>
            <w:pPr>
              <w:spacing w:line="360" w:lineRule="auto"/>
              <w:ind w:firstLine="420" w:firstLineChars="200"/>
              <w:jc w:val="left"/>
              <w:rPr>
                <w:szCs w:val="21"/>
              </w:rPr>
            </w:pPr>
            <w:r>
              <w:rPr>
                <w:szCs w:val="21"/>
              </w:rPr>
              <w:t>用地方面：项目在柳河赵氏木业有限公司现有厂区内原址建设，不新增工业集中区用地。根据用地布局规划图，本项目所在厂区用地性质规划为二类工业用地。土地用途与规划用地性质一致。本项目在现有锅炉房内进行设备更新，不涉及新建厂房、不改变土地使用性质、不突破用地红线，符合园区用地规划要求。本项目与园区用地布局规划的位置关系详见</w:t>
            </w:r>
            <w:r>
              <w:rPr>
                <w:color w:val="FF0000"/>
                <w:szCs w:val="21"/>
              </w:rPr>
              <w:t>附图1</w:t>
            </w:r>
            <w:r>
              <w:rPr>
                <w:szCs w:val="21"/>
              </w:rPr>
              <w:t>。</w:t>
            </w:r>
          </w:p>
          <w:p>
            <w:pPr>
              <w:spacing w:line="360" w:lineRule="auto"/>
              <w:ind w:firstLine="420" w:firstLineChars="200"/>
              <w:jc w:val="left"/>
              <w:rPr>
                <w:szCs w:val="21"/>
              </w:rPr>
            </w:pPr>
            <w:r>
              <w:rPr>
                <w:szCs w:val="21"/>
              </w:rPr>
              <w:t>产业政策方面：有机热载体液相炉（导热油炉）是工业供热领域成熟的热力设备，采用生物质燃料的有机热载体锅炉属于清洁供热方式，符合行业发展趋势，有助于能源结构优化升级。生物质能供热属于国家鼓励的清洁供热方式，在具备条件的中小工业园区热力市场可加快普及应用。</w:t>
            </w:r>
          </w:p>
          <w:p>
            <w:pPr>
              <w:spacing w:line="360" w:lineRule="auto"/>
              <w:ind w:firstLine="420" w:firstLineChars="200"/>
              <w:jc w:val="left"/>
              <w:rPr>
                <w:szCs w:val="21"/>
              </w:rPr>
            </w:pPr>
            <w:r>
              <w:rPr>
                <w:szCs w:val="21"/>
              </w:rPr>
              <w:t>环保方面：本项目锅炉“以新带老”，新上锅炉在热效率、污染物排放控制等方面均优于原有设备。</w:t>
            </w:r>
          </w:p>
          <w:p>
            <w:pPr>
              <w:spacing w:line="360" w:lineRule="auto"/>
              <w:ind w:firstLine="420" w:firstLineChars="200"/>
              <w:jc w:val="left"/>
              <w:rPr>
                <w:szCs w:val="21"/>
              </w:rPr>
            </w:pPr>
            <w:r>
              <w:rPr>
                <w:szCs w:val="21"/>
              </w:rPr>
              <w:t>（6）符合性结论</w:t>
            </w:r>
          </w:p>
          <w:p>
            <w:pPr>
              <w:spacing w:line="360" w:lineRule="auto"/>
              <w:ind w:firstLine="420" w:firstLineChars="200"/>
              <w:jc w:val="left"/>
              <w:rPr>
                <w:szCs w:val="21"/>
              </w:rPr>
            </w:pPr>
            <w:r>
              <w:rPr>
                <w:szCs w:val="21"/>
              </w:rPr>
              <w:t>综上所述，本项目在不新增用地、不扩大产能、不构成“扩建”的前提下，仅对现有锅炉进行设备更新，符合柳河工业集中区大健康综合产业园的规划要求，同时满足规划环评审查意见中关于禁止扩建企业的管控规定。项目采用的有机热载体液相炉技术成熟可靠，符合国家产业政策和清洁供热发展方向。从环境保护和规划符合性角度分析，本项目与园区规划是协调的。本项目与园区规划相对位置关系详见</w:t>
            </w:r>
            <w:r>
              <w:rPr>
                <w:color w:val="FF0000"/>
                <w:szCs w:val="21"/>
              </w:rPr>
              <w:t>附图2</w:t>
            </w:r>
            <w:r>
              <w:rPr>
                <w:szCs w:val="21"/>
              </w:rPr>
              <w:t>。</w:t>
            </w:r>
          </w:p>
          <w:p>
            <w:pPr>
              <w:spacing w:line="360" w:lineRule="auto"/>
              <w:ind w:firstLine="420" w:firstLineChars="200"/>
              <w:jc w:val="left"/>
              <w:rPr>
                <w:szCs w:val="21"/>
              </w:rPr>
            </w:pPr>
            <w:r>
              <w:rPr>
                <w:szCs w:val="21"/>
              </w:rPr>
              <w:t>2、规划环境影响评价结论及审查意见的符合性</w:t>
            </w:r>
          </w:p>
          <w:p>
            <w:pPr>
              <w:spacing w:line="360" w:lineRule="auto"/>
              <w:ind w:firstLine="420" w:firstLineChars="200"/>
              <w:jc w:val="left"/>
              <w:rPr>
                <w:szCs w:val="21"/>
              </w:rPr>
            </w:pPr>
            <w:r>
              <w:rPr>
                <w:szCs w:val="21"/>
              </w:rPr>
              <w:t>规划环境影响评价结论及审查意见的符合性，详见表1。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717" w:type="dxa"/>
            <w:gridSpan w:val="4"/>
            <w:vAlign w:val="center"/>
          </w:tcPr>
          <w:p>
            <w:pPr>
              <w:jc w:val="left"/>
              <w:rPr>
                <w:b/>
                <w:bCs/>
              </w:rPr>
            </w:pPr>
            <w:bookmarkStart w:id="1" w:name="_Hlk56690880"/>
            <w:r>
              <w:rPr>
                <w:b/>
                <w:bCs/>
              </w:rPr>
              <w:t>其他符合性分析</w:t>
            </w:r>
            <w:bookmarkEnd w:id="1"/>
          </w:p>
          <w:p>
            <w:pPr>
              <w:spacing w:line="360" w:lineRule="auto"/>
              <w:ind w:firstLine="420" w:firstLineChars="200"/>
              <w:jc w:val="left"/>
              <w:rPr>
                <w:u w:val="single"/>
              </w:rPr>
            </w:pPr>
            <w:r>
              <w:rPr>
                <w:u w:val="single"/>
              </w:rPr>
              <w:t>1、产业政策符合性分析</w:t>
            </w:r>
          </w:p>
          <w:p>
            <w:pPr>
              <w:spacing w:line="360" w:lineRule="auto"/>
              <w:ind w:firstLine="420" w:firstLineChars="200"/>
              <w:jc w:val="left"/>
              <w:rPr>
                <w:u w:val="single"/>
              </w:rPr>
            </w:pPr>
            <w:r>
              <w:rPr>
                <w:u w:val="single"/>
              </w:rPr>
              <w:t>根据《产业结构调整指导目录（2024年本）》（国家发展改革委2023年第7号令），本项目为将原有0.5MW燃生物质锅炉拆除，原址建设一台额定热功率1600kW的有机热载体液相炉（导热油炉），属于生物质热能利用项目。以下从鼓励类、限制类、淘汰类三个维度进行分析。</w:t>
            </w:r>
          </w:p>
          <w:p>
            <w:pPr>
              <w:spacing w:line="360" w:lineRule="auto"/>
              <w:ind w:firstLine="420" w:firstLineChars="200"/>
              <w:jc w:val="left"/>
              <w:rPr>
                <w:u w:val="single"/>
              </w:rPr>
            </w:pPr>
            <w:r>
              <w:rPr>
                <w:u w:val="single"/>
              </w:rPr>
              <w:t>（1）与鼓励类的符合性分析</w:t>
            </w:r>
          </w:p>
          <w:p>
            <w:pPr>
              <w:spacing w:line="360" w:lineRule="auto"/>
              <w:ind w:firstLine="420" w:firstLineChars="200"/>
              <w:jc w:val="left"/>
              <w:rPr>
                <w:u w:val="single"/>
              </w:rPr>
            </w:pPr>
            <w:r>
              <w:rPr>
                <w:u w:val="single"/>
              </w:rPr>
              <w:t>第一类“农林牧渔业”第17项：可再生资源综合利用——农作物秸秆综合利用（秸秆收储运体系建设、秸秆肥料化利用、秸秆饲料化利用、秸秆能源化利用、秸秆基料化利用、秸秆原料化利用等），农村可再生资源综合利用开发工程（沼气工程、生物天然气工程、再生资源综合利用、沼气发电、生物质能清洁供热、秸秆气化清洁能源利用工程、废弃菌棒利用、太阳能利用）</w:t>
            </w:r>
          </w:p>
          <w:p>
            <w:pPr>
              <w:spacing w:line="360" w:lineRule="auto"/>
              <w:ind w:firstLine="420" w:firstLineChars="200"/>
              <w:jc w:val="left"/>
              <w:rPr>
                <w:u w:val="single"/>
              </w:rPr>
            </w:pPr>
            <w:r>
              <w:rPr>
                <w:u w:val="single"/>
              </w:rPr>
              <w:t>本项目以生物质成型燃料为能源，通过有机热载体液相炉为企业生产提供热能，属于“秸秆能源化利用”和“生物质能清洁供热”范畴。同时，项目将原有低热效率锅炉更新为高效导热油炉，符合《产业结构调整指导目录（2024年本）》鼓励类中关于资源综合利用和清洁能源发展的政策导向。</w:t>
            </w:r>
          </w:p>
          <w:p>
            <w:pPr>
              <w:spacing w:line="360" w:lineRule="auto"/>
              <w:ind w:firstLine="420" w:firstLineChars="200"/>
              <w:jc w:val="left"/>
              <w:rPr>
                <w:u w:val="single"/>
              </w:rPr>
            </w:pPr>
            <w:r>
              <w:rPr>
                <w:u w:val="single"/>
              </w:rPr>
              <w:t>（2）与限制类的符合性分析</w:t>
            </w:r>
          </w:p>
          <w:p>
            <w:pPr>
              <w:spacing w:line="360" w:lineRule="auto"/>
              <w:ind w:firstLine="420" w:firstLineChars="200"/>
              <w:jc w:val="left"/>
              <w:rPr>
                <w:u w:val="single"/>
              </w:rPr>
            </w:pPr>
            <w:r>
              <w:rPr>
                <w:u w:val="single"/>
              </w:rPr>
              <w:t>第二类“机械”第57项：每小时35蒸吨及以下固定炉排式生物质锅炉。</w:t>
            </w:r>
          </w:p>
          <w:p>
            <w:pPr>
              <w:spacing w:line="360" w:lineRule="auto"/>
              <w:ind w:firstLine="420" w:firstLineChars="200"/>
              <w:jc w:val="left"/>
              <w:rPr>
                <w:u w:val="single"/>
              </w:rPr>
            </w:pPr>
            <w:r>
              <w:rPr>
                <w:u w:val="single"/>
              </w:rPr>
              <w:t>本项目拟建有机热载体液相炉额定热功率1600kW，折合约2.29蒸吨/小时（按0.7MW=1蒸吨换算），选用的有机热载体液相炉采用往复炉排式燃烧技术，不属于固定炉排式生物质锅炉，不在此限制范围内。</w:t>
            </w:r>
          </w:p>
          <w:p>
            <w:pPr>
              <w:spacing w:line="360" w:lineRule="auto"/>
              <w:ind w:firstLine="420" w:firstLineChars="200"/>
              <w:jc w:val="left"/>
              <w:rPr>
                <w:u w:val="single"/>
              </w:rPr>
            </w:pPr>
            <w:r>
              <w:rPr>
                <w:u w:val="single"/>
              </w:rPr>
              <w:t>（3）与淘汰类的符合性分析</w:t>
            </w:r>
          </w:p>
          <w:p>
            <w:pPr>
              <w:spacing w:line="360" w:lineRule="auto"/>
              <w:ind w:firstLine="420" w:firstLineChars="200"/>
              <w:jc w:val="left"/>
              <w:rPr>
                <w:u w:val="single"/>
              </w:rPr>
            </w:pPr>
            <w:r>
              <w:rPr>
                <w:u w:val="single"/>
              </w:rPr>
              <w:t>第三类“机械”第66项：每小时2蒸吨及以下生物质锅炉。</w:t>
            </w:r>
          </w:p>
          <w:p>
            <w:pPr>
              <w:spacing w:line="360" w:lineRule="auto"/>
              <w:ind w:firstLine="420" w:firstLineChars="200"/>
              <w:jc w:val="left"/>
              <w:rPr>
                <w:u w:val="single"/>
              </w:rPr>
            </w:pPr>
            <w:r>
              <w:rPr>
                <w:u w:val="single"/>
              </w:rPr>
              <w:t>本项目额定热功率1600kW，折合约2.29蒸吨/小时，大于2蒸吨/小时，不属于淘汰类所列“每小时2蒸吨及以下生物质锅炉”。</w:t>
            </w:r>
          </w:p>
          <w:p>
            <w:pPr>
              <w:spacing w:line="360" w:lineRule="auto"/>
              <w:ind w:firstLine="420" w:firstLineChars="200"/>
              <w:jc w:val="left"/>
              <w:rPr>
                <w:u w:val="single"/>
              </w:rPr>
            </w:pPr>
            <w:r>
              <w:rPr>
                <w:u w:val="single"/>
              </w:rPr>
              <w:t>项目以生物质成型燃料为能源，替代原有生物质锅炉（“以新带老”），属于农林废弃物能源化利用和生物质能清洁供热范畴，符合《产业结构调整指导目录（2024年本）》中关于可再生资源综合利用和生物质能供热的政策导向。同时，项目通过淘汰低效旧锅炉、更新高效导热油炉，实现了污染物减排，符合国家推动的能源结构优化和清洁生产方向。</w:t>
            </w:r>
          </w:p>
          <w:p>
            <w:pPr>
              <w:spacing w:line="360" w:lineRule="auto"/>
              <w:ind w:firstLine="420" w:firstLineChars="200"/>
              <w:jc w:val="left"/>
            </w:pPr>
            <w:r>
              <w:t>2、与</w:t>
            </w:r>
            <w:bookmarkStart w:id="2" w:name="_Toc55999720"/>
            <w:bookmarkStart w:id="3" w:name="_Toc69476580"/>
            <w:r>
              <w:t>法律法规符合性分析</w:t>
            </w:r>
            <w:bookmarkEnd w:id="2"/>
            <w:bookmarkEnd w:id="3"/>
          </w:p>
          <w:p>
            <w:pPr>
              <w:spacing w:line="360" w:lineRule="auto"/>
              <w:ind w:firstLine="420" w:firstLineChars="200"/>
              <w:jc w:val="left"/>
            </w:pPr>
            <w:r>
              <w:t>本项目与①《中华人民共和国生态环境法典》（2026</w:t>
            </w:r>
            <w:r>
              <w:rPr>
                <w:rFonts w:hint="eastAsia"/>
              </w:rPr>
              <w:t>.</w:t>
            </w:r>
            <w:r>
              <w:t>8</w:t>
            </w:r>
            <w:r>
              <w:rPr>
                <w:rFonts w:hint="eastAsia"/>
              </w:rPr>
              <w:t>.</w:t>
            </w:r>
            <w:r>
              <w:t>15）、②《吉林省大气污染防治条例》（2022.10.1）、③《吉林省空气质量巩固提升行动方案》（吉政办发【2021】10号）、④《中共吉林省委 吉林省政府关于全面加强生态环境保护坚决打好污染防治攻坚战的实施意见》（吉发【2018】33号）、⑤《中共吉林省委 吉林省人民政府关于深入打好污染防治攻坚战的实施意见》（2021.12.31）、⑥《空气质量持续改善行动计划》（国发【2023】24号）、⑦《吉林省落实〈空气质量持续改善行动计划〉实施方案》（吉政发【2024】8号）相符情况详见表2。</w:t>
            </w:r>
          </w:p>
          <w:p>
            <w:pPr>
              <w:spacing w:line="360" w:lineRule="auto"/>
              <w:ind w:firstLine="420" w:firstLineChars="200"/>
              <w:jc w:val="left"/>
            </w:pPr>
            <w:r>
              <w:t>3、项目与“生态准入”符合性分析</w:t>
            </w:r>
          </w:p>
          <w:p>
            <w:pPr>
              <w:spacing w:line="360" w:lineRule="auto"/>
              <w:ind w:firstLine="420" w:firstLineChars="200"/>
              <w:jc w:val="left"/>
            </w:pPr>
            <w:r>
              <w:t>根据关于印发《吉林省生态环境准入清单》的函（吉环函【2024】158号）及《吉林省省级及以上开发区生态环境准入清单》（吉环区评办【2022】1号），本项目“生态准入”相符性分析详见表3及表4。</w:t>
            </w:r>
          </w:p>
          <w:p>
            <w:pPr>
              <w:spacing w:line="360" w:lineRule="auto"/>
              <w:ind w:firstLine="420" w:firstLineChars="200"/>
              <w:jc w:val="left"/>
            </w:pPr>
            <w:r>
              <w:t>4、项目与“管控单元”符合性分析</w:t>
            </w:r>
          </w:p>
          <w:p>
            <w:pPr>
              <w:spacing w:line="360" w:lineRule="auto"/>
              <w:ind w:firstLine="420" w:firstLineChars="200"/>
              <w:jc w:val="left"/>
            </w:pPr>
            <w:r>
              <w:t>经查询“吉林省生态环境分区管控公众端应用平台”，本项目压盖吉林柳河经济开发区（ZH22052420001），本项目“管控单元”相符性分析详见表5。项目位置环境管控单元信息详见</w:t>
            </w:r>
            <w:r>
              <w:rPr>
                <w:color w:val="FF0000"/>
              </w:rPr>
              <w:t>附图3</w:t>
            </w:r>
            <w:r>
              <w:t>。</w:t>
            </w:r>
          </w:p>
          <w:p>
            <w:pPr>
              <w:spacing w:line="360" w:lineRule="auto"/>
              <w:ind w:firstLine="420" w:firstLineChars="200"/>
              <w:jc w:val="left"/>
              <w:rPr>
                <w:u w:val="single"/>
              </w:rPr>
            </w:pPr>
            <w:r>
              <w:rPr>
                <w:u w:val="single"/>
              </w:rPr>
              <w:t>5、与吉林柳河经济开发区的规划协调性说明</w:t>
            </w:r>
          </w:p>
          <w:p>
            <w:pPr>
              <w:spacing w:line="360" w:lineRule="auto"/>
              <w:ind w:firstLine="420" w:firstLineChars="200"/>
              <w:jc w:val="left"/>
              <w:rPr>
                <w:u w:val="single"/>
              </w:rPr>
            </w:pPr>
            <w:r>
              <w:rPr>
                <w:u w:val="single"/>
              </w:rPr>
              <w:t>为明确本项目是否符合园区规划及规划环评管控要求，建设单位在环评报批前主动向吉林柳河经济开发区管理委员会提交了《关于申请出具锅炉改造项目准予建设说明的请示》，就项目性质界定、规划符合性及过渡热源要求等事项请求管委会出具书面确认意见。</w:t>
            </w:r>
          </w:p>
          <w:p>
            <w:pPr>
              <w:spacing w:line="360" w:lineRule="auto"/>
              <w:ind w:firstLine="420" w:firstLineChars="200"/>
              <w:jc w:val="left"/>
              <w:rPr>
                <w:u w:val="single"/>
              </w:rPr>
            </w:pPr>
            <w:r>
              <w:rPr>
                <w:u w:val="single"/>
              </w:rPr>
              <w:t>2026年7月13日，吉林柳河经济开发区管理委员会出具了《关于同意柳河赵氏木业有限公司锅炉改造项目建设的说明》，就本项目涉及的核心事项明确如下：</w:t>
            </w:r>
          </w:p>
          <w:p>
            <w:pPr>
              <w:spacing w:line="360" w:lineRule="auto"/>
              <w:ind w:firstLine="420" w:firstLineChars="200"/>
              <w:jc w:val="left"/>
              <w:rPr>
                <w:u w:val="single"/>
              </w:rPr>
            </w:pPr>
            <w:r>
              <w:rPr>
                <w:u w:val="single"/>
              </w:rPr>
              <w:t>（1）项目性质界定：管委会确认本项目将原有0.5MW燃生物质锅炉拆除、原址建设一台1600kW有机热载体液相炉，鉴于未新增用地、未新建厂房、未扩大板式家具主体产能，且仅对供热设备进行能效提升型更新，原则同意将该项目视为技术改造项目进行申报，并支持项目建设</w:t>
            </w:r>
            <w:r>
              <w:rPr>
                <w:rFonts w:hint="eastAsia"/>
                <w:u w:val="single"/>
              </w:rPr>
              <w:t>（实为场区现有供热工程扩建，但未</w:t>
            </w:r>
            <w:r>
              <w:rPr>
                <w:u w:val="single"/>
              </w:rPr>
              <w:t>扩大板式家具主体产能</w:t>
            </w:r>
            <w:r>
              <w:rPr>
                <w:rFonts w:hint="eastAsia"/>
                <w:u w:val="single"/>
              </w:rPr>
              <w:t>）</w:t>
            </w:r>
            <w:r>
              <w:rPr>
                <w:u w:val="single"/>
              </w:rPr>
              <w:t>。</w:t>
            </w:r>
          </w:p>
          <w:p>
            <w:pPr>
              <w:spacing w:line="360" w:lineRule="auto"/>
              <w:ind w:firstLine="420" w:firstLineChars="200"/>
              <w:jc w:val="left"/>
              <w:rPr>
                <w:u w:val="single"/>
              </w:rPr>
            </w:pPr>
            <w:r>
              <w:rPr>
                <w:u w:val="single"/>
              </w:rPr>
              <w:t>（2）规划符合性认定：管委会确认本项目位于大健康综合产业园内，虽家具制造非园区主导产业，但</w:t>
            </w:r>
            <w:r>
              <w:rPr>
                <w:rFonts w:hint="eastAsia"/>
                <w:u w:val="single"/>
              </w:rPr>
              <w:t>本项目</w:t>
            </w:r>
            <w:r>
              <w:rPr>
                <w:u w:val="single"/>
              </w:rPr>
              <w:t>属于保障现有企业正常生产的配套热源更新，符合规划环评中“在实现集中供热之前，应采用清洁能源作为过渡热源”的要求，不属于对被禁止扩建企业的违规扩建行为。</w:t>
            </w:r>
          </w:p>
          <w:p>
            <w:pPr>
              <w:spacing w:line="360" w:lineRule="auto"/>
              <w:ind w:firstLine="420" w:firstLineChars="200"/>
              <w:jc w:val="left"/>
              <w:rPr>
                <w:color w:val="FF0000"/>
                <w:u w:val="single"/>
              </w:rPr>
            </w:pPr>
            <w:r>
              <w:rPr>
                <w:u w:val="single"/>
              </w:rPr>
              <w:t>（3）</w:t>
            </w:r>
            <w:r>
              <w:rPr>
                <w:color w:val="FF0000"/>
                <w:u w:val="single"/>
              </w:rPr>
              <w:t>过渡热源要求与衔接承诺：管委会确认在园区集中供热热源及管网尚未建成的情况下，本项目可作为过渡热源运行，但须使用生物质成型燃料等清洁能源；集中供热建成后，建设单位须无条件配合拆除自备锅炉并接入管网。建设单位已同步出具《关于锅炉改造项目不新增用地及不扩大生产规模的承诺说明》，就产能不增、用地不增、人员不增及集中供热配合拆除等事项作出书面承诺。</w:t>
            </w:r>
          </w:p>
          <w:p>
            <w:pPr>
              <w:spacing w:line="360" w:lineRule="auto"/>
              <w:ind w:firstLine="420" w:firstLineChars="200"/>
              <w:jc w:val="left"/>
              <w:rPr>
                <w:color w:val="FF0000"/>
                <w:u w:val="single"/>
              </w:rPr>
            </w:pPr>
            <w:r>
              <w:rPr>
                <w:color w:val="FF0000"/>
                <w:u w:val="single"/>
              </w:rPr>
              <w:t>上述管委会书面意见及企业承诺文件详见附件，明确了本项目</w:t>
            </w:r>
            <w:r>
              <w:rPr>
                <w:rFonts w:hint="eastAsia"/>
                <w:color w:val="FF0000"/>
                <w:u w:val="single"/>
              </w:rPr>
              <w:t>可</w:t>
            </w:r>
            <w:r>
              <w:rPr>
                <w:color w:val="FF0000"/>
                <w:u w:val="single"/>
              </w:rPr>
              <w:t>视为技术改造项目进行申报</w:t>
            </w:r>
            <w:r>
              <w:rPr>
                <w:rFonts w:hint="eastAsia"/>
                <w:color w:val="FF0000"/>
                <w:u w:val="single"/>
              </w:rPr>
              <w:t>（实为场区现有供热工程扩建，但未</w:t>
            </w:r>
            <w:r>
              <w:rPr>
                <w:color w:val="FF0000"/>
                <w:u w:val="single"/>
              </w:rPr>
              <w:t>扩大板式家具主体产能</w:t>
            </w:r>
            <w:r>
              <w:rPr>
                <w:rFonts w:hint="eastAsia"/>
                <w:color w:val="FF0000"/>
                <w:u w:val="single"/>
              </w:rPr>
              <w:t>）</w:t>
            </w:r>
            <w:r>
              <w:rPr>
                <w:color w:val="FF0000"/>
                <w:u w:val="single"/>
              </w:rPr>
              <w:t>，有效衔接了园区规划环评的管控要求与过渡期企业实际生产供热需求，为本项目的顺利实施提供了规划层面的政策支撑。</w:t>
            </w:r>
          </w:p>
          <w:p>
            <w:pPr>
              <w:spacing w:line="360" w:lineRule="auto"/>
              <w:ind w:firstLine="420" w:firstLineChars="200"/>
              <w:jc w:val="left"/>
              <w:rPr>
                <w:u w:val="single"/>
              </w:rPr>
            </w:pPr>
            <w:r>
              <w:rPr>
                <w:rFonts w:hint="eastAsia"/>
                <w:u w:val="single"/>
              </w:rPr>
              <w:t>6、燃用生物质燃料的清洁能源属性分析</w:t>
            </w:r>
          </w:p>
          <w:p>
            <w:pPr>
              <w:spacing w:line="360" w:lineRule="auto"/>
              <w:ind w:firstLine="420" w:firstLineChars="200"/>
              <w:jc w:val="left"/>
              <w:rPr>
                <w:u w:val="single"/>
              </w:rPr>
            </w:pPr>
            <w:r>
              <w:rPr>
                <w:u w:val="single"/>
              </w:rPr>
              <w:t>根据《高污染燃料目录》（国环规大气</w:t>
            </w:r>
            <w:r>
              <w:rPr>
                <w:rFonts w:hint="eastAsia"/>
                <w:u w:val="single"/>
              </w:rPr>
              <w:t>【2017】</w:t>
            </w:r>
            <w:r>
              <w:rPr>
                <w:u w:val="single"/>
              </w:rPr>
              <w:t>2号）第Ⅲ类要求，禁燃区内禁止燃用的生物质燃料限定为以下两类：①非专用锅炉燃用的生物质成型燃料；②未配置高效除尘设施的专用锅炉燃用的生物质成型燃料。换言之，使用专用锅炉并配置高效除尘设施的生物质成型燃料，不属于高污染燃料，属于清洁能源范畴。</w:t>
            </w:r>
          </w:p>
          <w:p>
            <w:pPr>
              <w:spacing w:line="360" w:lineRule="auto"/>
              <w:ind w:firstLine="420" w:firstLineChars="200"/>
              <w:jc w:val="left"/>
              <w:rPr>
                <w:u w:val="single"/>
              </w:rPr>
            </w:pPr>
            <w:r>
              <w:rPr>
                <w:u w:val="single"/>
              </w:rPr>
              <w:t>本项目选用YSL-1600S型有机热载体液相炉，为生物质专用往复炉排锅炉，非燃煤或燃油锅炉改烧生物质；配套“旋风除尘+布袋除尘”两级除尘工艺，综合除尘效率≥99.</w:t>
            </w:r>
            <w:r>
              <w:rPr>
                <w:rFonts w:hint="eastAsia"/>
                <w:u w:val="single"/>
              </w:rPr>
              <w:t>0</w:t>
            </w:r>
            <w:r>
              <w:rPr>
                <w:u w:val="single"/>
              </w:rPr>
              <w:t>0%，属于《排污许可证申请与核发技术规范 锅炉》（HJ953-2018）表7中规定的烟气污染防治可行技术；经治理后烟气中颗粒物排放浓度为12.09mg/m³，远低于《锅炉大气污染物排放标准》（GB13271-2014）表2中50mg/m³的限值要求。</w:t>
            </w:r>
          </w:p>
          <w:p>
            <w:pPr>
              <w:spacing w:line="360" w:lineRule="auto"/>
              <w:ind w:firstLine="420" w:firstLineChars="200"/>
              <w:jc w:val="left"/>
              <w:rPr>
                <w:u w:val="single"/>
              </w:rPr>
            </w:pPr>
            <w:r>
              <w:rPr>
                <w:u w:val="single"/>
              </w:rPr>
              <w:t>因此，即使按照禁燃区最严格的管理要求（第Ⅲ类）进行对照，本项目使用的生物质成型燃料仍不属于高污染燃料，在非禁燃区更应认定为清洁能源。</w:t>
            </w:r>
          </w:p>
          <w:p>
            <w:pPr>
              <w:spacing w:line="360" w:lineRule="auto"/>
              <w:ind w:firstLine="420" w:firstLineChars="200"/>
              <w:jc w:val="left"/>
            </w:pPr>
          </w:p>
          <w:p>
            <w:pPr>
              <w:spacing w:line="360" w:lineRule="auto"/>
              <w:ind w:firstLine="420" w:firstLineChars="200"/>
              <w:jc w:val="left"/>
            </w:pPr>
          </w:p>
          <w:p>
            <w:pPr>
              <w:spacing w:line="360" w:lineRule="auto"/>
              <w:ind w:firstLine="420" w:firstLineChars="200"/>
              <w:jc w:val="left"/>
            </w:pPr>
          </w:p>
          <w:p>
            <w:pPr>
              <w:spacing w:line="360" w:lineRule="auto"/>
              <w:ind w:firstLine="420" w:firstLineChars="200"/>
              <w:jc w:val="left"/>
            </w:pPr>
          </w:p>
          <w:p>
            <w:pPr>
              <w:spacing w:line="360" w:lineRule="auto"/>
              <w:ind w:firstLine="420" w:firstLineChars="200"/>
              <w:jc w:val="left"/>
            </w:pPr>
          </w:p>
          <w:p>
            <w:pPr>
              <w:spacing w:line="360" w:lineRule="auto"/>
              <w:ind w:firstLine="420" w:firstLineChars="200"/>
              <w:jc w:val="left"/>
            </w:pPr>
          </w:p>
          <w:p>
            <w:pPr>
              <w:spacing w:line="360" w:lineRule="auto"/>
              <w:ind w:firstLine="420" w:firstLineChars="200"/>
              <w:jc w:val="left"/>
            </w:pPr>
          </w:p>
          <w:p>
            <w:pPr>
              <w:spacing w:line="360" w:lineRule="auto"/>
              <w:ind w:firstLine="420" w:firstLineChars="200"/>
              <w:jc w:val="left"/>
            </w:pPr>
          </w:p>
          <w:p>
            <w:pPr>
              <w:spacing w:line="360" w:lineRule="auto"/>
              <w:ind w:firstLine="420" w:firstLineChars="200"/>
              <w:jc w:val="left"/>
            </w:pPr>
          </w:p>
          <w:p>
            <w:pPr>
              <w:spacing w:line="360" w:lineRule="auto"/>
              <w:ind w:firstLine="420" w:firstLineChars="200"/>
              <w:jc w:val="left"/>
            </w:pPr>
          </w:p>
          <w:p>
            <w:pPr>
              <w:spacing w:line="360" w:lineRule="auto"/>
              <w:ind w:firstLine="420" w:firstLineChars="200"/>
              <w:jc w:val="left"/>
            </w:pPr>
          </w:p>
        </w:tc>
      </w:tr>
    </w:tbl>
    <w:p>
      <w:pPr>
        <w:spacing w:line="360" w:lineRule="auto"/>
        <w:jc w:val="left"/>
        <w:sectPr>
          <w:footerReference r:id="rId3" w:type="default"/>
          <w:pgSz w:w="11906" w:h="16838"/>
          <w:pgMar w:top="1701" w:right="1701" w:bottom="1701" w:left="1701" w:header="851" w:footer="992" w:gutter="0"/>
          <w:pgNumType w:start="1"/>
          <w:cols w:space="0" w:num="1"/>
          <w:docGrid w:type="lines" w:linePitch="312" w:charSpace="0"/>
        </w:sectPr>
      </w:pPr>
    </w:p>
    <w:tbl>
      <w:tblPr>
        <w:tblStyle w:val="26"/>
        <w:tblW w:w="1365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6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6" w:hRule="atLeast"/>
        </w:trPr>
        <w:tc>
          <w:tcPr>
            <w:tcW w:w="13652" w:type="dxa"/>
            <w:vAlign w:val="top"/>
          </w:tcPr>
          <w:p>
            <w:pPr>
              <w:jc w:val="center"/>
              <w:rPr>
                <w:b/>
                <w:bCs/>
              </w:rPr>
            </w:pPr>
            <w:r>
              <w:rPr>
                <w:b/>
                <w:bCs/>
              </w:rPr>
              <w:t>表1  规划环境影响评价结论及审查意见的符合性一览表</w:t>
            </w:r>
          </w:p>
          <w:tbl>
            <w:tblPr>
              <w:tblStyle w:val="26"/>
              <w:tblW w:w="13436" w:type="dxa"/>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621"/>
              <w:gridCol w:w="4764"/>
              <w:gridCol w:w="5940"/>
              <w:gridCol w:w="2111"/>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21" w:type="dxa"/>
                  <w:tcBorders>
                    <w:tl2br w:val="nil"/>
                    <w:tr2bl w:val="nil"/>
                  </w:tcBorders>
                  <w:vAlign w:val="center"/>
                </w:tcPr>
                <w:p>
                  <w:pPr>
                    <w:adjustRightInd w:val="0"/>
                    <w:snapToGrid w:val="0"/>
                    <w:jc w:val="center"/>
                    <w:rPr>
                      <w:sz w:val="18"/>
                      <w:szCs w:val="18"/>
                    </w:rPr>
                  </w:pPr>
                  <w:r>
                    <w:rPr>
                      <w:sz w:val="18"/>
                      <w:szCs w:val="18"/>
                    </w:rPr>
                    <w:t>序号</w:t>
                  </w:r>
                </w:p>
              </w:tc>
              <w:tc>
                <w:tcPr>
                  <w:tcW w:w="4764" w:type="dxa"/>
                  <w:tcBorders>
                    <w:tl2br w:val="nil"/>
                    <w:tr2bl w:val="nil"/>
                  </w:tcBorders>
                  <w:vAlign w:val="center"/>
                </w:tcPr>
                <w:p>
                  <w:pPr>
                    <w:adjustRightInd w:val="0"/>
                    <w:snapToGrid w:val="0"/>
                    <w:jc w:val="center"/>
                    <w:rPr>
                      <w:sz w:val="18"/>
                      <w:szCs w:val="18"/>
                    </w:rPr>
                  </w:pPr>
                  <w:r>
                    <w:rPr>
                      <w:sz w:val="18"/>
                      <w:szCs w:val="18"/>
                    </w:rPr>
                    <w:t>要求</w:t>
                  </w:r>
                </w:p>
              </w:tc>
              <w:tc>
                <w:tcPr>
                  <w:tcW w:w="5940" w:type="dxa"/>
                  <w:tcBorders>
                    <w:tl2br w:val="nil"/>
                    <w:tr2bl w:val="nil"/>
                  </w:tcBorders>
                  <w:vAlign w:val="center"/>
                </w:tcPr>
                <w:p>
                  <w:pPr>
                    <w:adjustRightInd w:val="0"/>
                    <w:snapToGrid w:val="0"/>
                    <w:jc w:val="center"/>
                    <w:rPr>
                      <w:sz w:val="18"/>
                      <w:szCs w:val="18"/>
                    </w:rPr>
                  </w:pPr>
                  <w:r>
                    <w:rPr>
                      <w:sz w:val="18"/>
                      <w:szCs w:val="18"/>
                    </w:rPr>
                    <w:t>本项目</w:t>
                  </w:r>
                </w:p>
              </w:tc>
              <w:tc>
                <w:tcPr>
                  <w:tcW w:w="2111" w:type="dxa"/>
                  <w:tcBorders>
                    <w:tl2br w:val="nil"/>
                    <w:tr2bl w:val="nil"/>
                  </w:tcBorders>
                  <w:vAlign w:val="center"/>
                </w:tcPr>
                <w:p>
                  <w:pPr>
                    <w:adjustRightInd w:val="0"/>
                    <w:snapToGrid w:val="0"/>
                    <w:jc w:val="center"/>
                    <w:rPr>
                      <w:sz w:val="18"/>
                      <w:szCs w:val="18"/>
                    </w:rPr>
                  </w:pPr>
                  <w:r>
                    <w:rPr>
                      <w:sz w:val="18"/>
                      <w:szCs w:val="18"/>
                    </w:rPr>
                    <w:t>符合性</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21" w:type="dxa"/>
                  <w:tcBorders>
                    <w:tl2br w:val="nil"/>
                    <w:tr2bl w:val="nil"/>
                  </w:tcBorders>
                  <w:vAlign w:val="center"/>
                </w:tcPr>
                <w:p>
                  <w:pPr>
                    <w:adjustRightInd w:val="0"/>
                    <w:snapToGrid w:val="0"/>
                    <w:jc w:val="center"/>
                    <w:rPr>
                      <w:sz w:val="18"/>
                      <w:szCs w:val="18"/>
                    </w:rPr>
                  </w:pPr>
                  <w:r>
                    <w:rPr>
                      <w:sz w:val="18"/>
                      <w:szCs w:val="18"/>
                    </w:rPr>
                    <w:t>1</w:t>
                  </w:r>
                </w:p>
              </w:tc>
              <w:tc>
                <w:tcPr>
                  <w:tcW w:w="4764" w:type="dxa"/>
                  <w:tcBorders>
                    <w:tl2br w:val="nil"/>
                    <w:tr2bl w:val="nil"/>
                  </w:tcBorders>
                  <w:vAlign w:val="center"/>
                </w:tcPr>
                <w:p>
                  <w:pPr>
                    <w:adjustRightInd w:val="0"/>
                    <w:snapToGrid w:val="0"/>
                    <w:jc w:val="left"/>
                    <w:rPr>
                      <w:sz w:val="18"/>
                      <w:szCs w:val="18"/>
                    </w:rPr>
                  </w:pPr>
                  <w:r>
                    <w:rPr>
                      <w:sz w:val="18"/>
                      <w:szCs w:val="18"/>
                    </w:rPr>
                    <w:t>鉴于工业集中区部分用地未纳入《柳河县城市总体规划（2008-2020年）》，部分用地规划与《柳河县城市总体规划（2008-2020年）》不一致，你单位应尽快与柳河县人民政府沟通协调，确保柳河县国土空间规划与工业集中区规划协调一致。同时，结合国土空间规划、衔接“三线一单”成果，细化生态环境准入清单。</w:t>
                  </w:r>
                </w:p>
              </w:tc>
              <w:tc>
                <w:tcPr>
                  <w:tcW w:w="5940" w:type="dxa"/>
                  <w:tcBorders>
                    <w:tl2br w:val="nil"/>
                    <w:tr2bl w:val="nil"/>
                  </w:tcBorders>
                  <w:vAlign w:val="center"/>
                </w:tcPr>
                <w:p>
                  <w:pPr>
                    <w:adjustRightInd w:val="0"/>
                    <w:snapToGrid w:val="0"/>
                    <w:jc w:val="left"/>
                    <w:rPr>
                      <w:sz w:val="18"/>
                      <w:szCs w:val="18"/>
                    </w:rPr>
                  </w:pPr>
                  <w:r>
                    <w:rPr>
                      <w:sz w:val="18"/>
                      <w:szCs w:val="18"/>
                    </w:rPr>
                    <w:t>本项目在柳河赵氏木业有限公司现有厂区内原址建设，不新增用地，不改变用地性质，不涉及规划用地范围调整。企业厂区已取得合法用地手续，位于吉林柳河经济开发区规划范围内。项目仅进行锅炉设备更新，不涉及新建厂房等土建工程。</w:t>
                  </w:r>
                </w:p>
              </w:tc>
              <w:tc>
                <w:tcPr>
                  <w:tcW w:w="2111" w:type="dxa"/>
                  <w:tcBorders>
                    <w:tl2br w:val="nil"/>
                    <w:tr2bl w:val="nil"/>
                  </w:tcBorders>
                  <w:vAlign w:val="center"/>
                </w:tcPr>
                <w:p>
                  <w:pPr>
                    <w:adjustRightInd w:val="0"/>
                    <w:snapToGrid w:val="0"/>
                    <w:jc w:val="left"/>
                    <w:rPr>
                      <w:sz w:val="18"/>
                      <w:szCs w:val="18"/>
                    </w:rPr>
                  </w:pPr>
                  <w:r>
                    <w:rPr>
                      <w:sz w:val="18"/>
                      <w:szCs w:val="18"/>
                    </w:rPr>
                    <w:t>符合。</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21" w:type="dxa"/>
                  <w:tcBorders>
                    <w:tl2br w:val="nil"/>
                    <w:tr2bl w:val="nil"/>
                  </w:tcBorders>
                  <w:vAlign w:val="center"/>
                </w:tcPr>
                <w:p>
                  <w:pPr>
                    <w:adjustRightInd w:val="0"/>
                    <w:snapToGrid w:val="0"/>
                    <w:jc w:val="center"/>
                    <w:rPr>
                      <w:sz w:val="18"/>
                      <w:szCs w:val="18"/>
                    </w:rPr>
                  </w:pPr>
                  <w:r>
                    <w:rPr>
                      <w:sz w:val="18"/>
                      <w:szCs w:val="18"/>
                    </w:rPr>
                    <w:t>2</w:t>
                  </w:r>
                </w:p>
              </w:tc>
              <w:tc>
                <w:tcPr>
                  <w:tcW w:w="4764" w:type="dxa"/>
                  <w:tcBorders>
                    <w:tl2br w:val="nil"/>
                    <w:tr2bl w:val="nil"/>
                  </w:tcBorders>
                  <w:vAlign w:val="center"/>
                </w:tcPr>
                <w:p>
                  <w:pPr>
                    <w:adjustRightInd w:val="0"/>
                    <w:snapToGrid w:val="0"/>
                    <w:jc w:val="left"/>
                    <w:rPr>
                      <w:sz w:val="18"/>
                      <w:szCs w:val="18"/>
                    </w:rPr>
                  </w:pPr>
                  <w:r>
                    <w:rPr>
                      <w:sz w:val="18"/>
                      <w:szCs w:val="18"/>
                    </w:rPr>
                    <w:t>按照规划时限完成集中供热热源及管网建设，拆除集中供热以外的分散供热锅炉。在实现工业集中区集中供热之前，应采用清洁能源作为过渡热源。</w:t>
                  </w:r>
                </w:p>
              </w:tc>
              <w:tc>
                <w:tcPr>
                  <w:tcW w:w="5940" w:type="dxa"/>
                  <w:tcBorders>
                    <w:tl2br w:val="nil"/>
                    <w:tr2bl w:val="nil"/>
                  </w:tcBorders>
                  <w:vAlign w:val="center"/>
                </w:tcPr>
                <w:p>
                  <w:pPr>
                    <w:adjustRightInd w:val="0"/>
                    <w:snapToGrid w:val="0"/>
                    <w:jc w:val="left"/>
                    <w:rPr>
                      <w:sz w:val="18"/>
                      <w:szCs w:val="18"/>
                    </w:rPr>
                  </w:pPr>
                  <w:r>
                    <w:rPr>
                      <w:sz w:val="18"/>
                      <w:szCs w:val="18"/>
                    </w:rPr>
                    <w:t>本项目拆除原有0.5MW燃生物质锅炉，原址建设一台1600kW有机热载体液相炉，以生物质成型燃料为能源，属于清洁能源范畴。由于吉林柳河经济开发区集中供热热源及管网尚未建成，本项目作为企业生产必需的热源保障，采用生物质能清洁供热方式作为过渡热源，待集中供热建成后可按要求并网或替代。</w:t>
                  </w:r>
                </w:p>
              </w:tc>
              <w:tc>
                <w:tcPr>
                  <w:tcW w:w="2111" w:type="dxa"/>
                  <w:tcBorders>
                    <w:tl2br w:val="nil"/>
                    <w:tr2bl w:val="nil"/>
                  </w:tcBorders>
                  <w:vAlign w:val="center"/>
                </w:tcPr>
                <w:p>
                  <w:pPr>
                    <w:adjustRightInd w:val="0"/>
                    <w:snapToGrid w:val="0"/>
                    <w:jc w:val="left"/>
                    <w:rPr>
                      <w:sz w:val="18"/>
                      <w:szCs w:val="18"/>
                    </w:rPr>
                  </w:pPr>
                  <w:r>
                    <w:rPr>
                      <w:sz w:val="18"/>
                      <w:szCs w:val="18"/>
                    </w:rPr>
                    <w:t>符合。本项目以生物质成型燃料为能源，属于清洁能源供热方式，符合过渡热源要求。建议企业关注集中供热建设进度，做好远期对接准备。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21" w:type="dxa"/>
                  <w:tcBorders>
                    <w:tl2br w:val="nil"/>
                    <w:tr2bl w:val="nil"/>
                  </w:tcBorders>
                  <w:vAlign w:val="center"/>
                </w:tcPr>
                <w:p>
                  <w:pPr>
                    <w:adjustRightInd w:val="0"/>
                    <w:snapToGrid w:val="0"/>
                    <w:jc w:val="center"/>
                    <w:rPr>
                      <w:sz w:val="18"/>
                      <w:szCs w:val="18"/>
                    </w:rPr>
                  </w:pPr>
                  <w:r>
                    <w:rPr>
                      <w:sz w:val="18"/>
                      <w:szCs w:val="18"/>
                    </w:rPr>
                    <w:t>3</w:t>
                  </w:r>
                </w:p>
              </w:tc>
              <w:tc>
                <w:tcPr>
                  <w:tcW w:w="4764" w:type="dxa"/>
                  <w:tcBorders>
                    <w:tl2br w:val="nil"/>
                    <w:tr2bl w:val="nil"/>
                  </w:tcBorders>
                  <w:vAlign w:val="center"/>
                </w:tcPr>
                <w:p>
                  <w:pPr>
                    <w:adjustRightInd w:val="0"/>
                    <w:snapToGrid w:val="0"/>
                    <w:jc w:val="left"/>
                    <w:rPr>
                      <w:sz w:val="18"/>
                      <w:szCs w:val="18"/>
                    </w:rPr>
                  </w:pPr>
                  <w:r>
                    <w:rPr>
                      <w:sz w:val="18"/>
                      <w:szCs w:val="18"/>
                    </w:rPr>
                    <w:t>禁止对吉林省红石石棉制品有限公司和柳河木王家具制造有限公司进行扩建。对不符合产业定位的企业制定限期淘汰或逐步搬迁计划，确保产业发展与区域生态环境保护、人居环境质量保障相协调。</w:t>
                  </w:r>
                </w:p>
              </w:tc>
              <w:tc>
                <w:tcPr>
                  <w:tcW w:w="5940" w:type="dxa"/>
                  <w:tcBorders>
                    <w:tl2br w:val="nil"/>
                    <w:tr2bl w:val="nil"/>
                  </w:tcBorders>
                  <w:vAlign w:val="center"/>
                </w:tcPr>
                <w:p>
                  <w:pPr>
                    <w:adjustRightInd w:val="0"/>
                    <w:snapToGrid w:val="0"/>
                    <w:jc w:val="left"/>
                    <w:rPr>
                      <w:sz w:val="18"/>
                      <w:szCs w:val="18"/>
                    </w:rPr>
                  </w:pPr>
                  <w:r>
                    <w:rPr>
                      <w:sz w:val="18"/>
                      <w:szCs w:val="18"/>
                    </w:rPr>
                    <w:t>本项目为锅炉设备更新（以新带老），不新增用地、不扩大生产规模、不新增产能，不构成规划环评审查意见中禁止的“扩建”行为。项目仅在原锅炉房内进行设备替换，厂区总平面布局、建筑面积、生产规模均不发生变化。</w:t>
                  </w:r>
                </w:p>
              </w:tc>
              <w:tc>
                <w:tcPr>
                  <w:tcW w:w="2111" w:type="dxa"/>
                  <w:tcBorders>
                    <w:tl2br w:val="nil"/>
                    <w:tr2bl w:val="nil"/>
                  </w:tcBorders>
                  <w:vAlign w:val="center"/>
                </w:tcPr>
                <w:p>
                  <w:pPr>
                    <w:adjustRightInd w:val="0"/>
                    <w:snapToGrid w:val="0"/>
                    <w:jc w:val="left"/>
                    <w:rPr>
                      <w:sz w:val="18"/>
                      <w:szCs w:val="18"/>
                    </w:rPr>
                  </w:pPr>
                  <w:r>
                    <w:rPr>
                      <w:sz w:val="18"/>
                      <w:szCs w:val="18"/>
                    </w:rPr>
                    <w:t>符合。本项目不构成“扩建”，符合规划环评审查意见中关于禁止扩建企业的管控要求。</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21" w:type="dxa"/>
                  <w:tcBorders>
                    <w:tl2br w:val="nil"/>
                    <w:tr2bl w:val="nil"/>
                  </w:tcBorders>
                  <w:vAlign w:val="center"/>
                </w:tcPr>
                <w:p>
                  <w:pPr>
                    <w:adjustRightInd w:val="0"/>
                    <w:snapToGrid w:val="0"/>
                    <w:jc w:val="center"/>
                    <w:rPr>
                      <w:sz w:val="18"/>
                      <w:szCs w:val="18"/>
                    </w:rPr>
                  </w:pPr>
                  <w:r>
                    <w:rPr>
                      <w:sz w:val="18"/>
                      <w:szCs w:val="18"/>
                    </w:rPr>
                    <w:t>4</w:t>
                  </w:r>
                </w:p>
              </w:tc>
              <w:tc>
                <w:tcPr>
                  <w:tcW w:w="4764" w:type="dxa"/>
                  <w:tcBorders>
                    <w:tl2br w:val="nil"/>
                    <w:tr2bl w:val="nil"/>
                  </w:tcBorders>
                  <w:vAlign w:val="center"/>
                </w:tcPr>
                <w:p>
                  <w:pPr>
                    <w:adjustRightInd w:val="0"/>
                    <w:snapToGrid w:val="0"/>
                    <w:jc w:val="left"/>
                    <w:rPr>
                      <w:sz w:val="18"/>
                      <w:szCs w:val="18"/>
                    </w:rPr>
                  </w:pPr>
                  <w:r>
                    <w:rPr>
                      <w:sz w:val="18"/>
                      <w:szCs w:val="18"/>
                    </w:rPr>
                    <w:t>根据《重点行业挥发性有机物综合治理方案》（环大气【2019】53号），核查区域VOCs排放重点企业清单，加强对VOCs排放重点行业监管，强化源头控制，推进建设适宜高效的治污设施，并将VOCs纳入总量控制要求。</w:t>
                  </w:r>
                </w:p>
              </w:tc>
              <w:tc>
                <w:tcPr>
                  <w:tcW w:w="5940" w:type="dxa"/>
                  <w:tcBorders>
                    <w:tl2br w:val="nil"/>
                    <w:tr2bl w:val="nil"/>
                  </w:tcBorders>
                  <w:vAlign w:val="center"/>
                </w:tcPr>
                <w:p>
                  <w:pPr>
                    <w:adjustRightInd w:val="0"/>
                    <w:snapToGrid w:val="0"/>
                    <w:jc w:val="left"/>
                    <w:rPr>
                      <w:sz w:val="18"/>
                      <w:szCs w:val="18"/>
                    </w:rPr>
                  </w:pPr>
                  <w:r>
                    <w:rPr>
                      <w:sz w:val="18"/>
                      <w:szCs w:val="18"/>
                    </w:rPr>
                    <w:t>本项目为生物质有机热载体液相炉供热项目，运行过程中不涉及VOCs产生及排放。项目主要排放污染物为锅炉烟气（颗粒物、SO</w:t>
                  </w:r>
                  <w:r>
                    <w:rPr>
                      <w:sz w:val="18"/>
                      <w:szCs w:val="18"/>
                      <w:vertAlign w:val="subscript"/>
                    </w:rPr>
                    <w:t>2</w:t>
                  </w:r>
                  <w:r>
                    <w:rPr>
                      <w:sz w:val="18"/>
                      <w:szCs w:val="18"/>
                    </w:rPr>
                    <w:t>、NOx），配套高效除尘设施（旋风除尘+布袋除尘），烟气经处理后达标排放。本项目不新增VOCs排放源，不涉及VOCs总量控制指标。</w:t>
                  </w:r>
                </w:p>
              </w:tc>
              <w:tc>
                <w:tcPr>
                  <w:tcW w:w="2111" w:type="dxa"/>
                  <w:tcBorders>
                    <w:tl2br w:val="nil"/>
                    <w:tr2bl w:val="nil"/>
                  </w:tcBorders>
                  <w:vAlign w:val="center"/>
                </w:tcPr>
                <w:p>
                  <w:pPr>
                    <w:adjustRightInd w:val="0"/>
                    <w:snapToGrid w:val="0"/>
                    <w:jc w:val="left"/>
                    <w:rPr>
                      <w:sz w:val="18"/>
                      <w:szCs w:val="18"/>
                    </w:rPr>
                  </w:pPr>
                  <w:r>
                    <w:rPr>
                      <w:sz w:val="18"/>
                      <w:szCs w:val="18"/>
                    </w:rPr>
                    <w:t>符合。本项目无VOCs排放，不涉及VOCs总量控制要求。</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21" w:type="dxa"/>
                  <w:tcBorders>
                    <w:tl2br w:val="nil"/>
                    <w:tr2bl w:val="nil"/>
                  </w:tcBorders>
                  <w:vAlign w:val="center"/>
                </w:tcPr>
                <w:p>
                  <w:pPr>
                    <w:adjustRightInd w:val="0"/>
                    <w:snapToGrid w:val="0"/>
                    <w:jc w:val="center"/>
                    <w:rPr>
                      <w:sz w:val="18"/>
                      <w:szCs w:val="18"/>
                    </w:rPr>
                  </w:pPr>
                  <w:r>
                    <w:rPr>
                      <w:sz w:val="18"/>
                      <w:szCs w:val="18"/>
                    </w:rPr>
                    <w:t>5</w:t>
                  </w:r>
                </w:p>
              </w:tc>
              <w:tc>
                <w:tcPr>
                  <w:tcW w:w="4764" w:type="dxa"/>
                  <w:tcBorders>
                    <w:tl2br w:val="nil"/>
                    <w:tr2bl w:val="nil"/>
                  </w:tcBorders>
                  <w:vAlign w:val="center"/>
                </w:tcPr>
                <w:p>
                  <w:pPr>
                    <w:adjustRightInd w:val="0"/>
                    <w:snapToGrid w:val="0"/>
                    <w:jc w:val="left"/>
                    <w:rPr>
                      <w:sz w:val="18"/>
                      <w:szCs w:val="18"/>
                    </w:rPr>
                  </w:pPr>
                  <w:r>
                    <w:rPr>
                      <w:sz w:val="18"/>
                      <w:szCs w:val="18"/>
                    </w:rPr>
                    <w:t>按照《关于规划环境影响评价加强空间管制、总量管控和环境准入的指导意见（试行）》（环办环评【2016】14号）中严格总量管控的相关要求，确定主要控制污染物因子总量管控限值，开发区主要污染物排放总量应纳入柳河县主要污染物排放总量管理体系内并严格控制，做到科学调剂，合理使用。</w:t>
                  </w:r>
                </w:p>
              </w:tc>
              <w:tc>
                <w:tcPr>
                  <w:tcW w:w="5940" w:type="dxa"/>
                  <w:tcBorders>
                    <w:tl2br w:val="nil"/>
                    <w:tr2bl w:val="nil"/>
                  </w:tcBorders>
                  <w:vAlign w:val="center"/>
                </w:tcPr>
                <w:p>
                  <w:pPr>
                    <w:adjustRightInd w:val="0"/>
                    <w:snapToGrid w:val="0"/>
                    <w:jc w:val="left"/>
                    <w:rPr>
                      <w:sz w:val="18"/>
                      <w:szCs w:val="18"/>
                    </w:rPr>
                  </w:pPr>
                  <w:r>
                    <w:rPr>
                      <w:sz w:val="18"/>
                      <w:szCs w:val="18"/>
                    </w:rPr>
                    <w:t>本项目为锅炉“以新带老”，新锅炉（1600kW）在热效率、污染物排放控制水平方面均优于原锅炉（0.5MW）。</w:t>
                  </w:r>
                  <w:r>
                    <w:rPr>
                      <w:sz w:val="18"/>
                      <w:szCs w:val="18"/>
                      <w:u w:val="single"/>
                    </w:rPr>
                    <w:t>项目实施后，在同等热力输出条件下，污染物排放量较</w:t>
                  </w:r>
                  <w:r>
                    <w:rPr>
                      <w:rFonts w:hint="eastAsia"/>
                      <w:sz w:val="18"/>
                      <w:szCs w:val="18"/>
                      <w:u w:val="single"/>
                    </w:rPr>
                    <w:t>本项目建设前</w:t>
                  </w:r>
                  <w:r>
                    <w:rPr>
                      <w:sz w:val="18"/>
                      <w:szCs w:val="18"/>
                      <w:u w:val="single"/>
                    </w:rPr>
                    <w:t>前不增加，主要污染物（颗粒物、SO</w:t>
                  </w:r>
                  <w:r>
                    <w:rPr>
                      <w:sz w:val="18"/>
                      <w:szCs w:val="18"/>
                      <w:u w:val="single"/>
                      <w:vertAlign w:val="subscript"/>
                    </w:rPr>
                    <w:t>2</w:t>
                  </w:r>
                  <w:r>
                    <w:rPr>
                      <w:sz w:val="18"/>
                      <w:szCs w:val="18"/>
                      <w:u w:val="single"/>
                    </w:rPr>
                    <w:t>、NOx）排放总量可实现削减。</w:t>
                  </w:r>
                  <w:r>
                    <w:rPr>
                      <w:sz w:val="18"/>
                      <w:szCs w:val="18"/>
                    </w:rPr>
                    <w:t>根据吉林省生态环境厅《关于进一步明确建设项目主要污染物排放总量审核有关事宜的复函》，本项目为执行其他行业排放管理的建设项目，其他行业因排污量很少或基本不新增排污量，在环评审批过程中予以豁免主要污染物总量审核。各级环评审批部门应自行建立统计台账，纳入环境管理。故本项目无需申请主要污染物质量控制指标。</w:t>
                  </w:r>
                </w:p>
              </w:tc>
              <w:tc>
                <w:tcPr>
                  <w:tcW w:w="2111" w:type="dxa"/>
                  <w:tcBorders>
                    <w:tl2br w:val="nil"/>
                    <w:tr2bl w:val="nil"/>
                  </w:tcBorders>
                  <w:vAlign w:val="center"/>
                </w:tcPr>
                <w:p>
                  <w:pPr>
                    <w:adjustRightInd w:val="0"/>
                    <w:snapToGrid w:val="0"/>
                    <w:jc w:val="left"/>
                    <w:rPr>
                      <w:color w:val="FF0000"/>
                      <w:sz w:val="18"/>
                      <w:szCs w:val="18"/>
                    </w:rPr>
                  </w:pPr>
                  <w:r>
                    <w:rPr>
                      <w:color w:val="FF0000"/>
                      <w:sz w:val="18"/>
                      <w:szCs w:val="18"/>
                      <w:u w:val="single"/>
                    </w:rPr>
                    <w:t>符合。本项目污染物排放不新增总量，</w:t>
                  </w:r>
                  <w:r>
                    <w:rPr>
                      <w:rFonts w:hint="eastAsia"/>
                      <w:color w:val="FF0000"/>
                      <w:sz w:val="18"/>
                      <w:szCs w:val="18"/>
                      <w:u w:val="single"/>
                    </w:rPr>
                    <w:t>颗粒物减排0.0486t/a，二氧化硫减排0.0499t/a，氮氧化物减排0.2809t/a，</w:t>
                  </w:r>
                  <w:r>
                    <w:rPr>
                      <w:color w:val="FF0000"/>
                      <w:sz w:val="18"/>
                      <w:szCs w:val="18"/>
                      <w:u w:val="single"/>
                    </w:rPr>
                    <w:t>符合总量管控要求。</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21" w:type="dxa"/>
                  <w:tcBorders>
                    <w:tl2br w:val="nil"/>
                    <w:tr2bl w:val="nil"/>
                  </w:tcBorders>
                  <w:vAlign w:val="center"/>
                </w:tcPr>
                <w:p>
                  <w:pPr>
                    <w:adjustRightInd w:val="0"/>
                    <w:snapToGrid w:val="0"/>
                    <w:jc w:val="center"/>
                    <w:rPr>
                      <w:sz w:val="18"/>
                      <w:szCs w:val="18"/>
                    </w:rPr>
                  </w:pPr>
                  <w:r>
                    <w:rPr>
                      <w:sz w:val="18"/>
                      <w:szCs w:val="18"/>
                    </w:rPr>
                    <w:t>6</w:t>
                  </w:r>
                </w:p>
              </w:tc>
              <w:tc>
                <w:tcPr>
                  <w:tcW w:w="4764" w:type="dxa"/>
                  <w:tcBorders>
                    <w:tl2br w:val="nil"/>
                    <w:tr2bl w:val="nil"/>
                  </w:tcBorders>
                  <w:vAlign w:val="center"/>
                </w:tcPr>
                <w:p>
                  <w:pPr>
                    <w:adjustRightInd w:val="0"/>
                    <w:snapToGrid w:val="0"/>
                    <w:jc w:val="left"/>
                    <w:rPr>
                      <w:sz w:val="18"/>
                      <w:szCs w:val="18"/>
                    </w:rPr>
                  </w:pPr>
                  <w:r>
                    <w:rPr>
                      <w:sz w:val="18"/>
                      <w:szCs w:val="18"/>
                    </w:rPr>
                    <w:t>应结合区内产业类型及布局分析潜在的环境风险，尽快编制开发区环境风险应急预案，建立完善的开发区环境风险防控体系，按照环境风险应急预案落实相关风险防范措施，建立企业、工业集中区及政府环境风险防范体系联动机制，实现有效衔接。环境风险应急预案应到生态环境部门和有关部门备案，并开展经常性演练，防止环境风险事故发生。</w:t>
                  </w:r>
                </w:p>
              </w:tc>
              <w:tc>
                <w:tcPr>
                  <w:tcW w:w="5940" w:type="dxa"/>
                  <w:tcBorders>
                    <w:tl2br w:val="nil"/>
                    <w:tr2bl w:val="nil"/>
                  </w:tcBorders>
                  <w:vAlign w:val="center"/>
                </w:tcPr>
                <w:p>
                  <w:pPr>
                    <w:adjustRightInd w:val="0"/>
                    <w:snapToGrid w:val="0"/>
                    <w:jc w:val="left"/>
                    <w:rPr>
                      <w:sz w:val="18"/>
                      <w:szCs w:val="18"/>
                    </w:rPr>
                  </w:pPr>
                  <w:r>
                    <w:rPr>
                      <w:sz w:val="18"/>
                      <w:szCs w:val="18"/>
                    </w:rPr>
                    <w:t>本项目涉及的物料主要为生物质成型燃料（固态可燃物）、导热油（有机热载体，闪点较高）和燃烧烟气。主要环境风险为导热油泄漏引发火灾风险。企业应按照《突发环境事件应急预案管理暂行办法》要求，编制企业突发环境事件应急预案，明确导热油泄漏、火灾等事故的风险防范措施和应急处置程序，配备相应应急物资，定期组织应急演练，并与园区及政府应急预案衔接。</w:t>
                  </w:r>
                </w:p>
              </w:tc>
              <w:tc>
                <w:tcPr>
                  <w:tcW w:w="2111" w:type="dxa"/>
                  <w:tcBorders>
                    <w:tl2br w:val="nil"/>
                    <w:tr2bl w:val="nil"/>
                  </w:tcBorders>
                  <w:vAlign w:val="center"/>
                </w:tcPr>
                <w:p>
                  <w:pPr>
                    <w:adjustRightInd w:val="0"/>
                    <w:snapToGrid w:val="0"/>
                    <w:jc w:val="left"/>
                    <w:rPr>
                      <w:sz w:val="18"/>
                      <w:szCs w:val="18"/>
                    </w:rPr>
                  </w:pPr>
                  <w:r>
                    <w:rPr>
                      <w:sz w:val="18"/>
                      <w:szCs w:val="18"/>
                    </w:rPr>
                    <w:t>需要落实。企业应按要求编制突发环境事件应急预案并备案，本项目纳入企业应急预案管理体系。</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21" w:type="dxa"/>
                  <w:tcBorders>
                    <w:tl2br w:val="nil"/>
                    <w:tr2bl w:val="nil"/>
                  </w:tcBorders>
                  <w:vAlign w:val="center"/>
                </w:tcPr>
                <w:p>
                  <w:pPr>
                    <w:adjustRightInd w:val="0"/>
                    <w:snapToGrid w:val="0"/>
                    <w:jc w:val="center"/>
                    <w:rPr>
                      <w:sz w:val="18"/>
                      <w:szCs w:val="18"/>
                    </w:rPr>
                  </w:pPr>
                  <w:r>
                    <w:rPr>
                      <w:sz w:val="18"/>
                      <w:szCs w:val="18"/>
                    </w:rPr>
                    <w:t>7</w:t>
                  </w:r>
                </w:p>
              </w:tc>
              <w:tc>
                <w:tcPr>
                  <w:tcW w:w="4764" w:type="dxa"/>
                  <w:tcBorders>
                    <w:tl2br w:val="nil"/>
                    <w:tr2bl w:val="nil"/>
                  </w:tcBorders>
                  <w:vAlign w:val="center"/>
                </w:tcPr>
                <w:p>
                  <w:pPr>
                    <w:adjustRightInd w:val="0"/>
                    <w:snapToGrid w:val="0"/>
                    <w:jc w:val="left"/>
                    <w:rPr>
                      <w:sz w:val="18"/>
                      <w:szCs w:val="18"/>
                    </w:rPr>
                  </w:pPr>
                  <w:r>
                    <w:rPr>
                      <w:sz w:val="18"/>
                      <w:szCs w:val="18"/>
                    </w:rPr>
                    <w:t>进一步强化环境管理制度，按照相关要求落实区内环境质量和污染源监测计划；督促企业开展清洁生产审核、落实竣工环保验收等环境管理工作。</w:t>
                  </w:r>
                </w:p>
              </w:tc>
              <w:tc>
                <w:tcPr>
                  <w:tcW w:w="5940" w:type="dxa"/>
                  <w:tcBorders>
                    <w:tl2br w:val="nil"/>
                    <w:tr2bl w:val="nil"/>
                  </w:tcBorders>
                  <w:vAlign w:val="center"/>
                </w:tcPr>
                <w:p>
                  <w:pPr>
                    <w:adjustRightInd w:val="0"/>
                    <w:snapToGrid w:val="0"/>
                    <w:jc w:val="left"/>
                    <w:rPr>
                      <w:sz w:val="18"/>
                      <w:szCs w:val="18"/>
                    </w:rPr>
                  </w:pPr>
                  <w:r>
                    <w:rPr>
                      <w:sz w:val="18"/>
                      <w:szCs w:val="18"/>
                    </w:rPr>
                    <w:t>本项目将严格按照环保“三同时”制度要求，在建成投产前完成竣工环境保护验收。运行期间按照排污许可证规定和园区监测计划要求，制定企业自行监测方案，定期对锅炉烟气（颗粒物、SO</w:t>
                  </w:r>
                  <w:r>
                    <w:rPr>
                      <w:sz w:val="18"/>
                      <w:szCs w:val="18"/>
                      <w:vertAlign w:val="subscript"/>
                    </w:rPr>
                    <w:t>2</w:t>
                  </w:r>
                  <w:r>
                    <w:rPr>
                      <w:sz w:val="18"/>
                      <w:szCs w:val="18"/>
                    </w:rPr>
                    <w:t>、NOx、林格曼黑度等）和厂界噪声进行监测。企业将按照生态环境部门要求适时开展清洁生产审核。</w:t>
                  </w:r>
                </w:p>
              </w:tc>
              <w:tc>
                <w:tcPr>
                  <w:tcW w:w="2111" w:type="dxa"/>
                  <w:tcBorders>
                    <w:tl2br w:val="nil"/>
                    <w:tr2bl w:val="nil"/>
                  </w:tcBorders>
                  <w:vAlign w:val="center"/>
                </w:tcPr>
                <w:p>
                  <w:pPr>
                    <w:adjustRightInd w:val="0"/>
                    <w:snapToGrid w:val="0"/>
                    <w:jc w:val="left"/>
                    <w:rPr>
                      <w:sz w:val="18"/>
                      <w:szCs w:val="18"/>
                    </w:rPr>
                  </w:pPr>
                  <w:r>
                    <w:rPr>
                      <w:sz w:val="18"/>
                      <w:szCs w:val="18"/>
                    </w:rPr>
                    <w:t>符合。企业将严格落实竣工环保验收、自行监测和清洁生产审核等环境管理制度。</w:t>
                  </w:r>
                </w:p>
              </w:tc>
            </w:tr>
          </w:tbl>
          <w:p>
            <w:pPr>
              <w:jc w:val="center"/>
              <w:rPr>
                <w:b/>
                <w:bCs/>
              </w:rPr>
            </w:pPr>
            <w:r>
              <w:rPr>
                <w:b/>
                <w:bCs/>
              </w:rPr>
              <w:t>表2  本项目与法律法规符合性一览表</w:t>
            </w:r>
          </w:p>
          <w:tbl>
            <w:tblPr>
              <w:tblStyle w:val="26"/>
              <w:tblW w:w="13436" w:type="dxa"/>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162"/>
              <w:gridCol w:w="7727"/>
              <w:gridCol w:w="3753"/>
              <w:gridCol w:w="794"/>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162" w:type="dxa"/>
                  <w:tcBorders>
                    <w:tl2br w:val="nil"/>
                    <w:tr2bl w:val="nil"/>
                  </w:tcBorders>
                  <w:vAlign w:val="center"/>
                </w:tcPr>
                <w:p>
                  <w:pPr>
                    <w:adjustRightInd w:val="0"/>
                    <w:snapToGrid w:val="0"/>
                    <w:jc w:val="center"/>
                    <w:rPr>
                      <w:sz w:val="18"/>
                      <w:szCs w:val="18"/>
                    </w:rPr>
                  </w:pPr>
                  <w:r>
                    <w:rPr>
                      <w:sz w:val="18"/>
                      <w:szCs w:val="18"/>
                    </w:rPr>
                    <w:t>序号</w:t>
                  </w:r>
                </w:p>
              </w:tc>
              <w:tc>
                <w:tcPr>
                  <w:tcW w:w="7727" w:type="dxa"/>
                  <w:tcBorders>
                    <w:tl2br w:val="nil"/>
                    <w:tr2bl w:val="nil"/>
                  </w:tcBorders>
                  <w:vAlign w:val="center"/>
                </w:tcPr>
                <w:p>
                  <w:pPr>
                    <w:adjustRightInd w:val="0"/>
                    <w:snapToGrid w:val="0"/>
                    <w:jc w:val="center"/>
                    <w:rPr>
                      <w:sz w:val="18"/>
                      <w:szCs w:val="18"/>
                    </w:rPr>
                  </w:pPr>
                  <w:r>
                    <w:rPr>
                      <w:sz w:val="18"/>
                      <w:szCs w:val="18"/>
                    </w:rPr>
                    <w:t>要求</w:t>
                  </w:r>
                </w:p>
              </w:tc>
              <w:tc>
                <w:tcPr>
                  <w:tcW w:w="3753" w:type="dxa"/>
                  <w:tcBorders>
                    <w:tl2br w:val="nil"/>
                    <w:tr2bl w:val="nil"/>
                  </w:tcBorders>
                  <w:vAlign w:val="center"/>
                </w:tcPr>
                <w:p>
                  <w:pPr>
                    <w:adjustRightInd w:val="0"/>
                    <w:snapToGrid w:val="0"/>
                    <w:jc w:val="center"/>
                    <w:rPr>
                      <w:sz w:val="18"/>
                      <w:szCs w:val="18"/>
                    </w:rPr>
                  </w:pPr>
                  <w:r>
                    <w:rPr>
                      <w:sz w:val="18"/>
                      <w:szCs w:val="18"/>
                    </w:rPr>
                    <w:t>本项目</w:t>
                  </w:r>
                </w:p>
              </w:tc>
              <w:tc>
                <w:tcPr>
                  <w:tcW w:w="794" w:type="dxa"/>
                  <w:tcBorders>
                    <w:tl2br w:val="nil"/>
                    <w:tr2bl w:val="nil"/>
                  </w:tcBorders>
                  <w:vAlign w:val="center"/>
                </w:tcPr>
                <w:p>
                  <w:pPr>
                    <w:adjustRightInd w:val="0"/>
                    <w:snapToGrid w:val="0"/>
                    <w:jc w:val="center"/>
                    <w:rPr>
                      <w:sz w:val="18"/>
                      <w:szCs w:val="18"/>
                    </w:rPr>
                  </w:pPr>
                  <w:r>
                    <w:rPr>
                      <w:sz w:val="18"/>
                      <w:szCs w:val="18"/>
                    </w:rPr>
                    <w:t>符合性</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3436" w:type="dxa"/>
                  <w:gridSpan w:val="4"/>
                  <w:tcBorders>
                    <w:tl2br w:val="nil"/>
                    <w:tr2bl w:val="nil"/>
                  </w:tcBorders>
                  <w:vAlign w:val="center"/>
                </w:tcPr>
                <w:p>
                  <w:pPr>
                    <w:adjustRightInd w:val="0"/>
                    <w:snapToGrid w:val="0"/>
                    <w:rPr>
                      <w:sz w:val="18"/>
                      <w:szCs w:val="18"/>
                    </w:rPr>
                  </w:pPr>
                  <w:r>
                    <w:rPr>
                      <w:b/>
                      <w:bCs/>
                      <w:sz w:val="18"/>
                      <w:szCs w:val="18"/>
                    </w:rPr>
                    <w:t>1、《中华人民共和国生态环境法典》（2026</w:t>
                  </w:r>
                  <w:r>
                    <w:rPr>
                      <w:rFonts w:hint="eastAsia"/>
                      <w:b/>
                      <w:bCs/>
                      <w:sz w:val="18"/>
                      <w:szCs w:val="18"/>
                    </w:rPr>
                    <w:t>.</w:t>
                  </w:r>
                  <w:r>
                    <w:rPr>
                      <w:b/>
                      <w:bCs/>
                      <w:sz w:val="18"/>
                      <w:szCs w:val="18"/>
                    </w:rPr>
                    <w:t>8</w:t>
                  </w:r>
                  <w:r>
                    <w:rPr>
                      <w:rFonts w:hint="eastAsia"/>
                      <w:b/>
                      <w:bCs/>
                      <w:sz w:val="18"/>
                      <w:szCs w:val="18"/>
                    </w:rPr>
                    <w:t>.</w:t>
                  </w:r>
                  <w:r>
                    <w:rPr>
                      <w:b/>
                      <w:bCs/>
                      <w:sz w:val="18"/>
                      <w:szCs w:val="18"/>
                    </w:rPr>
                    <w:t>15）（节选）</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162" w:type="dxa"/>
                  <w:tcBorders>
                    <w:tl2br w:val="nil"/>
                    <w:tr2bl w:val="nil"/>
                  </w:tcBorders>
                  <w:vAlign w:val="center"/>
                </w:tcPr>
                <w:p>
                  <w:pPr>
                    <w:adjustRightInd w:val="0"/>
                    <w:snapToGrid w:val="0"/>
                    <w:jc w:val="center"/>
                    <w:rPr>
                      <w:sz w:val="18"/>
                      <w:szCs w:val="18"/>
                    </w:rPr>
                  </w:pPr>
                  <w:r>
                    <w:rPr>
                      <w:sz w:val="18"/>
                      <w:szCs w:val="18"/>
                    </w:rPr>
                    <w:t>第一百五十条</w:t>
                  </w:r>
                </w:p>
              </w:tc>
              <w:tc>
                <w:tcPr>
                  <w:tcW w:w="7727" w:type="dxa"/>
                  <w:tcBorders>
                    <w:tl2br w:val="nil"/>
                    <w:tr2bl w:val="nil"/>
                  </w:tcBorders>
                  <w:vAlign w:val="center"/>
                </w:tcPr>
                <w:p>
                  <w:pPr>
                    <w:adjustRightInd w:val="0"/>
                    <w:snapToGrid w:val="0"/>
                    <w:jc w:val="left"/>
                    <w:rPr>
                      <w:sz w:val="18"/>
                      <w:szCs w:val="18"/>
                    </w:rPr>
                  </w:pPr>
                  <w:r>
                    <w:rPr>
                      <w:sz w:val="18"/>
                      <w:szCs w:val="18"/>
                    </w:rPr>
                    <w:t>排放污染物的单位和个人，应当采取有效措施，防治在生产、生活和其他活动中产生的大气污染、水污染、土壤污染、固体废物污染、噪声污染等环境污染。</w:t>
                  </w:r>
                </w:p>
              </w:tc>
              <w:tc>
                <w:tcPr>
                  <w:tcW w:w="3753" w:type="dxa"/>
                  <w:tcBorders>
                    <w:tl2br w:val="nil"/>
                    <w:tr2bl w:val="nil"/>
                  </w:tcBorders>
                  <w:vAlign w:val="center"/>
                </w:tcPr>
                <w:p>
                  <w:pPr>
                    <w:adjustRightInd w:val="0"/>
                    <w:snapToGrid w:val="0"/>
                    <w:jc w:val="left"/>
                    <w:rPr>
                      <w:sz w:val="18"/>
                      <w:szCs w:val="18"/>
                    </w:rPr>
                  </w:pPr>
                  <w:r>
                    <w:rPr>
                      <w:sz w:val="18"/>
                      <w:szCs w:val="18"/>
                    </w:rPr>
                    <w:t>本项目已针对各类污染物（废气、噪声、固废）均采取了有效的污染防治措施，确保达标排放。</w:t>
                  </w:r>
                </w:p>
              </w:tc>
              <w:tc>
                <w:tcPr>
                  <w:tcW w:w="794" w:type="dxa"/>
                  <w:tcBorders>
                    <w:tl2br w:val="nil"/>
                    <w:tr2bl w:val="nil"/>
                  </w:tcBorders>
                  <w:vAlign w:val="center"/>
                </w:tcPr>
                <w:p>
                  <w:pPr>
                    <w:adjustRightInd w:val="0"/>
                    <w:snapToGrid w:val="0"/>
                    <w:jc w:val="center"/>
                    <w:rPr>
                      <w:sz w:val="18"/>
                      <w:szCs w:val="18"/>
                    </w:rPr>
                  </w:pPr>
                  <w:r>
                    <w:rPr>
                      <w:sz w:val="18"/>
                      <w:szCs w:val="18"/>
                    </w:rPr>
                    <w:t>符合</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162" w:type="dxa"/>
                  <w:tcBorders>
                    <w:tl2br w:val="nil"/>
                    <w:tr2bl w:val="nil"/>
                  </w:tcBorders>
                  <w:vAlign w:val="center"/>
                </w:tcPr>
                <w:p>
                  <w:pPr>
                    <w:adjustRightInd w:val="0"/>
                    <w:snapToGrid w:val="0"/>
                    <w:jc w:val="center"/>
                    <w:rPr>
                      <w:sz w:val="18"/>
                      <w:szCs w:val="18"/>
                    </w:rPr>
                  </w:pPr>
                  <w:r>
                    <w:rPr>
                      <w:sz w:val="18"/>
                      <w:szCs w:val="18"/>
                    </w:rPr>
                    <w:t>第一百五十一条</w:t>
                  </w:r>
                </w:p>
              </w:tc>
              <w:tc>
                <w:tcPr>
                  <w:tcW w:w="7727" w:type="dxa"/>
                  <w:tcBorders>
                    <w:tl2br w:val="nil"/>
                    <w:tr2bl w:val="nil"/>
                  </w:tcBorders>
                  <w:vAlign w:val="center"/>
                </w:tcPr>
                <w:p>
                  <w:pPr>
                    <w:adjustRightInd w:val="0"/>
                    <w:snapToGrid w:val="0"/>
                    <w:jc w:val="left"/>
                    <w:rPr>
                      <w:sz w:val="18"/>
                      <w:szCs w:val="18"/>
                    </w:rPr>
                  </w:pPr>
                  <w:r>
                    <w:rPr>
                      <w:sz w:val="18"/>
                      <w:szCs w:val="18"/>
                    </w:rPr>
                    <w:t>排放污染物，应当符合污染物排放标准、重点污染物排放总量控制指标、排污许可管理和有关法律、法规、规章的要求。</w:t>
                  </w:r>
                </w:p>
              </w:tc>
              <w:tc>
                <w:tcPr>
                  <w:tcW w:w="3753" w:type="dxa"/>
                  <w:tcBorders>
                    <w:tl2br w:val="nil"/>
                    <w:tr2bl w:val="nil"/>
                  </w:tcBorders>
                  <w:vAlign w:val="center"/>
                </w:tcPr>
                <w:p>
                  <w:pPr>
                    <w:adjustRightInd w:val="0"/>
                    <w:snapToGrid w:val="0"/>
                    <w:jc w:val="left"/>
                    <w:rPr>
                      <w:sz w:val="18"/>
                      <w:szCs w:val="18"/>
                    </w:rPr>
                  </w:pPr>
                  <w:r>
                    <w:rPr>
                      <w:sz w:val="18"/>
                      <w:szCs w:val="18"/>
                    </w:rPr>
                    <w:t>本项目锅炉烟气经治理后满足《锅炉大气污染物排放标准》（GB13271-2014）表2限值要求；不新增废水排放；厂界噪声满足《工业企业厂界环境噪声排放标准》（GB12348-2008）3类标准。污染物总量较</w:t>
                  </w:r>
                  <w:r>
                    <w:rPr>
                      <w:rFonts w:hint="eastAsia"/>
                      <w:sz w:val="18"/>
                      <w:szCs w:val="18"/>
                    </w:rPr>
                    <w:t>本项目建设</w:t>
                  </w:r>
                  <w:r>
                    <w:rPr>
                      <w:sz w:val="18"/>
                      <w:szCs w:val="18"/>
                    </w:rPr>
                    <w:t>前不增加，符合要求。</w:t>
                  </w:r>
                </w:p>
              </w:tc>
              <w:tc>
                <w:tcPr>
                  <w:tcW w:w="794" w:type="dxa"/>
                  <w:tcBorders>
                    <w:tl2br w:val="nil"/>
                    <w:tr2bl w:val="nil"/>
                  </w:tcBorders>
                  <w:vAlign w:val="center"/>
                </w:tcPr>
                <w:p>
                  <w:pPr>
                    <w:adjustRightInd w:val="0"/>
                    <w:snapToGrid w:val="0"/>
                    <w:jc w:val="center"/>
                    <w:rPr>
                      <w:sz w:val="18"/>
                      <w:szCs w:val="18"/>
                    </w:rPr>
                  </w:pPr>
                  <w:r>
                    <w:rPr>
                      <w:sz w:val="18"/>
                      <w:szCs w:val="18"/>
                    </w:rPr>
                    <w:t>符合</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162" w:type="dxa"/>
                  <w:tcBorders>
                    <w:tl2br w:val="nil"/>
                    <w:tr2bl w:val="nil"/>
                  </w:tcBorders>
                  <w:vAlign w:val="center"/>
                </w:tcPr>
                <w:p>
                  <w:pPr>
                    <w:adjustRightInd w:val="0"/>
                    <w:snapToGrid w:val="0"/>
                    <w:jc w:val="center"/>
                    <w:rPr>
                      <w:sz w:val="18"/>
                      <w:szCs w:val="18"/>
                    </w:rPr>
                  </w:pPr>
                  <w:r>
                    <w:rPr>
                      <w:sz w:val="18"/>
                      <w:szCs w:val="18"/>
                    </w:rPr>
                    <w:t>第一百六十二条</w:t>
                  </w:r>
                </w:p>
              </w:tc>
              <w:tc>
                <w:tcPr>
                  <w:tcW w:w="7727" w:type="dxa"/>
                  <w:tcBorders>
                    <w:tl2br w:val="nil"/>
                    <w:tr2bl w:val="nil"/>
                  </w:tcBorders>
                  <w:vAlign w:val="center"/>
                </w:tcPr>
                <w:p>
                  <w:pPr>
                    <w:adjustRightInd w:val="0"/>
                    <w:snapToGrid w:val="0"/>
                    <w:jc w:val="left"/>
                    <w:rPr>
                      <w:sz w:val="18"/>
                      <w:szCs w:val="18"/>
                    </w:rPr>
                  </w:pPr>
                  <w:r>
                    <w:rPr>
                      <w:sz w:val="18"/>
                      <w:szCs w:val="18"/>
                    </w:rPr>
                    <w:t>建设项目中的污染防治设施，应当与主体工程同时设计、同时施工、同时投产使用。……建设项目在投入生产或者使用前，建设单位应当按照国家规定，对配套建设的污染防治设施进行验收。</w:t>
                  </w:r>
                </w:p>
              </w:tc>
              <w:tc>
                <w:tcPr>
                  <w:tcW w:w="3753" w:type="dxa"/>
                  <w:tcBorders>
                    <w:tl2br w:val="nil"/>
                    <w:tr2bl w:val="nil"/>
                  </w:tcBorders>
                  <w:vAlign w:val="center"/>
                </w:tcPr>
                <w:p>
                  <w:pPr>
                    <w:adjustRightInd w:val="0"/>
                    <w:snapToGrid w:val="0"/>
                    <w:jc w:val="left"/>
                    <w:rPr>
                      <w:sz w:val="18"/>
                      <w:szCs w:val="18"/>
                    </w:rPr>
                  </w:pPr>
                  <w:r>
                    <w:rPr>
                      <w:sz w:val="18"/>
                      <w:szCs w:val="18"/>
                    </w:rPr>
                    <w:t>本项目承诺严格执行环保“三同时”制度，建成后依法完成竣工环境保护自主验收。</w:t>
                  </w:r>
                </w:p>
              </w:tc>
              <w:tc>
                <w:tcPr>
                  <w:tcW w:w="794" w:type="dxa"/>
                  <w:tcBorders>
                    <w:tl2br w:val="nil"/>
                    <w:tr2bl w:val="nil"/>
                  </w:tcBorders>
                  <w:vAlign w:val="center"/>
                </w:tcPr>
                <w:p>
                  <w:pPr>
                    <w:adjustRightInd w:val="0"/>
                    <w:snapToGrid w:val="0"/>
                    <w:jc w:val="center"/>
                    <w:rPr>
                      <w:sz w:val="18"/>
                      <w:szCs w:val="18"/>
                    </w:rPr>
                  </w:pPr>
                  <w:r>
                    <w:rPr>
                      <w:sz w:val="18"/>
                      <w:szCs w:val="18"/>
                    </w:rPr>
                    <w:t>符合</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162" w:type="dxa"/>
                  <w:tcBorders>
                    <w:tl2br w:val="nil"/>
                    <w:tr2bl w:val="nil"/>
                  </w:tcBorders>
                  <w:vAlign w:val="center"/>
                </w:tcPr>
                <w:p>
                  <w:pPr>
                    <w:adjustRightInd w:val="0"/>
                    <w:snapToGrid w:val="0"/>
                    <w:jc w:val="center"/>
                    <w:rPr>
                      <w:sz w:val="18"/>
                      <w:szCs w:val="18"/>
                    </w:rPr>
                  </w:pPr>
                  <w:r>
                    <w:rPr>
                      <w:sz w:val="18"/>
                      <w:szCs w:val="18"/>
                    </w:rPr>
                    <w:t>第一百八十九条</w:t>
                  </w:r>
                </w:p>
              </w:tc>
              <w:tc>
                <w:tcPr>
                  <w:tcW w:w="7727" w:type="dxa"/>
                  <w:tcBorders>
                    <w:tl2br w:val="nil"/>
                    <w:tr2bl w:val="nil"/>
                  </w:tcBorders>
                  <w:vAlign w:val="center"/>
                </w:tcPr>
                <w:p>
                  <w:pPr>
                    <w:adjustRightInd w:val="0"/>
                    <w:snapToGrid w:val="0"/>
                    <w:jc w:val="left"/>
                    <w:rPr>
                      <w:sz w:val="18"/>
                      <w:szCs w:val="18"/>
                    </w:rPr>
                  </w:pPr>
                  <w:r>
                    <w:rPr>
                      <w:sz w:val="18"/>
                      <w:szCs w:val="18"/>
                    </w:rPr>
                    <w:t>防治大气污染，应当加强对燃煤、工业、机动车船、扬尘、农业等大气污染的综合防治……对颗粒物、二氧化硫、氮氧化物、挥发性有机物、氨等大气污染物和温室气体实施协同控制。</w:t>
                  </w:r>
                </w:p>
              </w:tc>
              <w:tc>
                <w:tcPr>
                  <w:tcW w:w="3753" w:type="dxa"/>
                  <w:tcBorders>
                    <w:tl2br w:val="nil"/>
                    <w:tr2bl w:val="nil"/>
                  </w:tcBorders>
                  <w:vAlign w:val="center"/>
                </w:tcPr>
                <w:p>
                  <w:pPr>
                    <w:adjustRightInd w:val="0"/>
                    <w:snapToGrid w:val="0"/>
                    <w:jc w:val="left"/>
                    <w:rPr>
                      <w:sz w:val="18"/>
                      <w:szCs w:val="18"/>
                    </w:rPr>
                  </w:pPr>
                  <w:r>
                    <w:rPr>
                      <w:sz w:val="18"/>
                      <w:szCs w:val="18"/>
                    </w:rPr>
                    <w:t>本项目以生物质成型燃料为能源，不涉及燃煤。配套高效除尘设施，对颗粒物、SO</w:t>
                  </w:r>
                  <w:r>
                    <w:rPr>
                      <w:rFonts w:hint="eastAsia"/>
                      <w:sz w:val="18"/>
                      <w:szCs w:val="18"/>
                      <w:vertAlign w:val="subscript"/>
                    </w:rPr>
                    <w:t>2</w:t>
                  </w:r>
                  <w:r>
                    <w:rPr>
                      <w:sz w:val="18"/>
                      <w:szCs w:val="18"/>
                    </w:rPr>
                    <w:t>、NOx等污染物实施协同控制。</w:t>
                  </w:r>
                </w:p>
              </w:tc>
              <w:tc>
                <w:tcPr>
                  <w:tcW w:w="794" w:type="dxa"/>
                  <w:tcBorders>
                    <w:tl2br w:val="nil"/>
                    <w:tr2bl w:val="nil"/>
                  </w:tcBorders>
                  <w:vAlign w:val="center"/>
                </w:tcPr>
                <w:p>
                  <w:pPr>
                    <w:adjustRightInd w:val="0"/>
                    <w:snapToGrid w:val="0"/>
                    <w:jc w:val="center"/>
                    <w:rPr>
                      <w:sz w:val="18"/>
                      <w:szCs w:val="18"/>
                    </w:rPr>
                  </w:pPr>
                  <w:r>
                    <w:rPr>
                      <w:sz w:val="18"/>
                      <w:szCs w:val="18"/>
                    </w:rPr>
                    <w:t>符合</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162" w:type="dxa"/>
                  <w:tcBorders>
                    <w:tl2br w:val="nil"/>
                    <w:tr2bl w:val="nil"/>
                  </w:tcBorders>
                  <w:vAlign w:val="center"/>
                </w:tcPr>
                <w:p>
                  <w:pPr>
                    <w:adjustRightInd w:val="0"/>
                    <w:snapToGrid w:val="0"/>
                    <w:jc w:val="center"/>
                    <w:rPr>
                      <w:sz w:val="18"/>
                      <w:szCs w:val="18"/>
                    </w:rPr>
                  </w:pPr>
                  <w:r>
                    <w:rPr>
                      <w:sz w:val="18"/>
                      <w:szCs w:val="18"/>
                    </w:rPr>
                    <w:t>第二百零七条</w:t>
                  </w:r>
                </w:p>
              </w:tc>
              <w:tc>
                <w:tcPr>
                  <w:tcW w:w="7727" w:type="dxa"/>
                  <w:tcBorders>
                    <w:tl2br w:val="nil"/>
                    <w:tr2bl w:val="nil"/>
                  </w:tcBorders>
                  <w:vAlign w:val="center"/>
                </w:tcPr>
                <w:p>
                  <w:pPr>
                    <w:adjustRightInd w:val="0"/>
                    <w:snapToGrid w:val="0"/>
                    <w:jc w:val="left"/>
                    <w:rPr>
                      <w:sz w:val="18"/>
                      <w:szCs w:val="18"/>
                    </w:rPr>
                  </w:pPr>
                  <w:r>
                    <w:rPr>
                      <w:sz w:val="18"/>
                      <w:szCs w:val="18"/>
                    </w:rPr>
                    <w:t>在禁燃区内，禁止销售、燃用高污染燃料；禁止新建、扩建燃用高污染燃料的设施。</w:t>
                  </w:r>
                </w:p>
              </w:tc>
              <w:tc>
                <w:tcPr>
                  <w:tcW w:w="3753" w:type="dxa"/>
                  <w:tcBorders>
                    <w:tl2br w:val="nil"/>
                    <w:tr2bl w:val="nil"/>
                  </w:tcBorders>
                  <w:vAlign w:val="center"/>
                </w:tcPr>
                <w:p>
                  <w:pPr>
                    <w:adjustRightInd w:val="0"/>
                    <w:snapToGrid w:val="0"/>
                    <w:jc w:val="left"/>
                    <w:rPr>
                      <w:sz w:val="18"/>
                      <w:szCs w:val="18"/>
                    </w:rPr>
                  </w:pPr>
                  <w:r>
                    <w:rPr>
                      <w:sz w:val="18"/>
                      <w:szCs w:val="18"/>
                    </w:rPr>
                    <w:t>根据《高污染燃料目录》，本项目使用专用锅炉并配置高效除尘设施，其燃用的生物质成型燃料不属于高污染燃料。且项目所在地非禁燃区。</w:t>
                  </w:r>
                </w:p>
              </w:tc>
              <w:tc>
                <w:tcPr>
                  <w:tcW w:w="794" w:type="dxa"/>
                  <w:tcBorders>
                    <w:tl2br w:val="nil"/>
                    <w:tr2bl w:val="nil"/>
                  </w:tcBorders>
                  <w:vAlign w:val="center"/>
                </w:tcPr>
                <w:p>
                  <w:pPr>
                    <w:adjustRightInd w:val="0"/>
                    <w:snapToGrid w:val="0"/>
                    <w:jc w:val="center"/>
                    <w:rPr>
                      <w:sz w:val="18"/>
                      <w:szCs w:val="18"/>
                    </w:rPr>
                  </w:pPr>
                  <w:r>
                    <w:rPr>
                      <w:sz w:val="18"/>
                      <w:szCs w:val="18"/>
                    </w:rPr>
                    <w:t>符合</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162" w:type="dxa"/>
                  <w:tcBorders>
                    <w:tl2br w:val="nil"/>
                    <w:tr2bl w:val="nil"/>
                  </w:tcBorders>
                  <w:vAlign w:val="center"/>
                </w:tcPr>
                <w:p>
                  <w:pPr>
                    <w:adjustRightInd w:val="0"/>
                    <w:snapToGrid w:val="0"/>
                    <w:jc w:val="center"/>
                    <w:rPr>
                      <w:sz w:val="18"/>
                      <w:szCs w:val="18"/>
                    </w:rPr>
                  </w:pPr>
                  <w:r>
                    <w:rPr>
                      <w:sz w:val="18"/>
                      <w:szCs w:val="18"/>
                    </w:rPr>
                    <w:t>第二百一十一条</w:t>
                  </w:r>
                </w:p>
              </w:tc>
              <w:tc>
                <w:tcPr>
                  <w:tcW w:w="7727" w:type="dxa"/>
                  <w:tcBorders>
                    <w:tl2br w:val="nil"/>
                    <w:tr2bl w:val="nil"/>
                  </w:tcBorders>
                  <w:vAlign w:val="center"/>
                </w:tcPr>
                <w:p>
                  <w:pPr>
                    <w:adjustRightInd w:val="0"/>
                    <w:snapToGrid w:val="0"/>
                    <w:jc w:val="left"/>
                    <w:rPr>
                      <w:sz w:val="18"/>
                      <w:szCs w:val="18"/>
                    </w:rPr>
                  </w:pPr>
                  <w:r>
                    <w:rPr>
                      <w:sz w:val="18"/>
                      <w:szCs w:val="18"/>
                    </w:rPr>
                    <w:t>钢铁、建材、有色金属、石油、化工等企业生产过程中排放粉尘、硫化物和氮氧化物的，应当采用清洁生产工艺，配套建设除尘、脱硫、脱硝等装置。</w:t>
                  </w:r>
                </w:p>
              </w:tc>
              <w:tc>
                <w:tcPr>
                  <w:tcW w:w="3753" w:type="dxa"/>
                  <w:tcBorders>
                    <w:tl2br w:val="nil"/>
                    <w:tr2bl w:val="nil"/>
                  </w:tcBorders>
                  <w:vAlign w:val="center"/>
                </w:tcPr>
                <w:p>
                  <w:pPr>
                    <w:adjustRightInd w:val="0"/>
                    <w:snapToGrid w:val="0"/>
                    <w:jc w:val="left"/>
                    <w:rPr>
                      <w:sz w:val="18"/>
                      <w:szCs w:val="18"/>
                    </w:rPr>
                  </w:pPr>
                  <w:r>
                    <w:rPr>
                      <w:sz w:val="18"/>
                      <w:szCs w:val="18"/>
                    </w:rPr>
                    <w:t>本项目为生物质导热油炉，配套“旋风除尘+布袋除尘”两级除尘工艺，属于可行技术，可有效控制颗粒物、SO</w:t>
                  </w:r>
                  <w:r>
                    <w:rPr>
                      <w:rFonts w:hint="eastAsia"/>
                      <w:sz w:val="18"/>
                      <w:szCs w:val="18"/>
                      <w:vertAlign w:val="subscript"/>
                    </w:rPr>
                    <w:t>2</w:t>
                  </w:r>
                  <w:r>
                    <w:rPr>
                      <w:sz w:val="18"/>
                      <w:szCs w:val="18"/>
                    </w:rPr>
                    <w:t>、NOx排放。</w:t>
                  </w:r>
                </w:p>
              </w:tc>
              <w:tc>
                <w:tcPr>
                  <w:tcW w:w="794" w:type="dxa"/>
                  <w:tcBorders>
                    <w:tl2br w:val="nil"/>
                    <w:tr2bl w:val="nil"/>
                  </w:tcBorders>
                  <w:vAlign w:val="center"/>
                </w:tcPr>
                <w:p>
                  <w:pPr>
                    <w:adjustRightInd w:val="0"/>
                    <w:snapToGrid w:val="0"/>
                    <w:jc w:val="center"/>
                    <w:rPr>
                      <w:sz w:val="18"/>
                      <w:szCs w:val="18"/>
                    </w:rPr>
                  </w:pPr>
                  <w:r>
                    <w:rPr>
                      <w:sz w:val="18"/>
                      <w:szCs w:val="18"/>
                    </w:rPr>
                    <w:t>符合</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162" w:type="dxa"/>
                  <w:tcBorders>
                    <w:tl2br w:val="nil"/>
                    <w:tr2bl w:val="nil"/>
                  </w:tcBorders>
                  <w:vAlign w:val="center"/>
                </w:tcPr>
                <w:p>
                  <w:pPr>
                    <w:adjustRightInd w:val="0"/>
                    <w:snapToGrid w:val="0"/>
                    <w:jc w:val="center"/>
                    <w:rPr>
                      <w:sz w:val="18"/>
                      <w:szCs w:val="18"/>
                    </w:rPr>
                  </w:pPr>
                  <w:r>
                    <w:rPr>
                      <w:sz w:val="18"/>
                      <w:szCs w:val="18"/>
                    </w:rPr>
                    <w:t>第五百三十二条</w:t>
                  </w:r>
                </w:p>
              </w:tc>
              <w:tc>
                <w:tcPr>
                  <w:tcW w:w="7727" w:type="dxa"/>
                  <w:tcBorders>
                    <w:tl2br w:val="nil"/>
                    <w:tr2bl w:val="nil"/>
                  </w:tcBorders>
                  <w:vAlign w:val="center"/>
                </w:tcPr>
                <w:p>
                  <w:pPr>
                    <w:adjustRightInd w:val="0"/>
                    <w:snapToGrid w:val="0"/>
                    <w:jc w:val="left"/>
                    <w:rPr>
                      <w:sz w:val="18"/>
                      <w:szCs w:val="18"/>
                    </w:rPr>
                  </w:pPr>
                  <w:r>
                    <w:rPr>
                      <w:sz w:val="18"/>
                      <w:szCs w:val="18"/>
                    </w:rPr>
                    <w:t>产生危险废物的单位，应当按照国家规定制定危险废物管理计划；建立危险废物管理台账，如实记录有关信息，并通过国家危险废物信息管理系统向所在地生态环境主管部门申报。</w:t>
                  </w:r>
                </w:p>
              </w:tc>
              <w:tc>
                <w:tcPr>
                  <w:tcW w:w="3753" w:type="dxa"/>
                  <w:tcBorders>
                    <w:tl2br w:val="nil"/>
                    <w:tr2bl w:val="nil"/>
                  </w:tcBorders>
                  <w:vAlign w:val="center"/>
                </w:tcPr>
                <w:p>
                  <w:pPr>
                    <w:adjustRightInd w:val="0"/>
                    <w:snapToGrid w:val="0"/>
                    <w:jc w:val="left"/>
                    <w:rPr>
                      <w:sz w:val="18"/>
                      <w:szCs w:val="18"/>
                    </w:rPr>
                  </w:pPr>
                  <w:r>
                    <w:rPr>
                      <w:sz w:val="18"/>
                      <w:szCs w:val="18"/>
                    </w:rPr>
                    <w:t>本项目产生的废导热油、废机油、废油桶等危险废物，依托厂区现有危废暂存间暂存，委托有资质单位处置。企业应建立危废管理台账并依法申报。</w:t>
                  </w:r>
                </w:p>
              </w:tc>
              <w:tc>
                <w:tcPr>
                  <w:tcW w:w="794" w:type="dxa"/>
                  <w:tcBorders>
                    <w:tl2br w:val="nil"/>
                    <w:tr2bl w:val="nil"/>
                  </w:tcBorders>
                  <w:vAlign w:val="center"/>
                </w:tcPr>
                <w:p>
                  <w:pPr>
                    <w:adjustRightInd w:val="0"/>
                    <w:snapToGrid w:val="0"/>
                    <w:jc w:val="center"/>
                    <w:rPr>
                      <w:sz w:val="18"/>
                      <w:szCs w:val="18"/>
                    </w:rPr>
                  </w:pPr>
                  <w:r>
                    <w:rPr>
                      <w:sz w:val="18"/>
                      <w:szCs w:val="18"/>
                    </w:rPr>
                    <w:t>符合</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3436" w:type="dxa"/>
                  <w:gridSpan w:val="4"/>
                  <w:tcBorders>
                    <w:tl2br w:val="nil"/>
                    <w:tr2bl w:val="nil"/>
                  </w:tcBorders>
                  <w:vAlign w:val="center"/>
                </w:tcPr>
                <w:p>
                  <w:pPr>
                    <w:adjustRightInd w:val="0"/>
                    <w:snapToGrid w:val="0"/>
                    <w:rPr>
                      <w:sz w:val="18"/>
                      <w:szCs w:val="18"/>
                    </w:rPr>
                  </w:pPr>
                  <w:r>
                    <w:rPr>
                      <w:rFonts w:hint="eastAsia"/>
                      <w:b/>
                      <w:bCs/>
                      <w:sz w:val="18"/>
                      <w:szCs w:val="18"/>
                    </w:rPr>
                    <w:t>2</w:t>
                  </w:r>
                  <w:r>
                    <w:rPr>
                      <w:b/>
                      <w:bCs/>
                      <w:sz w:val="18"/>
                      <w:szCs w:val="18"/>
                    </w:rPr>
                    <w:t>、《吉林省大气污染防治条例》（2022.10.1）（节选）</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162" w:type="dxa"/>
                  <w:tcBorders>
                    <w:tl2br w:val="nil"/>
                    <w:tr2bl w:val="nil"/>
                  </w:tcBorders>
                  <w:vAlign w:val="center"/>
                </w:tcPr>
                <w:p>
                  <w:pPr>
                    <w:adjustRightInd w:val="0"/>
                    <w:snapToGrid w:val="0"/>
                    <w:jc w:val="center"/>
                    <w:rPr>
                      <w:sz w:val="18"/>
                      <w:szCs w:val="18"/>
                    </w:rPr>
                  </w:pPr>
                  <w:r>
                    <w:rPr>
                      <w:sz w:val="18"/>
                      <w:szCs w:val="18"/>
                    </w:rPr>
                    <w:t>第十条</w:t>
                  </w:r>
                </w:p>
              </w:tc>
              <w:tc>
                <w:tcPr>
                  <w:tcW w:w="7727" w:type="dxa"/>
                  <w:tcBorders>
                    <w:tl2br w:val="nil"/>
                    <w:tr2bl w:val="nil"/>
                  </w:tcBorders>
                  <w:vAlign w:val="center"/>
                </w:tcPr>
                <w:p>
                  <w:pPr>
                    <w:adjustRightInd w:val="0"/>
                    <w:snapToGrid w:val="0"/>
                    <w:jc w:val="left"/>
                    <w:rPr>
                      <w:sz w:val="18"/>
                      <w:szCs w:val="18"/>
                    </w:rPr>
                  </w:pPr>
                  <w:r>
                    <w:rPr>
                      <w:sz w:val="18"/>
                      <w:szCs w:val="18"/>
                    </w:rPr>
                    <w:t>禁止进口、销售和燃用未达到质量标准的煤炭、石油焦。</w:t>
                  </w:r>
                </w:p>
                <w:p>
                  <w:pPr>
                    <w:adjustRightInd w:val="0"/>
                    <w:snapToGrid w:val="0"/>
                    <w:jc w:val="left"/>
                    <w:rPr>
                      <w:sz w:val="18"/>
                      <w:szCs w:val="18"/>
                    </w:rPr>
                  </w:pPr>
                  <w:r>
                    <w:rPr>
                      <w:sz w:val="18"/>
                      <w:szCs w:val="18"/>
                    </w:rPr>
                    <w:t>单位存放煤炭、煤矸石、煤渣、煤灰等物料，应当采取防燃、防尘等措施，防止大气污染。</w:t>
                  </w:r>
                </w:p>
              </w:tc>
              <w:tc>
                <w:tcPr>
                  <w:tcW w:w="3753" w:type="dxa"/>
                  <w:tcBorders>
                    <w:tl2br w:val="nil"/>
                    <w:tr2bl w:val="nil"/>
                  </w:tcBorders>
                  <w:vAlign w:val="center"/>
                </w:tcPr>
                <w:p>
                  <w:pPr>
                    <w:adjustRightInd w:val="0"/>
                    <w:snapToGrid w:val="0"/>
                    <w:jc w:val="left"/>
                    <w:rPr>
                      <w:sz w:val="18"/>
                      <w:szCs w:val="18"/>
                    </w:rPr>
                  </w:pPr>
                  <w:r>
                    <w:rPr>
                      <w:sz w:val="18"/>
                      <w:szCs w:val="18"/>
                    </w:rPr>
                    <w:t>项目建成后，生产热源源自一台额定热功率1600kW的有机热载体液相炉（导热油炉），折合约2.29蒸吨/小时（按0.7MW=1蒸吨换算），燃料为生物质颗粒，不使用煤炭。</w:t>
                  </w:r>
                </w:p>
              </w:tc>
              <w:tc>
                <w:tcPr>
                  <w:tcW w:w="794" w:type="dxa"/>
                  <w:tcBorders>
                    <w:tl2br w:val="nil"/>
                    <w:tr2bl w:val="nil"/>
                  </w:tcBorders>
                  <w:vAlign w:val="center"/>
                </w:tcPr>
                <w:p>
                  <w:pPr>
                    <w:adjustRightInd w:val="0"/>
                    <w:snapToGrid w:val="0"/>
                    <w:jc w:val="center"/>
                    <w:rPr>
                      <w:sz w:val="18"/>
                      <w:szCs w:val="18"/>
                    </w:rPr>
                  </w:pPr>
                  <w:r>
                    <w:rPr>
                      <w:sz w:val="18"/>
                      <w:szCs w:val="18"/>
                    </w:rPr>
                    <w:t>符合</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162" w:type="dxa"/>
                  <w:tcBorders>
                    <w:tl2br w:val="nil"/>
                    <w:tr2bl w:val="nil"/>
                  </w:tcBorders>
                  <w:vAlign w:val="center"/>
                </w:tcPr>
                <w:p>
                  <w:pPr>
                    <w:adjustRightInd w:val="0"/>
                    <w:snapToGrid w:val="0"/>
                    <w:jc w:val="center"/>
                    <w:rPr>
                      <w:sz w:val="18"/>
                      <w:szCs w:val="18"/>
                    </w:rPr>
                  </w:pPr>
                  <w:r>
                    <w:rPr>
                      <w:sz w:val="18"/>
                      <w:szCs w:val="18"/>
                    </w:rPr>
                    <w:t>第十三条</w:t>
                  </w:r>
                </w:p>
              </w:tc>
              <w:tc>
                <w:tcPr>
                  <w:tcW w:w="7727" w:type="dxa"/>
                  <w:tcBorders>
                    <w:tl2br w:val="nil"/>
                    <w:tr2bl w:val="nil"/>
                  </w:tcBorders>
                  <w:vAlign w:val="center"/>
                </w:tcPr>
                <w:p>
                  <w:pPr>
                    <w:adjustRightInd w:val="0"/>
                    <w:snapToGrid w:val="0"/>
                    <w:jc w:val="left"/>
                    <w:rPr>
                      <w:sz w:val="18"/>
                      <w:szCs w:val="18"/>
                    </w:rPr>
                  </w:pPr>
                  <w:r>
                    <w:rPr>
                      <w:sz w:val="18"/>
                      <w:szCs w:val="18"/>
                    </w:rPr>
                    <w:t>燃煤电厂和其他燃煤单位应当采用清洁生产工艺，配套建设除尘、脱硫、脱硝等装置，或者采取技术改造等其他控制大气污染物排放的措施。</w:t>
                  </w:r>
                </w:p>
              </w:tc>
              <w:tc>
                <w:tcPr>
                  <w:tcW w:w="3753" w:type="dxa"/>
                  <w:tcBorders>
                    <w:tl2br w:val="nil"/>
                    <w:tr2bl w:val="nil"/>
                  </w:tcBorders>
                  <w:vAlign w:val="center"/>
                </w:tcPr>
                <w:p>
                  <w:pPr>
                    <w:adjustRightInd w:val="0"/>
                    <w:snapToGrid w:val="0"/>
                    <w:jc w:val="left"/>
                    <w:rPr>
                      <w:sz w:val="18"/>
                      <w:szCs w:val="18"/>
                    </w:rPr>
                  </w:pPr>
                  <w:r>
                    <w:rPr>
                      <w:sz w:val="18"/>
                      <w:szCs w:val="18"/>
                    </w:rPr>
                    <w:t>项目建成后，生产热源源自一台额定热功率1600kW的有机热载体液相炉（导热油炉），折合约2.29蒸吨/小时（按0.7MW=1蒸吨换算），燃料为生物质颗粒，不使用煤炭。配套建设控制大气污染物排放的措施。</w:t>
                  </w:r>
                </w:p>
              </w:tc>
              <w:tc>
                <w:tcPr>
                  <w:tcW w:w="794" w:type="dxa"/>
                  <w:tcBorders>
                    <w:tl2br w:val="nil"/>
                    <w:tr2bl w:val="nil"/>
                  </w:tcBorders>
                  <w:vAlign w:val="center"/>
                </w:tcPr>
                <w:p>
                  <w:pPr>
                    <w:adjustRightInd w:val="0"/>
                    <w:snapToGrid w:val="0"/>
                    <w:jc w:val="center"/>
                    <w:rPr>
                      <w:sz w:val="18"/>
                      <w:szCs w:val="18"/>
                    </w:rPr>
                  </w:pPr>
                  <w:r>
                    <w:rPr>
                      <w:sz w:val="18"/>
                      <w:szCs w:val="18"/>
                    </w:rPr>
                    <w:t>符合</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162" w:type="dxa"/>
                  <w:tcBorders>
                    <w:tl2br w:val="nil"/>
                    <w:tr2bl w:val="nil"/>
                  </w:tcBorders>
                  <w:vAlign w:val="center"/>
                </w:tcPr>
                <w:p>
                  <w:pPr>
                    <w:adjustRightInd w:val="0"/>
                    <w:snapToGrid w:val="0"/>
                    <w:jc w:val="center"/>
                    <w:rPr>
                      <w:sz w:val="18"/>
                      <w:szCs w:val="18"/>
                    </w:rPr>
                  </w:pPr>
                  <w:r>
                    <w:rPr>
                      <w:sz w:val="18"/>
                      <w:szCs w:val="18"/>
                    </w:rPr>
                    <w:t>第十六条</w:t>
                  </w:r>
                </w:p>
              </w:tc>
              <w:tc>
                <w:tcPr>
                  <w:tcW w:w="7727" w:type="dxa"/>
                  <w:tcBorders>
                    <w:tl2br w:val="nil"/>
                    <w:tr2bl w:val="nil"/>
                  </w:tcBorders>
                  <w:vAlign w:val="center"/>
                </w:tcPr>
                <w:p>
                  <w:pPr>
                    <w:adjustRightInd w:val="0"/>
                    <w:snapToGrid w:val="0"/>
                    <w:jc w:val="left"/>
                    <w:rPr>
                      <w:sz w:val="18"/>
                      <w:szCs w:val="18"/>
                    </w:rPr>
                  </w:pPr>
                  <w:r>
                    <w:rPr>
                      <w:sz w:val="18"/>
                      <w:szCs w:val="18"/>
                    </w:rPr>
                    <w:t>施工单位应当在施工工地设置硬质围挡，并采取覆盖、分段作业、择时施工、洒水抑尘、冲洗或者清理地面和车辆等有效防尘降尘措施。建筑土方、工程渣土、建筑垃圾应当及时清运；在场地内堆存的，应当采用密闭式防尘网遮盖。工程渣土、建筑垃圾应当进行资源化处理。</w:t>
                  </w:r>
                </w:p>
              </w:tc>
              <w:tc>
                <w:tcPr>
                  <w:tcW w:w="3753" w:type="dxa"/>
                  <w:tcBorders>
                    <w:tl2br w:val="nil"/>
                    <w:tr2bl w:val="nil"/>
                  </w:tcBorders>
                  <w:vAlign w:val="center"/>
                </w:tcPr>
                <w:p>
                  <w:pPr>
                    <w:adjustRightInd w:val="0"/>
                    <w:snapToGrid w:val="0"/>
                    <w:jc w:val="left"/>
                    <w:rPr>
                      <w:sz w:val="18"/>
                      <w:szCs w:val="18"/>
                    </w:rPr>
                  </w:pPr>
                  <w:r>
                    <w:rPr>
                      <w:sz w:val="18"/>
                      <w:szCs w:val="18"/>
                    </w:rPr>
                    <w:t>企业加强文明施工管理，采取封闭作业、封闭运行、净车上路、喷洒抑尘等措施，控制粉尘和建筑扬尘。</w:t>
                  </w:r>
                </w:p>
              </w:tc>
              <w:tc>
                <w:tcPr>
                  <w:tcW w:w="794" w:type="dxa"/>
                  <w:tcBorders>
                    <w:tl2br w:val="nil"/>
                    <w:tr2bl w:val="nil"/>
                  </w:tcBorders>
                  <w:vAlign w:val="center"/>
                </w:tcPr>
                <w:p>
                  <w:pPr>
                    <w:adjustRightInd w:val="0"/>
                    <w:snapToGrid w:val="0"/>
                    <w:jc w:val="center"/>
                    <w:rPr>
                      <w:sz w:val="18"/>
                      <w:szCs w:val="18"/>
                    </w:rPr>
                  </w:pPr>
                  <w:r>
                    <w:rPr>
                      <w:sz w:val="18"/>
                      <w:szCs w:val="18"/>
                    </w:rPr>
                    <w:t>符合</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162" w:type="dxa"/>
                  <w:tcBorders>
                    <w:tl2br w:val="nil"/>
                    <w:tr2bl w:val="nil"/>
                  </w:tcBorders>
                  <w:vAlign w:val="center"/>
                </w:tcPr>
                <w:p>
                  <w:pPr>
                    <w:adjustRightInd w:val="0"/>
                    <w:snapToGrid w:val="0"/>
                    <w:jc w:val="center"/>
                    <w:rPr>
                      <w:sz w:val="18"/>
                      <w:szCs w:val="18"/>
                    </w:rPr>
                  </w:pPr>
                  <w:r>
                    <w:rPr>
                      <w:sz w:val="18"/>
                      <w:szCs w:val="18"/>
                    </w:rPr>
                    <w:t>第十七条</w:t>
                  </w:r>
                </w:p>
              </w:tc>
              <w:tc>
                <w:tcPr>
                  <w:tcW w:w="7727" w:type="dxa"/>
                  <w:tcBorders>
                    <w:tl2br w:val="nil"/>
                    <w:tr2bl w:val="nil"/>
                  </w:tcBorders>
                  <w:vAlign w:val="center"/>
                </w:tcPr>
                <w:p>
                  <w:pPr>
                    <w:adjustRightInd w:val="0"/>
                    <w:snapToGrid w:val="0"/>
                    <w:jc w:val="left"/>
                    <w:rPr>
                      <w:sz w:val="18"/>
                      <w:szCs w:val="18"/>
                    </w:rPr>
                  </w:pPr>
                  <w:r>
                    <w:rPr>
                      <w:sz w:val="18"/>
                      <w:szCs w:val="18"/>
                    </w:rPr>
                    <w:t>贮存煤炭、煤矸石、煤渣、煤灰、水泥、石灰、石膏、砂土等易产生扬尘的物料应当密闭；不能密闭的，应当设置不低于堆放物高度的严密围挡，并采取有效覆盖措施防治扬尘污染。大型煤场、物料堆放场所应当建立密闭料仓和传送装置。</w:t>
                  </w:r>
                </w:p>
              </w:tc>
              <w:tc>
                <w:tcPr>
                  <w:tcW w:w="3753" w:type="dxa"/>
                  <w:tcBorders>
                    <w:tl2br w:val="nil"/>
                    <w:tr2bl w:val="nil"/>
                  </w:tcBorders>
                  <w:vAlign w:val="center"/>
                </w:tcPr>
                <w:p>
                  <w:pPr>
                    <w:adjustRightInd w:val="0"/>
                    <w:snapToGrid w:val="0"/>
                    <w:jc w:val="left"/>
                    <w:rPr>
                      <w:sz w:val="18"/>
                      <w:szCs w:val="18"/>
                    </w:rPr>
                  </w:pPr>
                  <w:r>
                    <w:rPr>
                      <w:sz w:val="18"/>
                      <w:szCs w:val="18"/>
                    </w:rPr>
                    <w:t>项目建成后，燃料为生物质颗粒。项目不涉及贮存煤炭、煤矸石、煤渣、煤灰、水泥、石灰、石膏、砂土等易产生扬尘的物料。</w:t>
                  </w:r>
                </w:p>
              </w:tc>
              <w:tc>
                <w:tcPr>
                  <w:tcW w:w="794" w:type="dxa"/>
                  <w:tcBorders>
                    <w:tl2br w:val="nil"/>
                    <w:tr2bl w:val="nil"/>
                  </w:tcBorders>
                  <w:vAlign w:val="center"/>
                </w:tcPr>
                <w:p>
                  <w:pPr>
                    <w:adjustRightInd w:val="0"/>
                    <w:snapToGrid w:val="0"/>
                    <w:jc w:val="center"/>
                    <w:rPr>
                      <w:sz w:val="18"/>
                      <w:szCs w:val="18"/>
                    </w:rPr>
                  </w:pPr>
                  <w:r>
                    <w:rPr>
                      <w:sz w:val="18"/>
                      <w:szCs w:val="18"/>
                    </w:rPr>
                    <w:t>符合</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162" w:type="dxa"/>
                  <w:tcBorders>
                    <w:tl2br w:val="nil"/>
                    <w:tr2bl w:val="nil"/>
                  </w:tcBorders>
                  <w:vAlign w:val="center"/>
                </w:tcPr>
                <w:p>
                  <w:pPr>
                    <w:adjustRightInd w:val="0"/>
                    <w:snapToGrid w:val="0"/>
                    <w:jc w:val="center"/>
                    <w:rPr>
                      <w:sz w:val="18"/>
                      <w:szCs w:val="18"/>
                    </w:rPr>
                  </w:pPr>
                  <w:r>
                    <w:rPr>
                      <w:sz w:val="18"/>
                      <w:szCs w:val="18"/>
                    </w:rPr>
                    <w:t>第十九条</w:t>
                  </w:r>
                </w:p>
              </w:tc>
              <w:tc>
                <w:tcPr>
                  <w:tcW w:w="7727" w:type="dxa"/>
                  <w:tcBorders>
                    <w:tl2br w:val="nil"/>
                    <w:tr2bl w:val="nil"/>
                  </w:tcBorders>
                  <w:vAlign w:val="center"/>
                </w:tcPr>
                <w:p>
                  <w:pPr>
                    <w:adjustRightInd w:val="0"/>
                    <w:snapToGrid w:val="0"/>
                    <w:jc w:val="left"/>
                    <w:rPr>
                      <w:sz w:val="18"/>
                      <w:szCs w:val="18"/>
                    </w:rPr>
                  </w:pPr>
                  <w:r>
                    <w:rPr>
                      <w:sz w:val="18"/>
                      <w:szCs w:val="18"/>
                    </w:rPr>
                    <w:t>运输煤炭、垃圾、渣土、砂石、土方、水泥、灰浆等散装、流体物料的车辆应当采取密闭或者其他措施防止物料遗撒造成扬尘污染，并按照规定路线行驶。</w:t>
                  </w:r>
                </w:p>
                <w:p>
                  <w:pPr>
                    <w:adjustRightInd w:val="0"/>
                    <w:snapToGrid w:val="0"/>
                    <w:jc w:val="left"/>
                    <w:rPr>
                      <w:sz w:val="18"/>
                      <w:szCs w:val="18"/>
                    </w:rPr>
                  </w:pPr>
                  <w:r>
                    <w:rPr>
                      <w:sz w:val="18"/>
                      <w:szCs w:val="18"/>
                    </w:rPr>
                    <w:t>装卸物料应当采取密闭或者喷淋等方式防治扬尘污染。</w:t>
                  </w:r>
                </w:p>
              </w:tc>
              <w:tc>
                <w:tcPr>
                  <w:tcW w:w="3753" w:type="dxa"/>
                  <w:tcBorders>
                    <w:tl2br w:val="nil"/>
                    <w:tr2bl w:val="nil"/>
                  </w:tcBorders>
                  <w:vAlign w:val="center"/>
                </w:tcPr>
                <w:p>
                  <w:pPr>
                    <w:adjustRightInd w:val="0"/>
                    <w:snapToGrid w:val="0"/>
                    <w:jc w:val="left"/>
                    <w:rPr>
                      <w:sz w:val="18"/>
                      <w:szCs w:val="18"/>
                    </w:rPr>
                  </w:pPr>
                  <w:r>
                    <w:rPr>
                      <w:sz w:val="18"/>
                      <w:szCs w:val="18"/>
                    </w:rPr>
                    <w:t>项目建成后，生物质颗粒运输及装卸采取密闭方式。</w:t>
                  </w:r>
                </w:p>
              </w:tc>
              <w:tc>
                <w:tcPr>
                  <w:tcW w:w="794" w:type="dxa"/>
                  <w:tcBorders>
                    <w:tl2br w:val="nil"/>
                    <w:tr2bl w:val="nil"/>
                  </w:tcBorders>
                  <w:vAlign w:val="center"/>
                </w:tcPr>
                <w:p>
                  <w:pPr>
                    <w:adjustRightInd w:val="0"/>
                    <w:snapToGrid w:val="0"/>
                    <w:jc w:val="center"/>
                    <w:rPr>
                      <w:sz w:val="18"/>
                      <w:szCs w:val="18"/>
                    </w:rPr>
                  </w:pPr>
                  <w:r>
                    <w:rPr>
                      <w:sz w:val="18"/>
                      <w:szCs w:val="18"/>
                    </w:rPr>
                    <w:t>符合</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3436" w:type="dxa"/>
                  <w:gridSpan w:val="4"/>
                  <w:tcBorders>
                    <w:tl2br w:val="nil"/>
                    <w:tr2bl w:val="nil"/>
                  </w:tcBorders>
                  <w:vAlign w:val="center"/>
                </w:tcPr>
                <w:p>
                  <w:pPr>
                    <w:adjustRightInd w:val="0"/>
                    <w:snapToGrid w:val="0"/>
                    <w:rPr>
                      <w:sz w:val="18"/>
                      <w:szCs w:val="18"/>
                    </w:rPr>
                  </w:pPr>
                  <w:r>
                    <w:rPr>
                      <w:rFonts w:hint="eastAsia"/>
                      <w:b/>
                      <w:bCs/>
                      <w:sz w:val="18"/>
                      <w:szCs w:val="18"/>
                    </w:rPr>
                    <w:t>3</w:t>
                  </w:r>
                  <w:r>
                    <w:rPr>
                      <w:b/>
                      <w:bCs/>
                      <w:sz w:val="18"/>
                      <w:szCs w:val="18"/>
                    </w:rPr>
                    <w:t>、《吉林省空气质量巩固提升行动方案》（吉政办发【2021】10号）（节选）</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162" w:type="dxa"/>
                  <w:tcBorders>
                    <w:tl2br w:val="nil"/>
                    <w:tr2bl w:val="nil"/>
                  </w:tcBorders>
                  <w:vAlign w:val="center"/>
                </w:tcPr>
                <w:p>
                  <w:pPr>
                    <w:adjustRightInd w:val="0"/>
                    <w:snapToGrid w:val="0"/>
                    <w:jc w:val="center"/>
                    <w:rPr>
                      <w:sz w:val="18"/>
                      <w:szCs w:val="18"/>
                    </w:rPr>
                  </w:pPr>
                  <w:r>
                    <w:rPr>
                      <w:sz w:val="18"/>
                      <w:szCs w:val="18"/>
                    </w:rPr>
                    <w:t>第一条</w:t>
                  </w:r>
                </w:p>
              </w:tc>
              <w:tc>
                <w:tcPr>
                  <w:tcW w:w="7727" w:type="dxa"/>
                  <w:tcBorders>
                    <w:tl2br w:val="nil"/>
                    <w:tr2bl w:val="nil"/>
                  </w:tcBorders>
                  <w:vAlign w:val="center"/>
                </w:tcPr>
                <w:p>
                  <w:pPr>
                    <w:adjustRightInd w:val="0"/>
                    <w:snapToGrid w:val="0"/>
                    <w:jc w:val="left"/>
                    <w:rPr>
                      <w:sz w:val="18"/>
                      <w:szCs w:val="18"/>
                    </w:rPr>
                  </w:pPr>
                  <w:r>
                    <w:rPr>
                      <w:sz w:val="18"/>
                      <w:szCs w:val="18"/>
                    </w:rPr>
                    <w:t>全面推进秸秆综合利用。持续提高“五化”利用能力，重点推进保护性耕作技术，全省实施面积力争达到2800万亩；以“秸秆变肉”工程为抓手加快推进饲料化利用，实现利用量850万吨；稳步推进秸秆生物质发电、秸秆成型燃料加工和燃煤供热锅炉生物质改造，实现利用量863万吨；积极推进秸秆新型建材、制浆造纸等原料化利用，实现利用量65万吨；有序推进秸秆基料化利用，扩大食用菌基料化生产规模，发展秸秆基质育苗产业，扩大绿色种植面积，实现利用量31万吨。</w:t>
                  </w:r>
                </w:p>
              </w:tc>
              <w:tc>
                <w:tcPr>
                  <w:tcW w:w="3753" w:type="dxa"/>
                  <w:tcBorders>
                    <w:tl2br w:val="nil"/>
                    <w:tr2bl w:val="nil"/>
                  </w:tcBorders>
                  <w:vAlign w:val="center"/>
                </w:tcPr>
                <w:p>
                  <w:pPr>
                    <w:adjustRightInd w:val="0"/>
                    <w:snapToGrid w:val="0"/>
                    <w:jc w:val="left"/>
                    <w:rPr>
                      <w:sz w:val="18"/>
                      <w:szCs w:val="18"/>
                    </w:rPr>
                  </w:pPr>
                  <w:r>
                    <w:rPr>
                      <w:sz w:val="18"/>
                      <w:szCs w:val="18"/>
                    </w:rPr>
                    <w:t>项目建成后，生产热源源自一台额定热功率1600kW的有机热载体液相炉（导热油炉），折合约2.29蒸吨/小时（按0.7MW=1蒸吨换算），燃料为生物质颗粒，不使用煤炭。</w:t>
                  </w:r>
                </w:p>
              </w:tc>
              <w:tc>
                <w:tcPr>
                  <w:tcW w:w="794" w:type="dxa"/>
                  <w:tcBorders>
                    <w:tl2br w:val="nil"/>
                    <w:tr2bl w:val="nil"/>
                  </w:tcBorders>
                  <w:vAlign w:val="center"/>
                </w:tcPr>
                <w:p>
                  <w:pPr>
                    <w:adjustRightInd w:val="0"/>
                    <w:snapToGrid w:val="0"/>
                    <w:jc w:val="center"/>
                    <w:rPr>
                      <w:sz w:val="18"/>
                      <w:szCs w:val="18"/>
                    </w:rPr>
                  </w:pPr>
                  <w:r>
                    <w:rPr>
                      <w:sz w:val="18"/>
                      <w:szCs w:val="18"/>
                    </w:rPr>
                    <w:t>符合</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162" w:type="dxa"/>
                  <w:tcBorders>
                    <w:tl2br w:val="nil"/>
                    <w:tr2bl w:val="nil"/>
                  </w:tcBorders>
                  <w:vAlign w:val="center"/>
                </w:tcPr>
                <w:p>
                  <w:pPr>
                    <w:adjustRightInd w:val="0"/>
                    <w:snapToGrid w:val="0"/>
                    <w:jc w:val="center"/>
                    <w:rPr>
                      <w:sz w:val="18"/>
                      <w:szCs w:val="18"/>
                    </w:rPr>
                  </w:pPr>
                  <w:r>
                    <w:rPr>
                      <w:sz w:val="18"/>
                      <w:szCs w:val="18"/>
                    </w:rPr>
                    <w:t>第六条</w:t>
                  </w:r>
                </w:p>
              </w:tc>
              <w:tc>
                <w:tcPr>
                  <w:tcW w:w="7727" w:type="dxa"/>
                  <w:tcBorders>
                    <w:tl2br w:val="nil"/>
                    <w:tr2bl w:val="nil"/>
                  </w:tcBorders>
                  <w:vAlign w:val="center"/>
                </w:tcPr>
                <w:p>
                  <w:pPr>
                    <w:adjustRightInd w:val="0"/>
                    <w:snapToGrid w:val="0"/>
                    <w:jc w:val="left"/>
                    <w:rPr>
                      <w:sz w:val="18"/>
                      <w:szCs w:val="18"/>
                    </w:rPr>
                  </w:pPr>
                  <w:r>
                    <w:rPr>
                      <w:sz w:val="18"/>
                      <w:szCs w:val="18"/>
                    </w:rPr>
                    <w:t>继续推进清洁供暖。因地制宜推进清洁供暖，减少民用散烧煤。在中小城市适度建设燃煤背压式热电联产项目。农村地区按照就地取材原则，重点做好生物质锅炉、户用炉具推广应用工作，扩大生物质燃料供热面积。具备条件地区实施“煤改气”“煤改电”，加快配套天然气管网和电网建设。进一步提高煤炭洗选比例，做到应洗尽洗。定期开展煤质检查，严厉打击劣质煤炭进入市场流通销售。各地要全面摸清城中村、城乡接合部散煤底数，制定清洁取暖散煤替代方案。</w:t>
                  </w:r>
                </w:p>
              </w:tc>
              <w:tc>
                <w:tcPr>
                  <w:tcW w:w="3753" w:type="dxa"/>
                  <w:tcBorders>
                    <w:tl2br w:val="nil"/>
                    <w:tr2bl w:val="nil"/>
                  </w:tcBorders>
                  <w:vAlign w:val="center"/>
                </w:tcPr>
                <w:p>
                  <w:pPr>
                    <w:adjustRightInd w:val="0"/>
                    <w:snapToGrid w:val="0"/>
                    <w:jc w:val="left"/>
                    <w:rPr>
                      <w:sz w:val="18"/>
                      <w:szCs w:val="18"/>
                    </w:rPr>
                  </w:pPr>
                  <w:r>
                    <w:rPr>
                      <w:sz w:val="18"/>
                      <w:szCs w:val="18"/>
                    </w:rPr>
                    <w:t>项目建成后，生产热源源自一台额定热功率1600kW的有机热载体液相炉（导热油炉），折合约2.29蒸吨/小时（按0.7MW=1蒸吨换算），燃料为生物质颗粒，不使用煤炭。</w:t>
                  </w:r>
                </w:p>
              </w:tc>
              <w:tc>
                <w:tcPr>
                  <w:tcW w:w="794" w:type="dxa"/>
                  <w:tcBorders>
                    <w:tl2br w:val="nil"/>
                    <w:tr2bl w:val="nil"/>
                  </w:tcBorders>
                  <w:vAlign w:val="center"/>
                </w:tcPr>
                <w:p>
                  <w:pPr>
                    <w:adjustRightInd w:val="0"/>
                    <w:snapToGrid w:val="0"/>
                    <w:jc w:val="center"/>
                    <w:rPr>
                      <w:sz w:val="18"/>
                      <w:szCs w:val="18"/>
                    </w:rPr>
                  </w:pPr>
                  <w:r>
                    <w:rPr>
                      <w:sz w:val="18"/>
                      <w:szCs w:val="18"/>
                    </w:rPr>
                    <w:t>符合</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162" w:type="dxa"/>
                  <w:tcBorders>
                    <w:tl2br w:val="nil"/>
                    <w:tr2bl w:val="nil"/>
                  </w:tcBorders>
                  <w:vAlign w:val="center"/>
                </w:tcPr>
                <w:p>
                  <w:pPr>
                    <w:adjustRightInd w:val="0"/>
                    <w:snapToGrid w:val="0"/>
                    <w:jc w:val="center"/>
                    <w:rPr>
                      <w:sz w:val="18"/>
                      <w:szCs w:val="18"/>
                    </w:rPr>
                  </w:pPr>
                  <w:r>
                    <w:rPr>
                      <w:sz w:val="18"/>
                      <w:szCs w:val="18"/>
                    </w:rPr>
                    <w:t>第七条</w:t>
                  </w:r>
                </w:p>
              </w:tc>
              <w:tc>
                <w:tcPr>
                  <w:tcW w:w="7727" w:type="dxa"/>
                  <w:tcBorders>
                    <w:tl2br w:val="nil"/>
                    <w:tr2bl w:val="nil"/>
                  </w:tcBorders>
                  <w:vAlign w:val="center"/>
                </w:tcPr>
                <w:p>
                  <w:pPr>
                    <w:adjustRightInd w:val="0"/>
                    <w:snapToGrid w:val="0"/>
                    <w:jc w:val="left"/>
                    <w:rPr>
                      <w:sz w:val="18"/>
                      <w:szCs w:val="18"/>
                    </w:rPr>
                  </w:pPr>
                  <w:r>
                    <w:rPr>
                      <w:sz w:val="18"/>
                      <w:szCs w:val="18"/>
                    </w:rPr>
                    <w:t>加大燃煤锅炉淘汰力度。严控新建燃煤锅炉，县级以上城市建成区原则上不再新建每小时35蒸吨以下燃煤锅炉，其他地区原则上不再新建每小时10蒸吨以下燃煤锅炉。按照国家政策的调整和要求，逐步开展燃煤锅炉淘汰工作。</w:t>
                  </w:r>
                </w:p>
              </w:tc>
              <w:tc>
                <w:tcPr>
                  <w:tcW w:w="3753" w:type="dxa"/>
                  <w:tcBorders>
                    <w:tl2br w:val="nil"/>
                    <w:tr2bl w:val="nil"/>
                  </w:tcBorders>
                  <w:vAlign w:val="center"/>
                </w:tcPr>
                <w:p>
                  <w:pPr>
                    <w:adjustRightInd w:val="0"/>
                    <w:snapToGrid w:val="0"/>
                    <w:jc w:val="left"/>
                    <w:rPr>
                      <w:sz w:val="18"/>
                      <w:szCs w:val="18"/>
                    </w:rPr>
                  </w:pPr>
                  <w:r>
                    <w:rPr>
                      <w:sz w:val="18"/>
                      <w:szCs w:val="18"/>
                    </w:rPr>
                    <w:t>项目建成后，生产热源源自一台额定热功率1600kW的有机热载体液相炉（导热油炉），折合约2.29蒸吨/小时（按0.7MW=1蒸吨换算），燃料为生物质颗粒，不使用煤炭。</w:t>
                  </w:r>
                </w:p>
              </w:tc>
              <w:tc>
                <w:tcPr>
                  <w:tcW w:w="794" w:type="dxa"/>
                  <w:tcBorders>
                    <w:tl2br w:val="nil"/>
                    <w:tr2bl w:val="nil"/>
                  </w:tcBorders>
                  <w:vAlign w:val="center"/>
                </w:tcPr>
                <w:p>
                  <w:pPr>
                    <w:adjustRightInd w:val="0"/>
                    <w:snapToGrid w:val="0"/>
                    <w:jc w:val="center"/>
                    <w:rPr>
                      <w:sz w:val="18"/>
                      <w:szCs w:val="18"/>
                    </w:rPr>
                  </w:pPr>
                  <w:r>
                    <w:rPr>
                      <w:sz w:val="18"/>
                      <w:szCs w:val="18"/>
                    </w:rPr>
                    <w:t>符合</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162" w:type="dxa"/>
                  <w:tcBorders>
                    <w:tl2br w:val="nil"/>
                    <w:tr2bl w:val="nil"/>
                  </w:tcBorders>
                  <w:vAlign w:val="center"/>
                </w:tcPr>
                <w:p>
                  <w:pPr>
                    <w:adjustRightInd w:val="0"/>
                    <w:snapToGrid w:val="0"/>
                    <w:jc w:val="center"/>
                    <w:rPr>
                      <w:sz w:val="18"/>
                      <w:szCs w:val="18"/>
                    </w:rPr>
                  </w:pPr>
                  <w:r>
                    <w:rPr>
                      <w:sz w:val="18"/>
                      <w:szCs w:val="18"/>
                    </w:rPr>
                    <w:t>第十条</w:t>
                  </w:r>
                </w:p>
              </w:tc>
              <w:tc>
                <w:tcPr>
                  <w:tcW w:w="7727" w:type="dxa"/>
                  <w:tcBorders>
                    <w:tl2br w:val="nil"/>
                    <w:tr2bl w:val="nil"/>
                  </w:tcBorders>
                  <w:vAlign w:val="center"/>
                </w:tcPr>
                <w:p>
                  <w:pPr>
                    <w:adjustRightInd w:val="0"/>
                    <w:snapToGrid w:val="0"/>
                    <w:jc w:val="left"/>
                    <w:rPr>
                      <w:sz w:val="18"/>
                      <w:szCs w:val="18"/>
                    </w:rPr>
                  </w:pPr>
                  <w:r>
                    <w:rPr>
                      <w:sz w:val="18"/>
                      <w:szCs w:val="18"/>
                    </w:rPr>
                    <w:t>持续推进工业污染源全面达标排放。加大工业污染源烟气高效脱硫脱硝、除尘改造力度，确保各项污染物稳定达标排放。重点排污单位全部安装自动监控设备并与生态环境部门联网。对排放不达标的企业按照“一企一策”的原则，限期整改到位。全面加强工业无组织排放管控。</w:t>
                  </w:r>
                </w:p>
              </w:tc>
              <w:tc>
                <w:tcPr>
                  <w:tcW w:w="3753" w:type="dxa"/>
                  <w:tcBorders>
                    <w:tl2br w:val="nil"/>
                    <w:tr2bl w:val="nil"/>
                  </w:tcBorders>
                  <w:vAlign w:val="center"/>
                </w:tcPr>
                <w:p>
                  <w:pPr>
                    <w:adjustRightInd w:val="0"/>
                    <w:snapToGrid w:val="0"/>
                    <w:jc w:val="left"/>
                    <w:rPr>
                      <w:sz w:val="18"/>
                      <w:szCs w:val="18"/>
                    </w:rPr>
                  </w:pPr>
                  <w:r>
                    <w:rPr>
                      <w:sz w:val="18"/>
                      <w:szCs w:val="18"/>
                    </w:rPr>
                    <w:t>项目建成后，生产热源源自一台额定热功率1600kW的有机热载体液相炉（导热油炉），折合约2.29蒸吨/小时（按0.7MW=1蒸吨换算），燃料为生物质颗粒，不使用煤炭。</w:t>
                  </w:r>
                </w:p>
              </w:tc>
              <w:tc>
                <w:tcPr>
                  <w:tcW w:w="794" w:type="dxa"/>
                  <w:tcBorders>
                    <w:tl2br w:val="nil"/>
                    <w:tr2bl w:val="nil"/>
                  </w:tcBorders>
                  <w:vAlign w:val="center"/>
                </w:tcPr>
                <w:p>
                  <w:pPr>
                    <w:adjustRightInd w:val="0"/>
                    <w:snapToGrid w:val="0"/>
                    <w:jc w:val="center"/>
                    <w:rPr>
                      <w:sz w:val="18"/>
                      <w:szCs w:val="18"/>
                    </w:rPr>
                  </w:pPr>
                  <w:r>
                    <w:rPr>
                      <w:sz w:val="18"/>
                      <w:szCs w:val="18"/>
                    </w:rPr>
                    <w:t>符合</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162" w:type="dxa"/>
                  <w:tcBorders>
                    <w:tl2br w:val="nil"/>
                    <w:tr2bl w:val="nil"/>
                  </w:tcBorders>
                  <w:vAlign w:val="center"/>
                </w:tcPr>
                <w:p>
                  <w:pPr>
                    <w:adjustRightInd w:val="0"/>
                    <w:snapToGrid w:val="0"/>
                    <w:jc w:val="center"/>
                    <w:rPr>
                      <w:sz w:val="18"/>
                      <w:szCs w:val="18"/>
                    </w:rPr>
                  </w:pPr>
                  <w:r>
                    <w:rPr>
                      <w:sz w:val="18"/>
                      <w:szCs w:val="18"/>
                    </w:rPr>
                    <w:t>第十九条</w:t>
                  </w:r>
                </w:p>
              </w:tc>
              <w:tc>
                <w:tcPr>
                  <w:tcW w:w="7727" w:type="dxa"/>
                  <w:tcBorders>
                    <w:tl2br w:val="nil"/>
                    <w:tr2bl w:val="nil"/>
                  </w:tcBorders>
                  <w:vAlign w:val="center"/>
                </w:tcPr>
                <w:p>
                  <w:pPr>
                    <w:adjustRightInd w:val="0"/>
                    <w:snapToGrid w:val="0"/>
                    <w:jc w:val="left"/>
                    <w:rPr>
                      <w:sz w:val="18"/>
                      <w:szCs w:val="18"/>
                    </w:rPr>
                  </w:pPr>
                  <w:r>
                    <w:rPr>
                      <w:sz w:val="18"/>
                      <w:szCs w:val="18"/>
                    </w:rPr>
                    <w:t>严格建筑施工扬尘管控。严格实施建筑施工标准化管理，建立建筑工地项目清单和台账，将扬尘治理费用列入工程造价，加大监管力度，对不达标的施工现场限期整改，情节严重的停工整改。加强建筑渣土及运输车辆规范管理工作，严格落实密闭运输，依法打击不按规定路线行驶、渣土抛撒滴漏以及车轮带泥行驶、随意倾倒等违法行为。加大混凝土搅拌车监管，混凝土搅拌站内必须配备抑尘设施，出站前对混凝土搅拌车辆进行冲洗。混凝土搅拌车辆要在出料口处加装防漏撒设施，进入工地作业时应遵守工地扬尘防治要求。</w:t>
                  </w:r>
                </w:p>
              </w:tc>
              <w:tc>
                <w:tcPr>
                  <w:tcW w:w="3753" w:type="dxa"/>
                  <w:tcBorders>
                    <w:tl2br w:val="nil"/>
                    <w:tr2bl w:val="nil"/>
                  </w:tcBorders>
                  <w:vAlign w:val="center"/>
                </w:tcPr>
                <w:p>
                  <w:pPr>
                    <w:adjustRightInd w:val="0"/>
                    <w:snapToGrid w:val="0"/>
                    <w:jc w:val="left"/>
                    <w:rPr>
                      <w:sz w:val="18"/>
                      <w:szCs w:val="18"/>
                    </w:rPr>
                  </w:pPr>
                  <w:r>
                    <w:rPr>
                      <w:sz w:val="18"/>
                      <w:szCs w:val="18"/>
                    </w:rPr>
                    <w:t>企业加强文明施工管理，采取封闭作业、封闭运行、净车上路、喷洒抑等措施，控制粉尘和建筑扬尘。</w:t>
                  </w:r>
                </w:p>
              </w:tc>
              <w:tc>
                <w:tcPr>
                  <w:tcW w:w="794" w:type="dxa"/>
                  <w:tcBorders>
                    <w:tl2br w:val="nil"/>
                    <w:tr2bl w:val="nil"/>
                  </w:tcBorders>
                  <w:vAlign w:val="center"/>
                </w:tcPr>
                <w:p>
                  <w:pPr>
                    <w:adjustRightInd w:val="0"/>
                    <w:snapToGrid w:val="0"/>
                    <w:jc w:val="center"/>
                    <w:rPr>
                      <w:sz w:val="18"/>
                      <w:szCs w:val="18"/>
                    </w:rPr>
                  </w:pPr>
                  <w:r>
                    <w:rPr>
                      <w:sz w:val="18"/>
                      <w:szCs w:val="18"/>
                    </w:rPr>
                    <w:t>符合</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162" w:type="dxa"/>
                  <w:tcBorders>
                    <w:tl2br w:val="nil"/>
                    <w:tr2bl w:val="nil"/>
                  </w:tcBorders>
                  <w:vAlign w:val="center"/>
                </w:tcPr>
                <w:p>
                  <w:pPr>
                    <w:adjustRightInd w:val="0"/>
                    <w:snapToGrid w:val="0"/>
                    <w:jc w:val="center"/>
                    <w:rPr>
                      <w:sz w:val="18"/>
                      <w:szCs w:val="18"/>
                    </w:rPr>
                  </w:pPr>
                  <w:r>
                    <w:rPr>
                      <w:sz w:val="18"/>
                      <w:szCs w:val="18"/>
                    </w:rPr>
                    <w:t>第二十四条</w:t>
                  </w:r>
                </w:p>
              </w:tc>
              <w:tc>
                <w:tcPr>
                  <w:tcW w:w="7727" w:type="dxa"/>
                  <w:tcBorders>
                    <w:tl2br w:val="nil"/>
                    <w:tr2bl w:val="nil"/>
                  </w:tcBorders>
                  <w:vAlign w:val="center"/>
                </w:tcPr>
                <w:p>
                  <w:pPr>
                    <w:adjustRightInd w:val="0"/>
                    <w:snapToGrid w:val="0"/>
                    <w:jc w:val="left"/>
                    <w:rPr>
                      <w:sz w:val="18"/>
                      <w:szCs w:val="18"/>
                    </w:rPr>
                  </w:pPr>
                  <w:r>
                    <w:rPr>
                      <w:sz w:val="18"/>
                      <w:szCs w:val="18"/>
                    </w:rPr>
                    <w:t>有效降低采暖期大气污染负荷。制定燃煤供热锅炉错时启炉方案，实行隔时分批启炉。实行重点行业企业差异化错峰生产，每年采暖期结合实际及空气质量情况，全省水泥熟料生产线开展常态化错峰生产。坚持电力行业绿色调度，在保障冬季供热和电力可靠供应的前提下，优先调度可再生发电资源。</w:t>
                  </w:r>
                </w:p>
              </w:tc>
              <w:tc>
                <w:tcPr>
                  <w:tcW w:w="3753" w:type="dxa"/>
                  <w:tcBorders>
                    <w:tl2br w:val="nil"/>
                    <w:tr2bl w:val="nil"/>
                  </w:tcBorders>
                  <w:vAlign w:val="center"/>
                </w:tcPr>
                <w:p>
                  <w:pPr>
                    <w:adjustRightInd w:val="0"/>
                    <w:snapToGrid w:val="0"/>
                    <w:jc w:val="left"/>
                    <w:rPr>
                      <w:sz w:val="18"/>
                      <w:szCs w:val="18"/>
                    </w:rPr>
                  </w:pPr>
                  <w:r>
                    <w:rPr>
                      <w:sz w:val="18"/>
                      <w:szCs w:val="18"/>
                    </w:rPr>
                    <w:t>项目建成后，生产热源源自一台额定热功率1600kW的有机热载体液相炉（导热油炉），折合约2.29蒸吨/小时（按0.7MW=1蒸吨换算），燃料为生物质颗粒，不使用煤炭。</w:t>
                  </w:r>
                </w:p>
              </w:tc>
              <w:tc>
                <w:tcPr>
                  <w:tcW w:w="794" w:type="dxa"/>
                  <w:tcBorders>
                    <w:tl2br w:val="nil"/>
                    <w:tr2bl w:val="nil"/>
                  </w:tcBorders>
                  <w:vAlign w:val="center"/>
                </w:tcPr>
                <w:p>
                  <w:pPr>
                    <w:adjustRightInd w:val="0"/>
                    <w:snapToGrid w:val="0"/>
                    <w:jc w:val="center"/>
                    <w:rPr>
                      <w:sz w:val="18"/>
                      <w:szCs w:val="18"/>
                    </w:rPr>
                  </w:pPr>
                  <w:r>
                    <w:rPr>
                      <w:sz w:val="18"/>
                      <w:szCs w:val="18"/>
                    </w:rPr>
                    <w:t>符合</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3436" w:type="dxa"/>
                  <w:gridSpan w:val="4"/>
                  <w:tcBorders>
                    <w:tl2br w:val="nil"/>
                    <w:tr2bl w:val="nil"/>
                  </w:tcBorders>
                  <w:vAlign w:val="center"/>
                </w:tcPr>
                <w:p>
                  <w:pPr>
                    <w:adjustRightInd w:val="0"/>
                    <w:snapToGrid w:val="0"/>
                    <w:rPr>
                      <w:sz w:val="18"/>
                      <w:szCs w:val="18"/>
                    </w:rPr>
                  </w:pPr>
                  <w:r>
                    <w:rPr>
                      <w:rFonts w:hint="eastAsia"/>
                      <w:b/>
                      <w:bCs/>
                      <w:sz w:val="18"/>
                      <w:szCs w:val="18"/>
                    </w:rPr>
                    <w:t>4</w:t>
                  </w:r>
                  <w:r>
                    <w:rPr>
                      <w:b/>
                      <w:bCs/>
                      <w:sz w:val="18"/>
                      <w:szCs w:val="18"/>
                    </w:rPr>
                    <w:t>、《中共吉林省委 吉林省政府关于全面加强生态环境保护坚决打好污染防治攻坚战的实施意见》（吉发【2018】33号）（节选）</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162" w:type="dxa"/>
                  <w:tcBorders>
                    <w:tl2br w:val="nil"/>
                    <w:tr2bl w:val="nil"/>
                  </w:tcBorders>
                  <w:vAlign w:val="center"/>
                </w:tcPr>
                <w:p>
                  <w:pPr>
                    <w:adjustRightInd w:val="0"/>
                    <w:snapToGrid w:val="0"/>
                    <w:jc w:val="center"/>
                    <w:rPr>
                      <w:sz w:val="18"/>
                      <w:szCs w:val="18"/>
                    </w:rPr>
                  </w:pPr>
                  <w:r>
                    <w:rPr>
                      <w:sz w:val="18"/>
                      <w:szCs w:val="18"/>
                    </w:rPr>
                    <w:t>第五条</w:t>
                  </w:r>
                </w:p>
              </w:tc>
              <w:tc>
                <w:tcPr>
                  <w:tcW w:w="7727" w:type="dxa"/>
                  <w:tcBorders>
                    <w:tl2br w:val="nil"/>
                    <w:tr2bl w:val="nil"/>
                  </w:tcBorders>
                  <w:vAlign w:val="center"/>
                </w:tcPr>
                <w:p>
                  <w:pPr>
                    <w:adjustRightInd w:val="0"/>
                    <w:snapToGrid w:val="0"/>
                    <w:jc w:val="left"/>
                    <w:rPr>
                      <w:sz w:val="18"/>
                      <w:szCs w:val="18"/>
                    </w:rPr>
                  </w:pPr>
                  <w:r>
                    <w:rPr>
                      <w:sz w:val="18"/>
                      <w:szCs w:val="18"/>
                    </w:rPr>
                    <w:t>增加清洁能源使用，落实可再生能源发电全额保障性收购政策。强化煤炭生产、加工、流通全过程监管，严厉打击劣质煤炭进入市场流通。大力推进散煤治理，积极推进清洁燃料供应体系建设，长春市、吉林市、四平市于2018年底前、其他地区于2019年底前完成供应体系建设；到2020年全省散煤替代率达到70%以上。2018年9月底前全部完成20蒸吨及以上燃煤锅炉达标改造。加快推进冬季清洁供暖，推广园区集中供热，到2020年，全省清洁取暖率达到42%以上。</w:t>
                  </w:r>
                </w:p>
                <w:p>
                  <w:pPr>
                    <w:adjustRightInd w:val="0"/>
                    <w:snapToGrid w:val="0"/>
                    <w:jc w:val="left"/>
                    <w:rPr>
                      <w:sz w:val="18"/>
                      <w:szCs w:val="18"/>
                    </w:rPr>
                  </w:pPr>
                  <w:r>
                    <w:rPr>
                      <w:sz w:val="18"/>
                      <w:szCs w:val="18"/>
                    </w:rPr>
                    <w:t>强化秸秆综合利用和露天焚烧管控。开展农作物秸秆综合整治专项行动，推进以秸秆还田为基础的“五料化”综合利用，到2020年全省秸秆综合利用率达到85%。严格秸秆禁烧管控，开展秸秆露天禁烧行动。制定秸秆露天禁烧责任追究办法，对秸秆禁烧工作不力、秸秆焚烧现象高发的地区及相关责任人严肃问责。</w:t>
                  </w:r>
                </w:p>
              </w:tc>
              <w:tc>
                <w:tcPr>
                  <w:tcW w:w="3753" w:type="dxa"/>
                  <w:tcBorders>
                    <w:tl2br w:val="nil"/>
                    <w:tr2bl w:val="nil"/>
                  </w:tcBorders>
                  <w:vAlign w:val="center"/>
                </w:tcPr>
                <w:p>
                  <w:pPr>
                    <w:adjustRightInd w:val="0"/>
                    <w:snapToGrid w:val="0"/>
                    <w:jc w:val="left"/>
                    <w:rPr>
                      <w:sz w:val="18"/>
                      <w:szCs w:val="18"/>
                    </w:rPr>
                  </w:pPr>
                  <w:r>
                    <w:rPr>
                      <w:sz w:val="18"/>
                      <w:szCs w:val="18"/>
                    </w:rPr>
                    <w:t>项目建成后，生产热源源自一台额定热功率1600kW的有机热载体液相炉（导热油炉），折合约2.29蒸吨/小时（按0.7MW=1蒸吨换算），燃料为生物质颗粒，不使用煤炭。</w:t>
                  </w:r>
                </w:p>
              </w:tc>
              <w:tc>
                <w:tcPr>
                  <w:tcW w:w="794" w:type="dxa"/>
                  <w:tcBorders>
                    <w:tl2br w:val="nil"/>
                    <w:tr2bl w:val="nil"/>
                  </w:tcBorders>
                  <w:vAlign w:val="center"/>
                </w:tcPr>
                <w:p>
                  <w:pPr>
                    <w:adjustRightInd w:val="0"/>
                    <w:snapToGrid w:val="0"/>
                    <w:jc w:val="center"/>
                    <w:rPr>
                      <w:sz w:val="18"/>
                      <w:szCs w:val="18"/>
                    </w:rPr>
                  </w:pPr>
                  <w:r>
                    <w:rPr>
                      <w:sz w:val="18"/>
                      <w:szCs w:val="18"/>
                    </w:rPr>
                    <w:t>符合</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3436" w:type="dxa"/>
                  <w:gridSpan w:val="4"/>
                  <w:tcBorders>
                    <w:tl2br w:val="nil"/>
                    <w:tr2bl w:val="nil"/>
                  </w:tcBorders>
                  <w:vAlign w:val="center"/>
                </w:tcPr>
                <w:p>
                  <w:pPr>
                    <w:adjustRightInd w:val="0"/>
                    <w:snapToGrid w:val="0"/>
                    <w:rPr>
                      <w:sz w:val="18"/>
                      <w:szCs w:val="18"/>
                    </w:rPr>
                  </w:pPr>
                  <w:r>
                    <w:rPr>
                      <w:rFonts w:hint="eastAsia"/>
                      <w:b/>
                      <w:bCs/>
                      <w:sz w:val="18"/>
                      <w:szCs w:val="18"/>
                    </w:rPr>
                    <w:t>5</w:t>
                  </w:r>
                  <w:r>
                    <w:rPr>
                      <w:b/>
                      <w:bCs/>
                      <w:sz w:val="18"/>
                      <w:szCs w:val="18"/>
                    </w:rPr>
                    <w:t>、《中共吉林省委 吉林省人民政府关于深入打好污染防治攻坚战的实施意见》（2021.12.31）（节选）</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162" w:type="dxa"/>
                  <w:tcBorders>
                    <w:tl2br w:val="nil"/>
                    <w:tr2bl w:val="nil"/>
                  </w:tcBorders>
                  <w:vAlign w:val="center"/>
                </w:tcPr>
                <w:p>
                  <w:pPr>
                    <w:adjustRightInd w:val="0"/>
                    <w:snapToGrid w:val="0"/>
                    <w:jc w:val="center"/>
                    <w:rPr>
                      <w:sz w:val="18"/>
                      <w:szCs w:val="18"/>
                    </w:rPr>
                  </w:pPr>
                  <w:r>
                    <w:rPr>
                      <w:sz w:val="18"/>
                      <w:szCs w:val="18"/>
                    </w:rPr>
                    <w:t>第十五条</w:t>
                  </w:r>
                </w:p>
              </w:tc>
              <w:tc>
                <w:tcPr>
                  <w:tcW w:w="7727" w:type="dxa"/>
                  <w:tcBorders>
                    <w:tl2br w:val="nil"/>
                    <w:tr2bl w:val="nil"/>
                  </w:tcBorders>
                  <w:vAlign w:val="center"/>
                </w:tcPr>
                <w:p>
                  <w:pPr>
                    <w:adjustRightInd w:val="0"/>
                    <w:snapToGrid w:val="0"/>
                    <w:jc w:val="left"/>
                    <w:rPr>
                      <w:sz w:val="18"/>
                      <w:szCs w:val="18"/>
                    </w:rPr>
                  </w:pPr>
                  <w:r>
                    <w:rPr>
                      <w:sz w:val="18"/>
                      <w:szCs w:val="18"/>
                    </w:rPr>
                    <w:t>大力推动煤炭清洁高效利用，积极稳妥实施散煤治理，建立完善散煤监管体系，合理划定禁止散烧区域，有序推进散煤替代，逐步削减小型燃煤锅炉、民用散煤用煤量。严控新建燃煤锅炉，县级及以上城市建成区原则上不再新建每小时35蒸吨以下燃煤锅炉。按照国家要求，逐步推进小锅炉淘汰工作。推动65蒸吨及以上燃煤锅炉（含电力）实施超低排放改造。加大燃煤锅炉达标排放监管力度，充分利用自动监控、监督性监测、随机抽查等手段强化监管，严格依法查处超标排放行为。强化煤炭质量监管，严厉打击劣质煤炭进入市场流通。</w:t>
                  </w:r>
                </w:p>
              </w:tc>
              <w:tc>
                <w:tcPr>
                  <w:tcW w:w="3753" w:type="dxa"/>
                  <w:tcBorders>
                    <w:tl2br w:val="nil"/>
                    <w:tr2bl w:val="nil"/>
                  </w:tcBorders>
                  <w:vAlign w:val="center"/>
                </w:tcPr>
                <w:p>
                  <w:pPr>
                    <w:adjustRightInd w:val="0"/>
                    <w:snapToGrid w:val="0"/>
                    <w:jc w:val="left"/>
                    <w:rPr>
                      <w:sz w:val="18"/>
                      <w:szCs w:val="18"/>
                    </w:rPr>
                  </w:pPr>
                  <w:r>
                    <w:rPr>
                      <w:sz w:val="18"/>
                      <w:szCs w:val="18"/>
                    </w:rPr>
                    <w:t>项目建成后，生产热源源自一台额定热功率1600kW的有机热载体液相炉（导热油炉），折合约2.29蒸吨/小时（按0.7MW=1蒸吨换算），燃料为生物质颗粒，不使用煤炭。</w:t>
                  </w:r>
                </w:p>
              </w:tc>
              <w:tc>
                <w:tcPr>
                  <w:tcW w:w="794" w:type="dxa"/>
                  <w:tcBorders>
                    <w:tl2br w:val="nil"/>
                    <w:tr2bl w:val="nil"/>
                  </w:tcBorders>
                  <w:vAlign w:val="center"/>
                </w:tcPr>
                <w:p>
                  <w:pPr>
                    <w:adjustRightInd w:val="0"/>
                    <w:snapToGrid w:val="0"/>
                    <w:jc w:val="center"/>
                    <w:rPr>
                      <w:sz w:val="18"/>
                      <w:szCs w:val="18"/>
                    </w:rPr>
                  </w:pPr>
                  <w:r>
                    <w:rPr>
                      <w:sz w:val="18"/>
                      <w:szCs w:val="18"/>
                    </w:rPr>
                    <w:t>符合</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162" w:type="dxa"/>
                  <w:tcBorders>
                    <w:tl2br w:val="nil"/>
                    <w:tr2bl w:val="nil"/>
                  </w:tcBorders>
                  <w:vAlign w:val="center"/>
                </w:tcPr>
                <w:p>
                  <w:pPr>
                    <w:adjustRightInd w:val="0"/>
                    <w:snapToGrid w:val="0"/>
                    <w:jc w:val="center"/>
                    <w:rPr>
                      <w:sz w:val="18"/>
                      <w:szCs w:val="18"/>
                    </w:rPr>
                  </w:pPr>
                  <w:r>
                    <w:rPr>
                      <w:sz w:val="18"/>
                      <w:szCs w:val="18"/>
                    </w:rPr>
                    <w:t>第十六条</w:t>
                  </w:r>
                </w:p>
              </w:tc>
              <w:tc>
                <w:tcPr>
                  <w:tcW w:w="7727" w:type="dxa"/>
                  <w:tcBorders>
                    <w:tl2br w:val="nil"/>
                    <w:tr2bl w:val="nil"/>
                  </w:tcBorders>
                  <w:vAlign w:val="center"/>
                </w:tcPr>
                <w:p>
                  <w:pPr>
                    <w:adjustRightInd w:val="0"/>
                    <w:snapToGrid w:val="0"/>
                    <w:jc w:val="left"/>
                    <w:rPr>
                      <w:sz w:val="18"/>
                      <w:szCs w:val="18"/>
                    </w:rPr>
                  </w:pPr>
                  <w:r>
                    <w:rPr>
                      <w:sz w:val="18"/>
                      <w:szCs w:val="18"/>
                    </w:rPr>
                    <w:t>强化施工、道路、堆场、裸露地面等扬尘管控，加强城市保洁和清扫。实施建筑施工标准化管理，建立建筑工地项目清单和台账，将扬尘治理费用列入工程造价，加大监管力度。加强建筑渣土运输管理，严格落实密闭运输，依法打击不按规定路线行驶、渣土抛撒滴漏以及车轮带泥行驶、随意倾倒等违法行为。持续提高城市道路机械化清扫覆盖面积。深化消耗臭氧层物质和氢氟碳化物环境管理。加强餐饮油烟、恶臭异味治理，严查露天烧烤、焚烧垃圾、烧纸祭祀、违法燃放烟花爆竹等行为。</w:t>
                  </w:r>
                </w:p>
              </w:tc>
              <w:tc>
                <w:tcPr>
                  <w:tcW w:w="3753" w:type="dxa"/>
                  <w:tcBorders>
                    <w:tl2br w:val="nil"/>
                    <w:tr2bl w:val="nil"/>
                  </w:tcBorders>
                  <w:vAlign w:val="center"/>
                </w:tcPr>
                <w:p>
                  <w:pPr>
                    <w:adjustRightInd w:val="0"/>
                    <w:snapToGrid w:val="0"/>
                    <w:jc w:val="left"/>
                    <w:rPr>
                      <w:sz w:val="18"/>
                      <w:szCs w:val="18"/>
                    </w:rPr>
                  </w:pPr>
                  <w:r>
                    <w:rPr>
                      <w:sz w:val="18"/>
                      <w:szCs w:val="18"/>
                    </w:rPr>
                    <w:t>企业加强文明施工管理，采取封闭作业、封闭运行、净车上路、喷洒抑等措施，控制粉尘和建筑扬尘。</w:t>
                  </w:r>
                </w:p>
              </w:tc>
              <w:tc>
                <w:tcPr>
                  <w:tcW w:w="794" w:type="dxa"/>
                  <w:tcBorders>
                    <w:tl2br w:val="nil"/>
                    <w:tr2bl w:val="nil"/>
                  </w:tcBorders>
                  <w:vAlign w:val="center"/>
                </w:tcPr>
                <w:p>
                  <w:pPr>
                    <w:adjustRightInd w:val="0"/>
                    <w:snapToGrid w:val="0"/>
                    <w:jc w:val="center"/>
                    <w:rPr>
                      <w:sz w:val="18"/>
                      <w:szCs w:val="18"/>
                    </w:rPr>
                  </w:pPr>
                  <w:r>
                    <w:rPr>
                      <w:sz w:val="18"/>
                      <w:szCs w:val="18"/>
                    </w:rPr>
                    <w:t>符合</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3436" w:type="dxa"/>
                  <w:gridSpan w:val="4"/>
                  <w:tcBorders>
                    <w:tl2br w:val="nil"/>
                    <w:tr2bl w:val="nil"/>
                  </w:tcBorders>
                  <w:vAlign w:val="center"/>
                </w:tcPr>
                <w:p>
                  <w:pPr>
                    <w:adjustRightInd w:val="0"/>
                    <w:snapToGrid w:val="0"/>
                    <w:rPr>
                      <w:sz w:val="18"/>
                      <w:szCs w:val="18"/>
                    </w:rPr>
                  </w:pPr>
                  <w:r>
                    <w:rPr>
                      <w:rFonts w:hint="eastAsia"/>
                      <w:b/>
                      <w:bCs/>
                      <w:sz w:val="18"/>
                      <w:szCs w:val="18"/>
                    </w:rPr>
                    <w:t>6</w:t>
                  </w:r>
                  <w:r>
                    <w:rPr>
                      <w:b/>
                      <w:bCs/>
                      <w:sz w:val="18"/>
                      <w:szCs w:val="18"/>
                    </w:rPr>
                    <w:t>、《空气质量持续改善行动计划》（国发【2023】24号）（节选）</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162" w:type="dxa"/>
                  <w:tcBorders>
                    <w:tl2br w:val="nil"/>
                    <w:tr2bl w:val="nil"/>
                  </w:tcBorders>
                  <w:vAlign w:val="center"/>
                </w:tcPr>
                <w:p>
                  <w:pPr>
                    <w:adjustRightInd w:val="0"/>
                    <w:snapToGrid w:val="0"/>
                    <w:jc w:val="center"/>
                    <w:rPr>
                      <w:sz w:val="18"/>
                      <w:szCs w:val="18"/>
                    </w:rPr>
                  </w:pPr>
                  <w:r>
                    <w:rPr>
                      <w:sz w:val="18"/>
                      <w:szCs w:val="18"/>
                    </w:rPr>
                    <w:t>第四条</w:t>
                  </w:r>
                </w:p>
              </w:tc>
              <w:tc>
                <w:tcPr>
                  <w:tcW w:w="7727" w:type="dxa"/>
                  <w:tcBorders>
                    <w:tl2br w:val="nil"/>
                    <w:tr2bl w:val="nil"/>
                  </w:tcBorders>
                  <w:vAlign w:val="center"/>
                </w:tcPr>
                <w:p>
                  <w:pPr>
                    <w:adjustRightInd w:val="0"/>
                    <w:snapToGrid w:val="0"/>
                    <w:jc w:val="left"/>
                    <w:rPr>
                      <w:sz w:val="18"/>
                      <w:szCs w:val="18"/>
                    </w:rPr>
                  </w:pPr>
                  <w:r>
                    <w:rPr>
                      <w:sz w:val="18"/>
                      <w:szCs w:val="18"/>
                    </w:rPr>
                    <w:t>坚决遏制高耗能、高排放、低水平项目盲目上马。新改扩建项目严格落实国家产业规划、产业政策、生态环境分区管控方案、规划环评、项目环评、节能审查、产能置换、重点污染物总量控制、污染物排放区域削减、碳排放达峰目标等相关要求，原则上采用清洁运输方式。涉及产能置换的项目，被置换产能及其配套设施关停后，新建项目方可投产。</w:t>
                  </w:r>
                </w:p>
                <w:p>
                  <w:pPr>
                    <w:adjustRightInd w:val="0"/>
                    <w:snapToGrid w:val="0"/>
                    <w:jc w:val="left"/>
                    <w:rPr>
                      <w:sz w:val="18"/>
                      <w:szCs w:val="18"/>
                    </w:rPr>
                  </w:pPr>
                  <w:r>
                    <w:rPr>
                      <w:sz w:val="18"/>
                      <w:szCs w:val="18"/>
                    </w:rPr>
                    <w:t>严禁新增钢铁产能。推行钢铁、焦化、烧结一体化布局，大幅减少独立焦化、烧结、球团和热轧企业及工序，淘汰落后煤炭洗选产能；有序引导高炉—转炉长流程炼钢转型为电炉短流程炼钢。到2025年，短流程炼钢产量占比达15%。京津冀及周边地区继续实施“以钢定焦”，炼焦产能与长流程炼钢产能比控制在0.4左右。</w:t>
                  </w:r>
                </w:p>
              </w:tc>
              <w:tc>
                <w:tcPr>
                  <w:tcW w:w="3753" w:type="dxa"/>
                  <w:tcBorders>
                    <w:tl2br w:val="nil"/>
                    <w:tr2bl w:val="nil"/>
                  </w:tcBorders>
                  <w:vAlign w:val="center"/>
                </w:tcPr>
                <w:p>
                  <w:pPr>
                    <w:adjustRightInd w:val="0"/>
                    <w:snapToGrid w:val="0"/>
                    <w:jc w:val="left"/>
                    <w:rPr>
                      <w:sz w:val="18"/>
                      <w:szCs w:val="18"/>
                    </w:rPr>
                  </w:pPr>
                  <w:r>
                    <w:rPr>
                      <w:sz w:val="18"/>
                      <w:szCs w:val="18"/>
                    </w:rPr>
                    <w:t>项目建成后，生产热源源自一台额定热功率1600kW的有机热载体液相炉（导热油炉），折合约2.29蒸吨/小时（按0.7MW=1蒸吨换算），燃料为生物质颗粒，不使用煤炭。项目不属于钢铁行业</w:t>
                  </w:r>
                </w:p>
              </w:tc>
              <w:tc>
                <w:tcPr>
                  <w:tcW w:w="794" w:type="dxa"/>
                  <w:tcBorders>
                    <w:tl2br w:val="nil"/>
                    <w:tr2bl w:val="nil"/>
                  </w:tcBorders>
                  <w:vAlign w:val="center"/>
                </w:tcPr>
                <w:p>
                  <w:pPr>
                    <w:adjustRightInd w:val="0"/>
                    <w:snapToGrid w:val="0"/>
                    <w:jc w:val="center"/>
                    <w:rPr>
                      <w:sz w:val="18"/>
                      <w:szCs w:val="18"/>
                    </w:rPr>
                  </w:pPr>
                  <w:r>
                    <w:rPr>
                      <w:sz w:val="18"/>
                      <w:szCs w:val="18"/>
                    </w:rPr>
                    <w:t>符合</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162" w:type="dxa"/>
                  <w:tcBorders>
                    <w:tl2br w:val="nil"/>
                    <w:tr2bl w:val="nil"/>
                  </w:tcBorders>
                  <w:vAlign w:val="center"/>
                </w:tcPr>
                <w:p>
                  <w:pPr>
                    <w:adjustRightInd w:val="0"/>
                    <w:snapToGrid w:val="0"/>
                    <w:jc w:val="center"/>
                    <w:rPr>
                      <w:sz w:val="18"/>
                      <w:szCs w:val="18"/>
                    </w:rPr>
                  </w:pPr>
                  <w:r>
                    <w:rPr>
                      <w:sz w:val="18"/>
                      <w:szCs w:val="18"/>
                    </w:rPr>
                    <w:t>第十条</w:t>
                  </w:r>
                </w:p>
              </w:tc>
              <w:tc>
                <w:tcPr>
                  <w:tcW w:w="7727" w:type="dxa"/>
                  <w:tcBorders>
                    <w:tl2br w:val="nil"/>
                    <w:tr2bl w:val="nil"/>
                  </w:tcBorders>
                  <w:vAlign w:val="center"/>
                </w:tcPr>
                <w:p>
                  <w:pPr>
                    <w:adjustRightInd w:val="0"/>
                    <w:snapToGrid w:val="0"/>
                    <w:jc w:val="left"/>
                    <w:rPr>
                      <w:sz w:val="18"/>
                      <w:szCs w:val="18"/>
                    </w:rPr>
                  </w:pPr>
                  <w:r>
                    <w:rPr>
                      <w:sz w:val="18"/>
                      <w:szCs w:val="18"/>
                    </w:rPr>
                    <w:t>严格合理控制煤炭消费总量。在保障能源安全供应的前提下，重点区域继续实施煤炭消费总量控制。到2025年，京津冀及周边地区、长三角地区煤炭消费量较2020年分别下降10%和5%左右，汾渭平原煤炭消费量实现负增长，重点削减非电力用煤。重点区域新改扩建用煤项目，依法实行煤炭等量或减量替代，替代方案不完善的不予审批；不得将使用石油焦、焦炭、兰炭等高污染燃料作为煤炭减量替代措施。完善重点区域煤炭消费减量替代管理办法，煤矸石、原料用煤不纳入煤炭消费总量考核。原则上不再新增自备燃煤机组，支持自备燃煤机组实施清洁能源替代。对支撑电力稳定供应、电网安全运行、清洁能源大规模并网消纳的煤电项目及其用煤量应予以合理保障。</w:t>
                  </w:r>
                </w:p>
              </w:tc>
              <w:tc>
                <w:tcPr>
                  <w:tcW w:w="3753" w:type="dxa"/>
                  <w:tcBorders>
                    <w:tl2br w:val="nil"/>
                    <w:tr2bl w:val="nil"/>
                  </w:tcBorders>
                  <w:vAlign w:val="center"/>
                </w:tcPr>
                <w:p>
                  <w:pPr>
                    <w:adjustRightInd w:val="0"/>
                    <w:snapToGrid w:val="0"/>
                    <w:jc w:val="left"/>
                    <w:rPr>
                      <w:sz w:val="18"/>
                      <w:szCs w:val="18"/>
                    </w:rPr>
                  </w:pPr>
                  <w:r>
                    <w:rPr>
                      <w:sz w:val="18"/>
                      <w:szCs w:val="18"/>
                    </w:rPr>
                    <w:t>项目建成后，生产热源源自一台额定热功率1600kW的有机热载体液相炉（导热油炉），折合约2.29蒸吨/小时（按0.7MW=1蒸吨换算），燃料为生物质颗粒，不使用煤炭。</w:t>
                  </w:r>
                </w:p>
              </w:tc>
              <w:tc>
                <w:tcPr>
                  <w:tcW w:w="794" w:type="dxa"/>
                  <w:tcBorders>
                    <w:tl2br w:val="nil"/>
                    <w:tr2bl w:val="nil"/>
                  </w:tcBorders>
                  <w:vAlign w:val="center"/>
                </w:tcPr>
                <w:p>
                  <w:pPr>
                    <w:adjustRightInd w:val="0"/>
                    <w:snapToGrid w:val="0"/>
                    <w:jc w:val="center"/>
                    <w:rPr>
                      <w:sz w:val="18"/>
                      <w:szCs w:val="18"/>
                    </w:rPr>
                  </w:pPr>
                  <w:r>
                    <w:rPr>
                      <w:sz w:val="18"/>
                      <w:szCs w:val="18"/>
                    </w:rPr>
                    <w:t>符合</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162" w:type="dxa"/>
                  <w:tcBorders>
                    <w:tl2br w:val="nil"/>
                    <w:tr2bl w:val="nil"/>
                  </w:tcBorders>
                  <w:vAlign w:val="center"/>
                </w:tcPr>
                <w:p>
                  <w:pPr>
                    <w:adjustRightInd w:val="0"/>
                    <w:snapToGrid w:val="0"/>
                    <w:jc w:val="center"/>
                    <w:rPr>
                      <w:sz w:val="18"/>
                      <w:szCs w:val="18"/>
                    </w:rPr>
                  </w:pPr>
                  <w:r>
                    <w:rPr>
                      <w:sz w:val="18"/>
                      <w:szCs w:val="18"/>
                    </w:rPr>
                    <w:t>第十一条</w:t>
                  </w:r>
                </w:p>
              </w:tc>
              <w:tc>
                <w:tcPr>
                  <w:tcW w:w="7727" w:type="dxa"/>
                  <w:tcBorders>
                    <w:tl2br w:val="nil"/>
                    <w:tr2bl w:val="nil"/>
                  </w:tcBorders>
                  <w:vAlign w:val="center"/>
                </w:tcPr>
                <w:p>
                  <w:pPr>
                    <w:adjustRightInd w:val="0"/>
                    <w:snapToGrid w:val="0"/>
                    <w:jc w:val="left"/>
                    <w:rPr>
                      <w:sz w:val="18"/>
                      <w:szCs w:val="18"/>
                    </w:rPr>
                  </w:pPr>
                  <w:r>
                    <w:rPr>
                      <w:sz w:val="18"/>
                      <w:szCs w:val="18"/>
                    </w:rPr>
                    <w:t>积极开展燃煤锅炉关停整合。各地要将燃煤供热锅炉替代项目纳入城镇供热规划。县级及以上城市建成区原则上不再新建35蒸吨/小时及以下燃煤锅炉，重点区域原则上不再新建除集中供暖外的燃煤锅炉。加快热力管网建设，依托电厂、大型工业企业开展远距离供热示范，淘汰管网覆盖范围内的燃煤锅炉和散煤。到2025年，PM</w:t>
                  </w:r>
                  <w:r>
                    <w:rPr>
                      <w:sz w:val="18"/>
                      <w:szCs w:val="18"/>
                      <w:vertAlign w:val="subscript"/>
                    </w:rPr>
                    <w:t>2.5</w:t>
                  </w:r>
                  <w:r>
                    <w:rPr>
                      <w:sz w:val="18"/>
                      <w:szCs w:val="18"/>
                    </w:rPr>
                    <w:t>未达标城市基本淘汰10蒸吨/小时及以下燃煤锅炉；重点区域基本淘汰35蒸吨/小时及以下燃煤锅炉及茶水炉、经营性炉灶、储粮烘干设备、农产品加工等燃煤设施，充分发挥30万千瓦及以上热电联产电厂的供热能力，对其供热半径30公里范围内的燃煤锅炉和落后燃煤小热电机组（含自备电厂）进行关停或整合。</w:t>
                  </w:r>
                </w:p>
              </w:tc>
              <w:tc>
                <w:tcPr>
                  <w:tcW w:w="3753" w:type="dxa"/>
                  <w:tcBorders>
                    <w:tl2br w:val="nil"/>
                    <w:tr2bl w:val="nil"/>
                  </w:tcBorders>
                  <w:vAlign w:val="center"/>
                </w:tcPr>
                <w:p>
                  <w:pPr>
                    <w:adjustRightInd w:val="0"/>
                    <w:snapToGrid w:val="0"/>
                    <w:jc w:val="left"/>
                    <w:rPr>
                      <w:sz w:val="18"/>
                      <w:szCs w:val="18"/>
                    </w:rPr>
                  </w:pPr>
                  <w:r>
                    <w:rPr>
                      <w:sz w:val="18"/>
                      <w:szCs w:val="18"/>
                    </w:rPr>
                    <w:t>项目建成后，生产热源源自一台额定热功率1600kW的有机热载体液相炉（导热油炉），折合约2.29蒸吨/小时（按0.7MW=1蒸吨换算），燃料为生物质颗粒，不使用煤炭。</w:t>
                  </w:r>
                </w:p>
              </w:tc>
              <w:tc>
                <w:tcPr>
                  <w:tcW w:w="794" w:type="dxa"/>
                  <w:tcBorders>
                    <w:tl2br w:val="nil"/>
                    <w:tr2bl w:val="nil"/>
                  </w:tcBorders>
                  <w:vAlign w:val="center"/>
                </w:tcPr>
                <w:p>
                  <w:pPr>
                    <w:adjustRightInd w:val="0"/>
                    <w:snapToGrid w:val="0"/>
                    <w:jc w:val="center"/>
                    <w:rPr>
                      <w:sz w:val="18"/>
                      <w:szCs w:val="18"/>
                    </w:rPr>
                  </w:pPr>
                  <w:r>
                    <w:rPr>
                      <w:sz w:val="18"/>
                      <w:szCs w:val="18"/>
                    </w:rPr>
                    <w:t>符合</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162" w:type="dxa"/>
                  <w:tcBorders>
                    <w:tl2br w:val="nil"/>
                    <w:tr2bl w:val="nil"/>
                  </w:tcBorders>
                  <w:vAlign w:val="center"/>
                </w:tcPr>
                <w:p>
                  <w:pPr>
                    <w:adjustRightInd w:val="0"/>
                    <w:snapToGrid w:val="0"/>
                    <w:jc w:val="center"/>
                    <w:rPr>
                      <w:sz w:val="18"/>
                      <w:szCs w:val="18"/>
                    </w:rPr>
                  </w:pPr>
                  <w:r>
                    <w:rPr>
                      <w:sz w:val="18"/>
                      <w:szCs w:val="18"/>
                    </w:rPr>
                    <w:t>第十三条</w:t>
                  </w:r>
                </w:p>
              </w:tc>
              <w:tc>
                <w:tcPr>
                  <w:tcW w:w="7727" w:type="dxa"/>
                  <w:tcBorders>
                    <w:tl2br w:val="nil"/>
                    <w:tr2bl w:val="nil"/>
                  </w:tcBorders>
                  <w:vAlign w:val="center"/>
                </w:tcPr>
                <w:p>
                  <w:pPr>
                    <w:adjustRightInd w:val="0"/>
                    <w:snapToGrid w:val="0"/>
                    <w:jc w:val="left"/>
                    <w:rPr>
                      <w:sz w:val="18"/>
                      <w:szCs w:val="18"/>
                    </w:rPr>
                  </w:pPr>
                  <w:r>
                    <w:rPr>
                      <w:sz w:val="18"/>
                      <w:szCs w:val="18"/>
                    </w:rPr>
                    <w:t>持续推进北方地区清洁取暖。因地制宜成片推进北方地区清洁取暖，确保群众温暖过冬。加大民用、农用散煤替代力度，重点区域平原地区散煤基本清零，逐步推进山区散煤清洁能源替代。纳入中央财政支持北方地区清洁取暖范围的城市，保质保量完成改造任务，其中“煤改气”要落实气源、以供定改。全面提升建筑能效水平，加快既有农房节能改造。各地依法将整体完成清洁取暖改造的地区划定为高污染燃料禁燃区，防止散煤复烧。对暂未实施清洁取暖的地区，强化商品煤质量监管。</w:t>
                  </w:r>
                </w:p>
              </w:tc>
              <w:tc>
                <w:tcPr>
                  <w:tcW w:w="3753" w:type="dxa"/>
                  <w:tcBorders>
                    <w:tl2br w:val="nil"/>
                    <w:tr2bl w:val="nil"/>
                  </w:tcBorders>
                  <w:vAlign w:val="center"/>
                </w:tcPr>
                <w:p>
                  <w:pPr>
                    <w:adjustRightInd w:val="0"/>
                    <w:snapToGrid w:val="0"/>
                    <w:jc w:val="left"/>
                    <w:rPr>
                      <w:sz w:val="18"/>
                      <w:szCs w:val="18"/>
                    </w:rPr>
                  </w:pPr>
                  <w:r>
                    <w:rPr>
                      <w:sz w:val="18"/>
                      <w:szCs w:val="18"/>
                    </w:rPr>
                    <w:t>项目建成后，生产热源源自一台额定热功率1600kW的有机热载体液相炉（导热油炉），折合约2.29蒸吨/小时（按0.7MW=1蒸吨换算），燃料为生物质颗粒，不使用煤炭。</w:t>
                  </w:r>
                </w:p>
              </w:tc>
              <w:tc>
                <w:tcPr>
                  <w:tcW w:w="794" w:type="dxa"/>
                  <w:tcBorders>
                    <w:tl2br w:val="nil"/>
                    <w:tr2bl w:val="nil"/>
                  </w:tcBorders>
                  <w:vAlign w:val="center"/>
                </w:tcPr>
                <w:p>
                  <w:pPr>
                    <w:adjustRightInd w:val="0"/>
                    <w:snapToGrid w:val="0"/>
                    <w:jc w:val="center"/>
                    <w:rPr>
                      <w:sz w:val="18"/>
                      <w:szCs w:val="18"/>
                    </w:rPr>
                  </w:pPr>
                  <w:r>
                    <w:rPr>
                      <w:sz w:val="18"/>
                      <w:szCs w:val="18"/>
                    </w:rPr>
                    <w:t>符合</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3436" w:type="dxa"/>
                  <w:gridSpan w:val="4"/>
                  <w:tcBorders>
                    <w:tl2br w:val="nil"/>
                    <w:tr2bl w:val="nil"/>
                  </w:tcBorders>
                  <w:vAlign w:val="center"/>
                </w:tcPr>
                <w:p>
                  <w:pPr>
                    <w:adjustRightInd w:val="0"/>
                    <w:snapToGrid w:val="0"/>
                    <w:rPr>
                      <w:sz w:val="18"/>
                      <w:szCs w:val="18"/>
                    </w:rPr>
                  </w:pPr>
                  <w:r>
                    <w:rPr>
                      <w:rFonts w:hint="eastAsia"/>
                      <w:b/>
                      <w:bCs/>
                      <w:sz w:val="18"/>
                      <w:szCs w:val="18"/>
                    </w:rPr>
                    <w:t>7</w:t>
                  </w:r>
                  <w:r>
                    <w:rPr>
                      <w:b/>
                      <w:bCs/>
                      <w:sz w:val="18"/>
                      <w:szCs w:val="18"/>
                    </w:rPr>
                    <w:t>、《吉林省落实〈空气质量持续改善行动计划〉实施方案》（吉政发【2024】8号）（节选）</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162" w:type="dxa"/>
                  <w:tcBorders>
                    <w:tl2br w:val="nil"/>
                    <w:tr2bl w:val="nil"/>
                  </w:tcBorders>
                  <w:vAlign w:val="center"/>
                </w:tcPr>
                <w:p>
                  <w:pPr>
                    <w:adjustRightInd w:val="0"/>
                    <w:snapToGrid w:val="0"/>
                    <w:jc w:val="center"/>
                    <w:rPr>
                      <w:sz w:val="18"/>
                      <w:szCs w:val="18"/>
                    </w:rPr>
                  </w:pPr>
                  <w:r>
                    <w:rPr>
                      <w:sz w:val="18"/>
                      <w:szCs w:val="18"/>
                    </w:rPr>
                    <w:t>第一条</w:t>
                  </w:r>
                </w:p>
              </w:tc>
              <w:tc>
                <w:tcPr>
                  <w:tcW w:w="7727" w:type="dxa"/>
                  <w:tcBorders>
                    <w:tl2br w:val="nil"/>
                    <w:tr2bl w:val="nil"/>
                  </w:tcBorders>
                  <w:vAlign w:val="center"/>
                </w:tcPr>
                <w:p>
                  <w:pPr>
                    <w:adjustRightInd w:val="0"/>
                    <w:snapToGrid w:val="0"/>
                    <w:jc w:val="left"/>
                    <w:rPr>
                      <w:sz w:val="18"/>
                      <w:szCs w:val="18"/>
                    </w:rPr>
                  </w:pPr>
                  <w:r>
                    <w:rPr>
                      <w:sz w:val="18"/>
                      <w:szCs w:val="18"/>
                    </w:rPr>
                    <w:t>严格新建项目准入。新改扩建项目必须符合国家产业发展规划、政策，以及生态环境保护、产能置换等相关项目准入条件，严格执行相关目标控制要求，坚决遏制盲目上新“两高一低”项目。</w:t>
                  </w:r>
                </w:p>
              </w:tc>
              <w:tc>
                <w:tcPr>
                  <w:tcW w:w="3753" w:type="dxa"/>
                  <w:tcBorders>
                    <w:tl2br w:val="nil"/>
                    <w:tr2bl w:val="nil"/>
                  </w:tcBorders>
                  <w:vAlign w:val="center"/>
                </w:tcPr>
                <w:p>
                  <w:pPr>
                    <w:adjustRightInd w:val="0"/>
                    <w:snapToGrid w:val="0"/>
                    <w:jc w:val="left"/>
                    <w:rPr>
                      <w:sz w:val="18"/>
                      <w:szCs w:val="18"/>
                    </w:rPr>
                  </w:pPr>
                  <w:r>
                    <w:rPr>
                      <w:sz w:val="18"/>
                      <w:szCs w:val="18"/>
                    </w:rPr>
                    <w:t>项目建成后，符合相关准入条件，项目不属于“两高一低”项目</w:t>
                  </w:r>
                </w:p>
              </w:tc>
              <w:tc>
                <w:tcPr>
                  <w:tcW w:w="794" w:type="dxa"/>
                  <w:tcBorders>
                    <w:tl2br w:val="nil"/>
                    <w:tr2bl w:val="nil"/>
                  </w:tcBorders>
                  <w:vAlign w:val="center"/>
                </w:tcPr>
                <w:p>
                  <w:pPr>
                    <w:adjustRightInd w:val="0"/>
                    <w:snapToGrid w:val="0"/>
                    <w:jc w:val="center"/>
                    <w:rPr>
                      <w:sz w:val="18"/>
                      <w:szCs w:val="18"/>
                    </w:rPr>
                  </w:pPr>
                  <w:r>
                    <w:rPr>
                      <w:sz w:val="18"/>
                      <w:szCs w:val="18"/>
                    </w:rPr>
                    <w:t>符合</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162" w:type="dxa"/>
                  <w:tcBorders>
                    <w:tl2br w:val="nil"/>
                    <w:tr2bl w:val="nil"/>
                  </w:tcBorders>
                  <w:vAlign w:val="center"/>
                </w:tcPr>
                <w:p>
                  <w:pPr>
                    <w:adjustRightInd w:val="0"/>
                    <w:snapToGrid w:val="0"/>
                    <w:jc w:val="center"/>
                    <w:rPr>
                      <w:sz w:val="18"/>
                      <w:szCs w:val="18"/>
                    </w:rPr>
                  </w:pPr>
                  <w:r>
                    <w:rPr>
                      <w:sz w:val="18"/>
                      <w:szCs w:val="18"/>
                    </w:rPr>
                    <w:t>第七条</w:t>
                  </w:r>
                </w:p>
              </w:tc>
              <w:tc>
                <w:tcPr>
                  <w:tcW w:w="7727" w:type="dxa"/>
                  <w:tcBorders>
                    <w:tl2br w:val="nil"/>
                    <w:tr2bl w:val="nil"/>
                  </w:tcBorders>
                  <w:vAlign w:val="center"/>
                </w:tcPr>
                <w:p>
                  <w:pPr>
                    <w:adjustRightInd w:val="0"/>
                    <w:snapToGrid w:val="0"/>
                    <w:jc w:val="left"/>
                    <w:rPr>
                      <w:sz w:val="18"/>
                      <w:szCs w:val="18"/>
                    </w:rPr>
                  </w:pPr>
                  <w:r>
                    <w:rPr>
                      <w:sz w:val="18"/>
                      <w:szCs w:val="18"/>
                    </w:rPr>
                    <w:t>严格合理控制煤炭消费总量。实行煤炭消费总量控制目标管理，严控煤炭消费增长。推动煤炭清洁高效利用，严把环境准入关，原则上不再新增自备燃煤机组，鼓励支撑电源项目建设，支持自备燃煤机组实施清洁能源替代。对支撑电力稳定供应、电网安全运行、清洁能源大规模并网消纳的煤电项目及其用煤量应予以合理保障。</w:t>
                  </w:r>
                </w:p>
              </w:tc>
              <w:tc>
                <w:tcPr>
                  <w:tcW w:w="3753" w:type="dxa"/>
                  <w:tcBorders>
                    <w:tl2br w:val="nil"/>
                    <w:tr2bl w:val="nil"/>
                  </w:tcBorders>
                  <w:vAlign w:val="center"/>
                </w:tcPr>
                <w:p>
                  <w:pPr>
                    <w:adjustRightInd w:val="0"/>
                    <w:snapToGrid w:val="0"/>
                    <w:jc w:val="left"/>
                    <w:rPr>
                      <w:sz w:val="18"/>
                      <w:szCs w:val="18"/>
                    </w:rPr>
                  </w:pPr>
                  <w:r>
                    <w:rPr>
                      <w:sz w:val="18"/>
                      <w:szCs w:val="18"/>
                    </w:rPr>
                    <w:t>项目建成后，生产热源源自一台额定热功率1600kW的有机热载体液相炉（导热油炉），折合约2.29蒸吨/小时（按0.7MW=1蒸吨换算），燃料为生物质颗粒，不使用煤炭。</w:t>
                  </w:r>
                </w:p>
              </w:tc>
              <w:tc>
                <w:tcPr>
                  <w:tcW w:w="794" w:type="dxa"/>
                  <w:tcBorders>
                    <w:tl2br w:val="nil"/>
                    <w:tr2bl w:val="nil"/>
                  </w:tcBorders>
                  <w:vAlign w:val="center"/>
                </w:tcPr>
                <w:p>
                  <w:pPr>
                    <w:adjustRightInd w:val="0"/>
                    <w:snapToGrid w:val="0"/>
                    <w:jc w:val="center"/>
                    <w:rPr>
                      <w:sz w:val="18"/>
                      <w:szCs w:val="18"/>
                    </w:rPr>
                  </w:pPr>
                  <w:r>
                    <w:rPr>
                      <w:sz w:val="18"/>
                      <w:szCs w:val="18"/>
                    </w:rPr>
                    <w:t>符合</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162" w:type="dxa"/>
                  <w:tcBorders>
                    <w:tl2br w:val="nil"/>
                    <w:tr2bl w:val="nil"/>
                  </w:tcBorders>
                  <w:vAlign w:val="center"/>
                </w:tcPr>
                <w:p>
                  <w:pPr>
                    <w:adjustRightInd w:val="0"/>
                    <w:snapToGrid w:val="0"/>
                    <w:jc w:val="center"/>
                    <w:rPr>
                      <w:sz w:val="18"/>
                      <w:szCs w:val="18"/>
                    </w:rPr>
                  </w:pPr>
                  <w:r>
                    <w:rPr>
                      <w:sz w:val="18"/>
                      <w:szCs w:val="18"/>
                    </w:rPr>
                    <w:t>第八条</w:t>
                  </w:r>
                </w:p>
              </w:tc>
              <w:tc>
                <w:tcPr>
                  <w:tcW w:w="7727" w:type="dxa"/>
                  <w:tcBorders>
                    <w:tl2br w:val="nil"/>
                    <w:tr2bl w:val="nil"/>
                  </w:tcBorders>
                  <w:vAlign w:val="center"/>
                </w:tcPr>
                <w:p>
                  <w:pPr>
                    <w:adjustRightInd w:val="0"/>
                    <w:snapToGrid w:val="0"/>
                    <w:jc w:val="left"/>
                    <w:rPr>
                      <w:sz w:val="18"/>
                      <w:szCs w:val="18"/>
                    </w:rPr>
                  </w:pPr>
                  <w:r>
                    <w:rPr>
                      <w:sz w:val="18"/>
                      <w:szCs w:val="18"/>
                    </w:rPr>
                    <w:t>积极开展燃煤锅炉关停整合。燃煤供热锅炉替代项目纳入城镇供热规划，推进热力管网建设，依托电厂、大型工业企业开展远距离供热示范，持续淘汰管网覆盖范围内的燃煤锅炉和散煤。到2025年，PM</w:t>
                  </w:r>
                  <w:r>
                    <w:rPr>
                      <w:sz w:val="18"/>
                      <w:szCs w:val="18"/>
                      <w:vertAlign w:val="subscript"/>
                    </w:rPr>
                    <w:t>2.5</w:t>
                  </w:r>
                  <w:r>
                    <w:rPr>
                      <w:sz w:val="18"/>
                      <w:szCs w:val="18"/>
                    </w:rPr>
                    <w:t>未达标城市基本淘汰10蒸吨/小时及以下燃煤锅炉。</w:t>
                  </w:r>
                </w:p>
              </w:tc>
              <w:tc>
                <w:tcPr>
                  <w:tcW w:w="3753" w:type="dxa"/>
                  <w:tcBorders>
                    <w:tl2br w:val="nil"/>
                    <w:tr2bl w:val="nil"/>
                  </w:tcBorders>
                  <w:vAlign w:val="center"/>
                </w:tcPr>
                <w:p>
                  <w:pPr>
                    <w:adjustRightInd w:val="0"/>
                    <w:snapToGrid w:val="0"/>
                    <w:jc w:val="left"/>
                    <w:rPr>
                      <w:sz w:val="18"/>
                      <w:szCs w:val="18"/>
                    </w:rPr>
                  </w:pPr>
                  <w:r>
                    <w:rPr>
                      <w:sz w:val="18"/>
                      <w:szCs w:val="18"/>
                    </w:rPr>
                    <w:t>项目建成后，生产热源源自一台额定热功率1600kW的有机热载体液相炉（导热油炉），折合约2.29蒸吨/小时（按0.7MW=1蒸吨换算），燃料为生物质颗粒，不使用煤炭。</w:t>
                  </w:r>
                </w:p>
              </w:tc>
              <w:tc>
                <w:tcPr>
                  <w:tcW w:w="794" w:type="dxa"/>
                  <w:tcBorders>
                    <w:tl2br w:val="nil"/>
                    <w:tr2bl w:val="nil"/>
                  </w:tcBorders>
                  <w:vAlign w:val="center"/>
                </w:tcPr>
                <w:p>
                  <w:pPr>
                    <w:adjustRightInd w:val="0"/>
                    <w:snapToGrid w:val="0"/>
                    <w:jc w:val="center"/>
                    <w:rPr>
                      <w:sz w:val="18"/>
                      <w:szCs w:val="18"/>
                    </w:rPr>
                  </w:pPr>
                  <w:r>
                    <w:rPr>
                      <w:sz w:val="18"/>
                      <w:szCs w:val="18"/>
                    </w:rPr>
                    <w:t>符合</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162" w:type="dxa"/>
                  <w:tcBorders>
                    <w:tl2br w:val="nil"/>
                    <w:tr2bl w:val="nil"/>
                  </w:tcBorders>
                  <w:vAlign w:val="center"/>
                </w:tcPr>
                <w:p>
                  <w:pPr>
                    <w:adjustRightInd w:val="0"/>
                    <w:snapToGrid w:val="0"/>
                    <w:jc w:val="center"/>
                    <w:rPr>
                      <w:sz w:val="18"/>
                      <w:szCs w:val="18"/>
                    </w:rPr>
                  </w:pPr>
                  <w:r>
                    <w:rPr>
                      <w:sz w:val="18"/>
                      <w:szCs w:val="18"/>
                    </w:rPr>
                    <w:t>第十条</w:t>
                  </w:r>
                </w:p>
              </w:tc>
              <w:tc>
                <w:tcPr>
                  <w:tcW w:w="7727" w:type="dxa"/>
                  <w:tcBorders>
                    <w:tl2br w:val="nil"/>
                    <w:tr2bl w:val="nil"/>
                  </w:tcBorders>
                  <w:vAlign w:val="center"/>
                </w:tcPr>
                <w:p>
                  <w:pPr>
                    <w:adjustRightInd w:val="0"/>
                    <w:snapToGrid w:val="0"/>
                    <w:jc w:val="left"/>
                    <w:rPr>
                      <w:sz w:val="18"/>
                      <w:szCs w:val="18"/>
                    </w:rPr>
                  </w:pPr>
                  <w:r>
                    <w:rPr>
                      <w:sz w:val="18"/>
                      <w:szCs w:val="18"/>
                    </w:rPr>
                    <w:t>加快推进清洁取暖建设。已列入国家北方地区冬季清洁取暖城市的地区，按照实施方案加快推进项目建设，鼓励其他城市积极申报北方地区冬季清洁取暖城市，推广秸秆打捆直燃集中供暖等适合农村的清洁取暖技术，逐步在全省推开。依法将整体完成清洁取暖改造的地区划定为高污染燃料禁燃区，强化商品煤质量监管，防止散煤复烧。</w:t>
                  </w:r>
                </w:p>
              </w:tc>
              <w:tc>
                <w:tcPr>
                  <w:tcW w:w="3753" w:type="dxa"/>
                  <w:tcBorders>
                    <w:tl2br w:val="nil"/>
                    <w:tr2bl w:val="nil"/>
                  </w:tcBorders>
                  <w:vAlign w:val="center"/>
                </w:tcPr>
                <w:p>
                  <w:pPr>
                    <w:adjustRightInd w:val="0"/>
                    <w:snapToGrid w:val="0"/>
                    <w:jc w:val="left"/>
                    <w:rPr>
                      <w:sz w:val="18"/>
                      <w:szCs w:val="18"/>
                    </w:rPr>
                  </w:pPr>
                  <w:r>
                    <w:rPr>
                      <w:sz w:val="18"/>
                      <w:szCs w:val="18"/>
                    </w:rPr>
                    <w:t>项目建成后，生产热源源自一台额定热功率1600kW的有机热载体液相炉（导热油炉），折合约2.29蒸吨/小时（按0.7MW=1蒸吨换算），燃料为生物质颗粒，不使用煤炭。</w:t>
                  </w:r>
                </w:p>
              </w:tc>
              <w:tc>
                <w:tcPr>
                  <w:tcW w:w="794" w:type="dxa"/>
                  <w:tcBorders>
                    <w:tl2br w:val="nil"/>
                    <w:tr2bl w:val="nil"/>
                  </w:tcBorders>
                  <w:vAlign w:val="center"/>
                </w:tcPr>
                <w:p>
                  <w:pPr>
                    <w:adjustRightInd w:val="0"/>
                    <w:snapToGrid w:val="0"/>
                    <w:jc w:val="center"/>
                    <w:rPr>
                      <w:sz w:val="18"/>
                      <w:szCs w:val="18"/>
                    </w:rPr>
                  </w:pPr>
                  <w:r>
                    <w:rPr>
                      <w:sz w:val="18"/>
                      <w:szCs w:val="18"/>
                    </w:rPr>
                    <w:t>符合</w:t>
                  </w:r>
                </w:p>
              </w:tc>
            </w:tr>
          </w:tbl>
          <w:p>
            <w:pPr>
              <w:jc w:val="center"/>
              <w:rPr>
                <w:b/>
                <w:bCs/>
              </w:rPr>
            </w:pPr>
            <w:r>
              <w:rPr>
                <w:b/>
                <w:bCs/>
              </w:rPr>
              <w:t>表3  本项目“生态准入”相符性分析一览表</w:t>
            </w:r>
          </w:p>
          <w:tbl>
            <w:tblPr>
              <w:tblStyle w:val="26"/>
              <w:tblW w:w="13431" w:type="dxa"/>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548"/>
              <w:gridCol w:w="785"/>
              <w:gridCol w:w="13"/>
              <w:gridCol w:w="580"/>
              <w:gridCol w:w="6299"/>
              <w:gridCol w:w="3406"/>
              <w:gridCol w:w="800"/>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2346" w:type="dxa"/>
                  <w:gridSpan w:val="3"/>
                  <w:tcBorders>
                    <w:tl2br w:val="nil"/>
                    <w:tr2bl w:val="nil"/>
                  </w:tcBorders>
                  <w:vAlign w:val="center"/>
                </w:tcPr>
                <w:p>
                  <w:pPr>
                    <w:adjustRightInd w:val="0"/>
                    <w:snapToGrid w:val="0"/>
                    <w:jc w:val="center"/>
                    <w:rPr>
                      <w:sz w:val="18"/>
                      <w:szCs w:val="18"/>
                    </w:rPr>
                  </w:pPr>
                  <w:r>
                    <w:rPr>
                      <w:sz w:val="18"/>
                      <w:szCs w:val="18"/>
                    </w:rPr>
                    <w:t>管控领域</w:t>
                  </w:r>
                </w:p>
              </w:tc>
              <w:tc>
                <w:tcPr>
                  <w:tcW w:w="6879" w:type="dxa"/>
                  <w:gridSpan w:val="2"/>
                  <w:tcBorders>
                    <w:tl2br w:val="nil"/>
                    <w:tr2bl w:val="nil"/>
                  </w:tcBorders>
                  <w:vAlign w:val="center"/>
                </w:tcPr>
                <w:p>
                  <w:pPr>
                    <w:adjustRightInd w:val="0"/>
                    <w:snapToGrid w:val="0"/>
                    <w:jc w:val="center"/>
                    <w:rPr>
                      <w:sz w:val="18"/>
                      <w:szCs w:val="18"/>
                    </w:rPr>
                  </w:pPr>
                  <w:r>
                    <w:rPr>
                      <w:sz w:val="18"/>
                      <w:szCs w:val="18"/>
                    </w:rPr>
                    <w:t>管控要求</w:t>
                  </w:r>
                </w:p>
              </w:tc>
              <w:tc>
                <w:tcPr>
                  <w:tcW w:w="3406" w:type="dxa"/>
                  <w:tcBorders>
                    <w:tl2br w:val="nil"/>
                    <w:tr2bl w:val="nil"/>
                  </w:tcBorders>
                  <w:vAlign w:val="center"/>
                </w:tcPr>
                <w:p>
                  <w:pPr>
                    <w:adjustRightInd w:val="0"/>
                    <w:snapToGrid w:val="0"/>
                    <w:jc w:val="center"/>
                    <w:rPr>
                      <w:sz w:val="18"/>
                      <w:szCs w:val="18"/>
                    </w:rPr>
                  </w:pPr>
                  <w:r>
                    <w:rPr>
                      <w:sz w:val="18"/>
                      <w:szCs w:val="18"/>
                    </w:rPr>
                    <w:t>本项目情况</w:t>
                  </w:r>
                </w:p>
              </w:tc>
              <w:tc>
                <w:tcPr>
                  <w:tcW w:w="800" w:type="dxa"/>
                  <w:tcBorders>
                    <w:tl2br w:val="nil"/>
                    <w:tr2bl w:val="nil"/>
                  </w:tcBorders>
                  <w:vAlign w:val="center"/>
                </w:tcPr>
                <w:p>
                  <w:pPr>
                    <w:adjustRightInd w:val="0"/>
                    <w:snapToGrid w:val="0"/>
                    <w:jc w:val="center"/>
                    <w:rPr>
                      <w:sz w:val="18"/>
                      <w:szCs w:val="18"/>
                    </w:rPr>
                  </w:pPr>
                  <w:r>
                    <w:rPr>
                      <w:sz w:val="18"/>
                      <w:szCs w:val="18"/>
                    </w:rPr>
                    <w:t>符合性</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548" w:type="dxa"/>
                  <w:vMerge w:val="restart"/>
                  <w:tcBorders>
                    <w:tl2br w:val="nil"/>
                    <w:tr2bl w:val="nil"/>
                  </w:tcBorders>
                  <w:vAlign w:val="center"/>
                </w:tcPr>
                <w:p>
                  <w:pPr>
                    <w:adjustRightInd w:val="0"/>
                    <w:snapToGrid w:val="0"/>
                    <w:jc w:val="center"/>
                    <w:rPr>
                      <w:sz w:val="18"/>
                      <w:szCs w:val="18"/>
                    </w:rPr>
                  </w:pPr>
                  <w:r>
                    <w:rPr>
                      <w:sz w:val="18"/>
                      <w:szCs w:val="18"/>
                    </w:rPr>
                    <w:t>吉林省总体准入</w:t>
                  </w:r>
                </w:p>
              </w:tc>
              <w:tc>
                <w:tcPr>
                  <w:tcW w:w="798" w:type="dxa"/>
                  <w:gridSpan w:val="2"/>
                  <w:vMerge w:val="restart"/>
                  <w:tcBorders>
                    <w:tl2br w:val="nil"/>
                    <w:tr2bl w:val="nil"/>
                  </w:tcBorders>
                  <w:vAlign w:val="center"/>
                </w:tcPr>
                <w:p>
                  <w:pPr>
                    <w:adjustRightInd w:val="0"/>
                    <w:snapToGrid w:val="0"/>
                    <w:jc w:val="center"/>
                    <w:rPr>
                      <w:sz w:val="18"/>
                      <w:szCs w:val="18"/>
                    </w:rPr>
                  </w:pPr>
                  <w:r>
                    <w:rPr>
                      <w:sz w:val="18"/>
                      <w:szCs w:val="18"/>
                    </w:rPr>
                    <w:t>空间布局约束</w:t>
                  </w:r>
                </w:p>
              </w:tc>
              <w:tc>
                <w:tcPr>
                  <w:tcW w:w="6879" w:type="dxa"/>
                  <w:gridSpan w:val="2"/>
                  <w:tcBorders>
                    <w:tl2br w:val="nil"/>
                    <w:tr2bl w:val="nil"/>
                  </w:tcBorders>
                  <w:vAlign w:val="center"/>
                </w:tcPr>
                <w:p>
                  <w:pPr>
                    <w:adjustRightInd w:val="0"/>
                    <w:snapToGrid w:val="0"/>
                    <w:jc w:val="left"/>
                    <w:rPr>
                      <w:sz w:val="18"/>
                      <w:szCs w:val="18"/>
                    </w:rPr>
                  </w:pPr>
                  <w:r>
                    <w:rPr>
                      <w:sz w:val="18"/>
                      <w:szCs w:val="18"/>
                    </w:rPr>
                    <w:t>禁止新建、扩建《产业结构调整指导目录》（现行）明确的淘汰类项目和引入《市场准入负面清单》（现行）禁止准入类事项，引入项目应符合园区规划、规划环境影响评价和区域产业准入负面清单要求。</w:t>
                  </w:r>
                </w:p>
                <w:p>
                  <w:pPr>
                    <w:adjustRightInd w:val="0"/>
                    <w:snapToGrid w:val="0"/>
                    <w:jc w:val="left"/>
                    <w:rPr>
                      <w:sz w:val="18"/>
                      <w:szCs w:val="18"/>
                    </w:rPr>
                  </w:pPr>
                  <w:r>
                    <w:rPr>
                      <w:sz w:val="18"/>
                      <w:szCs w:val="18"/>
                    </w:rPr>
                    <w:t>列入《产业结构调整指导目录》淘汰类的现状企业，应制定调整计划。生态环境治理措施不符合现行生态环境保护要求、资源能源消耗高、涉及大量排放区域超标污染物的现有企业，应制定整治计划。在调整、整治过渡期内，应严格控制相关企业生产规模，禁止新增产生环境污染的产能和产品。</w:t>
                  </w:r>
                </w:p>
              </w:tc>
              <w:tc>
                <w:tcPr>
                  <w:tcW w:w="3406" w:type="dxa"/>
                  <w:tcBorders>
                    <w:tl2br w:val="nil"/>
                    <w:tr2bl w:val="nil"/>
                  </w:tcBorders>
                  <w:vAlign w:val="center"/>
                </w:tcPr>
                <w:p>
                  <w:pPr>
                    <w:adjustRightInd w:val="0"/>
                    <w:snapToGrid w:val="0"/>
                    <w:jc w:val="left"/>
                    <w:rPr>
                      <w:sz w:val="18"/>
                      <w:szCs w:val="18"/>
                    </w:rPr>
                  </w:pPr>
                  <w:r>
                    <w:rPr>
                      <w:sz w:val="18"/>
                      <w:szCs w:val="18"/>
                    </w:rPr>
                    <w:t>项目不属于《产业结构调整指导目录》（现行）明确的淘汰类项目和《市场准入负面清单》（现行）禁止准入类事项。项目建址位于吉林柳河经济开发区柳河赵氏木业有限公司院内，符合园区规划。</w:t>
                  </w:r>
                </w:p>
              </w:tc>
              <w:tc>
                <w:tcPr>
                  <w:tcW w:w="800" w:type="dxa"/>
                  <w:tcBorders>
                    <w:tl2br w:val="nil"/>
                    <w:tr2bl w:val="nil"/>
                  </w:tcBorders>
                  <w:vAlign w:val="center"/>
                </w:tcPr>
                <w:p>
                  <w:pPr>
                    <w:adjustRightInd w:val="0"/>
                    <w:snapToGrid w:val="0"/>
                    <w:jc w:val="center"/>
                    <w:rPr>
                      <w:sz w:val="18"/>
                      <w:szCs w:val="18"/>
                    </w:rPr>
                  </w:pPr>
                  <w:r>
                    <w:rPr>
                      <w:sz w:val="18"/>
                      <w:szCs w:val="18"/>
                    </w:rPr>
                    <w:t>符合</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548" w:type="dxa"/>
                  <w:vMerge w:val="continue"/>
                  <w:tcBorders>
                    <w:tl2br w:val="nil"/>
                    <w:tr2bl w:val="nil"/>
                  </w:tcBorders>
                  <w:vAlign w:val="center"/>
                </w:tcPr>
                <w:p>
                  <w:pPr>
                    <w:adjustRightInd w:val="0"/>
                    <w:snapToGrid w:val="0"/>
                    <w:jc w:val="center"/>
                    <w:rPr>
                      <w:sz w:val="18"/>
                      <w:szCs w:val="18"/>
                    </w:rPr>
                  </w:pPr>
                </w:p>
              </w:tc>
              <w:tc>
                <w:tcPr>
                  <w:tcW w:w="798" w:type="dxa"/>
                  <w:gridSpan w:val="2"/>
                  <w:vMerge w:val="continue"/>
                  <w:tcBorders>
                    <w:tl2br w:val="nil"/>
                    <w:tr2bl w:val="nil"/>
                  </w:tcBorders>
                  <w:vAlign w:val="center"/>
                </w:tcPr>
                <w:p>
                  <w:pPr>
                    <w:adjustRightInd w:val="0"/>
                    <w:snapToGrid w:val="0"/>
                    <w:jc w:val="center"/>
                    <w:rPr>
                      <w:sz w:val="18"/>
                      <w:szCs w:val="18"/>
                    </w:rPr>
                  </w:pPr>
                </w:p>
              </w:tc>
              <w:tc>
                <w:tcPr>
                  <w:tcW w:w="6879" w:type="dxa"/>
                  <w:gridSpan w:val="2"/>
                  <w:tcBorders>
                    <w:tl2br w:val="nil"/>
                    <w:tr2bl w:val="nil"/>
                  </w:tcBorders>
                  <w:vAlign w:val="center"/>
                </w:tcPr>
                <w:p>
                  <w:pPr>
                    <w:adjustRightInd w:val="0"/>
                    <w:snapToGrid w:val="0"/>
                    <w:jc w:val="left"/>
                    <w:rPr>
                      <w:sz w:val="18"/>
                      <w:szCs w:val="18"/>
                    </w:rPr>
                  </w:pPr>
                  <w:r>
                    <w:rPr>
                      <w:sz w:val="18"/>
                      <w:szCs w:val="18"/>
                    </w:rPr>
                    <w:t>强化产业政策在产业转移过程中的引导和约束作用，严格控制在生态脆弱或环境敏感地区建设“两高”行业项目。严格高能耗、高物耗、高水耗和产能过剩、低水平重复建设项目，以及涉及危险化学品、重金属和其他具有重大环境风险建设项目的审批和备案。老工业城市和资源型城市在防止污染转移的基础上，应积极承接有利于延伸产业链、提高技术水平、促进资源综合利用、充分吸纳就业的产业，因地制宜发展优势特色产业。</w:t>
                  </w:r>
                </w:p>
                <w:p>
                  <w:pPr>
                    <w:adjustRightInd w:val="0"/>
                    <w:snapToGrid w:val="0"/>
                    <w:jc w:val="left"/>
                    <w:rPr>
                      <w:sz w:val="18"/>
                      <w:szCs w:val="18"/>
                    </w:rPr>
                  </w:pPr>
                  <w:r>
                    <w:rPr>
                      <w:sz w:val="18"/>
                      <w:szCs w:val="18"/>
                    </w:rPr>
                    <w:t>严格控制钢铁、焦化、电解铝、水泥和平板玻璃等行业新增产能，列入去产能的钢铁企业退出时须一并退出配套的烧结、球团、焦炉、高炉等设备。严格控制尿素、磷铵、电石、烧碱、聚氯乙烯、纯碱、黄磷等过剩行业新增产能，符合政策要求的先进工艺改造提升项目应实行等量或减量置换。</w:t>
                  </w:r>
                </w:p>
                <w:p>
                  <w:pPr>
                    <w:adjustRightInd w:val="0"/>
                    <w:snapToGrid w:val="0"/>
                    <w:jc w:val="left"/>
                    <w:rPr>
                      <w:sz w:val="18"/>
                      <w:szCs w:val="18"/>
                    </w:rPr>
                  </w:pPr>
                  <w:r>
                    <w:rPr>
                      <w:sz w:val="18"/>
                      <w:szCs w:val="18"/>
                    </w:rPr>
                    <w:t>严控新建燃煤锅炉，县级以上城市建成区原则上不再新建每小时35蒸吨以下燃煤锅炉。</w:t>
                  </w:r>
                </w:p>
              </w:tc>
              <w:tc>
                <w:tcPr>
                  <w:tcW w:w="3406" w:type="dxa"/>
                  <w:tcBorders>
                    <w:tl2br w:val="nil"/>
                    <w:tr2bl w:val="nil"/>
                  </w:tcBorders>
                  <w:vAlign w:val="center"/>
                </w:tcPr>
                <w:p>
                  <w:pPr>
                    <w:adjustRightInd w:val="0"/>
                    <w:snapToGrid w:val="0"/>
                    <w:rPr>
                      <w:sz w:val="18"/>
                      <w:szCs w:val="18"/>
                    </w:rPr>
                  </w:pPr>
                  <w:r>
                    <w:rPr>
                      <w:sz w:val="18"/>
                      <w:szCs w:val="18"/>
                    </w:rPr>
                    <w:t>项目不属于“两高”行业项目，不属于高能耗、高物耗、高水耗和产能过剩、低水平重复建设项目，不属于危险化学品、重金属和其他具有重大环境风险建设项目。</w:t>
                  </w:r>
                </w:p>
                <w:p>
                  <w:pPr>
                    <w:adjustRightInd w:val="0"/>
                    <w:snapToGrid w:val="0"/>
                    <w:rPr>
                      <w:sz w:val="18"/>
                      <w:szCs w:val="18"/>
                    </w:rPr>
                  </w:pPr>
                  <w:r>
                    <w:rPr>
                      <w:sz w:val="18"/>
                      <w:szCs w:val="18"/>
                    </w:rPr>
                    <w:t>项目行业不属于钢铁、焦化、电解铝、水泥和平板玻璃等行业。</w:t>
                  </w:r>
                </w:p>
                <w:p>
                  <w:pPr>
                    <w:adjustRightInd w:val="0"/>
                    <w:snapToGrid w:val="0"/>
                    <w:rPr>
                      <w:sz w:val="18"/>
                      <w:szCs w:val="18"/>
                    </w:rPr>
                  </w:pPr>
                  <w:r>
                    <w:rPr>
                      <w:sz w:val="18"/>
                      <w:szCs w:val="18"/>
                    </w:rPr>
                    <w:t>项目不消耗煤炭。</w:t>
                  </w:r>
                </w:p>
              </w:tc>
              <w:tc>
                <w:tcPr>
                  <w:tcW w:w="800" w:type="dxa"/>
                  <w:tcBorders>
                    <w:tl2br w:val="nil"/>
                    <w:tr2bl w:val="nil"/>
                  </w:tcBorders>
                  <w:vAlign w:val="center"/>
                </w:tcPr>
                <w:p>
                  <w:pPr>
                    <w:adjustRightInd w:val="0"/>
                    <w:snapToGrid w:val="0"/>
                    <w:jc w:val="center"/>
                    <w:rPr>
                      <w:sz w:val="18"/>
                      <w:szCs w:val="18"/>
                    </w:rPr>
                  </w:pPr>
                  <w:r>
                    <w:rPr>
                      <w:rFonts w:hint="eastAsia"/>
                      <w:sz w:val="18"/>
                      <w:szCs w:val="18"/>
                    </w:rPr>
                    <w:t>不涉及</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548" w:type="dxa"/>
                  <w:vMerge w:val="continue"/>
                  <w:tcBorders>
                    <w:tl2br w:val="nil"/>
                    <w:tr2bl w:val="nil"/>
                  </w:tcBorders>
                  <w:vAlign w:val="center"/>
                </w:tcPr>
                <w:p>
                  <w:pPr>
                    <w:adjustRightInd w:val="0"/>
                    <w:snapToGrid w:val="0"/>
                    <w:jc w:val="center"/>
                    <w:rPr>
                      <w:sz w:val="18"/>
                      <w:szCs w:val="18"/>
                    </w:rPr>
                  </w:pPr>
                </w:p>
              </w:tc>
              <w:tc>
                <w:tcPr>
                  <w:tcW w:w="798" w:type="dxa"/>
                  <w:gridSpan w:val="2"/>
                  <w:vMerge w:val="continue"/>
                  <w:tcBorders>
                    <w:tl2br w:val="nil"/>
                    <w:tr2bl w:val="nil"/>
                  </w:tcBorders>
                  <w:vAlign w:val="center"/>
                </w:tcPr>
                <w:p>
                  <w:pPr>
                    <w:adjustRightInd w:val="0"/>
                    <w:snapToGrid w:val="0"/>
                    <w:jc w:val="center"/>
                    <w:rPr>
                      <w:sz w:val="18"/>
                      <w:szCs w:val="18"/>
                    </w:rPr>
                  </w:pPr>
                </w:p>
              </w:tc>
              <w:tc>
                <w:tcPr>
                  <w:tcW w:w="6879" w:type="dxa"/>
                  <w:gridSpan w:val="2"/>
                  <w:tcBorders>
                    <w:tl2br w:val="nil"/>
                    <w:tr2bl w:val="nil"/>
                  </w:tcBorders>
                  <w:vAlign w:val="center"/>
                </w:tcPr>
                <w:p>
                  <w:pPr>
                    <w:adjustRightInd w:val="0"/>
                    <w:snapToGrid w:val="0"/>
                    <w:jc w:val="left"/>
                    <w:rPr>
                      <w:sz w:val="18"/>
                      <w:szCs w:val="18"/>
                    </w:rPr>
                  </w:pPr>
                  <w:r>
                    <w:rPr>
                      <w:sz w:val="18"/>
                      <w:szCs w:val="18"/>
                    </w:rPr>
                    <w:t>重大项目原则上应布局在优化开发区和重点开发区，并符合国土空间总体规划。</w:t>
                  </w:r>
                </w:p>
                <w:p>
                  <w:pPr>
                    <w:adjustRightInd w:val="0"/>
                    <w:snapToGrid w:val="0"/>
                    <w:jc w:val="left"/>
                    <w:rPr>
                      <w:sz w:val="18"/>
                      <w:szCs w:val="18"/>
                    </w:rPr>
                  </w:pPr>
                  <w:r>
                    <w:rPr>
                      <w:sz w:val="18"/>
                      <w:szCs w:val="18"/>
                    </w:rPr>
                    <w:t>化工石化、有色冶炼、制浆造纸等可能引发环境风险的项目，以及涉及石化、化工、工业涂装等重点行业高VOCs排放的建设项目，在符合国家产业政策和清洁生产水平要求、满足污染物排放标准以及污染物排放总量控制指标前提下，应当在依法设立、基础设施齐全并具备有效规划、规划环境影响评价的产业园区内布设。</w:t>
                  </w:r>
                </w:p>
                <w:p>
                  <w:pPr>
                    <w:adjustRightInd w:val="0"/>
                    <w:snapToGrid w:val="0"/>
                    <w:jc w:val="left"/>
                    <w:rPr>
                      <w:sz w:val="18"/>
                      <w:szCs w:val="18"/>
                    </w:rPr>
                  </w:pPr>
                  <w:r>
                    <w:rPr>
                      <w:sz w:val="18"/>
                      <w:szCs w:val="18"/>
                    </w:rPr>
                    <w:t>严格落实规划环评及其批复文件环境准入条件，空气质量未达标地区制定更严格的产业准入门槛。</w:t>
                  </w:r>
                </w:p>
              </w:tc>
              <w:tc>
                <w:tcPr>
                  <w:tcW w:w="3406" w:type="dxa"/>
                  <w:tcBorders>
                    <w:tl2br w:val="nil"/>
                    <w:tr2bl w:val="nil"/>
                  </w:tcBorders>
                  <w:vAlign w:val="center"/>
                </w:tcPr>
                <w:p>
                  <w:pPr>
                    <w:adjustRightInd w:val="0"/>
                    <w:snapToGrid w:val="0"/>
                    <w:jc w:val="left"/>
                    <w:rPr>
                      <w:sz w:val="18"/>
                      <w:szCs w:val="18"/>
                    </w:rPr>
                  </w:pPr>
                  <w:r>
                    <w:rPr>
                      <w:sz w:val="18"/>
                      <w:szCs w:val="18"/>
                    </w:rPr>
                    <w:t>项目不属于重大项目，不属于化工石化、有色冶炼、制浆造纸等可能引发环境风险的项目，不属于石化、化工、工业涂装等重点行业高VOCs排放的建设项目。</w:t>
                  </w:r>
                </w:p>
                <w:p>
                  <w:pPr>
                    <w:adjustRightInd w:val="0"/>
                    <w:snapToGrid w:val="0"/>
                    <w:jc w:val="left"/>
                    <w:rPr>
                      <w:sz w:val="18"/>
                      <w:szCs w:val="18"/>
                    </w:rPr>
                  </w:pPr>
                  <w:r>
                    <w:rPr>
                      <w:sz w:val="18"/>
                      <w:szCs w:val="18"/>
                    </w:rPr>
                    <w:t>项目建址位于吉林柳河经济开发区柳河赵氏木业有限公司院内，项目建址区域属于空气质量达标地区。</w:t>
                  </w:r>
                </w:p>
              </w:tc>
              <w:tc>
                <w:tcPr>
                  <w:tcW w:w="800" w:type="dxa"/>
                  <w:tcBorders>
                    <w:tl2br w:val="nil"/>
                    <w:tr2bl w:val="nil"/>
                  </w:tcBorders>
                  <w:vAlign w:val="center"/>
                </w:tcPr>
                <w:p>
                  <w:pPr>
                    <w:adjustRightInd w:val="0"/>
                    <w:snapToGrid w:val="0"/>
                    <w:jc w:val="center"/>
                    <w:rPr>
                      <w:sz w:val="18"/>
                      <w:szCs w:val="18"/>
                    </w:rPr>
                  </w:pPr>
                  <w:r>
                    <w:rPr>
                      <w:rFonts w:hint="eastAsia"/>
                      <w:sz w:val="18"/>
                      <w:szCs w:val="18"/>
                    </w:rPr>
                    <w:t>不涉及</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548" w:type="dxa"/>
                  <w:vMerge w:val="continue"/>
                  <w:tcBorders>
                    <w:tl2br w:val="nil"/>
                    <w:tr2bl w:val="nil"/>
                  </w:tcBorders>
                  <w:vAlign w:val="center"/>
                </w:tcPr>
                <w:p>
                  <w:pPr>
                    <w:adjustRightInd w:val="0"/>
                    <w:snapToGrid w:val="0"/>
                    <w:jc w:val="center"/>
                    <w:rPr>
                      <w:sz w:val="18"/>
                      <w:szCs w:val="18"/>
                    </w:rPr>
                  </w:pPr>
                </w:p>
              </w:tc>
              <w:tc>
                <w:tcPr>
                  <w:tcW w:w="798" w:type="dxa"/>
                  <w:gridSpan w:val="2"/>
                  <w:vMerge w:val="continue"/>
                  <w:tcBorders>
                    <w:tl2br w:val="nil"/>
                    <w:tr2bl w:val="nil"/>
                  </w:tcBorders>
                  <w:vAlign w:val="center"/>
                </w:tcPr>
                <w:p>
                  <w:pPr>
                    <w:adjustRightInd w:val="0"/>
                    <w:snapToGrid w:val="0"/>
                    <w:jc w:val="center"/>
                    <w:rPr>
                      <w:sz w:val="18"/>
                      <w:szCs w:val="18"/>
                    </w:rPr>
                  </w:pPr>
                </w:p>
              </w:tc>
              <w:tc>
                <w:tcPr>
                  <w:tcW w:w="6879" w:type="dxa"/>
                  <w:gridSpan w:val="2"/>
                  <w:tcBorders>
                    <w:tl2br w:val="nil"/>
                    <w:tr2bl w:val="nil"/>
                  </w:tcBorders>
                  <w:vAlign w:val="center"/>
                </w:tcPr>
                <w:p>
                  <w:pPr>
                    <w:adjustRightInd w:val="0"/>
                    <w:snapToGrid w:val="0"/>
                    <w:jc w:val="left"/>
                    <w:rPr>
                      <w:sz w:val="18"/>
                      <w:szCs w:val="18"/>
                    </w:rPr>
                  </w:pPr>
                  <w:r>
                    <w:rPr>
                      <w:sz w:val="18"/>
                      <w:szCs w:val="18"/>
                    </w:rPr>
                    <w:t>进一步优化全省化工产业布局，提高化工行业本质安全和绿色发展水平，引领化工园区从规范化发展到高质量发展、促进化工产业转型升级。</w:t>
                  </w:r>
                </w:p>
              </w:tc>
              <w:tc>
                <w:tcPr>
                  <w:tcW w:w="3406" w:type="dxa"/>
                  <w:tcBorders>
                    <w:tl2br w:val="nil"/>
                    <w:tr2bl w:val="nil"/>
                  </w:tcBorders>
                  <w:vAlign w:val="center"/>
                </w:tcPr>
                <w:p>
                  <w:pPr>
                    <w:adjustRightInd w:val="0"/>
                    <w:snapToGrid w:val="0"/>
                    <w:jc w:val="left"/>
                    <w:rPr>
                      <w:sz w:val="18"/>
                      <w:szCs w:val="18"/>
                    </w:rPr>
                  </w:pPr>
                  <w:r>
                    <w:rPr>
                      <w:sz w:val="18"/>
                      <w:szCs w:val="18"/>
                    </w:rPr>
                    <w:t>项目建址不属于化工园区。</w:t>
                  </w:r>
                </w:p>
              </w:tc>
              <w:tc>
                <w:tcPr>
                  <w:tcW w:w="800" w:type="dxa"/>
                  <w:tcBorders>
                    <w:tl2br w:val="nil"/>
                    <w:tr2bl w:val="nil"/>
                  </w:tcBorders>
                  <w:vAlign w:val="center"/>
                </w:tcPr>
                <w:p>
                  <w:pPr>
                    <w:adjustRightInd w:val="0"/>
                    <w:snapToGrid w:val="0"/>
                    <w:jc w:val="center"/>
                    <w:rPr>
                      <w:sz w:val="18"/>
                      <w:szCs w:val="18"/>
                    </w:rPr>
                  </w:pPr>
                  <w:r>
                    <w:rPr>
                      <w:rFonts w:hint="eastAsia"/>
                      <w:sz w:val="18"/>
                      <w:szCs w:val="18"/>
                    </w:rPr>
                    <w:t>不涉及</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PrEx>
              <w:tc>
                <w:tcPr>
                  <w:tcW w:w="1548" w:type="dxa"/>
                  <w:vMerge w:val="continue"/>
                  <w:tcBorders>
                    <w:tl2br w:val="nil"/>
                    <w:tr2bl w:val="nil"/>
                  </w:tcBorders>
                  <w:vAlign w:val="center"/>
                </w:tcPr>
                <w:p>
                  <w:pPr>
                    <w:adjustRightInd w:val="0"/>
                    <w:snapToGrid w:val="0"/>
                    <w:jc w:val="center"/>
                    <w:rPr>
                      <w:sz w:val="18"/>
                      <w:szCs w:val="18"/>
                    </w:rPr>
                  </w:pPr>
                </w:p>
              </w:tc>
              <w:tc>
                <w:tcPr>
                  <w:tcW w:w="798" w:type="dxa"/>
                  <w:gridSpan w:val="2"/>
                  <w:vMerge w:val="restart"/>
                  <w:tcBorders>
                    <w:tl2br w:val="nil"/>
                    <w:tr2bl w:val="nil"/>
                  </w:tcBorders>
                  <w:vAlign w:val="center"/>
                </w:tcPr>
                <w:p>
                  <w:pPr>
                    <w:adjustRightInd w:val="0"/>
                    <w:snapToGrid w:val="0"/>
                    <w:jc w:val="center"/>
                    <w:rPr>
                      <w:sz w:val="18"/>
                      <w:szCs w:val="18"/>
                    </w:rPr>
                  </w:pPr>
                  <w:r>
                    <w:rPr>
                      <w:sz w:val="18"/>
                      <w:szCs w:val="18"/>
                    </w:rPr>
                    <w:t>污染物</w:t>
                  </w:r>
                </w:p>
                <w:p>
                  <w:pPr>
                    <w:adjustRightInd w:val="0"/>
                    <w:snapToGrid w:val="0"/>
                    <w:jc w:val="center"/>
                    <w:rPr>
                      <w:sz w:val="18"/>
                      <w:szCs w:val="18"/>
                    </w:rPr>
                  </w:pPr>
                  <w:r>
                    <w:rPr>
                      <w:sz w:val="18"/>
                      <w:szCs w:val="18"/>
                    </w:rPr>
                    <w:t>排放管控</w:t>
                  </w:r>
                </w:p>
              </w:tc>
              <w:tc>
                <w:tcPr>
                  <w:tcW w:w="6879" w:type="dxa"/>
                  <w:gridSpan w:val="2"/>
                  <w:tcBorders>
                    <w:tl2br w:val="nil"/>
                    <w:tr2bl w:val="nil"/>
                  </w:tcBorders>
                  <w:vAlign w:val="center"/>
                </w:tcPr>
                <w:p>
                  <w:pPr>
                    <w:adjustRightInd w:val="0"/>
                    <w:snapToGrid w:val="0"/>
                    <w:jc w:val="left"/>
                    <w:rPr>
                      <w:sz w:val="18"/>
                      <w:szCs w:val="18"/>
                    </w:rPr>
                  </w:pPr>
                  <w:r>
                    <w:rPr>
                      <w:sz w:val="18"/>
                      <w:szCs w:val="18"/>
                    </w:rPr>
                    <w:t>落实主要污染物总量控制和排污许可制度。新建、改建、扩建重点行业建设项目实行主要污染物排放等量或倍量削减替代。严格涉VOCs建设项目环境影响评价，逐步推进区域内VOCs排放等量或倍量削减替代。</w:t>
                  </w:r>
                </w:p>
              </w:tc>
              <w:tc>
                <w:tcPr>
                  <w:tcW w:w="3406" w:type="dxa"/>
                  <w:tcBorders>
                    <w:tl2br w:val="nil"/>
                    <w:tr2bl w:val="nil"/>
                  </w:tcBorders>
                  <w:vAlign w:val="center"/>
                </w:tcPr>
                <w:p>
                  <w:pPr>
                    <w:adjustRightInd w:val="0"/>
                    <w:snapToGrid w:val="0"/>
                    <w:jc w:val="left"/>
                    <w:rPr>
                      <w:sz w:val="18"/>
                      <w:szCs w:val="18"/>
                    </w:rPr>
                  </w:pPr>
                  <w:r>
                    <w:rPr>
                      <w:sz w:val="18"/>
                      <w:szCs w:val="18"/>
                    </w:rPr>
                    <w:t>项目不属于重点行业建设项目，不属于涉VOCs建设项目。</w:t>
                  </w:r>
                </w:p>
              </w:tc>
              <w:tc>
                <w:tcPr>
                  <w:tcW w:w="800" w:type="dxa"/>
                  <w:tcBorders>
                    <w:tl2br w:val="nil"/>
                    <w:tr2bl w:val="nil"/>
                  </w:tcBorders>
                  <w:vAlign w:val="center"/>
                </w:tcPr>
                <w:p>
                  <w:pPr>
                    <w:adjustRightInd w:val="0"/>
                    <w:snapToGrid w:val="0"/>
                    <w:jc w:val="center"/>
                    <w:rPr>
                      <w:sz w:val="18"/>
                      <w:szCs w:val="18"/>
                    </w:rPr>
                  </w:pPr>
                  <w:r>
                    <w:rPr>
                      <w:rFonts w:hint="eastAsia"/>
                      <w:sz w:val="18"/>
                      <w:szCs w:val="18"/>
                    </w:rPr>
                    <w:t>不涉及</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548" w:type="dxa"/>
                  <w:vMerge w:val="continue"/>
                  <w:tcBorders>
                    <w:tl2br w:val="nil"/>
                    <w:tr2bl w:val="nil"/>
                  </w:tcBorders>
                  <w:vAlign w:val="center"/>
                </w:tcPr>
                <w:p>
                  <w:pPr>
                    <w:adjustRightInd w:val="0"/>
                    <w:snapToGrid w:val="0"/>
                    <w:jc w:val="center"/>
                    <w:rPr>
                      <w:sz w:val="18"/>
                      <w:szCs w:val="18"/>
                    </w:rPr>
                  </w:pPr>
                </w:p>
              </w:tc>
              <w:tc>
                <w:tcPr>
                  <w:tcW w:w="798" w:type="dxa"/>
                  <w:gridSpan w:val="2"/>
                  <w:vMerge w:val="continue"/>
                  <w:tcBorders>
                    <w:tl2br w:val="nil"/>
                    <w:tr2bl w:val="nil"/>
                  </w:tcBorders>
                  <w:vAlign w:val="center"/>
                </w:tcPr>
                <w:p>
                  <w:pPr>
                    <w:adjustRightInd w:val="0"/>
                    <w:snapToGrid w:val="0"/>
                    <w:jc w:val="center"/>
                    <w:rPr>
                      <w:sz w:val="18"/>
                      <w:szCs w:val="18"/>
                    </w:rPr>
                  </w:pPr>
                </w:p>
              </w:tc>
              <w:tc>
                <w:tcPr>
                  <w:tcW w:w="6879" w:type="dxa"/>
                  <w:gridSpan w:val="2"/>
                  <w:tcBorders>
                    <w:tl2br w:val="nil"/>
                    <w:tr2bl w:val="nil"/>
                  </w:tcBorders>
                  <w:vAlign w:val="center"/>
                </w:tcPr>
                <w:p>
                  <w:pPr>
                    <w:adjustRightInd w:val="0"/>
                    <w:snapToGrid w:val="0"/>
                    <w:jc w:val="left"/>
                    <w:rPr>
                      <w:sz w:val="18"/>
                      <w:szCs w:val="18"/>
                    </w:rPr>
                  </w:pPr>
                  <w:r>
                    <w:rPr>
                      <w:sz w:val="18"/>
                      <w:szCs w:val="18"/>
                    </w:rPr>
                    <w:t>空气质量未达标地区新建项目涉及的二氧化硫、氮氧化物、颗粒物、挥发性有机物（VOCs）排放全面执行大气污染物特别排放限值。</w:t>
                  </w:r>
                </w:p>
              </w:tc>
              <w:tc>
                <w:tcPr>
                  <w:tcW w:w="3406" w:type="dxa"/>
                  <w:tcBorders>
                    <w:tl2br w:val="nil"/>
                    <w:tr2bl w:val="nil"/>
                  </w:tcBorders>
                  <w:vAlign w:val="center"/>
                </w:tcPr>
                <w:p>
                  <w:pPr>
                    <w:adjustRightInd w:val="0"/>
                    <w:snapToGrid w:val="0"/>
                    <w:jc w:val="left"/>
                    <w:rPr>
                      <w:sz w:val="18"/>
                      <w:szCs w:val="18"/>
                    </w:rPr>
                  </w:pPr>
                  <w:r>
                    <w:rPr>
                      <w:sz w:val="18"/>
                      <w:szCs w:val="18"/>
                    </w:rPr>
                    <w:t>项目所在区域为环境空气质量达标区。</w:t>
                  </w:r>
                </w:p>
              </w:tc>
              <w:tc>
                <w:tcPr>
                  <w:tcW w:w="800" w:type="dxa"/>
                  <w:tcBorders>
                    <w:tl2br w:val="nil"/>
                    <w:tr2bl w:val="nil"/>
                  </w:tcBorders>
                  <w:vAlign w:val="center"/>
                </w:tcPr>
                <w:p>
                  <w:pPr>
                    <w:adjustRightInd w:val="0"/>
                    <w:snapToGrid w:val="0"/>
                    <w:jc w:val="center"/>
                    <w:rPr>
                      <w:sz w:val="18"/>
                      <w:szCs w:val="18"/>
                    </w:rPr>
                  </w:pPr>
                  <w:r>
                    <w:rPr>
                      <w:rFonts w:hint="eastAsia"/>
                      <w:sz w:val="18"/>
                      <w:szCs w:val="18"/>
                    </w:rPr>
                    <w:t>不涉及</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548" w:type="dxa"/>
                  <w:vMerge w:val="continue"/>
                  <w:tcBorders>
                    <w:tl2br w:val="nil"/>
                    <w:tr2bl w:val="nil"/>
                  </w:tcBorders>
                  <w:vAlign w:val="center"/>
                </w:tcPr>
                <w:p>
                  <w:pPr>
                    <w:adjustRightInd w:val="0"/>
                    <w:snapToGrid w:val="0"/>
                    <w:jc w:val="center"/>
                    <w:rPr>
                      <w:sz w:val="18"/>
                      <w:szCs w:val="18"/>
                    </w:rPr>
                  </w:pPr>
                </w:p>
              </w:tc>
              <w:tc>
                <w:tcPr>
                  <w:tcW w:w="798" w:type="dxa"/>
                  <w:gridSpan w:val="2"/>
                  <w:vMerge w:val="continue"/>
                  <w:tcBorders>
                    <w:tl2br w:val="nil"/>
                    <w:tr2bl w:val="nil"/>
                  </w:tcBorders>
                  <w:vAlign w:val="center"/>
                </w:tcPr>
                <w:p>
                  <w:pPr>
                    <w:adjustRightInd w:val="0"/>
                    <w:snapToGrid w:val="0"/>
                    <w:jc w:val="center"/>
                    <w:rPr>
                      <w:sz w:val="18"/>
                      <w:szCs w:val="18"/>
                    </w:rPr>
                  </w:pPr>
                </w:p>
              </w:tc>
              <w:tc>
                <w:tcPr>
                  <w:tcW w:w="6879" w:type="dxa"/>
                  <w:gridSpan w:val="2"/>
                  <w:tcBorders>
                    <w:tl2br w:val="nil"/>
                    <w:tr2bl w:val="nil"/>
                  </w:tcBorders>
                  <w:vAlign w:val="center"/>
                </w:tcPr>
                <w:p>
                  <w:pPr>
                    <w:adjustRightInd w:val="0"/>
                    <w:snapToGrid w:val="0"/>
                    <w:jc w:val="left"/>
                    <w:rPr>
                      <w:sz w:val="18"/>
                      <w:szCs w:val="18"/>
                    </w:rPr>
                  </w:pPr>
                  <w:r>
                    <w:rPr>
                      <w:sz w:val="18"/>
                      <w:szCs w:val="18"/>
                    </w:rPr>
                    <w:t>推行秸秆全量化处置，持续推进秸秆肥料化、饲料化、能源化、基料化和原料化，逐步形成秸秆综合利用的长效机制。</w:t>
                  </w:r>
                </w:p>
              </w:tc>
              <w:tc>
                <w:tcPr>
                  <w:tcW w:w="3406" w:type="dxa"/>
                  <w:tcBorders>
                    <w:tl2br w:val="nil"/>
                    <w:tr2bl w:val="nil"/>
                  </w:tcBorders>
                  <w:vAlign w:val="center"/>
                </w:tcPr>
                <w:p>
                  <w:pPr>
                    <w:adjustRightInd w:val="0"/>
                    <w:snapToGrid w:val="0"/>
                    <w:jc w:val="left"/>
                    <w:rPr>
                      <w:sz w:val="18"/>
                      <w:szCs w:val="18"/>
                    </w:rPr>
                  </w:pPr>
                  <w:r>
                    <w:rPr>
                      <w:sz w:val="18"/>
                      <w:szCs w:val="18"/>
                    </w:rPr>
                    <w:t>项目不涉及使用秸秆。</w:t>
                  </w:r>
                </w:p>
              </w:tc>
              <w:tc>
                <w:tcPr>
                  <w:tcW w:w="800" w:type="dxa"/>
                  <w:tcBorders>
                    <w:tl2br w:val="nil"/>
                    <w:tr2bl w:val="nil"/>
                  </w:tcBorders>
                  <w:vAlign w:val="center"/>
                </w:tcPr>
                <w:p>
                  <w:pPr>
                    <w:adjustRightInd w:val="0"/>
                    <w:snapToGrid w:val="0"/>
                    <w:jc w:val="center"/>
                    <w:rPr>
                      <w:sz w:val="18"/>
                      <w:szCs w:val="18"/>
                    </w:rPr>
                  </w:pPr>
                  <w:r>
                    <w:rPr>
                      <w:rFonts w:hint="eastAsia"/>
                      <w:sz w:val="18"/>
                      <w:szCs w:val="18"/>
                    </w:rPr>
                    <w:t>不涉及</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548" w:type="dxa"/>
                  <w:vMerge w:val="continue"/>
                  <w:tcBorders>
                    <w:tl2br w:val="nil"/>
                    <w:tr2bl w:val="nil"/>
                  </w:tcBorders>
                  <w:vAlign w:val="center"/>
                </w:tcPr>
                <w:p>
                  <w:pPr>
                    <w:adjustRightInd w:val="0"/>
                    <w:snapToGrid w:val="0"/>
                    <w:jc w:val="center"/>
                    <w:rPr>
                      <w:sz w:val="18"/>
                      <w:szCs w:val="18"/>
                    </w:rPr>
                  </w:pPr>
                </w:p>
              </w:tc>
              <w:tc>
                <w:tcPr>
                  <w:tcW w:w="798" w:type="dxa"/>
                  <w:gridSpan w:val="2"/>
                  <w:vMerge w:val="continue"/>
                  <w:tcBorders>
                    <w:tl2br w:val="nil"/>
                    <w:tr2bl w:val="nil"/>
                  </w:tcBorders>
                  <w:vAlign w:val="center"/>
                </w:tcPr>
                <w:p>
                  <w:pPr>
                    <w:adjustRightInd w:val="0"/>
                    <w:snapToGrid w:val="0"/>
                    <w:jc w:val="center"/>
                    <w:rPr>
                      <w:sz w:val="18"/>
                      <w:szCs w:val="18"/>
                    </w:rPr>
                  </w:pPr>
                </w:p>
              </w:tc>
              <w:tc>
                <w:tcPr>
                  <w:tcW w:w="6879" w:type="dxa"/>
                  <w:gridSpan w:val="2"/>
                  <w:tcBorders>
                    <w:tl2br w:val="nil"/>
                    <w:tr2bl w:val="nil"/>
                  </w:tcBorders>
                  <w:vAlign w:val="center"/>
                </w:tcPr>
                <w:p>
                  <w:pPr>
                    <w:adjustRightInd w:val="0"/>
                    <w:snapToGrid w:val="0"/>
                    <w:jc w:val="left"/>
                    <w:rPr>
                      <w:sz w:val="18"/>
                      <w:szCs w:val="18"/>
                    </w:rPr>
                  </w:pPr>
                  <w:r>
                    <w:rPr>
                      <w:sz w:val="18"/>
                      <w:szCs w:val="18"/>
                    </w:rPr>
                    <w:t>推动城镇污水处理厂扩容工程和提标改造。超负荷、满负荷运行的污水处理厂要及时实施扩容，出水排入超标水域的污水处理厂要因地制宜提高出水标准。</w:t>
                  </w:r>
                </w:p>
              </w:tc>
              <w:tc>
                <w:tcPr>
                  <w:tcW w:w="3406" w:type="dxa"/>
                  <w:tcBorders>
                    <w:tl2br w:val="nil"/>
                    <w:tr2bl w:val="nil"/>
                  </w:tcBorders>
                  <w:vAlign w:val="center"/>
                </w:tcPr>
                <w:p>
                  <w:pPr>
                    <w:adjustRightInd w:val="0"/>
                    <w:snapToGrid w:val="0"/>
                    <w:jc w:val="left"/>
                    <w:rPr>
                      <w:sz w:val="18"/>
                      <w:szCs w:val="18"/>
                    </w:rPr>
                  </w:pPr>
                  <w:r>
                    <w:rPr>
                      <w:sz w:val="18"/>
                      <w:szCs w:val="18"/>
                    </w:rPr>
                    <w:t>项目不属于城镇污水处理厂。</w:t>
                  </w:r>
                </w:p>
              </w:tc>
              <w:tc>
                <w:tcPr>
                  <w:tcW w:w="800" w:type="dxa"/>
                  <w:tcBorders>
                    <w:tl2br w:val="nil"/>
                    <w:tr2bl w:val="nil"/>
                  </w:tcBorders>
                  <w:vAlign w:val="center"/>
                </w:tcPr>
                <w:p>
                  <w:pPr>
                    <w:adjustRightInd w:val="0"/>
                    <w:snapToGrid w:val="0"/>
                    <w:jc w:val="center"/>
                    <w:rPr>
                      <w:sz w:val="18"/>
                      <w:szCs w:val="18"/>
                    </w:rPr>
                  </w:pPr>
                  <w:r>
                    <w:rPr>
                      <w:rFonts w:hint="eastAsia"/>
                      <w:sz w:val="18"/>
                      <w:szCs w:val="18"/>
                    </w:rPr>
                    <w:t>不涉及</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548" w:type="dxa"/>
                  <w:vMerge w:val="continue"/>
                  <w:tcBorders>
                    <w:tl2br w:val="nil"/>
                    <w:tr2bl w:val="nil"/>
                  </w:tcBorders>
                  <w:vAlign w:val="center"/>
                </w:tcPr>
                <w:p>
                  <w:pPr>
                    <w:adjustRightInd w:val="0"/>
                    <w:snapToGrid w:val="0"/>
                    <w:jc w:val="center"/>
                    <w:rPr>
                      <w:sz w:val="18"/>
                      <w:szCs w:val="18"/>
                    </w:rPr>
                  </w:pPr>
                </w:p>
              </w:tc>
              <w:tc>
                <w:tcPr>
                  <w:tcW w:w="798" w:type="dxa"/>
                  <w:gridSpan w:val="2"/>
                  <w:vMerge w:val="continue"/>
                  <w:tcBorders>
                    <w:tl2br w:val="nil"/>
                    <w:tr2bl w:val="nil"/>
                  </w:tcBorders>
                  <w:vAlign w:val="center"/>
                </w:tcPr>
                <w:p>
                  <w:pPr>
                    <w:adjustRightInd w:val="0"/>
                    <w:snapToGrid w:val="0"/>
                    <w:jc w:val="center"/>
                    <w:rPr>
                      <w:sz w:val="18"/>
                      <w:szCs w:val="18"/>
                    </w:rPr>
                  </w:pPr>
                </w:p>
              </w:tc>
              <w:tc>
                <w:tcPr>
                  <w:tcW w:w="6879" w:type="dxa"/>
                  <w:gridSpan w:val="2"/>
                  <w:tcBorders>
                    <w:tl2br w:val="nil"/>
                    <w:tr2bl w:val="nil"/>
                  </w:tcBorders>
                  <w:vAlign w:val="center"/>
                </w:tcPr>
                <w:p>
                  <w:pPr>
                    <w:adjustRightInd w:val="0"/>
                    <w:snapToGrid w:val="0"/>
                    <w:jc w:val="left"/>
                    <w:rPr>
                      <w:sz w:val="18"/>
                      <w:szCs w:val="18"/>
                    </w:rPr>
                  </w:pPr>
                  <w:r>
                    <w:rPr>
                      <w:sz w:val="18"/>
                      <w:szCs w:val="18"/>
                    </w:rPr>
                    <w:t>规模化畜禽养殖场（小区）应当保证畜禽粪污无害化处理和资源化利用设施的正常运转。</w:t>
                  </w:r>
                </w:p>
              </w:tc>
              <w:tc>
                <w:tcPr>
                  <w:tcW w:w="3406" w:type="dxa"/>
                  <w:tcBorders>
                    <w:tl2br w:val="nil"/>
                    <w:tr2bl w:val="nil"/>
                  </w:tcBorders>
                  <w:vAlign w:val="center"/>
                </w:tcPr>
                <w:p>
                  <w:pPr>
                    <w:adjustRightInd w:val="0"/>
                    <w:snapToGrid w:val="0"/>
                    <w:jc w:val="left"/>
                    <w:rPr>
                      <w:sz w:val="18"/>
                      <w:szCs w:val="18"/>
                    </w:rPr>
                  </w:pPr>
                  <w:r>
                    <w:rPr>
                      <w:sz w:val="18"/>
                      <w:szCs w:val="18"/>
                    </w:rPr>
                    <w:t>项目不涉及畜禽养殖。</w:t>
                  </w:r>
                </w:p>
              </w:tc>
              <w:tc>
                <w:tcPr>
                  <w:tcW w:w="800" w:type="dxa"/>
                  <w:tcBorders>
                    <w:tl2br w:val="nil"/>
                    <w:tr2bl w:val="nil"/>
                  </w:tcBorders>
                  <w:vAlign w:val="center"/>
                </w:tcPr>
                <w:p>
                  <w:pPr>
                    <w:adjustRightInd w:val="0"/>
                    <w:snapToGrid w:val="0"/>
                    <w:jc w:val="center"/>
                    <w:rPr>
                      <w:sz w:val="18"/>
                      <w:szCs w:val="18"/>
                    </w:rPr>
                  </w:pPr>
                  <w:r>
                    <w:rPr>
                      <w:rFonts w:hint="eastAsia"/>
                      <w:sz w:val="18"/>
                      <w:szCs w:val="18"/>
                    </w:rPr>
                    <w:t>不涉及</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548" w:type="dxa"/>
                  <w:vMerge w:val="continue"/>
                  <w:tcBorders>
                    <w:tl2br w:val="nil"/>
                    <w:tr2bl w:val="nil"/>
                  </w:tcBorders>
                  <w:vAlign w:val="center"/>
                </w:tcPr>
                <w:p>
                  <w:pPr>
                    <w:adjustRightInd w:val="0"/>
                    <w:snapToGrid w:val="0"/>
                    <w:jc w:val="center"/>
                    <w:rPr>
                      <w:sz w:val="18"/>
                      <w:szCs w:val="18"/>
                    </w:rPr>
                  </w:pPr>
                </w:p>
              </w:tc>
              <w:tc>
                <w:tcPr>
                  <w:tcW w:w="798" w:type="dxa"/>
                  <w:gridSpan w:val="2"/>
                  <w:vMerge w:val="restart"/>
                  <w:tcBorders>
                    <w:tl2br w:val="nil"/>
                    <w:tr2bl w:val="nil"/>
                  </w:tcBorders>
                  <w:vAlign w:val="center"/>
                </w:tcPr>
                <w:p>
                  <w:pPr>
                    <w:adjustRightInd w:val="0"/>
                    <w:snapToGrid w:val="0"/>
                    <w:jc w:val="center"/>
                    <w:rPr>
                      <w:sz w:val="18"/>
                      <w:szCs w:val="18"/>
                    </w:rPr>
                  </w:pPr>
                  <w:r>
                    <w:rPr>
                      <w:sz w:val="18"/>
                      <w:szCs w:val="18"/>
                    </w:rPr>
                    <w:t>环境风险防控</w:t>
                  </w:r>
                </w:p>
              </w:tc>
              <w:tc>
                <w:tcPr>
                  <w:tcW w:w="6879" w:type="dxa"/>
                  <w:gridSpan w:val="2"/>
                  <w:tcBorders>
                    <w:tl2br w:val="nil"/>
                    <w:tr2bl w:val="nil"/>
                  </w:tcBorders>
                  <w:vAlign w:val="center"/>
                </w:tcPr>
                <w:p>
                  <w:pPr>
                    <w:adjustRightInd w:val="0"/>
                    <w:snapToGrid w:val="0"/>
                    <w:jc w:val="left"/>
                    <w:rPr>
                      <w:sz w:val="18"/>
                      <w:szCs w:val="18"/>
                    </w:rPr>
                  </w:pPr>
                  <w:r>
                    <w:rPr>
                      <w:sz w:val="18"/>
                      <w:szCs w:val="18"/>
                    </w:rPr>
                    <w:t>到2025年，城镇人口密集区现有不符合防护距离要求的危险化学品生产企业应就地改造达标、搬迁进入规范化工园区或关闭退出，企业安全和环境风险大幅降低。</w:t>
                  </w:r>
                </w:p>
              </w:tc>
              <w:tc>
                <w:tcPr>
                  <w:tcW w:w="3406" w:type="dxa"/>
                  <w:tcBorders>
                    <w:tl2br w:val="nil"/>
                    <w:tr2bl w:val="nil"/>
                  </w:tcBorders>
                  <w:vAlign w:val="center"/>
                </w:tcPr>
                <w:p>
                  <w:pPr>
                    <w:adjustRightInd w:val="0"/>
                    <w:snapToGrid w:val="0"/>
                    <w:jc w:val="left"/>
                    <w:rPr>
                      <w:sz w:val="18"/>
                      <w:szCs w:val="18"/>
                    </w:rPr>
                  </w:pPr>
                  <w:r>
                    <w:rPr>
                      <w:sz w:val="18"/>
                      <w:szCs w:val="18"/>
                    </w:rPr>
                    <w:t>项目不属于危险化学品生产企业。</w:t>
                  </w:r>
                </w:p>
              </w:tc>
              <w:tc>
                <w:tcPr>
                  <w:tcW w:w="800" w:type="dxa"/>
                  <w:tcBorders>
                    <w:tl2br w:val="nil"/>
                    <w:tr2bl w:val="nil"/>
                  </w:tcBorders>
                  <w:vAlign w:val="center"/>
                </w:tcPr>
                <w:p>
                  <w:pPr>
                    <w:adjustRightInd w:val="0"/>
                    <w:snapToGrid w:val="0"/>
                    <w:jc w:val="center"/>
                    <w:rPr>
                      <w:sz w:val="18"/>
                      <w:szCs w:val="18"/>
                    </w:rPr>
                  </w:pPr>
                  <w:r>
                    <w:rPr>
                      <w:rFonts w:hint="eastAsia"/>
                      <w:sz w:val="18"/>
                      <w:szCs w:val="18"/>
                    </w:rPr>
                    <w:t>不涉及</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548" w:type="dxa"/>
                  <w:vMerge w:val="continue"/>
                  <w:tcBorders>
                    <w:tl2br w:val="nil"/>
                    <w:tr2bl w:val="nil"/>
                  </w:tcBorders>
                  <w:vAlign w:val="center"/>
                </w:tcPr>
                <w:p>
                  <w:pPr>
                    <w:adjustRightInd w:val="0"/>
                    <w:snapToGrid w:val="0"/>
                    <w:jc w:val="center"/>
                    <w:rPr>
                      <w:sz w:val="18"/>
                      <w:szCs w:val="18"/>
                    </w:rPr>
                  </w:pPr>
                </w:p>
              </w:tc>
              <w:tc>
                <w:tcPr>
                  <w:tcW w:w="798" w:type="dxa"/>
                  <w:gridSpan w:val="2"/>
                  <w:vMerge w:val="continue"/>
                  <w:tcBorders>
                    <w:tl2br w:val="nil"/>
                    <w:tr2bl w:val="nil"/>
                  </w:tcBorders>
                  <w:vAlign w:val="center"/>
                </w:tcPr>
                <w:p>
                  <w:pPr>
                    <w:adjustRightInd w:val="0"/>
                    <w:snapToGrid w:val="0"/>
                    <w:jc w:val="center"/>
                    <w:rPr>
                      <w:sz w:val="18"/>
                      <w:szCs w:val="18"/>
                    </w:rPr>
                  </w:pPr>
                </w:p>
              </w:tc>
              <w:tc>
                <w:tcPr>
                  <w:tcW w:w="6879" w:type="dxa"/>
                  <w:gridSpan w:val="2"/>
                  <w:tcBorders>
                    <w:tl2br w:val="nil"/>
                    <w:tr2bl w:val="nil"/>
                  </w:tcBorders>
                  <w:vAlign w:val="center"/>
                </w:tcPr>
                <w:p>
                  <w:pPr>
                    <w:adjustRightInd w:val="0"/>
                    <w:snapToGrid w:val="0"/>
                    <w:jc w:val="left"/>
                    <w:rPr>
                      <w:sz w:val="18"/>
                      <w:szCs w:val="18"/>
                    </w:rPr>
                  </w:pPr>
                  <w:r>
                    <w:rPr>
                      <w:sz w:val="18"/>
                      <w:szCs w:val="18"/>
                    </w:rPr>
                    <w:t>巩固城市饮用水水源保护与治理成果，加强饮用水水源地规范化建设，完善风险防控与应急能力建设和相关管理措施，保证饮用水水源水质达标和水源安全。</w:t>
                  </w:r>
                </w:p>
              </w:tc>
              <w:tc>
                <w:tcPr>
                  <w:tcW w:w="3406" w:type="dxa"/>
                  <w:tcBorders>
                    <w:tl2br w:val="nil"/>
                    <w:tr2bl w:val="nil"/>
                  </w:tcBorders>
                  <w:vAlign w:val="center"/>
                </w:tcPr>
                <w:p>
                  <w:pPr>
                    <w:adjustRightInd w:val="0"/>
                    <w:snapToGrid w:val="0"/>
                    <w:jc w:val="left"/>
                    <w:rPr>
                      <w:sz w:val="18"/>
                      <w:szCs w:val="18"/>
                    </w:rPr>
                  </w:pPr>
                  <w:r>
                    <w:rPr>
                      <w:sz w:val="18"/>
                      <w:szCs w:val="18"/>
                    </w:rPr>
                    <w:t>项目不涉及饮用水水源地。</w:t>
                  </w:r>
                </w:p>
              </w:tc>
              <w:tc>
                <w:tcPr>
                  <w:tcW w:w="800" w:type="dxa"/>
                  <w:tcBorders>
                    <w:tl2br w:val="nil"/>
                    <w:tr2bl w:val="nil"/>
                  </w:tcBorders>
                  <w:vAlign w:val="center"/>
                </w:tcPr>
                <w:p>
                  <w:pPr>
                    <w:adjustRightInd w:val="0"/>
                    <w:snapToGrid w:val="0"/>
                    <w:jc w:val="center"/>
                    <w:rPr>
                      <w:sz w:val="18"/>
                      <w:szCs w:val="18"/>
                    </w:rPr>
                  </w:pPr>
                  <w:r>
                    <w:rPr>
                      <w:rFonts w:hint="eastAsia"/>
                      <w:sz w:val="18"/>
                      <w:szCs w:val="18"/>
                    </w:rPr>
                    <w:t>不涉及</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548" w:type="dxa"/>
                  <w:vMerge w:val="continue"/>
                  <w:tcBorders>
                    <w:tl2br w:val="nil"/>
                    <w:tr2bl w:val="nil"/>
                  </w:tcBorders>
                  <w:vAlign w:val="center"/>
                </w:tcPr>
                <w:p>
                  <w:pPr>
                    <w:adjustRightInd w:val="0"/>
                    <w:snapToGrid w:val="0"/>
                    <w:jc w:val="center"/>
                    <w:rPr>
                      <w:sz w:val="18"/>
                      <w:szCs w:val="18"/>
                    </w:rPr>
                  </w:pPr>
                </w:p>
              </w:tc>
              <w:tc>
                <w:tcPr>
                  <w:tcW w:w="798" w:type="dxa"/>
                  <w:gridSpan w:val="2"/>
                  <w:vMerge w:val="restart"/>
                  <w:tcBorders>
                    <w:tl2br w:val="nil"/>
                    <w:tr2bl w:val="nil"/>
                  </w:tcBorders>
                  <w:vAlign w:val="center"/>
                </w:tcPr>
                <w:p>
                  <w:pPr>
                    <w:adjustRightInd w:val="0"/>
                    <w:snapToGrid w:val="0"/>
                    <w:jc w:val="center"/>
                    <w:rPr>
                      <w:sz w:val="18"/>
                      <w:szCs w:val="18"/>
                    </w:rPr>
                  </w:pPr>
                  <w:r>
                    <w:rPr>
                      <w:sz w:val="18"/>
                      <w:szCs w:val="18"/>
                    </w:rPr>
                    <w:t>资源利用要求</w:t>
                  </w:r>
                </w:p>
              </w:tc>
              <w:tc>
                <w:tcPr>
                  <w:tcW w:w="6879" w:type="dxa"/>
                  <w:gridSpan w:val="2"/>
                  <w:tcBorders>
                    <w:tl2br w:val="nil"/>
                    <w:tr2bl w:val="nil"/>
                  </w:tcBorders>
                  <w:vAlign w:val="center"/>
                </w:tcPr>
                <w:p>
                  <w:pPr>
                    <w:adjustRightInd w:val="0"/>
                    <w:snapToGrid w:val="0"/>
                    <w:jc w:val="left"/>
                    <w:rPr>
                      <w:sz w:val="18"/>
                      <w:szCs w:val="18"/>
                    </w:rPr>
                  </w:pPr>
                  <w:r>
                    <w:rPr>
                      <w:sz w:val="18"/>
                      <w:szCs w:val="18"/>
                    </w:rPr>
                    <w:t>推动园区串联用水，分质用水、一水多用和循环利用，提高水资源利用率，建设节水型园区。火电、钢铁、造纸、化工、粮食深加工等重点行业应推广实施节水改造和污水深度处理。鼓励钢铁、火电、纺织印染、造纸、石油石化、化工、制革等高耗水企业废水深度处理回用。</w:t>
                  </w:r>
                </w:p>
              </w:tc>
              <w:tc>
                <w:tcPr>
                  <w:tcW w:w="3406" w:type="dxa"/>
                  <w:tcBorders>
                    <w:tl2br w:val="nil"/>
                    <w:tr2bl w:val="nil"/>
                  </w:tcBorders>
                  <w:vAlign w:val="center"/>
                </w:tcPr>
                <w:p>
                  <w:pPr>
                    <w:adjustRightInd w:val="0"/>
                    <w:snapToGrid w:val="0"/>
                    <w:jc w:val="left"/>
                    <w:rPr>
                      <w:sz w:val="18"/>
                      <w:szCs w:val="18"/>
                    </w:rPr>
                  </w:pPr>
                  <w:r>
                    <w:rPr>
                      <w:sz w:val="18"/>
                      <w:szCs w:val="18"/>
                    </w:rPr>
                    <w:t>项目建址位于吉林柳河经济开发区柳河赵氏木业有限公司院内，不属于火电、钢铁、造纸、化工、粮食深加工等重点行业。不属于钢铁、火电、纺织印染、造纸、石油石化、化工、制革等高耗水企业。</w:t>
                  </w:r>
                </w:p>
              </w:tc>
              <w:tc>
                <w:tcPr>
                  <w:tcW w:w="800" w:type="dxa"/>
                  <w:tcBorders>
                    <w:tl2br w:val="nil"/>
                    <w:tr2bl w:val="nil"/>
                  </w:tcBorders>
                  <w:vAlign w:val="center"/>
                </w:tcPr>
                <w:p>
                  <w:pPr>
                    <w:adjustRightInd w:val="0"/>
                    <w:snapToGrid w:val="0"/>
                    <w:jc w:val="center"/>
                    <w:rPr>
                      <w:sz w:val="18"/>
                      <w:szCs w:val="18"/>
                    </w:rPr>
                  </w:pPr>
                  <w:r>
                    <w:rPr>
                      <w:rFonts w:hint="eastAsia"/>
                      <w:sz w:val="18"/>
                      <w:szCs w:val="18"/>
                    </w:rPr>
                    <w:t>不涉及</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548" w:type="dxa"/>
                  <w:vMerge w:val="continue"/>
                  <w:tcBorders>
                    <w:tl2br w:val="nil"/>
                    <w:tr2bl w:val="nil"/>
                  </w:tcBorders>
                  <w:vAlign w:val="center"/>
                </w:tcPr>
                <w:p>
                  <w:pPr>
                    <w:adjustRightInd w:val="0"/>
                    <w:snapToGrid w:val="0"/>
                    <w:jc w:val="center"/>
                    <w:rPr>
                      <w:sz w:val="18"/>
                      <w:szCs w:val="18"/>
                    </w:rPr>
                  </w:pPr>
                </w:p>
              </w:tc>
              <w:tc>
                <w:tcPr>
                  <w:tcW w:w="798" w:type="dxa"/>
                  <w:gridSpan w:val="2"/>
                  <w:vMerge w:val="continue"/>
                  <w:tcBorders>
                    <w:tl2br w:val="nil"/>
                    <w:tr2bl w:val="nil"/>
                  </w:tcBorders>
                  <w:vAlign w:val="center"/>
                </w:tcPr>
                <w:p>
                  <w:pPr>
                    <w:adjustRightInd w:val="0"/>
                    <w:snapToGrid w:val="0"/>
                    <w:jc w:val="center"/>
                    <w:rPr>
                      <w:sz w:val="18"/>
                      <w:szCs w:val="18"/>
                    </w:rPr>
                  </w:pPr>
                </w:p>
              </w:tc>
              <w:tc>
                <w:tcPr>
                  <w:tcW w:w="6879" w:type="dxa"/>
                  <w:gridSpan w:val="2"/>
                  <w:tcBorders>
                    <w:tl2br w:val="nil"/>
                    <w:tr2bl w:val="nil"/>
                  </w:tcBorders>
                  <w:vAlign w:val="center"/>
                </w:tcPr>
                <w:p>
                  <w:pPr>
                    <w:adjustRightInd w:val="0"/>
                    <w:snapToGrid w:val="0"/>
                    <w:jc w:val="left"/>
                    <w:rPr>
                      <w:sz w:val="18"/>
                      <w:szCs w:val="18"/>
                    </w:rPr>
                  </w:pPr>
                  <w:r>
                    <w:rPr>
                      <w:sz w:val="18"/>
                      <w:szCs w:val="18"/>
                    </w:rPr>
                    <w:t>按照《中华人民共和国黑土地保护法》《吉林省黑土地保护条例》实施黑土地保护，加大黑土区水土流失治理力度，发展保护性耕作，促进黑土地可持续发展。</w:t>
                  </w:r>
                </w:p>
              </w:tc>
              <w:tc>
                <w:tcPr>
                  <w:tcW w:w="3406" w:type="dxa"/>
                  <w:tcBorders>
                    <w:tl2br w:val="nil"/>
                    <w:tr2bl w:val="nil"/>
                  </w:tcBorders>
                  <w:vAlign w:val="center"/>
                </w:tcPr>
                <w:p>
                  <w:pPr>
                    <w:adjustRightInd w:val="0"/>
                    <w:snapToGrid w:val="0"/>
                    <w:jc w:val="left"/>
                    <w:rPr>
                      <w:sz w:val="18"/>
                      <w:szCs w:val="18"/>
                    </w:rPr>
                  </w:pPr>
                  <w:r>
                    <w:rPr>
                      <w:sz w:val="18"/>
                      <w:szCs w:val="18"/>
                    </w:rPr>
                    <w:t>项目不占用黑土地。</w:t>
                  </w:r>
                </w:p>
              </w:tc>
              <w:tc>
                <w:tcPr>
                  <w:tcW w:w="800" w:type="dxa"/>
                  <w:tcBorders>
                    <w:tl2br w:val="nil"/>
                    <w:tr2bl w:val="nil"/>
                  </w:tcBorders>
                  <w:vAlign w:val="center"/>
                </w:tcPr>
                <w:p>
                  <w:pPr>
                    <w:adjustRightInd w:val="0"/>
                    <w:snapToGrid w:val="0"/>
                    <w:jc w:val="center"/>
                    <w:rPr>
                      <w:sz w:val="18"/>
                      <w:szCs w:val="18"/>
                    </w:rPr>
                  </w:pPr>
                  <w:r>
                    <w:rPr>
                      <w:rFonts w:hint="eastAsia"/>
                      <w:sz w:val="18"/>
                      <w:szCs w:val="18"/>
                    </w:rPr>
                    <w:t>不涉及</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548" w:type="dxa"/>
                  <w:vMerge w:val="continue"/>
                  <w:tcBorders>
                    <w:tl2br w:val="nil"/>
                    <w:tr2bl w:val="nil"/>
                  </w:tcBorders>
                  <w:vAlign w:val="center"/>
                </w:tcPr>
                <w:p>
                  <w:pPr>
                    <w:adjustRightInd w:val="0"/>
                    <w:snapToGrid w:val="0"/>
                    <w:jc w:val="center"/>
                    <w:rPr>
                      <w:sz w:val="18"/>
                      <w:szCs w:val="18"/>
                    </w:rPr>
                  </w:pPr>
                </w:p>
              </w:tc>
              <w:tc>
                <w:tcPr>
                  <w:tcW w:w="798" w:type="dxa"/>
                  <w:gridSpan w:val="2"/>
                  <w:vMerge w:val="continue"/>
                  <w:tcBorders>
                    <w:tl2br w:val="nil"/>
                    <w:tr2bl w:val="nil"/>
                  </w:tcBorders>
                  <w:vAlign w:val="center"/>
                </w:tcPr>
                <w:p>
                  <w:pPr>
                    <w:adjustRightInd w:val="0"/>
                    <w:snapToGrid w:val="0"/>
                    <w:jc w:val="center"/>
                    <w:rPr>
                      <w:sz w:val="18"/>
                      <w:szCs w:val="18"/>
                    </w:rPr>
                  </w:pPr>
                </w:p>
              </w:tc>
              <w:tc>
                <w:tcPr>
                  <w:tcW w:w="6879" w:type="dxa"/>
                  <w:gridSpan w:val="2"/>
                  <w:tcBorders>
                    <w:tl2br w:val="nil"/>
                    <w:tr2bl w:val="nil"/>
                  </w:tcBorders>
                  <w:vAlign w:val="center"/>
                </w:tcPr>
                <w:p>
                  <w:pPr>
                    <w:adjustRightInd w:val="0"/>
                    <w:snapToGrid w:val="0"/>
                    <w:jc w:val="left"/>
                    <w:rPr>
                      <w:sz w:val="18"/>
                      <w:szCs w:val="18"/>
                    </w:rPr>
                  </w:pPr>
                  <w:r>
                    <w:rPr>
                      <w:sz w:val="18"/>
                      <w:szCs w:val="18"/>
                    </w:rPr>
                    <w:t>严格控制煤炭消费。制定煤炭消费总量控制目标，规范实行煤炭消费控制目标管理和减量（等量）替代管理。</w:t>
                  </w:r>
                </w:p>
              </w:tc>
              <w:tc>
                <w:tcPr>
                  <w:tcW w:w="3406" w:type="dxa"/>
                  <w:tcBorders>
                    <w:tl2br w:val="nil"/>
                    <w:tr2bl w:val="nil"/>
                  </w:tcBorders>
                  <w:vAlign w:val="center"/>
                </w:tcPr>
                <w:p>
                  <w:pPr>
                    <w:adjustRightInd w:val="0"/>
                    <w:snapToGrid w:val="0"/>
                    <w:jc w:val="left"/>
                    <w:rPr>
                      <w:sz w:val="18"/>
                      <w:szCs w:val="18"/>
                    </w:rPr>
                  </w:pPr>
                  <w:r>
                    <w:rPr>
                      <w:sz w:val="18"/>
                      <w:szCs w:val="18"/>
                    </w:rPr>
                    <w:t>项目不涉及使用煤炭。</w:t>
                  </w:r>
                </w:p>
              </w:tc>
              <w:tc>
                <w:tcPr>
                  <w:tcW w:w="800" w:type="dxa"/>
                  <w:tcBorders>
                    <w:tl2br w:val="nil"/>
                    <w:tr2bl w:val="nil"/>
                  </w:tcBorders>
                  <w:vAlign w:val="center"/>
                </w:tcPr>
                <w:p>
                  <w:pPr>
                    <w:adjustRightInd w:val="0"/>
                    <w:snapToGrid w:val="0"/>
                    <w:jc w:val="center"/>
                    <w:rPr>
                      <w:sz w:val="18"/>
                      <w:szCs w:val="18"/>
                    </w:rPr>
                  </w:pPr>
                  <w:r>
                    <w:rPr>
                      <w:rFonts w:hint="eastAsia"/>
                      <w:sz w:val="18"/>
                      <w:szCs w:val="18"/>
                    </w:rPr>
                    <w:t>不涉及</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548" w:type="dxa"/>
                  <w:vMerge w:val="continue"/>
                  <w:tcBorders>
                    <w:tl2br w:val="nil"/>
                    <w:tr2bl w:val="nil"/>
                  </w:tcBorders>
                  <w:vAlign w:val="center"/>
                </w:tcPr>
                <w:p>
                  <w:pPr>
                    <w:adjustRightInd w:val="0"/>
                    <w:snapToGrid w:val="0"/>
                    <w:jc w:val="center"/>
                    <w:rPr>
                      <w:sz w:val="18"/>
                      <w:szCs w:val="18"/>
                    </w:rPr>
                  </w:pPr>
                </w:p>
              </w:tc>
              <w:tc>
                <w:tcPr>
                  <w:tcW w:w="798" w:type="dxa"/>
                  <w:gridSpan w:val="2"/>
                  <w:vMerge w:val="continue"/>
                  <w:tcBorders>
                    <w:tl2br w:val="nil"/>
                    <w:tr2bl w:val="nil"/>
                  </w:tcBorders>
                  <w:vAlign w:val="center"/>
                </w:tcPr>
                <w:p>
                  <w:pPr>
                    <w:adjustRightInd w:val="0"/>
                    <w:snapToGrid w:val="0"/>
                    <w:jc w:val="center"/>
                    <w:rPr>
                      <w:sz w:val="18"/>
                      <w:szCs w:val="18"/>
                    </w:rPr>
                  </w:pPr>
                </w:p>
              </w:tc>
              <w:tc>
                <w:tcPr>
                  <w:tcW w:w="6879" w:type="dxa"/>
                  <w:gridSpan w:val="2"/>
                  <w:tcBorders>
                    <w:tl2br w:val="nil"/>
                    <w:tr2bl w:val="nil"/>
                  </w:tcBorders>
                  <w:vAlign w:val="center"/>
                </w:tcPr>
                <w:p>
                  <w:pPr>
                    <w:adjustRightInd w:val="0"/>
                    <w:snapToGrid w:val="0"/>
                    <w:jc w:val="left"/>
                    <w:rPr>
                      <w:sz w:val="18"/>
                      <w:szCs w:val="18"/>
                    </w:rPr>
                  </w:pPr>
                  <w:r>
                    <w:rPr>
                      <w:sz w:val="18"/>
                      <w:szCs w:val="18"/>
                    </w:rPr>
                    <w:t>高污染燃料禁燃区内，禁止销售、燃用高污染燃料；禁止新建、扩建燃用高污染燃料的设施。</w:t>
                  </w:r>
                </w:p>
              </w:tc>
              <w:tc>
                <w:tcPr>
                  <w:tcW w:w="3406" w:type="dxa"/>
                  <w:tcBorders>
                    <w:tl2br w:val="nil"/>
                    <w:tr2bl w:val="nil"/>
                  </w:tcBorders>
                  <w:vAlign w:val="center"/>
                </w:tcPr>
                <w:p>
                  <w:pPr>
                    <w:adjustRightInd w:val="0"/>
                    <w:snapToGrid w:val="0"/>
                    <w:jc w:val="left"/>
                    <w:rPr>
                      <w:sz w:val="18"/>
                      <w:szCs w:val="18"/>
                    </w:rPr>
                  </w:pPr>
                  <w:r>
                    <w:rPr>
                      <w:sz w:val="18"/>
                      <w:szCs w:val="18"/>
                      <w:u w:val="single"/>
                    </w:rPr>
                    <w:t>项目地理位置不属于高污染燃料禁燃区。</w:t>
                  </w:r>
                </w:p>
              </w:tc>
              <w:tc>
                <w:tcPr>
                  <w:tcW w:w="800" w:type="dxa"/>
                  <w:tcBorders>
                    <w:tl2br w:val="nil"/>
                    <w:tr2bl w:val="nil"/>
                  </w:tcBorders>
                  <w:vAlign w:val="center"/>
                </w:tcPr>
                <w:p>
                  <w:pPr>
                    <w:adjustRightInd w:val="0"/>
                    <w:snapToGrid w:val="0"/>
                    <w:jc w:val="center"/>
                    <w:rPr>
                      <w:sz w:val="18"/>
                      <w:szCs w:val="18"/>
                    </w:rPr>
                  </w:pPr>
                  <w:r>
                    <w:rPr>
                      <w:rFonts w:hint="eastAsia"/>
                      <w:sz w:val="18"/>
                      <w:szCs w:val="18"/>
                    </w:rPr>
                    <w:t>不涉及</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548" w:type="dxa"/>
                  <w:vMerge w:val="restart"/>
                  <w:tcBorders>
                    <w:tl2br w:val="nil"/>
                    <w:tr2bl w:val="nil"/>
                  </w:tcBorders>
                  <w:vAlign w:val="center"/>
                </w:tcPr>
                <w:p>
                  <w:pPr>
                    <w:adjustRightInd w:val="0"/>
                    <w:snapToGrid w:val="0"/>
                    <w:jc w:val="center"/>
                    <w:rPr>
                      <w:sz w:val="18"/>
                      <w:szCs w:val="18"/>
                    </w:rPr>
                  </w:pPr>
                  <w:r>
                    <w:rPr>
                      <w:sz w:val="18"/>
                      <w:szCs w:val="18"/>
                    </w:rPr>
                    <w:t>通化市准入</w:t>
                  </w:r>
                </w:p>
              </w:tc>
              <w:tc>
                <w:tcPr>
                  <w:tcW w:w="785" w:type="dxa"/>
                  <w:vMerge w:val="restart"/>
                  <w:tcBorders>
                    <w:tl2br w:val="nil"/>
                    <w:tr2bl w:val="nil"/>
                  </w:tcBorders>
                  <w:vAlign w:val="center"/>
                </w:tcPr>
                <w:p>
                  <w:pPr>
                    <w:adjustRightInd w:val="0"/>
                    <w:snapToGrid w:val="0"/>
                    <w:jc w:val="center"/>
                    <w:rPr>
                      <w:sz w:val="18"/>
                      <w:szCs w:val="18"/>
                    </w:rPr>
                  </w:pPr>
                  <w:r>
                    <w:rPr>
                      <w:sz w:val="18"/>
                      <w:szCs w:val="18"/>
                    </w:rPr>
                    <w:t>空间布局约束</w:t>
                  </w:r>
                </w:p>
              </w:tc>
              <w:tc>
                <w:tcPr>
                  <w:tcW w:w="6892" w:type="dxa"/>
                  <w:gridSpan w:val="3"/>
                  <w:tcBorders>
                    <w:tl2br w:val="nil"/>
                    <w:tr2bl w:val="nil"/>
                  </w:tcBorders>
                  <w:vAlign w:val="center"/>
                </w:tcPr>
                <w:p>
                  <w:pPr>
                    <w:adjustRightInd w:val="0"/>
                    <w:snapToGrid w:val="0"/>
                    <w:jc w:val="left"/>
                    <w:rPr>
                      <w:sz w:val="18"/>
                      <w:szCs w:val="18"/>
                    </w:rPr>
                  </w:pPr>
                  <w:r>
                    <w:rPr>
                      <w:sz w:val="18"/>
                      <w:szCs w:val="18"/>
                    </w:rPr>
                    <w:t>加快推进城镇人口密集区和环境敏感区域的危险化学品生产企业搬迁入园或转产关闭工作。</w:t>
                  </w:r>
                </w:p>
              </w:tc>
              <w:tc>
                <w:tcPr>
                  <w:tcW w:w="3406" w:type="dxa"/>
                  <w:tcBorders>
                    <w:tl2br w:val="nil"/>
                    <w:tr2bl w:val="nil"/>
                  </w:tcBorders>
                  <w:vAlign w:val="center"/>
                </w:tcPr>
                <w:p>
                  <w:pPr>
                    <w:adjustRightInd w:val="0"/>
                    <w:snapToGrid w:val="0"/>
                    <w:jc w:val="left"/>
                    <w:rPr>
                      <w:sz w:val="18"/>
                      <w:szCs w:val="18"/>
                    </w:rPr>
                  </w:pPr>
                  <w:r>
                    <w:rPr>
                      <w:sz w:val="18"/>
                      <w:szCs w:val="18"/>
                    </w:rPr>
                    <w:t>本项目不涉及。</w:t>
                  </w:r>
                </w:p>
              </w:tc>
              <w:tc>
                <w:tcPr>
                  <w:tcW w:w="800" w:type="dxa"/>
                  <w:tcBorders>
                    <w:tl2br w:val="nil"/>
                    <w:tr2bl w:val="nil"/>
                  </w:tcBorders>
                  <w:vAlign w:val="center"/>
                </w:tcPr>
                <w:p>
                  <w:pPr>
                    <w:adjustRightInd w:val="0"/>
                    <w:snapToGrid w:val="0"/>
                    <w:jc w:val="center"/>
                    <w:rPr>
                      <w:sz w:val="18"/>
                      <w:szCs w:val="18"/>
                    </w:rPr>
                  </w:pPr>
                  <w:r>
                    <w:rPr>
                      <w:rFonts w:hint="eastAsia"/>
                      <w:sz w:val="18"/>
                      <w:szCs w:val="18"/>
                    </w:rPr>
                    <w:t>不涉及</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548" w:type="dxa"/>
                  <w:vMerge w:val="continue"/>
                  <w:tcBorders>
                    <w:tl2br w:val="nil"/>
                    <w:tr2bl w:val="nil"/>
                  </w:tcBorders>
                  <w:vAlign w:val="center"/>
                </w:tcPr>
                <w:p>
                  <w:pPr>
                    <w:adjustRightInd w:val="0"/>
                    <w:snapToGrid w:val="0"/>
                    <w:jc w:val="center"/>
                    <w:rPr>
                      <w:sz w:val="18"/>
                      <w:szCs w:val="18"/>
                    </w:rPr>
                  </w:pPr>
                </w:p>
              </w:tc>
              <w:tc>
                <w:tcPr>
                  <w:tcW w:w="785" w:type="dxa"/>
                  <w:vMerge w:val="continue"/>
                  <w:tcBorders>
                    <w:tl2br w:val="nil"/>
                    <w:tr2bl w:val="nil"/>
                  </w:tcBorders>
                  <w:vAlign w:val="center"/>
                </w:tcPr>
                <w:p>
                  <w:pPr>
                    <w:adjustRightInd w:val="0"/>
                    <w:snapToGrid w:val="0"/>
                    <w:jc w:val="center"/>
                    <w:rPr>
                      <w:sz w:val="18"/>
                      <w:szCs w:val="18"/>
                    </w:rPr>
                  </w:pPr>
                </w:p>
              </w:tc>
              <w:tc>
                <w:tcPr>
                  <w:tcW w:w="6892" w:type="dxa"/>
                  <w:gridSpan w:val="3"/>
                  <w:tcBorders>
                    <w:tl2br w:val="nil"/>
                    <w:tr2bl w:val="nil"/>
                  </w:tcBorders>
                  <w:vAlign w:val="center"/>
                </w:tcPr>
                <w:p>
                  <w:pPr>
                    <w:adjustRightInd w:val="0"/>
                    <w:snapToGrid w:val="0"/>
                    <w:jc w:val="left"/>
                    <w:rPr>
                      <w:sz w:val="18"/>
                      <w:szCs w:val="18"/>
                    </w:rPr>
                  </w:pPr>
                  <w:r>
                    <w:rPr>
                      <w:sz w:val="18"/>
                      <w:szCs w:val="18"/>
                    </w:rPr>
                    <w:t>禁止在下列林地的采伐迹地种植人参：（1）自然保护区、森林公园、景区及其附近林地；（2）江河源头和两岸林地；（3）水库、湖泊周围等生态重要区位林地；（4）国道、省道、县道两侧第一层山脊内林地；（5）坡度在25度以上的林地；（6）山脊、沟壑等林地；（7）不符合人参种植标准和要求的其他林地。</w:t>
                  </w:r>
                </w:p>
              </w:tc>
              <w:tc>
                <w:tcPr>
                  <w:tcW w:w="3406" w:type="dxa"/>
                  <w:tcBorders>
                    <w:tl2br w:val="nil"/>
                    <w:tr2bl w:val="nil"/>
                  </w:tcBorders>
                  <w:vAlign w:val="center"/>
                </w:tcPr>
                <w:p>
                  <w:pPr>
                    <w:adjustRightInd w:val="0"/>
                    <w:snapToGrid w:val="0"/>
                    <w:jc w:val="left"/>
                    <w:rPr>
                      <w:sz w:val="18"/>
                      <w:szCs w:val="18"/>
                    </w:rPr>
                  </w:pPr>
                  <w:r>
                    <w:rPr>
                      <w:sz w:val="18"/>
                      <w:szCs w:val="18"/>
                    </w:rPr>
                    <w:t>本项目不涉及。</w:t>
                  </w:r>
                </w:p>
              </w:tc>
              <w:tc>
                <w:tcPr>
                  <w:tcW w:w="800" w:type="dxa"/>
                  <w:tcBorders>
                    <w:tl2br w:val="nil"/>
                    <w:tr2bl w:val="nil"/>
                  </w:tcBorders>
                  <w:vAlign w:val="center"/>
                </w:tcPr>
                <w:p>
                  <w:pPr>
                    <w:adjustRightInd w:val="0"/>
                    <w:snapToGrid w:val="0"/>
                    <w:jc w:val="center"/>
                    <w:rPr>
                      <w:sz w:val="18"/>
                      <w:szCs w:val="18"/>
                    </w:rPr>
                  </w:pPr>
                  <w:r>
                    <w:rPr>
                      <w:rFonts w:hint="eastAsia"/>
                      <w:sz w:val="18"/>
                      <w:szCs w:val="18"/>
                    </w:rPr>
                    <w:t>不涉及</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548" w:type="dxa"/>
                  <w:vMerge w:val="continue"/>
                  <w:tcBorders>
                    <w:tl2br w:val="nil"/>
                    <w:tr2bl w:val="nil"/>
                  </w:tcBorders>
                  <w:vAlign w:val="center"/>
                </w:tcPr>
                <w:p>
                  <w:pPr>
                    <w:adjustRightInd w:val="0"/>
                    <w:snapToGrid w:val="0"/>
                    <w:jc w:val="center"/>
                    <w:rPr>
                      <w:sz w:val="18"/>
                      <w:szCs w:val="18"/>
                    </w:rPr>
                  </w:pPr>
                </w:p>
              </w:tc>
              <w:tc>
                <w:tcPr>
                  <w:tcW w:w="785" w:type="dxa"/>
                  <w:vMerge w:val="restart"/>
                  <w:tcBorders>
                    <w:tl2br w:val="nil"/>
                    <w:tr2bl w:val="nil"/>
                  </w:tcBorders>
                  <w:vAlign w:val="center"/>
                </w:tcPr>
                <w:p>
                  <w:pPr>
                    <w:adjustRightInd w:val="0"/>
                    <w:snapToGrid w:val="0"/>
                    <w:jc w:val="center"/>
                    <w:rPr>
                      <w:sz w:val="18"/>
                      <w:szCs w:val="18"/>
                    </w:rPr>
                  </w:pPr>
                  <w:r>
                    <w:rPr>
                      <w:sz w:val="18"/>
                      <w:szCs w:val="18"/>
                    </w:rPr>
                    <w:t>污染物</w:t>
                  </w:r>
                </w:p>
                <w:p>
                  <w:pPr>
                    <w:adjustRightInd w:val="0"/>
                    <w:snapToGrid w:val="0"/>
                    <w:jc w:val="center"/>
                    <w:rPr>
                      <w:sz w:val="18"/>
                      <w:szCs w:val="18"/>
                    </w:rPr>
                  </w:pPr>
                  <w:r>
                    <w:rPr>
                      <w:sz w:val="18"/>
                      <w:szCs w:val="18"/>
                    </w:rPr>
                    <w:t>排放管控</w:t>
                  </w:r>
                </w:p>
              </w:tc>
              <w:tc>
                <w:tcPr>
                  <w:tcW w:w="593" w:type="dxa"/>
                  <w:gridSpan w:val="2"/>
                  <w:vMerge w:val="restart"/>
                  <w:tcBorders>
                    <w:tl2br w:val="nil"/>
                    <w:tr2bl w:val="nil"/>
                  </w:tcBorders>
                  <w:vAlign w:val="center"/>
                </w:tcPr>
                <w:p>
                  <w:pPr>
                    <w:adjustRightInd w:val="0"/>
                    <w:snapToGrid w:val="0"/>
                    <w:jc w:val="center"/>
                    <w:rPr>
                      <w:sz w:val="18"/>
                      <w:szCs w:val="18"/>
                    </w:rPr>
                  </w:pPr>
                  <w:r>
                    <w:rPr>
                      <w:sz w:val="18"/>
                      <w:szCs w:val="18"/>
                    </w:rPr>
                    <w:t>环境</w:t>
                  </w:r>
                </w:p>
                <w:p>
                  <w:pPr>
                    <w:adjustRightInd w:val="0"/>
                    <w:snapToGrid w:val="0"/>
                    <w:jc w:val="center"/>
                    <w:rPr>
                      <w:sz w:val="18"/>
                      <w:szCs w:val="18"/>
                    </w:rPr>
                  </w:pPr>
                  <w:r>
                    <w:rPr>
                      <w:sz w:val="18"/>
                      <w:szCs w:val="18"/>
                    </w:rPr>
                    <w:t>质量目标</w:t>
                  </w:r>
                </w:p>
              </w:tc>
              <w:tc>
                <w:tcPr>
                  <w:tcW w:w="6299" w:type="dxa"/>
                  <w:tcBorders>
                    <w:tl2br w:val="nil"/>
                    <w:tr2bl w:val="nil"/>
                  </w:tcBorders>
                  <w:vAlign w:val="center"/>
                </w:tcPr>
                <w:p>
                  <w:pPr>
                    <w:adjustRightInd w:val="0"/>
                    <w:snapToGrid w:val="0"/>
                    <w:jc w:val="left"/>
                    <w:rPr>
                      <w:sz w:val="18"/>
                      <w:szCs w:val="18"/>
                    </w:rPr>
                  </w:pPr>
                  <w:r>
                    <w:rPr>
                      <w:sz w:val="18"/>
                      <w:szCs w:val="18"/>
                    </w:rPr>
                    <w:t>大气环境质量持续改善。2025年全市PM2.5年均浓度达到25微克/立方米，优良天数比例保持在98%左右；2035年允许波动，不能恶化（沙尘影响不计入）。</w:t>
                  </w:r>
                </w:p>
              </w:tc>
              <w:tc>
                <w:tcPr>
                  <w:tcW w:w="3406" w:type="dxa"/>
                  <w:tcBorders>
                    <w:tl2br w:val="nil"/>
                    <w:tr2bl w:val="nil"/>
                  </w:tcBorders>
                  <w:vAlign w:val="center"/>
                </w:tcPr>
                <w:p>
                  <w:pPr>
                    <w:adjustRightInd w:val="0"/>
                    <w:snapToGrid w:val="0"/>
                    <w:jc w:val="left"/>
                    <w:rPr>
                      <w:sz w:val="18"/>
                      <w:szCs w:val="18"/>
                    </w:rPr>
                  </w:pPr>
                  <w:r>
                    <w:rPr>
                      <w:sz w:val="18"/>
                      <w:szCs w:val="18"/>
                      <w:u w:val="single"/>
                    </w:rPr>
                    <w:t>通化市2025年PM</w:t>
                  </w:r>
                  <w:r>
                    <w:rPr>
                      <w:sz w:val="18"/>
                      <w:szCs w:val="18"/>
                      <w:u w:val="single"/>
                      <w:vertAlign w:val="subscript"/>
                    </w:rPr>
                    <w:t>2.5</w:t>
                  </w:r>
                  <w:r>
                    <w:rPr>
                      <w:sz w:val="18"/>
                      <w:szCs w:val="18"/>
                      <w:u w:val="single"/>
                    </w:rPr>
                    <w:t>年均浓度目标为25μg/m³，优良天数比例目标为98%。根据《2025年吉林省生态环境状况公报》，通化市PM</w:t>
                  </w:r>
                  <w:r>
                    <w:rPr>
                      <w:sz w:val="18"/>
                      <w:szCs w:val="18"/>
                      <w:u w:val="single"/>
                      <w:vertAlign w:val="subscript"/>
                    </w:rPr>
                    <w:t>2.5</w:t>
                  </w:r>
                  <w:r>
                    <w:rPr>
                      <w:sz w:val="18"/>
                      <w:szCs w:val="18"/>
                      <w:u w:val="single"/>
                    </w:rPr>
                    <w:t>年均浓度为21.8μg/m³，优良天数比例为92.8%（全省均值），通化地区环境空气质量达到国家二级标准，属于达标区</w:t>
                  </w:r>
                </w:p>
              </w:tc>
              <w:tc>
                <w:tcPr>
                  <w:tcW w:w="800" w:type="dxa"/>
                  <w:tcBorders>
                    <w:tl2br w:val="nil"/>
                    <w:tr2bl w:val="nil"/>
                  </w:tcBorders>
                  <w:vAlign w:val="center"/>
                </w:tcPr>
                <w:p>
                  <w:pPr>
                    <w:adjustRightInd w:val="0"/>
                    <w:snapToGrid w:val="0"/>
                    <w:jc w:val="center"/>
                    <w:rPr>
                      <w:sz w:val="18"/>
                      <w:szCs w:val="18"/>
                    </w:rPr>
                  </w:pPr>
                  <w:r>
                    <w:rPr>
                      <w:sz w:val="18"/>
                      <w:szCs w:val="18"/>
                    </w:rPr>
                    <w:t>符合</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1548" w:type="dxa"/>
                  <w:vMerge w:val="continue"/>
                  <w:tcBorders>
                    <w:tl2br w:val="nil"/>
                    <w:tr2bl w:val="nil"/>
                  </w:tcBorders>
                  <w:vAlign w:val="center"/>
                </w:tcPr>
                <w:p>
                  <w:pPr>
                    <w:adjustRightInd w:val="0"/>
                    <w:snapToGrid w:val="0"/>
                    <w:jc w:val="center"/>
                    <w:rPr>
                      <w:sz w:val="18"/>
                      <w:szCs w:val="18"/>
                    </w:rPr>
                  </w:pPr>
                </w:p>
              </w:tc>
              <w:tc>
                <w:tcPr>
                  <w:tcW w:w="785" w:type="dxa"/>
                  <w:vMerge w:val="continue"/>
                  <w:tcBorders>
                    <w:tl2br w:val="nil"/>
                    <w:tr2bl w:val="nil"/>
                  </w:tcBorders>
                  <w:vAlign w:val="center"/>
                </w:tcPr>
                <w:p>
                  <w:pPr>
                    <w:adjustRightInd w:val="0"/>
                    <w:snapToGrid w:val="0"/>
                    <w:jc w:val="center"/>
                    <w:rPr>
                      <w:sz w:val="18"/>
                      <w:szCs w:val="18"/>
                    </w:rPr>
                  </w:pPr>
                </w:p>
              </w:tc>
              <w:tc>
                <w:tcPr>
                  <w:tcW w:w="593" w:type="dxa"/>
                  <w:gridSpan w:val="2"/>
                  <w:vMerge w:val="continue"/>
                  <w:tcBorders>
                    <w:tl2br w:val="nil"/>
                    <w:tr2bl w:val="nil"/>
                  </w:tcBorders>
                  <w:vAlign w:val="center"/>
                </w:tcPr>
                <w:p>
                  <w:pPr>
                    <w:adjustRightInd w:val="0"/>
                    <w:snapToGrid w:val="0"/>
                    <w:jc w:val="center"/>
                    <w:rPr>
                      <w:sz w:val="18"/>
                      <w:szCs w:val="18"/>
                    </w:rPr>
                  </w:pPr>
                </w:p>
              </w:tc>
              <w:tc>
                <w:tcPr>
                  <w:tcW w:w="6299" w:type="dxa"/>
                  <w:tcBorders>
                    <w:tl2br w:val="nil"/>
                    <w:tr2bl w:val="nil"/>
                  </w:tcBorders>
                  <w:vAlign w:val="center"/>
                </w:tcPr>
                <w:p>
                  <w:pPr>
                    <w:adjustRightInd w:val="0"/>
                    <w:snapToGrid w:val="0"/>
                    <w:jc w:val="left"/>
                    <w:rPr>
                      <w:sz w:val="18"/>
                      <w:szCs w:val="18"/>
                    </w:rPr>
                  </w:pPr>
                  <w:r>
                    <w:rPr>
                      <w:sz w:val="18"/>
                      <w:szCs w:val="18"/>
                    </w:rPr>
                    <w:t>水环境质量持续改善。2025年，地表水国控断面达到或优于Ⅲ类水体比例保持100%，饮用水水源地水质稳定达标。</w:t>
                  </w:r>
                </w:p>
              </w:tc>
              <w:tc>
                <w:tcPr>
                  <w:tcW w:w="3406" w:type="dxa"/>
                  <w:tcBorders>
                    <w:tl2br w:val="nil"/>
                    <w:tr2bl w:val="nil"/>
                  </w:tcBorders>
                  <w:vAlign w:val="center"/>
                </w:tcPr>
                <w:p>
                  <w:pPr>
                    <w:adjustRightInd w:val="0"/>
                    <w:snapToGrid w:val="0"/>
                    <w:jc w:val="left"/>
                    <w:rPr>
                      <w:sz w:val="18"/>
                      <w:szCs w:val="18"/>
                    </w:rPr>
                  </w:pPr>
                  <w:r>
                    <w:rPr>
                      <w:sz w:val="18"/>
                      <w:szCs w:val="18"/>
                      <w:u w:val="single"/>
                    </w:rPr>
                    <w:t>通化市2025年地表水国控断面达到或优于Ⅲ类水体比例目标为100%，饮用水水源地水质稳定达标。本项目不新增废水排放，不涉及水污染物总量指标，不会对通化市水环境质量目标造成不利影响。</w:t>
                  </w:r>
                </w:p>
              </w:tc>
              <w:tc>
                <w:tcPr>
                  <w:tcW w:w="800" w:type="dxa"/>
                  <w:tcBorders>
                    <w:tl2br w:val="nil"/>
                    <w:tr2bl w:val="nil"/>
                  </w:tcBorders>
                  <w:vAlign w:val="center"/>
                </w:tcPr>
                <w:p>
                  <w:pPr>
                    <w:adjustRightInd w:val="0"/>
                    <w:snapToGrid w:val="0"/>
                    <w:jc w:val="center"/>
                    <w:rPr>
                      <w:sz w:val="18"/>
                      <w:szCs w:val="18"/>
                    </w:rPr>
                  </w:pPr>
                  <w:r>
                    <w:rPr>
                      <w:sz w:val="18"/>
                      <w:szCs w:val="18"/>
                    </w:rPr>
                    <w:t>符合</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548" w:type="dxa"/>
                  <w:vMerge w:val="continue"/>
                  <w:tcBorders>
                    <w:tl2br w:val="nil"/>
                    <w:tr2bl w:val="nil"/>
                  </w:tcBorders>
                  <w:vAlign w:val="center"/>
                </w:tcPr>
                <w:p>
                  <w:pPr>
                    <w:adjustRightInd w:val="0"/>
                    <w:snapToGrid w:val="0"/>
                    <w:jc w:val="center"/>
                    <w:rPr>
                      <w:sz w:val="18"/>
                      <w:szCs w:val="18"/>
                    </w:rPr>
                  </w:pPr>
                </w:p>
              </w:tc>
              <w:tc>
                <w:tcPr>
                  <w:tcW w:w="785" w:type="dxa"/>
                  <w:vMerge w:val="restart"/>
                  <w:tcBorders>
                    <w:tl2br w:val="nil"/>
                    <w:tr2bl w:val="nil"/>
                  </w:tcBorders>
                  <w:vAlign w:val="center"/>
                </w:tcPr>
                <w:p>
                  <w:pPr>
                    <w:adjustRightInd w:val="0"/>
                    <w:snapToGrid w:val="0"/>
                    <w:jc w:val="center"/>
                    <w:rPr>
                      <w:sz w:val="18"/>
                      <w:szCs w:val="18"/>
                    </w:rPr>
                  </w:pPr>
                  <w:r>
                    <w:rPr>
                      <w:sz w:val="18"/>
                      <w:szCs w:val="18"/>
                    </w:rPr>
                    <w:t>资源利用要求</w:t>
                  </w:r>
                </w:p>
              </w:tc>
              <w:tc>
                <w:tcPr>
                  <w:tcW w:w="593" w:type="dxa"/>
                  <w:gridSpan w:val="2"/>
                  <w:tcBorders>
                    <w:tl2br w:val="nil"/>
                    <w:tr2bl w:val="nil"/>
                  </w:tcBorders>
                  <w:vAlign w:val="center"/>
                </w:tcPr>
                <w:p>
                  <w:pPr>
                    <w:adjustRightInd w:val="0"/>
                    <w:snapToGrid w:val="0"/>
                    <w:jc w:val="center"/>
                    <w:rPr>
                      <w:sz w:val="18"/>
                      <w:szCs w:val="18"/>
                    </w:rPr>
                  </w:pPr>
                  <w:r>
                    <w:rPr>
                      <w:sz w:val="18"/>
                      <w:szCs w:val="18"/>
                    </w:rPr>
                    <w:t>水资源</w:t>
                  </w:r>
                </w:p>
              </w:tc>
              <w:tc>
                <w:tcPr>
                  <w:tcW w:w="6299" w:type="dxa"/>
                  <w:tcBorders>
                    <w:tl2br w:val="nil"/>
                    <w:tr2bl w:val="nil"/>
                  </w:tcBorders>
                  <w:vAlign w:val="center"/>
                </w:tcPr>
                <w:p>
                  <w:pPr>
                    <w:adjustRightInd w:val="0"/>
                    <w:snapToGrid w:val="0"/>
                    <w:jc w:val="left"/>
                    <w:rPr>
                      <w:sz w:val="18"/>
                      <w:szCs w:val="18"/>
                    </w:rPr>
                  </w:pPr>
                  <w:r>
                    <w:rPr>
                      <w:sz w:val="18"/>
                      <w:szCs w:val="18"/>
                    </w:rPr>
                    <w:t>2025年用水量控制在2.24亿立方米，2035年用水量控制在4.8亿立方米。</w:t>
                  </w:r>
                </w:p>
              </w:tc>
              <w:tc>
                <w:tcPr>
                  <w:tcW w:w="3406" w:type="dxa"/>
                  <w:tcBorders>
                    <w:tl2br w:val="nil"/>
                    <w:tr2bl w:val="nil"/>
                  </w:tcBorders>
                  <w:vAlign w:val="center"/>
                </w:tcPr>
                <w:p>
                  <w:pPr>
                    <w:adjustRightInd w:val="0"/>
                    <w:snapToGrid w:val="0"/>
                    <w:jc w:val="left"/>
                    <w:rPr>
                      <w:sz w:val="18"/>
                      <w:szCs w:val="18"/>
                    </w:rPr>
                  </w:pPr>
                  <w:r>
                    <w:rPr>
                      <w:sz w:val="18"/>
                      <w:szCs w:val="18"/>
                    </w:rPr>
                    <w:t>本项目不新增劳动定员，无新增生活污水排放，不会突破区域水资源利用上线。</w:t>
                  </w:r>
                </w:p>
              </w:tc>
              <w:tc>
                <w:tcPr>
                  <w:tcW w:w="800" w:type="dxa"/>
                  <w:tcBorders>
                    <w:tl2br w:val="nil"/>
                    <w:tr2bl w:val="nil"/>
                  </w:tcBorders>
                  <w:vAlign w:val="center"/>
                </w:tcPr>
                <w:p>
                  <w:pPr>
                    <w:adjustRightInd w:val="0"/>
                    <w:snapToGrid w:val="0"/>
                    <w:jc w:val="center"/>
                    <w:rPr>
                      <w:sz w:val="18"/>
                      <w:szCs w:val="18"/>
                    </w:rPr>
                  </w:pPr>
                  <w:r>
                    <w:rPr>
                      <w:sz w:val="18"/>
                      <w:szCs w:val="18"/>
                    </w:rPr>
                    <w:t>符合</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548" w:type="dxa"/>
                  <w:vMerge w:val="continue"/>
                  <w:tcBorders>
                    <w:tl2br w:val="nil"/>
                    <w:tr2bl w:val="nil"/>
                  </w:tcBorders>
                  <w:vAlign w:val="center"/>
                </w:tcPr>
                <w:p>
                  <w:pPr>
                    <w:adjustRightInd w:val="0"/>
                    <w:snapToGrid w:val="0"/>
                    <w:jc w:val="center"/>
                    <w:rPr>
                      <w:sz w:val="18"/>
                      <w:szCs w:val="18"/>
                    </w:rPr>
                  </w:pPr>
                </w:p>
              </w:tc>
              <w:tc>
                <w:tcPr>
                  <w:tcW w:w="785" w:type="dxa"/>
                  <w:vMerge w:val="continue"/>
                  <w:tcBorders>
                    <w:tl2br w:val="nil"/>
                    <w:tr2bl w:val="nil"/>
                  </w:tcBorders>
                  <w:vAlign w:val="center"/>
                </w:tcPr>
                <w:p>
                  <w:pPr>
                    <w:adjustRightInd w:val="0"/>
                    <w:snapToGrid w:val="0"/>
                    <w:jc w:val="center"/>
                    <w:rPr>
                      <w:sz w:val="18"/>
                      <w:szCs w:val="18"/>
                    </w:rPr>
                  </w:pPr>
                </w:p>
              </w:tc>
              <w:tc>
                <w:tcPr>
                  <w:tcW w:w="593" w:type="dxa"/>
                  <w:gridSpan w:val="2"/>
                  <w:tcBorders>
                    <w:tl2br w:val="nil"/>
                    <w:tr2bl w:val="nil"/>
                  </w:tcBorders>
                  <w:vAlign w:val="center"/>
                </w:tcPr>
                <w:p>
                  <w:pPr>
                    <w:adjustRightInd w:val="0"/>
                    <w:snapToGrid w:val="0"/>
                    <w:jc w:val="center"/>
                    <w:rPr>
                      <w:sz w:val="18"/>
                      <w:szCs w:val="18"/>
                    </w:rPr>
                  </w:pPr>
                  <w:r>
                    <w:rPr>
                      <w:sz w:val="18"/>
                      <w:szCs w:val="18"/>
                    </w:rPr>
                    <w:t>土地资源</w:t>
                  </w:r>
                </w:p>
              </w:tc>
              <w:tc>
                <w:tcPr>
                  <w:tcW w:w="6299" w:type="dxa"/>
                  <w:tcBorders>
                    <w:tl2br w:val="nil"/>
                    <w:tr2bl w:val="nil"/>
                  </w:tcBorders>
                  <w:vAlign w:val="center"/>
                </w:tcPr>
                <w:p>
                  <w:pPr>
                    <w:adjustRightInd w:val="0"/>
                    <w:snapToGrid w:val="0"/>
                    <w:jc w:val="left"/>
                    <w:rPr>
                      <w:sz w:val="18"/>
                      <w:szCs w:val="18"/>
                    </w:rPr>
                  </w:pPr>
                  <w:r>
                    <w:rPr>
                      <w:sz w:val="18"/>
                      <w:szCs w:val="18"/>
                    </w:rPr>
                    <w:t>2025年耕地保有量不低于1059.01平方千米；永久基本农田保护面积不低于708.71平方千米；城镇开发边界控制在184.25平方千米以内。</w:t>
                  </w:r>
                </w:p>
              </w:tc>
              <w:tc>
                <w:tcPr>
                  <w:tcW w:w="3406" w:type="dxa"/>
                  <w:tcBorders>
                    <w:tl2br w:val="nil"/>
                    <w:tr2bl w:val="nil"/>
                  </w:tcBorders>
                  <w:vAlign w:val="center"/>
                </w:tcPr>
                <w:p>
                  <w:pPr>
                    <w:adjustRightInd w:val="0"/>
                    <w:snapToGrid w:val="0"/>
                    <w:jc w:val="left"/>
                    <w:rPr>
                      <w:sz w:val="18"/>
                      <w:szCs w:val="18"/>
                    </w:rPr>
                  </w:pPr>
                  <w:r>
                    <w:rPr>
                      <w:sz w:val="18"/>
                      <w:szCs w:val="18"/>
                    </w:rPr>
                    <w:t>本项目在原有锅炉房内进行</w:t>
                  </w:r>
                  <w:r>
                    <w:rPr>
                      <w:rFonts w:hint="eastAsia"/>
                      <w:sz w:val="18"/>
                      <w:szCs w:val="18"/>
                    </w:rPr>
                    <w:t>建设</w:t>
                  </w:r>
                  <w:r>
                    <w:rPr>
                      <w:sz w:val="18"/>
                      <w:szCs w:val="18"/>
                    </w:rPr>
                    <w:t>，不新增占地；故项目的建设不会对区域土地资源利用产生影响。</w:t>
                  </w:r>
                </w:p>
              </w:tc>
              <w:tc>
                <w:tcPr>
                  <w:tcW w:w="800" w:type="dxa"/>
                  <w:tcBorders>
                    <w:tl2br w:val="nil"/>
                    <w:tr2bl w:val="nil"/>
                  </w:tcBorders>
                  <w:vAlign w:val="center"/>
                </w:tcPr>
                <w:p>
                  <w:pPr>
                    <w:adjustRightInd w:val="0"/>
                    <w:snapToGrid w:val="0"/>
                    <w:jc w:val="center"/>
                    <w:rPr>
                      <w:sz w:val="18"/>
                      <w:szCs w:val="18"/>
                    </w:rPr>
                  </w:pPr>
                  <w:r>
                    <w:rPr>
                      <w:rFonts w:hint="eastAsia"/>
                      <w:sz w:val="18"/>
                      <w:szCs w:val="18"/>
                    </w:rPr>
                    <w:t>不涉及</w:t>
                  </w:r>
                </w:p>
              </w:tc>
            </w:tr>
          </w:tbl>
          <w:p>
            <w:pPr>
              <w:jc w:val="center"/>
              <w:rPr>
                <w:b/>
                <w:bCs/>
              </w:rPr>
            </w:pPr>
            <w:r>
              <w:rPr>
                <w:b/>
                <w:bCs/>
              </w:rPr>
              <w:t>表4  本项目“生态准入”相符性分析一览表（开发区）</w:t>
            </w:r>
          </w:p>
          <w:tbl>
            <w:tblPr>
              <w:tblStyle w:val="26"/>
              <w:tblW w:w="13431" w:type="dxa"/>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556"/>
              <w:gridCol w:w="1358"/>
              <w:gridCol w:w="6316"/>
              <w:gridCol w:w="3409"/>
              <w:gridCol w:w="792"/>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556" w:type="dxa"/>
                  <w:tcBorders>
                    <w:tl2br w:val="nil"/>
                    <w:tr2bl w:val="nil"/>
                  </w:tcBorders>
                  <w:vAlign w:val="center"/>
                </w:tcPr>
                <w:p>
                  <w:pPr>
                    <w:adjustRightInd w:val="0"/>
                    <w:snapToGrid w:val="0"/>
                    <w:jc w:val="center"/>
                    <w:rPr>
                      <w:sz w:val="18"/>
                      <w:szCs w:val="18"/>
                    </w:rPr>
                  </w:pPr>
                  <w:r>
                    <w:rPr>
                      <w:sz w:val="18"/>
                      <w:szCs w:val="18"/>
                    </w:rPr>
                    <w:t>管控领域</w:t>
                  </w:r>
                </w:p>
              </w:tc>
              <w:tc>
                <w:tcPr>
                  <w:tcW w:w="7674" w:type="dxa"/>
                  <w:gridSpan w:val="2"/>
                  <w:tcBorders>
                    <w:tl2br w:val="nil"/>
                    <w:tr2bl w:val="nil"/>
                  </w:tcBorders>
                  <w:vAlign w:val="center"/>
                </w:tcPr>
                <w:p>
                  <w:pPr>
                    <w:adjustRightInd w:val="0"/>
                    <w:snapToGrid w:val="0"/>
                    <w:jc w:val="center"/>
                    <w:rPr>
                      <w:sz w:val="18"/>
                      <w:szCs w:val="18"/>
                    </w:rPr>
                  </w:pPr>
                  <w:r>
                    <w:rPr>
                      <w:sz w:val="18"/>
                      <w:szCs w:val="18"/>
                    </w:rPr>
                    <w:t>管控要求</w:t>
                  </w:r>
                </w:p>
              </w:tc>
              <w:tc>
                <w:tcPr>
                  <w:tcW w:w="3409" w:type="dxa"/>
                  <w:tcBorders>
                    <w:tl2br w:val="nil"/>
                    <w:tr2bl w:val="nil"/>
                  </w:tcBorders>
                  <w:vAlign w:val="center"/>
                </w:tcPr>
                <w:p>
                  <w:pPr>
                    <w:adjustRightInd w:val="0"/>
                    <w:snapToGrid w:val="0"/>
                    <w:jc w:val="center"/>
                    <w:rPr>
                      <w:sz w:val="18"/>
                      <w:szCs w:val="18"/>
                    </w:rPr>
                  </w:pPr>
                  <w:r>
                    <w:rPr>
                      <w:sz w:val="18"/>
                      <w:szCs w:val="18"/>
                    </w:rPr>
                    <w:t>本项目情况</w:t>
                  </w:r>
                </w:p>
              </w:tc>
              <w:tc>
                <w:tcPr>
                  <w:tcW w:w="792" w:type="dxa"/>
                  <w:tcBorders>
                    <w:tl2br w:val="nil"/>
                    <w:tr2bl w:val="nil"/>
                  </w:tcBorders>
                  <w:vAlign w:val="center"/>
                </w:tcPr>
                <w:p>
                  <w:pPr>
                    <w:adjustRightInd w:val="0"/>
                    <w:snapToGrid w:val="0"/>
                    <w:jc w:val="center"/>
                    <w:rPr>
                      <w:sz w:val="18"/>
                      <w:szCs w:val="18"/>
                    </w:rPr>
                  </w:pPr>
                  <w:r>
                    <w:rPr>
                      <w:sz w:val="18"/>
                      <w:szCs w:val="18"/>
                    </w:rPr>
                    <w:t>符合性</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556" w:type="dxa"/>
                  <w:vMerge w:val="restart"/>
                  <w:tcBorders>
                    <w:tl2br w:val="nil"/>
                    <w:tr2bl w:val="nil"/>
                  </w:tcBorders>
                  <w:vAlign w:val="center"/>
                </w:tcPr>
                <w:p>
                  <w:pPr>
                    <w:adjustRightInd w:val="0"/>
                    <w:snapToGrid w:val="0"/>
                    <w:jc w:val="center"/>
                    <w:rPr>
                      <w:sz w:val="18"/>
                      <w:szCs w:val="18"/>
                    </w:rPr>
                  </w:pPr>
                  <w:r>
                    <w:rPr>
                      <w:sz w:val="18"/>
                      <w:szCs w:val="18"/>
                    </w:rPr>
                    <w:t>空间布局约束</w:t>
                  </w:r>
                </w:p>
              </w:tc>
              <w:tc>
                <w:tcPr>
                  <w:tcW w:w="1358" w:type="dxa"/>
                  <w:tcBorders>
                    <w:tl2br w:val="nil"/>
                    <w:tr2bl w:val="nil"/>
                  </w:tcBorders>
                  <w:vAlign w:val="center"/>
                </w:tcPr>
                <w:p>
                  <w:pPr>
                    <w:adjustRightInd w:val="0"/>
                    <w:snapToGrid w:val="0"/>
                    <w:jc w:val="center"/>
                    <w:rPr>
                      <w:sz w:val="18"/>
                      <w:szCs w:val="18"/>
                    </w:rPr>
                  </w:pPr>
                  <w:r>
                    <w:rPr>
                      <w:sz w:val="18"/>
                      <w:szCs w:val="18"/>
                    </w:rPr>
                    <w:t>允许开发建设活动</w:t>
                  </w:r>
                </w:p>
              </w:tc>
              <w:tc>
                <w:tcPr>
                  <w:tcW w:w="6316" w:type="dxa"/>
                  <w:tcBorders>
                    <w:tl2br w:val="nil"/>
                    <w:tr2bl w:val="nil"/>
                  </w:tcBorders>
                  <w:vAlign w:val="center"/>
                </w:tcPr>
                <w:p>
                  <w:pPr>
                    <w:adjustRightInd w:val="0"/>
                    <w:snapToGrid w:val="0"/>
                    <w:jc w:val="left"/>
                    <w:rPr>
                      <w:sz w:val="18"/>
                      <w:szCs w:val="18"/>
                    </w:rPr>
                  </w:pPr>
                  <w:r>
                    <w:rPr>
                      <w:sz w:val="18"/>
                      <w:szCs w:val="18"/>
                    </w:rPr>
                    <w:t>1结合功能分区划定，重点发展医药大健康产业和新材料产业，严格按照规划的产业发展方向引进项目；</w:t>
                  </w:r>
                </w:p>
                <w:p>
                  <w:pPr>
                    <w:adjustRightInd w:val="0"/>
                    <w:snapToGrid w:val="0"/>
                    <w:jc w:val="left"/>
                    <w:rPr>
                      <w:sz w:val="18"/>
                      <w:szCs w:val="18"/>
                    </w:rPr>
                  </w:pPr>
                  <w:r>
                    <w:rPr>
                      <w:sz w:val="18"/>
                      <w:szCs w:val="18"/>
                    </w:rPr>
                    <w:t>2金融创新中心：作为整个工业集中区的引擎，带动整个园区的发展，汇集金融、商业、商务、办公于一体的中心；</w:t>
                  </w:r>
                </w:p>
                <w:p>
                  <w:pPr>
                    <w:adjustRightInd w:val="0"/>
                    <w:snapToGrid w:val="0"/>
                    <w:jc w:val="left"/>
                    <w:rPr>
                      <w:sz w:val="18"/>
                      <w:szCs w:val="18"/>
                    </w:rPr>
                  </w:pPr>
                  <w:r>
                    <w:rPr>
                      <w:sz w:val="18"/>
                      <w:szCs w:val="18"/>
                    </w:rPr>
                    <w:t>3大健康综合产业园：打造柳河医药健康产业集群，规划建设集食品加工、农副产品加工、中药、生物药和化妆品等于一体的现代大健康医药产业园区；</w:t>
                  </w:r>
                </w:p>
                <w:p>
                  <w:pPr>
                    <w:adjustRightInd w:val="0"/>
                    <w:snapToGrid w:val="0"/>
                    <w:jc w:val="left"/>
                    <w:rPr>
                      <w:sz w:val="18"/>
                      <w:szCs w:val="18"/>
                    </w:rPr>
                  </w:pPr>
                  <w:r>
                    <w:rPr>
                      <w:sz w:val="18"/>
                      <w:szCs w:val="18"/>
                    </w:rPr>
                    <w:t>4科技转化产业园：将园区打造成为全省科技转化示范基地，重点打造药品研发、新能源生物质研发和葡萄酒研发为主的科技转化园区。依托国家级紫鑫药品研发中心、国家级山葡萄技术研发分中心和省级玄武岩产品质量监督检验中心等平台，集聚新技术、新产品、新业态，着力打造“大众创业、万众创新”基地；</w:t>
                  </w:r>
                </w:p>
                <w:p>
                  <w:pPr>
                    <w:adjustRightInd w:val="0"/>
                    <w:snapToGrid w:val="0"/>
                    <w:jc w:val="left"/>
                    <w:rPr>
                      <w:sz w:val="18"/>
                      <w:szCs w:val="18"/>
                    </w:rPr>
                  </w:pPr>
                  <w:r>
                    <w:rPr>
                      <w:sz w:val="18"/>
                      <w:szCs w:val="18"/>
                    </w:rPr>
                    <w:t>5综合产业园：将园区打造成为物流配送、产业加工（葡萄酒加工）等产业的综合性园区，依托便捷的对外交通条件（集双高速），大力发展仓储物流业；</w:t>
                  </w:r>
                </w:p>
                <w:p>
                  <w:pPr>
                    <w:adjustRightInd w:val="0"/>
                    <w:snapToGrid w:val="0"/>
                    <w:jc w:val="left"/>
                    <w:rPr>
                      <w:sz w:val="18"/>
                      <w:szCs w:val="18"/>
                    </w:rPr>
                  </w:pPr>
                  <w:r>
                    <w:rPr>
                      <w:sz w:val="18"/>
                      <w:szCs w:val="18"/>
                    </w:rPr>
                    <w:t>6新材料新装备产业园：将园区打造成为全省新材料新装备深加工示范基地，依托石灰石、玄武岩、秸秆等资源优势，大力发展石墨电极、大理石加工、水泥预制件和秸秆加工等相关产业，积极引进战略投资者，组织实施一批科技含量高、符合国家政策的新材料产业项目；</w:t>
                  </w:r>
                </w:p>
                <w:p>
                  <w:pPr>
                    <w:adjustRightInd w:val="0"/>
                    <w:snapToGrid w:val="0"/>
                    <w:jc w:val="left"/>
                    <w:rPr>
                      <w:sz w:val="18"/>
                      <w:szCs w:val="18"/>
                    </w:rPr>
                  </w:pPr>
                  <w:r>
                    <w:rPr>
                      <w:sz w:val="18"/>
                      <w:szCs w:val="18"/>
                    </w:rPr>
                    <w:t>7入区企业必须是符合国家产业政策和清洁生产原则，从源头削减污染，提高资源利用效率，减少或者避免生产、服务和产品使用过程中污染物的产生和排放，减轻或者消除对人类健康和环境的危害；</w:t>
                  </w:r>
                </w:p>
                <w:p>
                  <w:pPr>
                    <w:adjustRightInd w:val="0"/>
                    <w:snapToGrid w:val="0"/>
                    <w:jc w:val="left"/>
                    <w:rPr>
                      <w:sz w:val="18"/>
                      <w:szCs w:val="18"/>
                    </w:rPr>
                  </w:pPr>
                  <w:r>
                    <w:rPr>
                      <w:sz w:val="18"/>
                      <w:szCs w:val="18"/>
                    </w:rPr>
                    <w:t>8区内优先安排投资规模较大，外向度较强，科技含量较高，经济和社会效益较好的企业，并在规定期限内建成投产；</w:t>
                  </w:r>
                </w:p>
                <w:p>
                  <w:pPr>
                    <w:adjustRightInd w:val="0"/>
                    <w:snapToGrid w:val="0"/>
                    <w:jc w:val="left"/>
                    <w:rPr>
                      <w:sz w:val="18"/>
                      <w:szCs w:val="18"/>
                    </w:rPr>
                  </w:pPr>
                  <w:r>
                    <w:rPr>
                      <w:sz w:val="18"/>
                      <w:szCs w:val="18"/>
                    </w:rPr>
                    <w:t>9开发区应鼓励发展的项目类别应优先发展耗水量小、水污染较轻、能耗低项目及《产业结构调整指导目录》所规定的相关鼓励类企业。</w:t>
                  </w:r>
                </w:p>
              </w:tc>
              <w:tc>
                <w:tcPr>
                  <w:tcW w:w="3409" w:type="dxa"/>
                  <w:tcBorders>
                    <w:tl2br w:val="nil"/>
                    <w:tr2bl w:val="nil"/>
                  </w:tcBorders>
                  <w:vAlign w:val="center"/>
                </w:tcPr>
                <w:p>
                  <w:pPr>
                    <w:adjustRightInd w:val="0"/>
                    <w:snapToGrid w:val="0"/>
                    <w:jc w:val="left"/>
                    <w:rPr>
                      <w:sz w:val="18"/>
                      <w:szCs w:val="18"/>
                    </w:rPr>
                  </w:pPr>
                  <w:r>
                    <w:rPr>
                      <w:sz w:val="18"/>
                      <w:szCs w:val="18"/>
                    </w:rPr>
                    <w:t>本项目为锅炉“以新带老”工程，位于大健康综合产业园内柳河赵氏木业有限公司现有厂区，不新增用地、不扩大产能、不构成“扩建”。项目以生物质成型燃料为能源，属于《产业结构调整指导目录（2024年本）》鼓励类中“秸秆能源化利用”和“生物质能清洁供热”范畴，符合国家产业政策和清洁生产原则。项目不涉及生产生活用水，污染物排放不新增总量。</w:t>
                  </w:r>
                </w:p>
              </w:tc>
              <w:tc>
                <w:tcPr>
                  <w:tcW w:w="792" w:type="dxa"/>
                  <w:tcBorders>
                    <w:tl2br w:val="nil"/>
                    <w:tr2bl w:val="nil"/>
                  </w:tcBorders>
                  <w:vAlign w:val="center"/>
                </w:tcPr>
                <w:p>
                  <w:pPr>
                    <w:adjustRightInd w:val="0"/>
                    <w:snapToGrid w:val="0"/>
                    <w:jc w:val="center"/>
                    <w:rPr>
                      <w:sz w:val="18"/>
                      <w:szCs w:val="18"/>
                    </w:rPr>
                  </w:pPr>
                  <w:r>
                    <w:rPr>
                      <w:sz w:val="18"/>
                      <w:szCs w:val="18"/>
                    </w:rPr>
                    <w:t>符合</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556" w:type="dxa"/>
                  <w:vMerge w:val="continue"/>
                  <w:tcBorders>
                    <w:tl2br w:val="nil"/>
                    <w:tr2bl w:val="nil"/>
                  </w:tcBorders>
                  <w:vAlign w:val="center"/>
                </w:tcPr>
                <w:p>
                  <w:pPr>
                    <w:adjustRightInd w:val="0"/>
                    <w:snapToGrid w:val="0"/>
                    <w:jc w:val="center"/>
                    <w:rPr>
                      <w:sz w:val="18"/>
                      <w:szCs w:val="18"/>
                    </w:rPr>
                  </w:pPr>
                </w:p>
              </w:tc>
              <w:tc>
                <w:tcPr>
                  <w:tcW w:w="1358" w:type="dxa"/>
                  <w:tcBorders>
                    <w:tl2br w:val="nil"/>
                    <w:tr2bl w:val="nil"/>
                  </w:tcBorders>
                  <w:vAlign w:val="center"/>
                </w:tcPr>
                <w:p>
                  <w:pPr>
                    <w:adjustRightInd w:val="0"/>
                    <w:snapToGrid w:val="0"/>
                    <w:jc w:val="center"/>
                    <w:rPr>
                      <w:sz w:val="18"/>
                      <w:szCs w:val="18"/>
                    </w:rPr>
                  </w:pPr>
                  <w:r>
                    <w:rPr>
                      <w:sz w:val="18"/>
                      <w:szCs w:val="18"/>
                    </w:rPr>
                    <w:t>禁止开发建设活动</w:t>
                  </w:r>
                </w:p>
              </w:tc>
              <w:tc>
                <w:tcPr>
                  <w:tcW w:w="6316" w:type="dxa"/>
                  <w:tcBorders>
                    <w:tl2br w:val="nil"/>
                    <w:tr2bl w:val="nil"/>
                  </w:tcBorders>
                  <w:vAlign w:val="center"/>
                </w:tcPr>
                <w:p>
                  <w:pPr>
                    <w:adjustRightInd w:val="0"/>
                    <w:snapToGrid w:val="0"/>
                    <w:jc w:val="left"/>
                    <w:rPr>
                      <w:sz w:val="18"/>
                      <w:szCs w:val="18"/>
                    </w:rPr>
                  </w:pPr>
                  <w:r>
                    <w:rPr>
                      <w:sz w:val="18"/>
                      <w:szCs w:val="18"/>
                    </w:rPr>
                    <w:t>1禁止严禁引进不符合经济规模要求，经济效益差，污染严重的小钢铁、小有色金属、小铁合金、小化工、小炼油、小建材、小造纸、小制革、小电镀等“十五小”企业及“新五小”企业；</w:t>
                  </w:r>
                </w:p>
                <w:p>
                  <w:pPr>
                    <w:adjustRightInd w:val="0"/>
                    <w:snapToGrid w:val="0"/>
                    <w:jc w:val="left"/>
                    <w:rPr>
                      <w:sz w:val="18"/>
                      <w:szCs w:val="18"/>
                    </w:rPr>
                  </w:pPr>
                  <w:r>
                    <w:rPr>
                      <w:sz w:val="18"/>
                      <w:szCs w:val="18"/>
                    </w:rPr>
                    <w:t>2仓储物流：危险化学品仓储物流项目；</w:t>
                  </w:r>
                </w:p>
                <w:p>
                  <w:pPr>
                    <w:adjustRightInd w:val="0"/>
                    <w:snapToGrid w:val="0"/>
                    <w:jc w:val="left"/>
                    <w:rPr>
                      <w:sz w:val="18"/>
                      <w:szCs w:val="18"/>
                    </w:rPr>
                  </w:pPr>
                  <w:r>
                    <w:rPr>
                      <w:sz w:val="18"/>
                      <w:szCs w:val="18"/>
                    </w:rPr>
                    <w:t>3禁止新建固体废物焚烧项目；禁止新建大气及水环境污染严重的其它项目；禁止新建 20 蒸吨/小时以下的燃煤锅炉；</w:t>
                  </w:r>
                </w:p>
                <w:p>
                  <w:pPr>
                    <w:adjustRightInd w:val="0"/>
                    <w:snapToGrid w:val="0"/>
                    <w:jc w:val="left"/>
                    <w:rPr>
                      <w:sz w:val="18"/>
                      <w:szCs w:val="18"/>
                    </w:rPr>
                  </w:pPr>
                  <w:r>
                    <w:rPr>
                      <w:sz w:val="18"/>
                      <w:szCs w:val="18"/>
                    </w:rPr>
                    <w:t>4禁止《产业结构调整指导目录》中的“淘汰类”项目；禁止《外商投资产业指导目录》中禁止外商投资的项目。</w:t>
                  </w:r>
                </w:p>
              </w:tc>
              <w:tc>
                <w:tcPr>
                  <w:tcW w:w="3409" w:type="dxa"/>
                  <w:tcBorders>
                    <w:tl2br w:val="nil"/>
                    <w:tr2bl w:val="nil"/>
                  </w:tcBorders>
                  <w:vAlign w:val="center"/>
                </w:tcPr>
                <w:p>
                  <w:pPr>
                    <w:adjustRightInd w:val="0"/>
                    <w:snapToGrid w:val="0"/>
                    <w:jc w:val="left"/>
                    <w:rPr>
                      <w:sz w:val="18"/>
                      <w:szCs w:val="18"/>
                    </w:rPr>
                  </w:pPr>
                  <w:r>
                    <w:rPr>
                      <w:sz w:val="18"/>
                      <w:szCs w:val="18"/>
                    </w:rPr>
                    <w:t>本项目不属于“十五小”或“新五小”企业项目；不涉及危险化学品仓储物流；不属于固体废物焚烧项目；不属于大气及水环境污染严重的项目；本项目为生物质锅炉，不属于燃煤锅炉；项目属于《产业结构调整指导目录》鼓励类，不属于淘汰类；不涉及外商投资。</w:t>
                  </w:r>
                </w:p>
              </w:tc>
              <w:tc>
                <w:tcPr>
                  <w:tcW w:w="792" w:type="dxa"/>
                  <w:tcBorders>
                    <w:tl2br w:val="nil"/>
                    <w:tr2bl w:val="nil"/>
                  </w:tcBorders>
                  <w:vAlign w:val="center"/>
                </w:tcPr>
                <w:p>
                  <w:pPr>
                    <w:adjustRightInd w:val="0"/>
                    <w:snapToGrid w:val="0"/>
                    <w:jc w:val="center"/>
                    <w:rPr>
                      <w:sz w:val="18"/>
                      <w:szCs w:val="18"/>
                    </w:rPr>
                  </w:pPr>
                  <w:r>
                    <w:rPr>
                      <w:sz w:val="18"/>
                      <w:szCs w:val="18"/>
                    </w:rPr>
                    <w:t>符合</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556" w:type="dxa"/>
                  <w:vMerge w:val="continue"/>
                  <w:tcBorders>
                    <w:tl2br w:val="nil"/>
                    <w:tr2bl w:val="nil"/>
                  </w:tcBorders>
                  <w:vAlign w:val="center"/>
                </w:tcPr>
                <w:p>
                  <w:pPr>
                    <w:adjustRightInd w:val="0"/>
                    <w:snapToGrid w:val="0"/>
                    <w:jc w:val="center"/>
                    <w:rPr>
                      <w:sz w:val="18"/>
                      <w:szCs w:val="18"/>
                    </w:rPr>
                  </w:pPr>
                </w:p>
              </w:tc>
              <w:tc>
                <w:tcPr>
                  <w:tcW w:w="1358" w:type="dxa"/>
                  <w:tcBorders>
                    <w:tl2br w:val="nil"/>
                    <w:tr2bl w:val="nil"/>
                  </w:tcBorders>
                  <w:vAlign w:val="center"/>
                </w:tcPr>
                <w:p>
                  <w:pPr>
                    <w:adjustRightInd w:val="0"/>
                    <w:snapToGrid w:val="0"/>
                    <w:jc w:val="center"/>
                    <w:rPr>
                      <w:sz w:val="18"/>
                      <w:szCs w:val="18"/>
                    </w:rPr>
                  </w:pPr>
                  <w:r>
                    <w:rPr>
                      <w:sz w:val="18"/>
                      <w:szCs w:val="18"/>
                    </w:rPr>
                    <w:t>限制开发建设活动</w:t>
                  </w:r>
                </w:p>
              </w:tc>
              <w:tc>
                <w:tcPr>
                  <w:tcW w:w="6316" w:type="dxa"/>
                  <w:tcBorders>
                    <w:tl2br w:val="nil"/>
                    <w:tr2bl w:val="nil"/>
                  </w:tcBorders>
                  <w:vAlign w:val="center"/>
                </w:tcPr>
                <w:p>
                  <w:pPr>
                    <w:adjustRightInd w:val="0"/>
                    <w:snapToGrid w:val="0"/>
                    <w:jc w:val="left"/>
                    <w:rPr>
                      <w:sz w:val="18"/>
                      <w:szCs w:val="18"/>
                    </w:rPr>
                  </w:pPr>
                  <w:r>
                    <w:rPr>
                      <w:sz w:val="18"/>
                      <w:szCs w:val="18"/>
                    </w:rPr>
                    <w:t>1严格限制不符合开发区产业发展方向以及能耗、物耗高、污染严重的项目入区，加大环保宣传力度，对已入区企业提出环保要求，确保区内污染物达标排放，实现开发区健康可持续发展；</w:t>
                  </w:r>
                </w:p>
                <w:p>
                  <w:pPr>
                    <w:adjustRightInd w:val="0"/>
                    <w:snapToGrid w:val="0"/>
                    <w:jc w:val="left"/>
                    <w:rPr>
                      <w:sz w:val="18"/>
                      <w:szCs w:val="18"/>
                    </w:rPr>
                  </w:pPr>
                  <w:r>
                    <w:rPr>
                      <w:sz w:val="18"/>
                      <w:szCs w:val="18"/>
                    </w:rPr>
                    <w:t>2新建、改建、扩建“两高”项目须符合生态环境保护法律法规和相关法定规划，满足重点污染物排放总量控制、碳排放达峰目标、生态环境准入清单、相关规划环评和相应行业建设项目环境准入条件、环评文件审批原则要求；</w:t>
                  </w:r>
                </w:p>
                <w:p>
                  <w:pPr>
                    <w:adjustRightInd w:val="0"/>
                    <w:snapToGrid w:val="0"/>
                    <w:jc w:val="left"/>
                    <w:rPr>
                      <w:sz w:val="18"/>
                      <w:szCs w:val="18"/>
                    </w:rPr>
                  </w:pPr>
                  <w:r>
                    <w:rPr>
                      <w:sz w:val="18"/>
                      <w:szCs w:val="18"/>
                    </w:rPr>
                    <w:t>3提升清洁生产和污染防治水平。新建、扩建“两高”项目应采用先进适用的工艺技术和装备，单位产品物耗、能耗、水耗等达到清洁生产先进水平，依法制定并严格落实防治土壤与地下水污染的措施。国家或地方已出台超低排放要求的“两高”行业建设项目应满足超低排放要求。鼓励使用清洁燃料，大宗物料优先采用铁路、管道或水路运输，短途接驳优先使用新能源车辆运输；</w:t>
                  </w:r>
                </w:p>
                <w:p>
                  <w:pPr>
                    <w:adjustRightInd w:val="0"/>
                    <w:snapToGrid w:val="0"/>
                    <w:jc w:val="left"/>
                    <w:rPr>
                      <w:sz w:val="18"/>
                      <w:szCs w:val="18"/>
                    </w:rPr>
                  </w:pPr>
                  <w:r>
                    <w:rPr>
                      <w:sz w:val="18"/>
                      <w:szCs w:val="18"/>
                    </w:rPr>
                    <w:t>4其中不同类型保健品的生产其水耗、能耗及污染物排放情况有很大差异，应对耗水、耗能相对较大，对环境污染较大的项目，需论证后方可入区；</w:t>
                  </w:r>
                </w:p>
                <w:p>
                  <w:pPr>
                    <w:adjustRightInd w:val="0"/>
                    <w:snapToGrid w:val="0"/>
                    <w:jc w:val="left"/>
                    <w:rPr>
                      <w:sz w:val="18"/>
                      <w:szCs w:val="18"/>
                    </w:rPr>
                  </w:pPr>
                  <w:r>
                    <w:rPr>
                      <w:sz w:val="18"/>
                      <w:szCs w:val="18"/>
                    </w:rPr>
                    <w:t>5限制入区项目；国家产业政策限制发展的项目、在柳河县规划了集中发展区域的企业以及含《产业结构调整指导目录》所列入的限制类生产工艺及设备名录的企业。</w:t>
                  </w:r>
                </w:p>
              </w:tc>
              <w:tc>
                <w:tcPr>
                  <w:tcW w:w="3409" w:type="dxa"/>
                  <w:tcBorders>
                    <w:tl2br w:val="nil"/>
                    <w:tr2bl w:val="nil"/>
                  </w:tcBorders>
                  <w:vAlign w:val="center"/>
                </w:tcPr>
                <w:p>
                  <w:pPr>
                    <w:adjustRightInd w:val="0"/>
                    <w:snapToGrid w:val="0"/>
                    <w:jc w:val="left"/>
                    <w:rPr>
                      <w:sz w:val="18"/>
                      <w:szCs w:val="18"/>
                    </w:rPr>
                  </w:pPr>
                  <w:r>
                    <w:rPr>
                      <w:sz w:val="18"/>
                      <w:szCs w:val="18"/>
                    </w:rPr>
                    <w:t>本项目为大健康产业园内现有家具制造企业的配套供热设施，不属于新增不符合产业方向的项目；项目不属于“两高”项目（国民经济行业分类中不属于高耗能、高排放行业）；项目不涉及保健品生产；本项目采用往复炉排燃烧技术，不属于《产业结构调整指导目录》限制类中的“固定炉排式生物质锅炉”，不涉及限制类生产工艺及设备。</w:t>
                  </w:r>
                </w:p>
              </w:tc>
              <w:tc>
                <w:tcPr>
                  <w:tcW w:w="792" w:type="dxa"/>
                  <w:tcBorders>
                    <w:tl2br w:val="nil"/>
                    <w:tr2bl w:val="nil"/>
                  </w:tcBorders>
                  <w:vAlign w:val="center"/>
                </w:tcPr>
                <w:p>
                  <w:pPr>
                    <w:adjustRightInd w:val="0"/>
                    <w:snapToGrid w:val="0"/>
                    <w:jc w:val="center"/>
                    <w:rPr>
                      <w:sz w:val="18"/>
                      <w:szCs w:val="18"/>
                    </w:rPr>
                  </w:pPr>
                  <w:r>
                    <w:rPr>
                      <w:sz w:val="18"/>
                      <w:szCs w:val="18"/>
                    </w:rPr>
                    <w:t>符合</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556" w:type="dxa"/>
                  <w:vMerge w:val="continue"/>
                  <w:tcBorders>
                    <w:tl2br w:val="nil"/>
                    <w:tr2bl w:val="nil"/>
                  </w:tcBorders>
                  <w:vAlign w:val="center"/>
                </w:tcPr>
                <w:p>
                  <w:pPr>
                    <w:adjustRightInd w:val="0"/>
                    <w:snapToGrid w:val="0"/>
                    <w:jc w:val="center"/>
                    <w:rPr>
                      <w:sz w:val="18"/>
                      <w:szCs w:val="18"/>
                    </w:rPr>
                  </w:pPr>
                </w:p>
              </w:tc>
              <w:tc>
                <w:tcPr>
                  <w:tcW w:w="1358" w:type="dxa"/>
                  <w:tcBorders>
                    <w:tl2br w:val="nil"/>
                    <w:tr2bl w:val="nil"/>
                  </w:tcBorders>
                  <w:vAlign w:val="center"/>
                </w:tcPr>
                <w:p>
                  <w:pPr>
                    <w:adjustRightInd w:val="0"/>
                    <w:snapToGrid w:val="0"/>
                    <w:jc w:val="center"/>
                    <w:rPr>
                      <w:sz w:val="18"/>
                      <w:szCs w:val="18"/>
                    </w:rPr>
                  </w:pPr>
                  <w:r>
                    <w:rPr>
                      <w:sz w:val="18"/>
                      <w:szCs w:val="18"/>
                    </w:rPr>
                    <w:t>不符合空间布局活动的退出要求</w:t>
                  </w:r>
                </w:p>
              </w:tc>
              <w:tc>
                <w:tcPr>
                  <w:tcW w:w="6316" w:type="dxa"/>
                  <w:tcBorders>
                    <w:tl2br w:val="nil"/>
                    <w:tr2bl w:val="nil"/>
                  </w:tcBorders>
                  <w:vAlign w:val="center"/>
                </w:tcPr>
                <w:p>
                  <w:pPr>
                    <w:adjustRightInd w:val="0"/>
                    <w:snapToGrid w:val="0"/>
                    <w:jc w:val="left"/>
                    <w:rPr>
                      <w:sz w:val="18"/>
                      <w:szCs w:val="18"/>
                    </w:rPr>
                  </w:pPr>
                  <w:r>
                    <w:rPr>
                      <w:sz w:val="18"/>
                      <w:szCs w:val="18"/>
                    </w:rPr>
                    <w:t>开发区部分企业的实际产业布局与规划布局不符；控制现有落位不符合企业在现有分区内增加产能，在今后条件允许的情况下，可以考虑退出。</w:t>
                  </w:r>
                </w:p>
              </w:tc>
              <w:tc>
                <w:tcPr>
                  <w:tcW w:w="3409" w:type="dxa"/>
                  <w:tcBorders>
                    <w:tl2br w:val="nil"/>
                    <w:tr2bl w:val="nil"/>
                  </w:tcBorders>
                  <w:vAlign w:val="center"/>
                </w:tcPr>
                <w:p>
                  <w:pPr>
                    <w:adjustRightInd w:val="0"/>
                    <w:snapToGrid w:val="0"/>
                    <w:jc w:val="left"/>
                    <w:rPr>
                      <w:sz w:val="18"/>
                      <w:szCs w:val="18"/>
                    </w:rPr>
                  </w:pPr>
                  <w:r>
                    <w:rPr>
                      <w:sz w:val="18"/>
                      <w:szCs w:val="18"/>
                    </w:rPr>
                    <w:t>柳河赵氏木业有限公司现位于大健康综合产业园内，虽家具制造不属于医药健康主导产业，但本项目仅为锅炉设备更新，不新增产能、不扩大生产规模，不违背“控制现有落位不符合企业在现有分区内增加产能”的要求。项目不涉及新建厂房或扩大生产线的“扩建”行为。</w:t>
                  </w:r>
                </w:p>
              </w:tc>
              <w:tc>
                <w:tcPr>
                  <w:tcW w:w="792" w:type="dxa"/>
                  <w:tcBorders>
                    <w:tl2br w:val="nil"/>
                    <w:tr2bl w:val="nil"/>
                  </w:tcBorders>
                  <w:vAlign w:val="center"/>
                </w:tcPr>
                <w:p>
                  <w:pPr>
                    <w:adjustRightInd w:val="0"/>
                    <w:snapToGrid w:val="0"/>
                    <w:jc w:val="left"/>
                    <w:rPr>
                      <w:sz w:val="18"/>
                      <w:szCs w:val="18"/>
                    </w:rPr>
                  </w:pPr>
                  <w:r>
                    <w:rPr>
                      <w:rFonts w:hint="eastAsia"/>
                      <w:sz w:val="18"/>
                      <w:szCs w:val="18"/>
                    </w:rPr>
                    <w:t>不涉及</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556" w:type="dxa"/>
                  <w:vMerge w:val="restart"/>
                  <w:tcBorders>
                    <w:tl2br w:val="nil"/>
                    <w:tr2bl w:val="nil"/>
                  </w:tcBorders>
                  <w:vAlign w:val="center"/>
                </w:tcPr>
                <w:p>
                  <w:pPr>
                    <w:adjustRightInd w:val="0"/>
                    <w:snapToGrid w:val="0"/>
                    <w:jc w:val="center"/>
                    <w:rPr>
                      <w:sz w:val="18"/>
                      <w:szCs w:val="18"/>
                    </w:rPr>
                  </w:pPr>
                  <w:r>
                    <w:rPr>
                      <w:sz w:val="18"/>
                      <w:szCs w:val="18"/>
                    </w:rPr>
                    <w:t>污染物排放管控</w:t>
                  </w:r>
                </w:p>
              </w:tc>
              <w:tc>
                <w:tcPr>
                  <w:tcW w:w="1358" w:type="dxa"/>
                  <w:tcBorders>
                    <w:tl2br w:val="nil"/>
                    <w:tr2bl w:val="nil"/>
                  </w:tcBorders>
                  <w:vAlign w:val="center"/>
                </w:tcPr>
                <w:p>
                  <w:pPr>
                    <w:adjustRightInd w:val="0"/>
                    <w:snapToGrid w:val="0"/>
                    <w:jc w:val="center"/>
                    <w:rPr>
                      <w:sz w:val="18"/>
                      <w:szCs w:val="18"/>
                    </w:rPr>
                  </w:pPr>
                  <w:r>
                    <w:rPr>
                      <w:sz w:val="18"/>
                      <w:szCs w:val="18"/>
                    </w:rPr>
                    <w:t>总量控制和污染物减排</w:t>
                  </w:r>
                </w:p>
              </w:tc>
              <w:tc>
                <w:tcPr>
                  <w:tcW w:w="6316" w:type="dxa"/>
                  <w:tcBorders>
                    <w:tl2br w:val="nil"/>
                    <w:tr2bl w:val="nil"/>
                  </w:tcBorders>
                  <w:vAlign w:val="center"/>
                </w:tcPr>
                <w:p>
                  <w:pPr>
                    <w:adjustRightInd w:val="0"/>
                    <w:snapToGrid w:val="0"/>
                    <w:jc w:val="left"/>
                    <w:rPr>
                      <w:sz w:val="18"/>
                      <w:szCs w:val="18"/>
                    </w:rPr>
                  </w:pPr>
                  <w:r>
                    <w:rPr>
                      <w:sz w:val="18"/>
                      <w:szCs w:val="18"/>
                    </w:rPr>
                    <w:t>1开发区多引进污染少、能耗低、效益高的产业项目，禁止引入大气污染严重的项目；</w:t>
                  </w:r>
                </w:p>
                <w:p>
                  <w:pPr>
                    <w:adjustRightInd w:val="0"/>
                    <w:snapToGrid w:val="0"/>
                    <w:jc w:val="left"/>
                    <w:rPr>
                      <w:sz w:val="18"/>
                      <w:szCs w:val="18"/>
                    </w:rPr>
                  </w:pPr>
                  <w:r>
                    <w:rPr>
                      <w:sz w:val="18"/>
                      <w:szCs w:val="18"/>
                    </w:rPr>
                    <w:t>2开发区管委会加强对区内VOCs重点管控，提高涉及VOCs主要排放工序密闭化水平，加强无组织排放其他收集效率，加大含VOCs物料储存和装卸治理力度，推广使用低VOCs含量或低反应活性的原辅材料，加快工艺改进和产品升级。</w:t>
                  </w:r>
                </w:p>
              </w:tc>
              <w:tc>
                <w:tcPr>
                  <w:tcW w:w="3409" w:type="dxa"/>
                  <w:tcBorders>
                    <w:tl2br w:val="nil"/>
                    <w:tr2bl w:val="nil"/>
                  </w:tcBorders>
                  <w:vAlign w:val="center"/>
                </w:tcPr>
                <w:p>
                  <w:pPr>
                    <w:adjustRightInd w:val="0"/>
                    <w:snapToGrid w:val="0"/>
                    <w:jc w:val="left"/>
                    <w:rPr>
                      <w:sz w:val="18"/>
                      <w:szCs w:val="18"/>
                    </w:rPr>
                  </w:pPr>
                  <w:r>
                    <w:rPr>
                      <w:sz w:val="18"/>
                      <w:szCs w:val="18"/>
                    </w:rPr>
                    <w:t>本项目为锅炉“以新带老”，新锅炉热效率更高、污染控制水平更优，项目实施后主要污染物（颗粒物、SO</w:t>
                  </w:r>
                  <w:r>
                    <w:rPr>
                      <w:sz w:val="18"/>
                      <w:szCs w:val="18"/>
                      <w:vertAlign w:val="subscript"/>
                    </w:rPr>
                    <w:t>2</w:t>
                  </w:r>
                  <w:r>
                    <w:rPr>
                      <w:sz w:val="18"/>
                      <w:szCs w:val="18"/>
                    </w:rPr>
                    <w:t>、NOx）排放总量不增加。项目配套高效除尘设施（旋风除尘+布袋除尘），烟气达标排放。项目不涉及VOCs产生及排放。</w:t>
                  </w:r>
                </w:p>
              </w:tc>
              <w:tc>
                <w:tcPr>
                  <w:tcW w:w="792" w:type="dxa"/>
                  <w:tcBorders>
                    <w:tl2br w:val="nil"/>
                    <w:tr2bl w:val="nil"/>
                  </w:tcBorders>
                  <w:vAlign w:val="center"/>
                </w:tcPr>
                <w:p>
                  <w:pPr>
                    <w:adjustRightInd w:val="0"/>
                    <w:snapToGrid w:val="0"/>
                    <w:jc w:val="center"/>
                    <w:rPr>
                      <w:sz w:val="18"/>
                      <w:szCs w:val="18"/>
                    </w:rPr>
                  </w:pPr>
                  <w:r>
                    <w:rPr>
                      <w:sz w:val="18"/>
                      <w:szCs w:val="18"/>
                    </w:rPr>
                    <w:t>符合</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556" w:type="dxa"/>
                  <w:vMerge w:val="continue"/>
                  <w:tcBorders>
                    <w:tl2br w:val="nil"/>
                    <w:tr2bl w:val="nil"/>
                  </w:tcBorders>
                  <w:vAlign w:val="center"/>
                </w:tcPr>
                <w:p>
                  <w:pPr>
                    <w:adjustRightInd w:val="0"/>
                    <w:snapToGrid w:val="0"/>
                    <w:jc w:val="center"/>
                    <w:rPr>
                      <w:sz w:val="18"/>
                      <w:szCs w:val="18"/>
                    </w:rPr>
                  </w:pPr>
                </w:p>
              </w:tc>
              <w:tc>
                <w:tcPr>
                  <w:tcW w:w="1358" w:type="dxa"/>
                  <w:tcBorders>
                    <w:tl2br w:val="nil"/>
                    <w:tr2bl w:val="nil"/>
                  </w:tcBorders>
                  <w:vAlign w:val="center"/>
                </w:tcPr>
                <w:p>
                  <w:pPr>
                    <w:adjustRightInd w:val="0"/>
                    <w:snapToGrid w:val="0"/>
                    <w:jc w:val="center"/>
                    <w:rPr>
                      <w:sz w:val="18"/>
                      <w:szCs w:val="18"/>
                    </w:rPr>
                  </w:pPr>
                  <w:r>
                    <w:rPr>
                      <w:sz w:val="18"/>
                      <w:szCs w:val="18"/>
                    </w:rPr>
                    <w:t>现有源提标升级改造</w:t>
                  </w:r>
                </w:p>
              </w:tc>
              <w:tc>
                <w:tcPr>
                  <w:tcW w:w="6316" w:type="dxa"/>
                  <w:tcBorders>
                    <w:tl2br w:val="nil"/>
                    <w:tr2bl w:val="nil"/>
                  </w:tcBorders>
                  <w:vAlign w:val="center"/>
                </w:tcPr>
                <w:p>
                  <w:pPr>
                    <w:adjustRightInd w:val="0"/>
                    <w:snapToGrid w:val="0"/>
                    <w:jc w:val="left"/>
                    <w:rPr>
                      <w:sz w:val="18"/>
                      <w:szCs w:val="18"/>
                    </w:rPr>
                  </w:pPr>
                  <w:r>
                    <w:rPr>
                      <w:sz w:val="18"/>
                      <w:szCs w:val="18"/>
                    </w:rPr>
                    <w:t>积极推进区内供热和供气管网建设，尽快实现开发区集中供热。在实现开发区集中供热之前，应采用电加热或清洁能源作为过渡热源。园区新建供热设施须执行排放浓度限值。</w:t>
                  </w:r>
                </w:p>
              </w:tc>
              <w:tc>
                <w:tcPr>
                  <w:tcW w:w="3409" w:type="dxa"/>
                  <w:tcBorders>
                    <w:tl2br w:val="nil"/>
                    <w:tr2bl w:val="nil"/>
                  </w:tcBorders>
                  <w:vAlign w:val="center"/>
                </w:tcPr>
                <w:p>
                  <w:pPr>
                    <w:adjustRightInd w:val="0"/>
                    <w:snapToGrid w:val="0"/>
                    <w:jc w:val="left"/>
                    <w:rPr>
                      <w:sz w:val="18"/>
                      <w:szCs w:val="18"/>
                    </w:rPr>
                  </w:pPr>
                  <w:r>
                    <w:rPr>
                      <w:sz w:val="18"/>
                      <w:szCs w:val="18"/>
                    </w:rPr>
                    <w:t>本项目拆除原有0.5MW燃生物质锅炉，新建1600kW有机热载体液相炉，以生物质成型燃料为能源，属于清洁能源供热方式。在集中供热建成前，本项目作为过渡热源保障企业生产生活用热。项目将严格执行《锅炉大气污染物排放标准》（GB13271）及地方排放浓度限值要求。</w:t>
                  </w:r>
                </w:p>
              </w:tc>
              <w:tc>
                <w:tcPr>
                  <w:tcW w:w="792" w:type="dxa"/>
                  <w:tcBorders>
                    <w:tl2br w:val="nil"/>
                    <w:tr2bl w:val="nil"/>
                  </w:tcBorders>
                  <w:vAlign w:val="center"/>
                </w:tcPr>
                <w:p>
                  <w:pPr>
                    <w:adjustRightInd w:val="0"/>
                    <w:snapToGrid w:val="0"/>
                    <w:jc w:val="center"/>
                    <w:rPr>
                      <w:sz w:val="18"/>
                      <w:szCs w:val="18"/>
                    </w:rPr>
                  </w:pPr>
                  <w:r>
                    <w:rPr>
                      <w:sz w:val="18"/>
                      <w:szCs w:val="18"/>
                    </w:rPr>
                    <w:t>符合</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556" w:type="dxa"/>
                  <w:vMerge w:val="continue"/>
                  <w:tcBorders>
                    <w:tl2br w:val="nil"/>
                    <w:tr2bl w:val="nil"/>
                  </w:tcBorders>
                  <w:vAlign w:val="center"/>
                </w:tcPr>
                <w:p>
                  <w:pPr>
                    <w:adjustRightInd w:val="0"/>
                    <w:snapToGrid w:val="0"/>
                    <w:jc w:val="center"/>
                    <w:rPr>
                      <w:sz w:val="18"/>
                      <w:szCs w:val="18"/>
                    </w:rPr>
                  </w:pPr>
                </w:p>
              </w:tc>
              <w:tc>
                <w:tcPr>
                  <w:tcW w:w="1358" w:type="dxa"/>
                  <w:tcBorders>
                    <w:tl2br w:val="nil"/>
                    <w:tr2bl w:val="nil"/>
                  </w:tcBorders>
                  <w:vAlign w:val="center"/>
                </w:tcPr>
                <w:p>
                  <w:pPr>
                    <w:adjustRightInd w:val="0"/>
                    <w:snapToGrid w:val="0"/>
                    <w:jc w:val="center"/>
                    <w:rPr>
                      <w:sz w:val="18"/>
                      <w:szCs w:val="18"/>
                    </w:rPr>
                  </w:pPr>
                  <w:r>
                    <w:rPr>
                      <w:sz w:val="18"/>
                      <w:szCs w:val="18"/>
                    </w:rPr>
                    <w:t>新增源排放限制</w:t>
                  </w:r>
                </w:p>
              </w:tc>
              <w:tc>
                <w:tcPr>
                  <w:tcW w:w="6316" w:type="dxa"/>
                  <w:tcBorders>
                    <w:tl2br w:val="nil"/>
                    <w:tr2bl w:val="nil"/>
                  </w:tcBorders>
                  <w:vAlign w:val="center"/>
                </w:tcPr>
                <w:p>
                  <w:pPr>
                    <w:adjustRightInd w:val="0"/>
                    <w:snapToGrid w:val="0"/>
                    <w:jc w:val="left"/>
                    <w:rPr>
                      <w:sz w:val="18"/>
                      <w:szCs w:val="18"/>
                    </w:rPr>
                  </w:pPr>
                  <w:r>
                    <w:rPr>
                      <w:sz w:val="18"/>
                      <w:szCs w:val="18"/>
                    </w:rPr>
                    <w:t>新建、改建、扩建重点行业建设项目实行主要污染物排放等量置换。</w:t>
                  </w:r>
                </w:p>
              </w:tc>
              <w:tc>
                <w:tcPr>
                  <w:tcW w:w="3409" w:type="dxa"/>
                  <w:tcBorders>
                    <w:tl2br w:val="nil"/>
                    <w:tr2bl w:val="nil"/>
                  </w:tcBorders>
                  <w:vAlign w:val="center"/>
                </w:tcPr>
                <w:p>
                  <w:pPr>
                    <w:adjustRightInd w:val="0"/>
                    <w:snapToGrid w:val="0"/>
                    <w:jc w:val="left"/>
                    <w:rPr>
                      <w:sz w:val="18"/>
                      <w:szCs w:val="18"/>
                    </w:rPr>
                  </w:pPr>
                  <w:r>
                    <w:rPr>
                      <w:sz w:val="18"/>
                      <w:szCs w:val="18"/>
                    </w:rPr>
                    <w:t>本项目为锅炉“以新带老”，不属于重点行业建设项目。项目污染物排放总量较</w:t>
                  </w:r>
                  <w:r>
                    <w:rPr>
                      <w:rFonts w:hint="eastAsia"/>
                      <w:sz w:val="18"/>
                      <w:szCs w:val="18"/>
                    </w:rPr>
                    <w:t>本项目建设</w:t>
                  </w:r>
                  <w:r>
                    <w:rPr>
                      <w:sz w:val="18"/>
                      <w:szCs w:val="18"/>
                    </w:rPr>
                    <w:t>前不新增，符合总量控制要求。</w:t>
                  </w:r>
                </w:p>
              </w:tc>
              <w:tc>
                <w:tcPr>
                  <w:tcW w:w="792" w:type="dxa"/>
                  <w:tcBorders>
                    <w:tl2br w:val="nil"/>
                    <w:tr2bl w:val="nil"/>
                  </w:tcBorders>
                  <w:vAlign w:val="center"/>
                </w:tcPr>
                <w:p>
                  <w:pPr>
                    <w:adjustRightInd w:val="0"/>
                    <w:snapToGrid w:val="0"/>
                    <w:jc w:val="center"/>
                    <w:rPr>
                      <w:sz w:val="18"/>
                      <w:szCs w:val="18"/>
                    </w:rPr>
                  </w:pPr>
                  <w:r>
                    <w:rPr>
                      <w:sz w:val="18"/>
                      <w:szCs w:val="18"/>
                    </w:rPr>
                    <w:t>符合</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556" w:type="dxa"/>
                  <w:vMerge w:val="restart"/>
                  <w:tcBorders>
                    <w:tl2br w:val="nil"/>
                    <w:tr2bl w:val="nil"/>
                  </w:tcBorders>
                  <w:vAlign w:val="center"/>
                </w:tcPr>
                <w:p>
                  <w:pPr>
                    <w:adjustRightInd w:val="0"/>
                    <w:snapToGrid w:val="0"/>
                    <w:jc w:val="center"/>
                    <w:rPr>
                      <w:sz w:val="18"/>
                      <w:szCs w:val="18"/>
                    </w:rPr>
                  </w:pPr>
                  <w:r>
                    <w:rPr>
                      <w:sz w:val="18"/>
                      <w:szCs w:val="18"/>
                    </w:rPr>
                    <w:t>环境风险防控</w:t>
                  </w:r>
                </w:p>
              </w:tc>
              <w:tc>
                <w:tcPr>
                  <w:tcW w:w="1358" w:type="dxa"/>
                  <w:tcBorders>
                    <w:tl2br w:val="nil"/>
                    <w:tr2bl w:val="nil"/>
                  </w:tcBorders>
                  <w:vAlign w:val="center"/>
                </w:tcPr>
                <w:p>
                  <w:pPr>
                    <w:adjustRightInd w:val="0"/>
                    <w:snapToGrid w:val="0"/>
                    <w:jc w:val="center"/>
                    <w:rPr>
                      <w:sz w:val="18"/>
                      <w:szCs w:val="18"/>
                    </w:rPr>
                  </w:pPr>
                  <w:r>
                    <w:rPr>
                      <w:sz w:val="18"/>
                      <w:szCs w:val="18"/>
                    </w:rPr>
                    <w:t>用地环境风险防控要求</w:t>
                  </w:r>
                </w:p>
              </w:tc>
              <w:tc>
                <w:tcPr>
                  <w:tcW w:w="6316" w:type="dxa"/>
                  <w:tcBorders>
                    <w:tl2br w:val="nil"/>
                    <w:tr2bl w:val="nil"/>
                  </w:tcBorders>
                  <w:vAlign w:val="center"/>
                </w:tcPr>
                <w:p>
                  <w:pPr>
                    <w:adjustRightInd w:val="0"/>
                    <w:snapToGrid w:val="0"/>
                    <w:jc w:val="left"/>
                    <w:rPr>
                      <w:sz w:val="18"/>
                      <w:szCs w:val="18"/>
                    </w:rPr>
                  </w:pPr>
                  <w:r>
                    <w:rPr>
                      <w:sz w:val="18"/>
                      <w:szCs w:val="18"/>
                    </w:rPr>
                    <w:t>1居住用地污染风险防控区，严格污染场地开发利用和流转审批，在影响健康地块修复达标之前，禁止新建居民区、学校和养老机构；</w:t>
                  </w:r>
                </w:p>
                <w:p>
                  <w:pPr>
                    <w:adjustRightInd w:val="0"/>
                    <w:snapToGrid w:val="0"/>
                    <w:jc w:val="left"/>
                    <w:rPr>
                      <w:sz w:val="18"/>
                      <w:szCs w:val="18"/>
                    </w:rPr>
                  </w:pPr>
                  <w:r>
                    <w:rPr>
                      <w:sz w:val="18"/>
                      <w:szCs w:val="18"/>
                    </w:rPr>
                    <w:t>2建设用地污染风险重点防控区，严格污染场地开发利用和流转审批，在影响企业食品、药品生产地块的修复达标之前，禁止项目新建医药、食品、农副食品加工企业；</w:t>
                  </w:r>
                </w:p>
                <w:p>
                  <w:pPr>
                    <w:adjustRightInd w:val="0"/>
                    <w:snapToGrid w:val="0"/>
                    <w:jc w:val="left"/>
                    <w:rPr>
                      <w:sz w:val="18"/>
                      <w:szCs w:val="18"/>
                    </w:rPr>
                  </w:pPr>
                  <w:r>
                    <w:rPr>
                      <w:sz w:val="18"/>
                      <w:szCs w:val="18"/>
                    </w:rPr>
                    <w:t>3一般区域，严格污染场地开发利用和流转审批，在地块修复达标前禁止企业入区。</w:t>
                  </w:r>
                </w:p>
              </w:tc>
              <w:tc>
                <w:tcPr>
                  <w:tcW w:w="3409" w:type="dxa"/>
                  <w:tcBorders>
                    <w:tl2br w:val="nil"/>
                    <w:tr2bl w:val="nil"/>
                  </w:tcBorders>
                  <w:vAlign w:val="center"/>
                </w:tcPr>
                <w:p>
                  <w:pPr>
                    <w:adjustRightInd w:val="0"/>
                    <w:snapToGrid w:val="0"/>
                    <w:jc w:val="left"/>
                    <w:rPr>
                      <w:sz w:val="18"/>
                      <w:szCs w:val="18"/>
                    </w:rPr>
                  </w:pPr>
                  <w:r>
                    <w:rPr>
                      <w:sz w:val="18"/>
                      <w:szCs w:val="18"/>
                    </w:rPr>
                    <w:t>本项目在企业现有厂区内原址建设，不新增用地，不涉及污染场地开发利用和流转审批。项目用地为工业用地，不涉及居住用地、食品或药品生产用地污染风险防控区。</w:t>
                  </w:r>
                </w:p>
              </w:tc>
              <w:tc>
                <w:tcPr>
                  <w:tcW w:w="792" w:type="dxa"/>
                  <w:tcBorders>
                    <w:tl2br w:val="nil"/>
                    <w:tr2bl w:val="nil"/>
                  </w:tcBorders>
                  <w:vAlign w:val="center"/>
                </w:tcPr>
                <w:p>
                  <w:pPr>
                    <w:adjustRightInd w:val="0"/>
                    <w:snapToGrid w:val="0"/>
                    <w:jc w:val="center"/>
                    <w:rPr>
                      <w:sz w:val="18"/>
                      <w:szCs w:val="18"/>
                    </w:rPr>
                  </w:pPr>
                  <w:r>
                    <w:rPr>
                      <w:sz w:val="18"/>
                      <w:szCs w:val="18"/>
                    </w:rPr>
                    <w:t>符合</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556" w:type="dxa"/>
                  <w:vMerge w:val="continue"/>
                  <w:tcBorders>
                    <w:tl2br w:val="nil"/>
                    <w:tr2bl w:val="nil"/>
                  </w:tcBorders>
                  <w:vAlign w:val="center"/>
                </w:tcPr>
                <w:p>
                  <w:pPr>
                    <w:adjustRightInd w:val="0"/>
                    <w:snapToGrid w:val="0"/>
                    <w:jc w:val="center"/>
                    <w:rPr>
                      <w:sz w:val="18"/>
                      <w:szCs w:val="18"/>
                    </w:rPr>
                  </w:pPr>
                </w:p>
              </w:tc>
              <w:tc>
                <w:tcPr>
                  <w:tcW w:w="1358" w:type="dxa"/>
                  <w:tcBorders>
                    <w:tl2br w:val="nil"/>
                    <w:tr2bl w:val="nil"/>
                  </w:tcBorders>
                  <w:vAlign w:val="center"/>
                </w:tcPr>
                <w:p>
                  <w:pPr>
                    <w:adjustRightInd w:val="0"/>
                    <w:snapToGrid w:val="0"/>
                    <w:jc w:val="center"/>
                    <w:rPr>
                      <w:sz w:val="18"/>
                      <w:szCs w:val="18"/>
                    </w:rPr>
                  </w:pPr>
                  <w:r>
                    <w:rPr>
                      <w:sz w:val="18"/>
                      <w:szCs w:val="18"/>
                    </w:rPr>
                    <w:t>园区环境风险防控要求</w:t>
                  </w:r>
                </w:p>
              </w:tc>
              <w:tc>
                <w:tcPr>
                  <w:tcW w:w="6316" w:type="dxa"/>
                  <w:tcBorders>
                    <w:tl2br w:val="nil"/>
                    <w:tr2bl w:val="nil"/>
                  </w:tcBorders>
                  <w:vAlign w:val="center"/>
                </w:tcPr>
                <w:p>
                  <w:pPr>
                    <w:adjustRightInd w:val="0"/>
                    <w:snapToGrid w:val="0"/>
                    <w:jc w:val="left"/>
                    <w:rPr>
                      <w:sz w:val="18"/>
                      <w:szCs w:val="18"/>
                    </w:rPr>
                  </w:pPr>
                  <w:r>
                    <w:rPr>
                      <w:sz w:val="18"/>
                      <w:szCs w:val="18"/>
                    </w:rPr>
                    <w:t>1成立园区应急组织机构，建立环境风险应急防控体系，定期开展应急演练，提高区域环境风险防范能力；</w:t>
                  </w:r>
                </w:p>
                <w:p>
                  <w:pPr>
                    <w:adjustRightInd w:val="0"/>
                    <w:snapToGrid w:val="0"/>
                    <w:jc w:val="left"/>
                    <w:rPr>
                      <w:sz w:val="18"/>
                      <w:szCs w:val="18"/>
                    </w:rPr>
                  </w:pPr>
                  <w:r>
                    <w:rPr>
                      <w:sz w:val="18"/>
                      <w:szCs w:val="18"/>
                    </w:rPr>
                    <w:t>2开发区引进企业按照产业集中布局原则，新引入的医药企业集中布局在医药健康产业园内，形成产业链发展，加强厂区环境风险防控。</w:t>
                  </w:r>
                </w:p>
              </w:tc>
              <w:tc>
                <w:tcPr>
                  <w:tcW w:w="3409" w:type="dxa"/>
                  <w:tcBorders>
                    <w:tl2br w:val="nil"/>
                    <w:tr2bl w:val="nil"/>
                  </w:tcBorders>
                  <w:vAlign w:val="center"/>
                </w:tcPr>
                <w:p>
                  <w:pPr>
                    <w:adjustRightInd w:val="0"/>
                    <w:snapToGrid w:val="0"/>
                    <w:jc w:val="left"/>
                    <w:rPr>
                      <w:sz w:val="18"/>
                      <w:szCs w:val="18"/>
                    </w:rPr>
                  </w:pPr>
                  <w:r>
                    <w:rPr>
                      <w:sz w:val="18"/>
                      <w:szCs w:val="18"/>
                    </w:rPr>
                    <w:t>本项目不涉及新增医药企业入驻。企业应配合园区环境风险防控体系建设，落实厂区环境风险防范措施，纳入园区应急联动机制。</w:t>
                  </w:r>
                </w:p>
              </w:tc>
              <w:tc>
                <w:tcPr>
                  <w:tcW w:w="792" w:type="dxa"/>
                  <w:tcBorders>
                    <w:tl2br w:val="nil"/>
                    <w:tr2bl w:val="nil"/>
                  </w:tcBorders>
                  <w:vAlign w:val="center"/>
                </w:tcPr>
                <w:p>
                  <w:pPr>
                    <w:adjustRightInd w:val="0"/>
                    <w:snapToGrid w:val="0"/>
                    <w:jc w:val="center"/>
                    <w:rPr>
                      <w:sz w:val="18"/>
                      <w:szCs w:val="18"/>
                    </w:rPr>
                  </w:pPr>
                  <w:r>
                    <w:rPr>
                      <w:sz w:val="18"/>
                      <w:szCs w:val="18"/>
                    </w:rPr>
                    <w:t>符合</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556" w:type="dxa"/>
                  <w:vMerge w:val="continue"/>
                  <w:tcBorders>
                    <w:tl2br w:val="nil"/>
                    <w:tr2bl w:val="nil"/>
                  </w:tcBorders>
                  <w:vAlign w:val="center"/>
                </w:tcPr>
                <w:p>
                  <w:pPr>
                    <w:adjustRightInd w:val="0"/>
                    <w:snapToGrid w:val="0"/>
                    <w:jc w:val="center"/>
                    <w:rPr>
                      <w:sz w:val="18"/>
                      <w:szCs w:val="18"/>
                    </w:rPr>
                  </w:pPr>
                </w:p>
              </w:tc>
              <w:tc>
                <w:tcPr>
                  <w:tcW w:w="1358" w:type="dxa"/>
                  <w:tcBorders>
                    <w:tl2br w:val="nil"/>
                    <w:tr2bl w:val="nil"/>
                  </w:tcBorders>
                  <w:vAlign w:val="center"/>
                </w:tcPr>
                <w:p>
                  <w:pPr>
                    <w:adjustRightInd w:val="0"/>
                    <w:snapToGrid w:val="0"/>
                    <w:jc w:val="center"/>
                    <w:rPr>
                      <w:sz w:val="18"/>
                      <w:szCs w:val="18"/>
                    </w:rPr>
                  </w:pPr>
                  <w:r>
                    <w:rPr>
                      <w:sz w:val="18"/>
                      <w:szCs w:val="18"/>
                    </w:rPr>
                    <w:t>企业环境风险防控要求</w:t>
                  </w:r>
                </w:p>
              </w:tc>
              <w:tc>
                <w:tcPr>
                  <w:tcW w:w="6316" w:type="dxa"/>
                  <w:tcBorders>
                    <w:tl2br w:val="nil"/>
                    <w:tr2bl w:val="nil"/>
                  </w:tcBorders>
                  <w:vAlign w:val="center"/>
                </w:tcPr>
                <w:p>
                  <w:pPr>
                    <w:adjustRightInd w:val="0"/>
                    <w:snapToGrid w:val="0"/>
                    <w:jc w:val="left"/>
                    <w:rPr>
                      <w:sz w:val="18"/>
                      <w:szCs w:val="18"/>
                    </w:rPr>
                  </w:pPr>
                  <w:r>
                    <w:rPr>
                      <w:sz w:val="18"/>
                      <w:szCs w:val="18"/>
                    </w:rPr>
                    <w:t>1区内企业应建立完善风险防范体系及风险防范措施，做好与开发区的联动；制定突发环境事件应急预案并及时修编，定期演练，加强对于风险防范措施的维护，保证措施有效、应急</w:t>
                  </w:r>
                  <w:r>
                    <w:rPr>
                      <w:rFonts w:hint="eastAsia"/>
                      <w:sz w:val="18"/>
                      <w:szCs w:val="18"/>
                      <w:lang w:val="en-US" w:eastAsia="zh-CN"/>
                    </w:rPr>
                    <w:t>物资</w:t>
                  </w:r>
                  <w:bookmarkStart w:id="17" w:name="_GoBack"/>
                  <w:bookmarkEnd w:id="17"/>
                  <w:r>
                    <w:rPr>
                      <w:sz w:val="18"/>
                      <w:szCs w:val="18"/>
                    </w:rPr>
                    <w:t>充足；</w:t>
                  </w:r>
                </w:p>
                <w:p>
                  <w:pPr>
                    <w:adjustRightInd w:val="0"/>
                    <w:snapToGrid w:val="0"/>
                    <w:jc w:val="left"/>
                    <w:rPr>
                      <w:sz w:val="18"/>
                      <w:szCs w:val="18"/>
                    </w:rPr>
                  </w:pPr>
                  <w:r>
                    <w:rPr>
                      <w:sz w:val="18"/>
                      <w:szCs w:val="18"/>
                    </w:rPr>
                    <w:t>2企业应按照环评文件及批复等相关文件要求设置风险防范措施（有毒有害物质泄漏预警设施、围堤围堰、事故应急池、切换阀等），确保所有受污染的雨水、消防水和泄漏物等通过排水系统接入应急池或全部收集，所收集的废（污）水自行或送至污水处理设施处理达标后方可排放；涉有毒有害大气污染物名录的企业应在厂界建设针对有毒有害特征污染物的环境风险预警体系，确保发生事故能够及时响应。</w:t>
                  </w:r>
                </w:p>
              </w:tc>
              <w:tc>
                <w:tcPr>
                  <w:tcW w:w="3409" w:type="dxa"/>
                  <w:tcBorders>
                    <w:tl2br w:val="nil"/>
                    <w:tr2bl w:val="nil"/>
                  </w:tcBorders>
                  <w:vAlign w:val="center"/>
                </w:tcPr>
                <w:p>
                  <w:pPr>
                    <w:adjustRightInd w:val="0"/>
                    <w:snapToGrid w:val="0"/>
                    <w:jc w:val="left"/>
                    <w:rPr>
                      <w:sz w:val="18"/>
                      <w:szCs w:val="18"/>
                    </w:rPr>
                  </w:pPr>
                  <w:r>
                    <w:rPr>
                      <w:sz w:val="18"/>
                      <w:szCs w:val="18"/>
                    </w:rPr>
                    <w:t>本项目涉及的物料主要为生物质成型燃料（固态可燃物）和导热油（有机热载体）。主要环境风险为导热油泄漏及火灾。企业应按照要求编制突发环境事件应急预案并备案，设置导热油泄漏防范设施（围堰），配备消防应急物资，定期组织应急演练，并与园区应急预案衔接联动。项目不涉及有毒有害大气污染物名录中的污染物。</w:t>
                  </w:r>
                </w:p>
              </w:tc>
              <w:tc>
                <w:tcPr>
                  <w:tcW w:w="792" w:type="dxa"/>
                  <w:tcBorders>
                    <w:tl2br w:val="nil"/>
                    <w:tr2bl w:val="nil"/>
                  </w:tcBorders>
                  <w:vAlign w:val="center"/>
                </w:tcPr>
                <w:p>
                  <w:pPr>
                    <w:adjustRightInd w:val="0"/>
                    <w:snapToGrid w:val="0"/>
                    <w:jc w:val="center"/>
                    <w:rPr>
                      <w:sz w:val="18"/>
                      <w:szCs w:val="18"/>
                    </w:rPr>
                  </w:pPr>
                  <w:r>
                    <w:rPr>
                      <w:sz w:val="18"/>
                      <w:szCs w:val="18"/>
                    </w:rPr>
                    <w:t>符合</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556" w:type="dxa"/>
                  <w:vMerge w:val="restart"/>
                  <w:tcBorders>
                    <w:tl2br w:val="nil"/>
                    <w:tr2bl w:val="nil"/>
                  </w:tcBorders>
                  <w:vAlign w:val="center"/>
                </w:tcPr>
                <w:p>
                  <w:pPr>
                    <w:adjustRightInd w:val="0"/>
                    <w:snapToGrid w:val="0"/>
                    <w:jc w:val="center"/>
                    <w:rPr>
                      <w:sz w:val="18"/>
                      <w:szCs w:val="18"/>
                    </w:rPr>
                  </w:pPr>
                  <w:r>
                    <w:rPr>
                      <w:sz w:val="18"/>
                      <w:szCs w:val="18"/>
                    </w:rPr>
                    <w:t>资源利用要求</w:t>
                  </w:r>
                </w:p>
              </w:tc>
              <w:tc>
                <w:tcPr>
                  <w:tcW w:w="1358" w:type="dxa"/>
                  <w:tcBorders>
                    <w:tl2br w:val="nil"/>
                    <w:tr2bl w:val="nil"/>
                  </w:tcBorders>
                  <w:vAlign w:val="center"/>
                </w:tcPr>
                <w:p>
                  <w:pPr>
                    <w:adjustRightInd w:val="0"/>
                    <w:snapToGrid w:val="0"/>
                    <w:jc w:val="center"/>
                    <w:rPr>
                      <w:sz w:val="18"/>
                      <w:szCs w:val="18"/>
                    </w:rPr>
                  </w:pPr>
                  <w:r>
                    <w:rPr>
                      <w:sz w:val="18"/>
                      <w:szCs w:val="18"/>
                    </w:rPr>
                    <w:t>水资源利用效率要求</w:t>
                  </w:r>
                </w:p>
              </w:tc>
              <w:tc>
                <w:tcPr>
                  <w:tcW w:w="6316" w:type="dxa"/>
                  <w:tcBorders>
                    <w:tl2br w:val="nil"/>
                    <w:tr2bl w:val="nil"/>
                  </w:tcBorders>
                  <w:vAlign w:val="center"/>
                </w:tcPr>
                <w:p>
                  <w:pPr>
                    <w:adjustRightInd w:val="0"/>
                    <w:snapToGrid w:val="0"/>
                    <w:jc w:val="left"/>
                    <w:rPr>
                      <w:sz w:val="18"/>
                      <w:szCs w:val="18"/>
                    </w:rPr>
                  </w:pPr>
                  <w:r>
                    <w:rPr>
                      <w:sz w:val="18"/>
                      <w:szCs w:val="18"/>
                    </w:rPr>
                    <w:t>1推广园区集中供热，园区新建供热设施须执行特别排放限值。</w:t>
                  </w:r>
                </w:p>
                <w:p>
                  <w:pPr>
                    <w:adjustRightInd w:val="0"/>
                    <w:snapToGrid w:val="0"/>
                    <w:jc w:val="left"/>
                    <w:rPr>
                      <w:sz w:val="18"/>
                      <w:szCs w:val="18"/>
                    </w:rPr>
                  </w:pPr>
                  <w:r>
                    <w:rPr>
                      <w:sz w:val="18"/>
                      <w:szCs w:val="18"/>
                    </w:rPr>
                    <w:t>2按《高污染燃料目录》（《国环规大气〔2017〕2号》）第Ⅲ类要求，禁燃①石油焦、油页岩、原油、重油、渣油、煤焦油。②非专用锅炉或未配置高效除尘设施的专用锅炉燃用的生物质成型燃料</w:t>
                  </w:r>
                </w:p>
              </w:tc>
              <w:tc>
                <w:tcPr>
                  <w:tcW w:w="3409" w:type="dxa"/>
                  <w:tcBorders>
                    <w:tl2br w:val="nil"/>
                    <w:tr2bl w:val="nil"/>
                  </w:tcBorders>
                  <w:vAlign w:val="center"/>
                </w:tcPr>
                <w:p>
                  <w:pPr>
                    <w:adjustRightInd w:val="0"/>
                    <w:snapToGrid w:val="0"/>
                    <w:jc w:val="left"/>
                    <w:rPr>
                      <w:sz w:val="18"/>
                      <w:szCs w:val="18"/>
                    </w:rPr>
                  </w:pPr>
                  <w:r>
                    <w:rPr>
                      <w:sz w:val="18"/>
                      <w:szCs w:val="18"/>
                    </w:rPr>
                    <w:t>本项目采用有机热载体液相炉，并配置高效除尘设施（旋风除尘+布袋除尘），使用生物质成型燃料，不属于禁燃的石油焦、重油等石油化工类燃料。项目执行锅炉大气污染物排放标准。待园区集中供热建成后，可对接集中供热系统。</w:t>
                  </w:r>
                </w:p>
              </w:tc>
              <w:tc>
                <w:tcPr>
                  <w:tcW w:w="792" w:type="dxa"/>
                  <w:tcBorders>
                    <w:tl2br w:val="nil"/>
                    <w:tr2bl w:val="nil"/>
                  </w:tcBorders>
                  <w:vAlign w:val="center"/>
                </w:tcPr>
                <w:p>
                  <w:pPr>
                    <w:adjustRightInd w:val="0"/>
                    <w:snapToGrid w:val="0"/>
                    <w:jc w:val="center"/>
                    <w:rPr>
                      <w:sz w:val="18"/>
                      <w:szCs w:val="18"/>
                    </w:rPr>
                  </w:pPr>
                  <w:r>
                    <w:rPr>
                      <w:sz w:val="18"/>
                      <w:szCs w:val="18"/>
                    </w:rPr>
                    <w:t>符合</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556" w:type="dxa"/>
                  <w:vMerge w:val="continue"/>
                  <w:tcBorders>
                    <w:tl2br w:val="nil"/>
                    <w:tr2bl w:val="nil"/>
                  </w:tcBorders>
                  <w:vAlign w:val="center"/>
                </w:tcPr>
                <w:p>
                  <w:pPr>
                    <w:adjustRightInd w:val="0"/>
                    <w:snapToGrid w:val="0"/>
                    <w:jc w:val="center"/>
                    <w:rPr>
                      <w:sz w:val="18"/>
                      <w:szCs w:val="18"/>
                    </w:rPr>
                  </w:pPr>
                </w:p>
              </w:tc>
              <w:tc>
                <w:tcPr>
                  <w:tcW w:w="1358" w:type="dxa"/>
                  <w:tcBorders>
                    <w:tl2br w:val="nil"/>
                    <w:tr2bl w:val="nil"/>
                  </w:tcBorders>
                  <w:vAlign w:val="center"/>
                </w:tcPr>
                <w:p>
                  <w:pPr>
                    <w:adjustRightInd w:val="0"/>
                    <w:snapToGrid w:val="0"/>
                    <w:jc w:val="center"/>
                    <w:rPr>
                      <w:sz w:val="18"/>
                      <w:szCs w:val="18"/>
                    </w:rPr>
                  </w:pPr>
                  <w:r>
                    <w:rPr>
                      <w:sz w:val="18"/>
                      <w:szCs w:val="18"/>
                    </w:rPr>
                    <w:t>地下水开采要求</w:t>
                  </w:r>
                </w:p>
              </w:tc>
              <w:tc>
                <w:tcPr>
                  <w:tcW w:w="6316" w:type="dxa"/>
                  <w:tcBorders>
                    <w:tl2br w:val="nil"/>
                    <w:tr2bl w:val="nil"/>
                  </w:tcBorders>
                  <w:vAlign w:val="center"/>
                </w:tcPr>
                <w:p>
                  <w:pPr>
                    <w:adjustRightInd w:val="0"/>
                    <w:snapToGrid w:val="0"/>
                    <w:jc w:val="left"/>
                    <w:rPr>
                      <w:sz w:val="18"/>
                      <w:szCs w:val="18"/>
                    </w:rPr>
                  </w:pPr>
                  <w:r>
                    <w:rPr>
                      <w:sz w:val="18"/>
                      <w:szCs w:val="18"/>
                    </w:rPr>
                    <w:t>严控地下水开采，加快区内供水管网建设，尽快实现开发区现有企业集中供水，取缔自备水井。以水定产，限制高耗水企业入区，避免区内地下水过度开采。</w:t>
                  </w:r>
                </w:p>
              </w:tc>
              <w:tc>
                <w:tcPr>
                  <w:tcW w:w="3409" w:type="dxa"/>
                  <w:tcBorders>
                    <w:tl2br w:val="nil"/>
                    <w:tr2bl w:val="nil"/>
                  </w:tcBorders>
                  <w:vAlign w:val="center"/>
                </w:tcPr>
                <w:p>
                  <w:pPr>
                    <w:adjustRightInd w:val="0"/>
                    <w:snapToGrid w:val="0"/>
                    <w:jc w:val="left"/>
                    <w:rPr>
                      <w:sz w:val="18"/>
                      <w:szCs w:val="18"/>
                    </w:rPr>
                  </w:pPr>
                  <w:r>
                    <w:rPr>
                      <w:sz w:val="18"/>
                      <w:szCs w:val="18"/>
                    </w:rPr>
                    <w:t>本项目为供热设备</w:t>
                  </w:r>
                  <w:r>
                    <w:rPr>
                      <w:rFonts w:hint="eastAsia"/>
                      <w:sz w:val="18"/>
                      <w:szCs w:val="18"/>
                    </w:rPr>
                    <w:t>更新</w:t>
                  </w:r>
                  <w:r>
                    <w:rPr>
                      <w:sz w:val="18"/>
                      <w:szCs w:val="18"/>
                    </w:rPr>
                    <w:t>，运行过程中不新增工业用水（导热油闭路循环，无需用水），不涉及地下水开采。企业用水由园区供水管网提供。</w:t>
                  </w:r>
                </w:p>
              </w:tc>
              <w:tc>
                <w:tcPr>
                  <w:tcW w:w="792" w:type="dxa"/>
                  <w:tcBorders>
                    <w:tl2br w:val="nil"/>
                    <w:tr2bl w:val="nil"/>
                  </w:tcBorders>
                  <w:vAlign w:val="center"/>
                </w:tcPr>
                <w:p>
                  <w:pPr>
                    <w:adjustRightInd w:val="0"/>
                    <w:snapToGrid w:val="0"/>
                    <w:jc w:val="center"/>
                    <w:rPr>
                      <w:sz w:val="18"/>
                      <w:szCs w:val="18"/>
                    </w:rPr>
                  </w:pPr>
                  <w:r>
                    <w:rPr>
                      <w:sz w:val="18"/>
                      <w:szCs w:val="18"/>
                    </w:rPr>
                    <w:t>符合</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556" w:type="dxa"/>
                  <w:vMerge w:val="continue"/>
                  <w:tcBorders>
                    <w:tl2br w:val="nil"/>
                    <w:tr2bl w:val="nil"/>
                  </w:tcBorders>
                  <w:vAlign w:val="center"/>
                </w:tcPr>
                <w:p>
                  <w:pPr>
                    <w:adjustRightInd w:val="0"/>
                    <w:snapToGrid w:val="0"/>
                    <w:jc w:val="center"/>
                    <w:rPr>
                      <w:sz w:val="18"/>
                      <w:szCs w:val="18"/>
                    </w:rPr>
                  </w:pPr>
                </w:p>
              </w:tc>
              <w:tc>
                <w:tcPr>
                  <w:tcW w:w="1358" w:type="dxa"/>
                  <w:tcBorders>
                    <w:tl2br w:val="nil"/>
                    <w:tr2bl w:val="nil"/>
                  </w:tcBorders>
                  <w:vAlign w:val="center"/>
                </w:tcPr>
                <w:p>
                  <w:pPr>
                    <w:adjustRightInd w:val="0"/>
                    <w:snapToGrid w:val="0"/>
                    <w:jc w:val="center"/>
                    <w:rPr>
                      <w:sz w:val="18"/>
                      <w:szCs w:val="18"/>
                    </w:rPr>
                  </w:pPr>
                  <w:r>
                    <w:rPr>
                      <w:sz w:val="18"/>
                      <w:szCs w:val="18"/>
                    </w:rPr>
                    <w:t>能源利用效率要求</w:t>
                  </w:r>
                </w:p>
              </w:tc>
              <w:tc>
                <w:tcPr>
                  <w:tcW w:w="6316" w:type="dxa"/>
                  <w:tcBorders>
                    <w:tl2br w:val="nil"/>
                    <w:tr2bl w:val="nil"/>
                  </w:tcBorders>
                  <w:vAlign w:val="center"/>
                </w:tcPr>
                <w:p>
                  <w:pPr>
                    <w:adjustRightInd w:val="0"/>
                    <w:snapToGrid w:val="0"/>
                    <w:jc w:val="left"/>
                    <w:rPr>
                      <w:sz w:val="18"/>
                      <w:szCs w:val="18"/>
                    </w:rPr>
                  </w:pPr>
                  <w:r>
                    <w:rPr>
                      <w:sz w:val="18"/>
                      <w:szCs w:val="18"/>
                    </w:rPr>
                    <w:t>规划近期单位工业增加值能耗≤0.5（吨标煤/万元）。</w:t>
                  </w:r>
                </w:p>
              </w:tc>
              <w:tc>
                <w:tcPr>
                  <w:tcW w:w="3409" w:type="dxa"/>
                  <w:tcBorders>
                    <w:tl2br w:val="nil"/>
                    <w:tr2bl w:val="nil"/>
                  </w:tcBorders>
                  <w:vAlign w:val="center"/>
                </w:tcPr>
                <w:p>
                  <w:pPr>
                    <w:adjustRightInd w:val="0"/>
                    <w:snapToGrid w:val="0"/>
                    <w:jc w:val="left"/>
                    <w:rPr>
                      <w:sz w:val="18"/>
                      <w:szCs w:val="18"/>
                    </w:rPr>
                  </w:pPr>
                  <w:r>
                    <w:rPr>
                      <w:sz w:val="18"/>
                      <w:szCs w:val="18"/>
                    </w:rPr>
                    <w:t>本项目为生物质能供热项目，属于可再生能源利用。项目热效率≥82%，燃料消耗约25t/a，单位工业增加值能耗较低，符合园区能源利用效率要求。</w:t>
                  </w:r>
                </w:p>
              </w:tc>
              <w:tc>
                <w:tcPr>
                  <w:tcW w:w="792" w:type="dxa"/>
                  <w:tcBorders>
                    <w:tl2br w:val="nil"/>
                    <w:tr2bl w:val="nil"/>
                  </w:tcBorders>
                  <w:vAlign w:val="center"/>
                </w:tcPr>
                <w:p>
                  <w:pPr>
                    <w:adjustRightInd w:val="0"/>
                    <w:snapToGrid w:val="0"/>
                    <w:jc w:val="center"/>
                    <w:rPr>
                      <w:sz w:val="18"/>
                      <w:szCs w:val="18"/>
                    </w:rPr>
                  </w:pPr>
                  <w:r>
                    <w:rPr>
                      <w:sz w:val="18"/>
                      <w:szCs w:val="18"/>
                    </w:rPr>
                    <w:t>符合</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556" w:type="dxa"/>
                  <w:vMerge w:val="continue"/>
                  <w:tcBorders>
                    <w:tl2br w:val="nil"/>
                    <w:tr2bl w:val="nil"/>
                  </w:tcBorders>
                  <w:vAlign w:val="center"/>
                </w:tcPr>
                <w:p>
                  <w:pPr>
                    <w:adjustRightInd w:val="0"/>
                    <w:snapToGrid w:val="0"/>
                    <w:jc w:val="center"/>
                    <w:rPr>
                      <w:sz w:val="18"/>
                      <w:szCs w:val="18"/>
                    </w:rPr>
                  </w:pPr>
                </w:p>
              </w:tc>
              <w:tc>
                <w:tcPr>
                  <w:tcW w:w="1358" w:type="dxa"/>
                  <w:tcBorders>
                    <w:tl2br w:val="nil"/>
                    <w:tr2bl w:val="nil"/>
                  </w:tcBorders>
                  <w:vAlign w:val="center"/>
                </w:tcPr>
                <w:p>
                  <w:pPr>
                    <w:adjustRightInd w:val="0"/>
                    <w:snapToGrid w:val="0"/>
                    <w:jc w:val="center"/>
                    <w:rPr>
                      <w:sz w:val="18"/>
                      <w:szCs w:val="18"/>
                    </w:rPr>
                  </w:pPr>
                  <w:r>
                    <w:rPr>
                      <w:sz w:val="18"/>
                      <w:szCs w:val="18"/>
                    </w:rPr>
                    <w:t>高污染燃料禁燃</w:t>
                  </w:r>
                </w:p>
              </w:tc>
              <w:tc>
                <w:tcPr>
                  <w:tcW w:w="6316" w:type="dxa"/>
                  <w:tcBorders>
                    <w:tl2br w:val="nil"/>
                    <w:tr2bl w:val="nil"/>
                  </w:tcBorders>
                  <w:vAlign w:val="center"/>
                </w:tcPr>
                <w:p>
                  <w:pPr>
                    <w:adjustRightInd w:val="0"/>
                    <w:snapToGrid w:val="0"/>
                    <w:jc w:val="left"/>
                    <w:rPr>
                      <w:sz w:val="18"/>
                      <w:szCs w:val="18"/>
                    </w:rPr>
                  </w:pPr>
                  <w:r>
                    <w:rPr>
                      <w:sz w:val="18"/>
                      <w:szCs w:val="18"/>
                    </w:rPr>
                    <w:t>除在安全或者产业布局等方面有特殊要求的项目以外，应该避免新建和扩建采用非清洁燃料的项目和设施。</w:t>
                  </w:r>
                </w:p>
              </w:tc>
              <w:tc>
                <w:tcPr>
                  <w:tcW w:w="3409" w:type="dxa"/>
                  <w:tcBorders>
                    <w:tl2br w:val="nil"/>
                    <w:tr2bl w:val="nil"/>
                  </w:tcBorders>
                  <w:vAlign w:val="center"/>
                </w:tcPr>
                <w:p>
                  <w:pPr>
                    <w:adjustRightInd w:val="0"/>
                    <w:snapToGrid w:val="0"/>
                    <w:jc w:val="left"/>
                    <w:rPr>
                      <w:sz w:val="18"/>
                      <w:szCs w:val="18"/>
                    </w:rPr>
                  </w:pPr>
                  <w:r>
                    <w:rPr>
                      <w:sz w:val="18"/>
                      <w:szCs w:val="18"/>
                    </w:rPr>
                    <w:t>本项目使用生物质成型燃料，配置专用锅炉和高效除尘设施，根据《高污染燃料目录》（国环规大气【2017】2号）第Ⅲ类要求，不属于禁燃的高污染燃料范畴。项目为“以新带老”</w:t>
                  </w:r>
                  <w:r>
                    <w:rPr>
                      <w:rFonts w:hint="eastAsia"/>
                      <w:sz w:val="18"/>
                      <w:szCs w:val="18"/>
                    </w:rPr>
                    <w:t>工程</w:t>
                  </w:r>
                  <w:r>
                    <w:rPr>
                      <w:sz w:val="18"/>
                      <w:szCs w:val="18"/>
                    </w:rPr>
                    <w:t>，不新增产能，使用清洁可再生燃料，符合禁燃区管理要求。</w:t>
                  </w:r>
                </w:p>
              </w:tc>
              <w:tc>
                <w:tcPr>
                  <w:tcW w:w="792" w:type="dxa"/>
                  <w:tcBorders>
                    <w:tl2br w:val="nil"/>
                    <w:tr2bl w:val="nil"/>
                  </w:tcBorders>
                  <w:vAlign w:val="center"/>
                </w:tcPr>
                <w:p>
                  <w:pPr>
                    <w:adjustRightInd w:val="0"/>
                    <w:snapToGrid w:val="0"/>
                    <w:jc w:val="center"/>
                    <w:rPr>
                      <w:sz w:val="18"/>
                      <w:szCs w:val="18"/>
                    </w:rPr>
                  </w:pPr>
                  <w:r>
                    <w:rPr>
                      <w:sz w:val="18"/>
                      <w:szCs w:val="18"/>
                    </w:rPr>
                    <w:t>符合</w:t>
                  </w:r>
                </w:p>
              </w:tc>
            </w:tr>
          </w:tbl>
          <w:p>
            <w:pPr>
              <w:jc w:val="center"/>
              <w:rPr>
                <w:b/>
                <w:bCs/>
              </w:rPr>
            </w:pPr>
            <w:r>
              <w:rPr>
                <w:b/>
                <w:bCs/>
              </w:rPr>
              <w:t>表5  本项目“管控单元”相符性分析一览表</w:t>
            </w:r>
          </w:p>
          <w:tbl>
            <w:tblPr>
              <w:tblStyle w:val="26"/>
              <w:tblW w:w="13431" w:type="dxa"/>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784"/>
              <w:gridCol w:w="779"/>
              <w:gridCol w:w="758"/>
              <w:gridCol w:w="3557"/>
              <w:gridCol w:w="6753"/>
              <w:gridCol w:w="800"/>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784" w:type="dxa"/>
                  <w:tcBorders>
                    <w:top w:val="single" w:color="auto" w:sz="12" w:space="0"/>
                  </w:tcBorders>
                  <w:vAlign w:val="center"/>
                </w:tcPr>
                <w:p>
                  <w:pPr>
                    <w:adjustRightInd w:val="0"/>
                    <w:snapToGrid w:val="0"/>
                    <w:jc w:val="center"/>
                    <w:rPr>
                      <w:sz w:val="18"/>
                      <w:szCs w:val="18"/>
                    </w:rPr>
                  </w:pPr>
                  <w:r>
                    <w:rPr>
                      <w:sz w:val="18"/>
                      <w:szCs w:val="18"/>
                    </w:rPr>
                    <w:t>管控单元名称</w:t>
                  </w:r>
                </w:p>
              </w:tc>
              <w:tc>
                <w:tcPr>
                  <w:tcW w:w="779" w:type="dxa"/>
                  <w:tcBorders>
                    <w:top w:val="single" w:color="auto" w:sz="12" w:space="0"/>
                  </w:tcBorders>
                  <w:vAlign w:val="center"/>
                </w:tcPr>
                <w:p>
                  <w:pPr>
                    <w:adjustRightInd w:val="0"/>
                    <w:snapToGrid w:val="0"/>
                    <w:jc w:val="center"/>
                    <w:rPr>
                      <w:sz w:val="18"/>
                      <w:szCs w:val="18"/>
                    </w:rPr>
                  </w:pPr>
                  <w:r>
                    <w:rPr>
                      <w:sz w:val="18"/>
                      <w:szCs w:val="18"/>
                    </w:rPr>
                    <w:t>管控单元分类</w:t>
                  </w:r>
                </w:p>
              </w:tc>
              <w:tc>
                <w:tcPr>
                  <w:tcW w:w="758" w:type="dxa"/>
                  <w:tcBorders>
                    <w:top w:val="single" w:color="auto" w:sz="12" w:space="0"/>
                  </w:tcBorders>
                  <w:vAlign w:val="center"/>
                </w:tcPr>
                <w:p>
                  <w:pPr>
                    <w:adjustRightInd w:val="0"/>
                    <w:snapToGrid w:val="0"/>
                    <w:jc w:val="center"/>
                    <w:rPr>
                      <w:sz w:val="18"/>
                      <w:szCs w:val="18"/>
                    </w:rPr>
                  </w:pPr>
                  <w:r>
                    <w:rPr>
                      <w:sz w:val="18"/>
                      <w:szCs w:val="18"/>
                    </w:rPr>
                    <w:t>管控类型</w:t>
                  </w:r>
                </w:p>
              </w:tc>
              <w:tc>
                <w:tcPr>
                  <w:tcW w:w="3557" w:type="dxa"/>
                  <w:tcBorders>
                    <w:top w:val="single" w:color="auto" w:sz="12" w:space="0"/>
                  </w:tcBorders>
                  <w:vAlign w:val="center"/>
                </w:tcPr>
                <w:p>
                  <w:pPr>
                    <w:adjustRightInd w:val="0"/>
                    <w:snapToGrid w:val="0"/>
                    <w:jc w:val="center"/>
                    <w:rPr>
                      <w:sz w:val="18"/>
                      <w:szCs w:val="18"/>
                    </w:rPr>
                  </w:pPr>
                  <w:r>
                    <w:rPr>
                      <w:sz w:val="18"/>
                      <w:szCs w:val="18"/>
                    </w:rPr>
                    <w:t>管控要求</w:t>
                  </w:r>
                </w:p>
              </w:tc>
              <w:tc>
                <w:tcPr>
                  <w:tcW w:w="6753" w:type="dxa"/>
                  <w:tcBorders>
                    <w:top w:val="single" w:color="auto" w:sz="12" w:space="0"/>
                  </w:tcBorders>
                  <w:vAlign w:val="center"/>
                </w:tcPr>
                <w:p>
                  <w:pPr>
                    <w:adjustRightInd w:val="0"/>
                    <w:snapToGrid w:val="0"/>
                    <w:jc w:val="center"/>
                    <w:rPr>
                      <w:sz w:val="18"/>
                      <w:szCs w:val="18"/>
                    </w:rPr>
                  </w:pPr>
                  <w:r>
                    <w:rPr>
                      <w:sz w:val="18"/>
                      <w:szCs w:val="18"/>
                    </w:rPr>
                    <w:t>本项目情况</w:t>
                  </w:r>
                </w:p>
              </w:tc>
              <w:tc>
                <w:tcPr>
                  <w:tcW w:w="800" w:type="dxa"/>
                  <w:tcBorders>
                    <w:top w:val="single" w:color="auto" w:sz="12" w:space="0"/>
                  </w:tcBorders>
                  <w:vAlign w:val="center"/>
                </w:tcPr>
                <w:p>
                  <w:pPr>
                    <w:adjustRightInd w:val="0"/>
                    <w:snapToGrid w:val="0"/>
                    <w:jc w:val="center"/>
                    <w:rPr>
                      <w:sz w:val="18"/>
                      <w:szCs w:val="18"/>
                    </w:rPr>
                  </w:pPr>
                  <w:r>
                    <w:rPr>
                      <w:sz w:val="18"/>
                      <w:szCs w:val="18"/>
                    </w:rPr>
                    <w:t>符合性</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784" w:type="dxa"/>
                  <w:vMerge w:val="restart"/>
                  <w:tcBorders>
                    <w:tl2br w:val="nil"/>
                    <w:tr2bl w:val="nil"/>
                  </w:tcBorders>
                  <w:vAlign w:val="center"/>
                </w:tcPr>
                <w:p>
                  <w:pPr>
                    <w:adjustRightInd w:val="0"/>
                    <w:snapToGrid w:val="0"/>
                    <w:jc w:val="center"/>
                    <w:rPr>
                      <w:sz w:val="18"/>
                      <w:szCs w:val="18"/>
                    </w:rPr>
                  </w:pPr>
                  <w:r>
                    <w:rPr>
                      <w:sz w:val="18"/>
                      <w:szCs w:val="18"/>
                    </w:rPr>
                    <w:t>吉林柳河经济开发区</w:t>
                  </w:r>
                </w:p>
              </w:tc>
              <w:tc>
                <w:tcPr>
                  <w:tcW w:w="779" w:type="dxa"/>
                  <w:vMerge w:val="restart"/>
                  <w:tcBorders>
                    <w:tl2br w:val="nil"/>
                    <w:tr2bl w:val="nil"/>
                  </w:tcBorders>
                  <w:vAlign w:val="center"/>
                </w:tcPr>
                <w:p>
                  <w:pPr>
                    <w:adjustRightInd w:val="0"/>
                    <w:snapToGrid w:val="0"/>
                    <w:jc w:val="center"/>
                    <w:rPr>
                      <w:sz w:val="18"/>
                      <w:szCs w:val="18"/>
                    </w:rPr>
                  </w:pPr>
                  <w:r>
                    <w:rPr>
                      <w:sz w:val="18"/>
                      <w:szCs w:val="18"/>
                    </w:rPr>
                    <w:t>2-重点管控</w:t>
                  </w:r>
                </w:p>
              </w:tc>
              <w:tc>
                <w:tcPr>
                  <w:tcW w:w="758" w:type="dxa"/>
                  <w:tcBorders>
                    <w:tl2br w:val="nil"/>
                    <w:tr2bl w:val="nil"/>
                  </w:tcBorders>
                  <w:vAlign w:val="center"/>
                </w:tcPr>
                <w:p>
                  <w:pPr>
                    <w:adjustRightInd w:val="0"/>
                    <w:snapToGrid w:val="0"/>
                    <w:jc w:val="center"/>
                    <w:rPr>
                      <w:sz w:val="18"/>
                      <w:szCs w:val="18"/>
                    </w:rPr>
                  </w:pPr>
                  <w:r>
                    <w:rPr>
                      <w:sz w:val="18"/>
                      <w:szCs w:val="18"/>
                    </w:rPr>
                    <w:t>空间布局约束</w:t>
                  </w:r>
                </w:p>
              </w:tc>
              <w:tc>
                <w:tcPr>
                  <w:tcW w:w="3557" w:type="dxa"/>
                  <w:tcBorders>
                    <w:tl2br w:val="nil"/>
                    <w:tr2bl w:val="nil"/>
                  </w:tcBorders>
                  <w:vAlign w:val="center"/>
                </w:tcPr>
                <w:p>
                  <w:pPr>
                    <w:adjustRightInd w:val="0"/>
                    <w:snapToGrid w:val="0"/>
                    <w:jc w:val="left"/>
                    <w:rPr>
                      <w:sz w:val="18"/>
                      <w:szCs w:val="18"/>
                    </w:rPr>
                  </w:pPr>
                  <w:r>
                    <w:rPr>
                      <w:sz w:val="18"/>
                      <w:szCs w:val="18"/>
                    </w:rPr>
                    <w:t>1严格控制高耗水、高污染行业发展。</w:t>
                  </w:r>
                </w:p>
                <w:p>
                  <w:pPr>
                    <w:adjustRightInd w:val="0"/>
                    <w:snapToGrid w:val="0"/>
                    <w:jc w:val="left"/>
                    <w:rPr>
                      <w:sz w:val="18"/>
                      <w:szCs w:val="18"/>
                    </w:rPr>
                  </w:pPr>
                  <w:r>
                    <w:rPr>
                      <w:sz w:val="18"/>
                      <w:szCs w:val="18"/>
                    </w:rPr>
                    <w:t>2入区企业必须符合片区产业定位，不允许不符合片区产业定位的企业入区。禁止不符合国家产业政策及完全不符合片区产业发展方向的项目入区。</w:t>
                  </w:r>
                </w:p>
                <w:p>
                  <w:pPr>
                    <w:adjustRightInd w:val="0"/>
                    <w:snapToGrid w:val="0"/>
                    <w:jc w:val="left"/>
                    <w:rPr>
                      <w:sz w:val="18"/>
                      <w:szCs w:val="18"/>
                    </w:rPr>
                  </w:pPr>
                  <w:r>
                    <w:rPr>
                      <w:sz w:val="18"/>
                      <w:szCs w:val="18"/>
                    </w:rPr>
                    <w:t>3禁止排放汞、镉、六价铬重金属或持久性有机污染物的项目入区。</w:t>
                  </w:r>
                </w:p>
                <w:p>
                  <w:pPr>
                    <w:adjustRightInd w:val="0"/>
                    <w:snapToGrid w:val="0"/>
                    <w:jc w:val="left"/>
                    <w:rPr>
                      <w:sz w:val="18"/>
                      <w:szCs w:val="18"/>
                    </w:rPr>
                  </w:pPr>
                  <w:r>
                    <w:rPr>
                      <w:sz w:val="18"/>
                      <w:szCs w:val="18"/>
                    </w:rPr>
                    <w:t>4禁止片区从事危险化学品及其他有毒、有害物质的物流项目。</w:t>
                  </w:r>
                </w:p>
              </w:tc>
              <w:tc>
                <w:tcPr>
                  <w:tcW w:w="6753" w:type="dxa"/>
                  <w:tcBorders>
                    <w:tl2br w:val="nil"/>
                    <w:tr2bl w:val="nil"/>
                  </w:tcBorders>
                  <w:vAlign w:val="center"/>
                </w:tcPr>
                <w:p>
                  <w:pPr>
                    <w:adjustRightInd w:val="0"/>
                    <w:snapToGrid w:val="0"/>
                    <w:jc w:val="left"/>
                    <w:rPr>
                      <w:sz w:val="18"/>
                      <w:szCs w:val="18"/>
                    </w:rPr>
                  </w:pPr>
                  <w:r>
                    <w:rPr>
                      <w:sz w:val="18"/>
                      <w:szCs w:val="18"/>
                    </w:rPr>
                    <w:t>1本项目</w:t>
                  </w:r>
                  <w:r>
                    <w:rPr>
                      <w:rFonts w:hint="eastAsia"/>
                      <w:sz w:val="18"/>
                      <w:szCs w:val="18"/>
                    </w:rPr>
                    <w:t>锅炉吨位增加，未增加全厂产品产能，项目锅炉</w:t>
                  </w:r>
                  <w:r>
                    <w:rPr>
                      <w:sz w:val="18"/>
                      <w:szCs w:val="18"/>
                    </w:rPr>
                    <w:t>以生物质成型燃料为能源，配套高效除尘设施。项目运行过程中不新增工业用水（导热油闭路循环，无需补水），不属于高耗水行业；项目实施后污染物排放总量不增加，不属于高污染行业。</w:t>
                  </w:r>
                </w:p>
                <w:p>
                  <w:pPr>
                    <w:adjustRightInd w:val="0"/>
                    <w:snapToGrid w:val="0"/>
                    <w:jc w:val="left"/>
                    <w:rPr>
                      <w:sz w:val="18"/>
                      <w:szCs w:val="18"/>
                      <w:u w:val="single"/>
                    </w:rPr>
                  </w:pPr>
                  <w:r>
                    <w:rPr>
                      <w:sz w:val="18"/>
                      <w:szCs w:val="18"/>
                      <w:u w:val="single"/>
                    </w:rPr>
                    <w:t>2本项目为锅炉设备更新，位于大健康综合产业园内现有厂区。本项目仅在现有锅炉房内将0.5MW锅炉更换为1600kW锅炉，不新增用地、不新建厂房、不新增劳动定员、不扩大主体产品（板式家具）产能，全厂板式家具年产量仍为6万件。根据《中华人民共和国城乡规划法》及《吉林省建设项目规划许可管理办法》关于“扩建”的界定，扩建通常指在原有基础上扩大规模、增加容量或增设新的功能单元，而本项目为设备能效提升型更新，不属于规划环评审查意见（吉环环评字【2021】15号）中“禁止对柳河木王家具制造有限公司进行扩建”所指的增加用地、增加生产线、扩大产品产能等实质扩建行为。本项目属于《产业结构调整指导目录（2024年本）》鼓励类（秸秆能源化利用、生物质能清洁供热），符合国家产业政策。在集中供热建成前，本项目是企业维持正常生产的必要过渡热源保障。</w:t>
                  </w:r>
                </w:p>
                <w:p>
                  <w:pPr>
                    <w:adjustRightInd w:val="0"/>
                    <w:snapToGrid w:val="0"/>
                    <w:jc w:val="left"/>
                    <w:rPr>
                      <w:sz w:val="18"/>
                      <w:szCs w:val="18"/>
                    </w:rPr>
                  </w:pPr>
                  <w:r>
                    <w:rPr>
                      <w:sz w:val="18"/>
                      <w:szCs w:val="18"/>
                    </w:rPr>
                    <w:t>3本项目为生物质有机热载体液相炉供热项目，运行过程中不排放汞、镉、六价铬等重金属，也不排放二噁英等持久性有机污染物。烟气主要污染物为颗粒物、SO</w:t>
                  </w:r>
                  <w:r>
                    <w:rPr>
                      <w:sz w:val="18"/>
                      <w:szCs w:val="18"/>
                      <w:vertAlign w:val="subscript"/>
                    </w:rPr>
                    <w:t>2</w:t>
                  </w:r>
                  <w:r>
                    <w:rPr>
                      <w:sz w:val="18"/>
                      <w:szCs w:val="18"/>
                    </w:rPr>
                    <w:t>和NOx，经高效除尘设施处理后达标排放。</w:t>
                  </w:r>
                </w:p>
                <w:p>
                  <w:pPr>
                    <w:adjustRightInd w:val="0"/>
                    <w:snapToGrid w:val="0"/>
                    <w:jc w:val="left"/>
                    <w:rPr>
                      <w:sz w:val="18"/>
                      <w:szCs w:val="18"/>
                    </w:rPr>
                  </w:pPr>
                  <w:r>
                    <w:rPr>
                      <w:sz w:val="18"/>
                      <w:szCs w:val="18"/>
                    </w:rPr>
                    <w:t>4本项目为锅炉供热项目，不涉及危险化学品及其他有毒、有害物质的物流仓储活动。项目涉及的导热油属于有机热载体，在设备闭路循环系统中使用，不涉及对外物流仓储经营。</w:t>
                  </w:r>
                </w:p>
              </w:tc>
              <w:tc>
                <w:tcPr>
                  <w:tcW w:w="800" w:type="dxa"/>
                  <w:tcBorders>
                    <w:tl2br w:val="nil"/>
                    <w:tr2bl w:val="nil"/>
                  </w:tcBorders>
                  <w:vAlign w:val="center"/>
                </w:tcPr>
                <w:p>
                  <w:pPr>
                    <w:adjustRightInd w:val="0"/>
                    <w:snapToGrid w:val="0"/>
                    <w:jc w:val="center"/>
                    <w:rPr>
                      <w:sz w:val="18"/>
                      <w:szCs w:val="18"/>
                    </w:rPr>
                  </w:pPr>
                  <w:r>
                    <w:rPr>
                      <w:sz w:val="18"/>
                      <w:szCs w:val="18"/>
                    </w:rPr>
                    <w:t>符合</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784" w:type="dxa"/>
                  <w:vMerge w:val="continue"/>
                  <w:tcBorders>
                    <w:tl2br w:val="nil"/>
                    <w:tr2bl w:val="nil"/>
                  </w:tcBorders>
                  <w:vAlign w:val="center"/>
                </w:tcPr>
                <w:p>
                  <w:pPr>
                    <w:adjustRightInd w:val="0"/>
                    <w:snapToGrid w:val="0"/>
                    <w:jc w:val="center"/>
                    <w:rPr>
                      <w:sz w:val="18"/>
                      <w:szCs w:val="18"/>
                    </w:rPr>
                  </w:pPr>
                </w:p>
              </w:tc>
              <w:tc>
                <w:tcPr>
                  <w:tcW w:w="779" w:type="dxa"/>
                  <w:vMerge w:val="continue"/>
                  <w:tcBorders>
                    <w:tl2br w:val="nil"/>
                    <w:tr2bl w:val="nil"/>
                  </w:tcBorders>
                  <w:vAlign w:val="center"/>
                </w:tcPr>
                <w:p>
                  <w:pPr>
                    <w:adjustRightInd w:val="0"/>
                    <w:snapToGrid w:val="0"/>
                    <w:jc w:val="center"/>
                    <w:rPr>
                      <w:sz w:val="18"/>
                      <w:szCs w:val="18"/>
                    </w:rPr>
                  </w:pPr>
                </w:p>
              </w:tc>
              <w:tc>
                <w:tcPr>
                  <w:tcW w:w="758" w:type="dxa"/>
                  <w:tcBorders>
                    <w:tl2br w:val="nil"/>
                    <w:tr2bl w:val="nil"/>
                  </w:tcBorders>
                  <w:vAlign w:val="center"/>
                </w:tcPr>
                <w:p>
                  <w:pPr>
                    <w:adjustRightInd w:val="0"/>
                    <w:snapToGrid w:val="0"/>
                    <w:jc w:val="center"/>
                    <w:rPr>
                      <w:sz w:val="18"/>
                      <w:szCs w:val="18"/>
                    </w:rPr>
                  </w:pPr>
                  <w:r>
                    <w:rPr>
                      <w:sz w:val="18"/>
                      <w:szCs w:val="18"/>
                    </w:rPr>
                    <w:t>污染物排放管控</w:t>
                  </w:r>
                </w:p>
              </w:tc>
              <w:tc>
                <w:tcPr>
                  <w:tcW w:w="3557" w:type="dxa"/>
                  <w:tcBorders>
                    <w:tl2br w:val="nil"/>
                    <w:tr2bl w:val="nil"/>
                  </w:tcBorders>
                  <w:vAlign w:val="center"/>
                </w:tcPr>
                <w:p>
                  <w:pPr>
                    <w:adjustRightInd w:val="0"/>
                    <w:snapToGrid w:val="0"/>
                    <w:jc w:val="left"/>
                    <w:rPr>
                      <w:sz w:val="18"/>
                      <w:szCs w:val="18"/>
                    </w:rPr>
                  </w:pPr>
                  <w:r>
                    <w:rPr>
                      <w:sz w:val="18"/>
                      <w:szCs w:val="18"/>
                    </w:rPr>
                    <w:t>1工业涂装等涉及挥发性有机物排放的行业企业属于控制重点，应推广使用低（无）挥发性有机物含量的原辅材料，安装高效集气装置等措施，提升工艺废气、尾气收集处置率。</w:t>
                  </w:r>
                </w:p>
                <w:p>
                  <w:pPr>
                    <w:adjustRightInd w:val="0"/>
                    <w:snapToGrid w:val="0"/>
                    <w:jc w:val="left"/>
                    <w:rPr>
                      <w:sz w:val="18"/>
                      <w:szCs w:val="18"/>
                    </w:rPr>
                  </w:pPr>
                  <w:r>
                    <w:rPr>
                      <w:sz w:val="18"/>
                      <w:szCs w:val="18"/>
                    </w:rPr>
                    <w:t>2重点行业污染治理升级改造，推进各类园区循环化改造；强化堆场扬尘控制。</w:t>
                  </w:r>
                </w:p>
                <w:p>
                  <w:pPr>
                    <w:adjustRightInd w:val="0"/>
                    <w:snapToGrid w:val="0"/>
                    <w:jc w:val="left"/>
                    <w:rPr>
                      <w:sz w:val="18"/>
                      <w:szCs w:val="18"/>
                    </w:rPr>
                  </w:pPr>
                  <w:r>
                    <w:rPr>
                      <w:sz w:val="18"/>
                      <w:szCs w:val="18"/>
                    </w:rPr>
                    <w:t>3一体推进重点行业大气污染深度治理与节能降碳，推动大型燃煤锅炉、钢铁、水泥等行业超低排放改造，推动重点行业、重点领域氮氧化物减排，探索开展大气污染物与温室气体排放协同控制改造提升工程试点。</w:t>
                  </w:r>
                </w:p>
              </w:tc>
              <w:tc>
                <w:tcPr>
                  <w:tcW w:w="6753" w:type="dxa"/>
                  <w:tcBorders>
                    <w:tl2br w:val="nil"/>
                    <w:tr2bl w:val="nil"/>
                  </w:tcBorders>
                  <w:vAlign w:val="center"/>
                </w:tcPr>
                <w:p>
                  <w:pPr>
                    <w:adjustRightInd w:val="0"/>
                    <w:snapToGrid w:val="0"/>
                    <w:jc w:val="left"/>
                    <w:rPr>
                      <w:sz w:val="18"/>
                      <w:szCs w:val="18"/>
                    </w:rPr>
                  </w:pPr>
                  <w:r>
                    <w:rPr>
                      <w:sz w:val="18"/>
                      <w:szCs w:val="18"/>
                    </w:rPr>
                    <w:t>1本项目为供热项目，不属于工业涂装行业，运行过程中不涉及VOCs产生及排放。项目不涉及涂装工序，不使用含VOCs原辅材料。</w:t>
                  </w:r>
                </w:p>
                <w:p>
                  <w:pPr>
                    <w:adjustRightInd w:val="0"/>
                    <w:snapToGrid w:val="0"/>
                    <w:jc w:val="left"/>
                    <w:rPr>
                      <w:sz w:val="18"/>
                      <w:szCs w:val="18"/>
                    </w:rPr>
                  </w:pPr>
                  <w:r>
                    <w:rPr>
                      <w:sz w:val="18"/>
                      <w:szCs w:val="18"/>
                    </w:rPr>
                    <w:t>2本项目为锅炉“以新带老”，新锅炉热效率更高、污染控制更优。生物质成型燃料在锅炉房内存储，燃料装卸和输送过程采取洒水降尘、覆盖等抑尘措施，有效控制堆场扬尘。</w:t>
                  </w:r>
                </w:p>
                <w:p>
                  <w:pPr>
                    <w:adjustRightInd w:val="0"/>
                    <w:snapToGrid w:val="0"/>
                    <w:jc w:val="left"/>
                    <w:rPr>
                      <w:sz w:val="18"/>
                      <w:szCs w:val="18"/>
                    </w:rPr>
                  </w:pPr>
                  <w:r>
                    <w:rPr>
                      <w:sz w:val="18"/>
                      <w:szCs w:val="18"/>
                    </w:rPr>
                    <w:t>3本项目为生物质锅炉，不属于燃煤锅炉，不属于钢铁、水泥等行业。项目采用往复炉排高效燃烧技术+分级燃烧+烟气再循环，热效率≥82%，从源头减少燃料消耗和碳排放；配套旋风除尘+布袋除尘设施，烟气达标排放，实现了节能与减排的协同。</w:t>
                  </w:r>
                </w:p>
              </w:tc>
              <w:tc>
                <w:tcPr>
                  <w:tcW w:w="800" w:type="dxa"/>
                  <w:tcBorders>
                    <w:tl2br w:val="nil"/>
                    <w:tr2bl w:val="nil"/>
                  </w:tcBorders>
                  <w:vAlign w:val="center"/>
                </w:tcPr>
                <w:p>
                  <w:pPr>
                    <w:adjustRightInd w:val="0"/>
                    <w:snapToGrid w:val="0"/>
                    <w:jc w:val="center"/>
                    <w:rPr>
                      <w:sz w:val="18"/>
                      <w:szCs w:val="18"/>
                    </w:rPr>
                  </w:pPr>
                  <w:r>
                    <w:rPr>
                      <w:sz w:val="18"/>
                      <w:szCs w:val="18"/>
                    </w:rPr>
                    <w:t>符合</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784" w:type="dxa"/>
                  <w:vMerge w:val="continue"/>
                  <w:tcBorders>
                    <w:tl2br w:val="nil"/>
                    <w:tr2bl w:val="nil"/>
                  </w:tcBorders>
                  <w:vAlign w:val="center"/>
                </w:tcPr>
                <w:p>
                  <w:pPr>
                    <w:adjustRightInd w:val="0"/>
                    <w:snapToGrid w:val="0"/>
                    <w:jc w:val="center"/>
                    <w:rPr>
                      <w:sz w:val="18"/>
                      <w:szCs w:val="18"/>
                    </w:rPr>
                  </w:pPr>
                </w:p>
              </w:tc>
              <w:tc>
                <w:tcPr>
                  <w:tcW w:w="779" w:type="dxa"/>
                  <w:vMerge w:val="continue"/>
                  <w:tcBorders>
                    <w:tl2br w:val="nil"/>
                    <w:tr2bl w:val="nil"/>
                  </w:tcBorders>
                  <w:vAlign w:val="center"/>
                </w:tcPr>
                <w:p>
                  <w:pPr>
                    <w:adjustRightInd w:val="0"/>
                    <w:snapToGrid w:val="0"/>
                    <w:jc w:val="center"/>
                    <w:rPr>
                      <w:sz w:val="18"/>
                      <w:szCs w:val="18"/>
                    </w:rPr>
                  </w:pPr>
                </w:p>
              </w:tc>
              <w:tc>
                <w:tcPr>
                  <w:tcW w:w="758" w:type="dxa"/>
                  <w:tcBorders>
                    <w:tl2br w:val="nil"/>
                    <w:tr2bl w:val="nil"/>
                  </w:tcBorders>
                  <w:vAlign w:val="center"/>
                </w:tcPr>
                <w:p>
                  <w:pPr>
                    <w:adjustRightInd w:val="0"/>
                    <w:snapToGrid w:val="0"/>
                    <w:jc w:val="left"/>
                    <w:rPr>
                      <w:sz w:val="18"/>
                      <w:szCs w:val="18"/>
                    </w:rPr>
                  </w:pPr>
                  <w:r>
                    <w:rPr>
                      <w:sz w:val="18"/>
                      <w:szCs w:val="18"/>
                    </w:rPr>
                    <w:t>环境风险防控</w:t>
                  </w:r>
                </w:p>
              </w:tc>
              <w:tc>
                <w:tcPr>
                  <w:tcW w:w="3557" w:type="dxa"/>
                  <w:tcBorders>
                    <w:tl2br w:val="nil"/>
                    <w:tr2bl w:val="nil"/>
                  </w:tcBorders>
                  <w:vAlign w:val="center"/>
                </w:tcPr>
                <w:p>
                  <w:pPr>
                    <w:adjustRightInd w:val="0"/>
                    <w:snapToGrid w:val="0"/>
                    <w:jc w:val="left"/>
                    <w:rPr>
                      <w:sz w:val="18"/>
                      <w:szCs w:val="18"/>
                    </w:rPr>
                  </w:pPr>
                  <w:r>
                    <w:rPr>
                      <w:sz w:val="18"/>
                      <w:szCs w:val="18"/>
                    </w:rPr>
                    <w:t>1开发区应制定环境风险应急预案，成立应急组织机构，定期开展应急演练，提高区域环境风险防范能力。</w:t>
                  </w:r>
                </w:p>
                <w:p>
                  <w:pPr>
                    <w:adjustRightInd w:val="0"/>
                    <w:snapToGrid w:val="0"/>
                    <w:jc w:val="left"/>
                    <w:rPr>
                      <w:sz w:val="18"/>
                      <w:szCs w:val="18"/>
                    </w:rPr>
                  </w:pPr>
                  <w:r>
                    <w:rPr>
                      <w:sz w:val="18"/>
                      <w:szCs w:val="18"/>
                    </w:rPr>
                    <w:t>2严格管理涉及易导致环境风险的有毒有害和易燃易爆物质的生产、使用、贮运等新建、改扩建项目。</w:t>
                  </w:r>
                </w:p>
              </w:tc>
              <w:tc>
                <w:tcPr>
                  <w:tcW w:w="6753" w:type="dxa"/>
                  <w:tcBorders>
                    <w:tl2br w:val="nil"/>
                    <w:tr2bl w:val="nil"/>
                  </w:tcBorders>
                  <w:vAlign w:val="center"/>
                </w:tcPr>
                <w:p>
                  <w:pPr>
                    <w:adjustRightInd w:val="0"/>
                    <w:snapToGrid w:val="0"/>
                    <w:jc w:val="left"/>
                    <w:rPr>
                      <w:sz w:val="18"/>
                      <w:szCs w:val="18"/>
                    </w:rPr>
                  </w:pPr>
                  <w:r>
                    <w:rPr>
                      <w:sz w:val="18"/>
                      <w:szCs w:val="18"/>
                    </w:rPr>
                    <w:t>1本项目涉及的物料主要为生物质成型燃料（固态可燃物）和导热油（有机热载体）。主要环境风险为导热油泄漏及火灾。企业应配合开发区环境风险应急体系建设，编制企业突发环境事件应急预案并备案，配备应急物资，定期组织演练，并与园区应急预案实现联动。</w:t>
                  </w:r>
                </w:p>
                <w:p>
                  <w:pPr>
                    <w:adjustRightInd w:val="0"/>
                    <w:snapToGrid w:val="0"/>
                    <w:jc w:val="left"/>
                    <w:rPr>
                      <w:sz w:val="18"/>
                      <w:szCs w:val="18"/>
                    </w:rPr>
                  </w:pPr>
                  <w:r>
                    <w:rPr>
                      <w:sz w:val="18"/>
                      <w:szCs w:val="18"/>
                    </w:rPr>
                    <w:t>2本项目为锅炉</w:t>
                  </w:r>
                  <w:r>
                    <w:rPr>
                      <w:rFonts w:hint="eastAsia"/>
                      <w:sz w:val="18"/>
                      <w:szCs w:val="18"/>
                    </w:rPr>
                    <w:t>更新</w:t>
                  </w:r>
                  <w:r>
                    <w:rPr>
                      <w:sz w:val="18"/>
                      <w:szCs w:val="18"/>
                    </w:rPr>
                    <w:t>项目，涉及导热油（易燃物质）的使用。企业应按照要求设置导热油泄漏防范设施（围堰），配备消防应急物资，制定严格的运行管理制度，将环境风险降至最低。项目不涉及有毒有害物质的生产和贮运。</w:t>
                  </w:r>
                </w:p>
              </w:tc>
              <w:tc>
                <w:tcPr>
                  <w:tcW w:w="800" w:type="dxa"/>
                  <w:tcBorders>
                    <w:tl2br w:val="nil"/>
                    <w:tr2bl w:val="nil"/>
                  </w:tcBorders>
                  <w:vAlign w:val="center"/>
                </w:tcPr>
                <w:p>
                  <w:pPr>
                    <w:adjustRightInd w:val="0"/>
                    <w:snapToGrid w:val="0"/>
                    <w:jc w:val="center"/>
                    <w:rPr>
                      <w:sz w:val="18"/>
                      <w:szCs w:val="18"/>
                    </w:rPr>
                  </w:pPr>
                  <w:r>
                    <w:rPr>
                      <w:sz w:val="18"/>
                      <w:szCs w:val="18"/>
                    </w:rPr>
                    <w:t>符合</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784" w:type="dxa"/>
                  <w:vMerge w:val="continue"/>
                  <w:tcBorders>
                    <w:tl2br w:val="nil"/>
                    <w:tr2bl w:val="nil"/>
                  </w:tcBorders>
                  <w:vAlign w:val="center"/>
                </w:tcPr>
                <w:p>
                  <w:pPr>
                    <w:adjustRightInd w:val="0"/>
                    <w:snapToGrid w:val="0"/>
                    <w:jc w:val="center"/>
                    <w:rPr>
                      <w:sz w:val="18"/>
                      <w:szCs w:val="18"/>
                    </w:rPr>
                  </w:pPr>
                </w:p>
              </w:tc>
              <w:tc>
                <w:tcPr>
                  <w:tcW w:w="779" w:type="dxa"/>
                  <w:vMerge w:val="continue"/>
                  <w:tcBorders>
                    <w:tl2br w:val="nil"/>
                    <w:tr2bl w:val="nil"/>
                  </w:tcBorders>
                  <w:vAlign w:val="center"/>
                </w:tcPr>
                <w:p>
                  <w:pPr>
                    <w:adjustRightInd w:val="0"/>
                    <w:snapToGrid w:val="0"/>
                    <w:jc w:val="center"/>
                    <w:rPr>
                      <w:sz w:val="18"/>
                      <w:szCs w:val="18"/>
                    </w:rPr>
                  </w:pPr>
                </w:p>
              </w:tc>
              <w:tc>
                <w:tcPr>
                  <w:tcW w:w="758" w:type="dxa"/>
                  <w:tcBorders>
                    <w:tl2br w:val="nil"/>
                    <w:tr2bl w:val="nil"/>
                  </w:tcBorders>
                  <w:vAlign w:val="center"/>
                </w:tcPr>
                <w:p>
                  <w:pPr>
                    <w:adjustRightInd w:val="0"/>
                    <w:snapToGrid w:val="0"/>
                    <w:jc w:val="left"/>
                    <w:rPr>
                      <w:sz w:val="18"/>
                      <w:szCs w:val="18"/>
                    </w:rPr>
                  </w:pPr>
                  <w:r>
                    <w:rPr>
                      <w:sz w:val="18"/>
                      <w:szCs w:val="18"/>
                    </w:rPr>
                    <w:t>资源开发效率</w:t>
                  </w:r>
                </w:p>
              </w:tc>
              <w:tc>
                <w:tcPr>
                  <w:tcW w:w="3557" w:type="dxa"/>
                  <w:tcBorders>
                    <w:tl2br w:val="nil"/>
                    <w:tr2bl w:val="nil"/>
                  </w:tcBorders>
                  <w:vAlign w:val="center"/>
                </w:tcPr>
                <w:p>
                  <w:pPr>
                    <w:adjustRightInd w:val="0"/>
                    <w:snapToGrid w:val="0"/>
                    <w:jc w:val="left"/>
                    <w:rPr>
                      <w:sz w:val="18"/>
                      <w:szCs w:val="18"/>
                    </w:rPr>
                  </w:pPr>
                  <w:r>
                    <w:rPr>
                      <w:sz w:val="18"/>
                      <w:szCs w:val="18"/>
                    </w:rPr>
                    <w:t>1推广园区集中供热，园区新建供热设施须执行排放浓度限值。</w:t>
                  </w:r>
                </w:p>
                <w:p>
                  <w:pPr>
                    <w:adjustRightInd w:val="0"/>
                    <w:snapToGrid w:val="0"/>
                    <w:jc w:val="left"/>
                    <w:rPr>
                      <w:sz w:val="18"/>
                      <w:szCs w:val="18"/>
                    </w:rPr>
                  </w:pPr>
                  <w:r>
                    <w:rPr>
                      <w:sz w:val="18"/>
                      <w:szCs w:val="18"/>
                    </w:rPr>
                    <w:t>2在造纸、化工、粮食深加工等重点行业推广实施节水改造和污水深度处理。鼓励钢铁、纺织印染、造纸、石油石化、化工、制革等高耗水企业废水深度处理回用。</w:t>
                  </w:r>
                </w:p>
                <w:p>
                  <w:pPr>
                    <w:adjustRightInd w:val="0"/>
                    <w:snapToGrid w:val="0"/>
                    <w:jc w:val="left"/>
                    <w:rPr>
                      <w:sz w:val="18"/>
                      <w:szCs w:val="18"/>
                    </w:rPr>
                  </w:pPr>
                  <w:r>
                    <w:rPr>
                      <w:sz w:val="18"/>
                      <w:szCs w:val="18"/>
                    </w:rPr>
                    <w:t>3促进再生水的利用。</w:t>
                  </w:r>
                </w:p>
                <w:p>
                  <w:pPr>
                    <w:adjustRightInd w:val="0"/>
                    <w:snapToGrid w:val="0"/>
                    <w:jc w:val="left"/>
                    <w:rPr>
                      <w:sz w:val="18"/>
                      <w:szCs w:val="18"/>
                    </w:rPr>
                  </w:pPr>
                  <w:r>
                    <w:rPr>
                      <w:sz w:val="18"/>
                      <w:szCs w:val="18"/>
                    </w:rPr>
                    <w:t>4完成吉林省下达的产能置换要求。各产业执行对应的清洁生产标准。</w:t>
                  </w:r>
                </w:p>
              </w:tc>
              <w:tc>
                <w:tcPr>
                  <w:tcW w:w="6753" w:type="dxa"/>
                  <w:tcBorders>
                    <w:tl2br w:val="nil"/>
                    <w:tr2bl w:val="nil"/>
                  </w:tcBorders>
                  <w:vAlign w:val="center"/>
                </w:tcPr>
                <w:p>
                  <w:pPr>
                    <w:adjustRightInd w:val="0"/>
                    <w:snapToGrid w:val="0"/>
                    <w:jc w:val="left"/>
                    <w:rPr>
                      <w:sz w:val="18"/>
                      <w:szCs w:val="18"/>
                    </w:rPr>
                  </w:pPr>
                  <w:r>
                    <w:rPr>
                      <w:sz w:val="18"/>
                      <w:szCs w:val="18"/>
                    </w:rPr>
                    <w:t>1在园区集中供热建成前，本项目作为过渡热源保障企业生产用热。项目将严格执行《锅炉大气污染物排放标准》（GB13271）中规定的大气污染物排放浓度限值。待集中供热建成后，可按要求对接集中供热系统。</w:t>
                  </w:r>
                </w:p>
                <w:p>
                  <w:pPr>
                    <w:adjustRightInd w:val="0"/>
                    <w:snapToGrid w:val="0"/>
                    <w:jc w:val="left"/>
                    <w:rPr>
                      <w:sz w:val="18"/>
                      <w:szCs w:val="18"/>
                    </w:rPr>
                  </w:pPr>
                  <w:r>
                    <w:rPr>
                      <w:sz w:val="18"/>
                      <w:szCs w:val="18"/>
                    </w:rPr>
                    <w:t>2本项目不属于造纸、化工、粮食深加工等重点行业，亦不属于钢铁、纺织印染等高耗水行业。项目运行不新增工业用水及生活污水，不产生生产废水及生活污水，无废水排放。</w:t>
                  </w:r>
                </w:p>
                <w:p>
                  <w:pPr>
                    <w:adjustRightInd w:val="0"/>
                    <w:snapToGrid w:val="0"/>
                    <w:jc w:val="left"/>
                    <w:rPr>
                      <w:sz w:val="18"/>
                      <w:szCs w:val="18"/>
                    </w:rPr>
                  </w:pPr>
                  <w:r>
                    <w:rPr>
                      <w:sz w:val="18"/>
                      <w:szCs w:val="18"/>
                    </w:rPr>
                    <w:t>3本项目不涉及生产用水及生活污水，不产生生产废水及生活污水，无需使用再生水。</w:t>
                  </w:r>
                </w:p>
                <w:p>
                  <w:pPr>
                    <w:adjustRightInd w:val="0"/>
                    <w:snapToGrid w:val="0"/>
                    <w:jc w:val="left"/>
                    <w:rPr>
                      <w:sz w:val="18"/>
                      <w:szCs w:val="18"/>
                    </w:rPr>
                  </w:pPr>
                  <w:r>
                    <w:rPr>
                      <w:sz w:val="18"/>
                      <w:szCs w:val="18"/>
                    </w:rPr>
                    <w:t>4本项目为锅炉设备更新，不涉及产能置换。项目采用高效燃烧技术（往复炉排），热效率≥82%，配套高效除尘设施，清洁生产水平达到国内先进水平，符合清洁生产要求。</w:t>
                  </w:r>
                </w:p>
              </w:tc>
              <w:tc>
                <w:tcPr>
                  <w:tcW w:w="800" w:type="dxa"/>
                  <w:tcBorders>
                    <w:tl2br w:val="nil"/>
                    <w:tr2bl w:val="nil"/>
                  </w:tcBorders>
                  <w:vAlign w:val="center"/>
                </w:tcPr>
                <w:p>
                  <w:pPr>
                    <w:adjustRightInd w:val="0"/>
                    <w:snapToGrid w:val="0"/>
                    <w:jc w:val="center"/>
                    <w:rPr>
                      <w:sz w:val="18"/>
                      <w:szCs w:val="18"/>
                    </w:rPr>
                  </w:pPr>
                  <w:r>
                    <w:rPr>
                      <w:sz w:val="18"/>
                      <w:szCs w:val="18"/>
                    </w:rPr>
                    <w:t>符合</w:t>
                  </w:r>
                </w:p>
              </w:tc>
            </w:tr>
          </w:tbl>
          <w:p>
            <w:pPr>
              <w:spacing w:line="360" w:lineRule="auto"/>
              <w:jc w:val="left"/>
            </w:pPr>
          </w:p>
          <w:p>
            <w:pPr>
              <w:spacing w:line="360" w:lineRule="auto"/>
              <w:jc w:val="left"/>
            </w:pPr>
          </w:p>
          <w:p>
            <w:pPr>
              <w:spacing w:line="360" w:lineRule="auto"/>
              <w:jc w:val="left"/>
            </w:pPr>
          </w:p>
          <w:p>
            <w:pPr>
              <w:spacing w:line="360" w:lineRule="auto"/>
              <w:jc w:val="left"/>
            </w:pPr>
          </w:p>
          <w:p>
            <w:pPr>
              <w:spacing w:line="360" w:lineRule="auto"/>
              <w:jc w:val="left"/>
            </w:pPr>
          </w:p>
          <w:p>
            <w:pPr>
              <w:spacing w:line="360" w:lineRule="auto"/>
              <w:jc w:val="left"/>
            </w:pPr>
          </w:p>
          <w:p>
            <w:pPr>
              <w:spacing w:line="360" w:lineRule="auto"/>
              <w:jc w:val="left"/>
            </w:pPr>
          </w:p>
          <w:p>
            <w:pPr>
              <w:spacing w:line="360" w:lineRule="auto"/>
              <w:jc w:val="left"/>
            </w:pPr>
          </w:p>
          <w:p>
            <w:pPr>
              <w:spacing w:line="360" w:lineRule="auto"/>
              <w:jc w:val="left"/>
            </w:pPr>
          </w:p>
          <w:p>
            <w:pPr>
              <w:spacing w:line="360" w:lineRule="auto"/>
              <w:jc w:val="left"/>
            </w:pPr>
          </w:p>
          <w:p>
            <w:pPr>
              <w:spacing w:line="360" w:lineRule="auto"/>
              <w:jc w:val="left"/>
            </w:pPr>
          </w:p>
          <w:p>
            <w:pPr>
              <w:spacing w:line="360" w:lineRule="auto"/>
              <w:jc w:val="left"/>
            </w:pPr>
          </w:p>
          <w:p>
            <w:pPr>
              <w:spacing w:line="360" w:lineRule="auto"/>
              <w:jc w:val="left"/>
            </w:pPr>
          </w:p>
          <w:p>
            <w:pPr>
              <w:spacing w:line="360" w:lineRule="auto"/>
              <w:jc w:val="left"/>
            </w:pPr>
          </w:p>
        </w:tc>
      </w:tr>
    </w:tbl>
    <w:p>
      <w:pPr>
        <w:sectPr>
          <w:pgSz w:w="16838" w:h="11906" w:orient="landscape"/>
          <w:pgMar w:top="1701" w:right="1701" w:bottom="1701" w:left="1701" w:header="851" w:footer="992" w:gutter="0"/>
          <w:cols w:space="0" w:num="1"/>
          <w:docGrid w:type="lines" w:linePitch="314" w:charSpace="0"/>
        </w:sectPr>
      </w:pPr>
    </w:p>
    <w:p>
      <w:pPr>
        <w:pStyle w:val="2"/>
        <w:spacing w:before="0" w:after="0" w:line="240" w:lineRule="auto"/>
        <w:ind w:firstLine="148" w:firstLineChars="49"/>
        <w:jc w:val="center"/>
        <w:rPr>
          <w:rFonts w:eastAsia="黑体"/>
          <w:snapToGrid w:val="0"/>
          <w:sz w:val="30"/>
          <w:szCs w:val="30"/>
        </w:rPr>
      </w:pPr>
      <w:bookmarkStart w:id="4" w:name="_Toc2995"/>
      <w:r>
        <w:rPr>
          <w:rFonts w:eastAsia="黑体"/>
          <w:snapToGrid w:val="0"/>
          <w:sz w:val="30"/>
          <w:szCs w:val="30"/>
        </w:rPr>
        <w:t>二、建设内容</w:t>
      </w:r>
      <w:bookmarkEnd w:id="4"/>
    </w:p>
    <w:tbl>
      <w:tblPr>
        <w:tblStyle w:val="26"/>
        <w:tblW w:w="87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720" w:type="dxa"/>
            <w:vAlign w:val="top"/>
          </w:tcPr>
          <w:p>
            <w:pPr>
              <w:jc w:val="left"/>
              <w:rPr>
                <w:b/>
                <w:bCs/>
              </w:rPr>
            </w:pPr>
            <w:r>
              <w:rPr>
                <w:b/>
                <w:bCs/>
              </w:rPr>
              <w:t>建设内容</w:t>
            </w:r>
          </w:p>
          <w:p>
            <w:pPr>
              <w:spacing w:line="360" w:lineRule="auto"/>
              <w:ind w:firstLine="420" w:firstLineChars="200"/>
              <w:jc w:val="left"/>
            </w:pPr>
            <w:r>
              <w:t>1、基本情况</w:t>
            </w:r>
          </w:p>
          <w:p>
            <w:pPr>
              <w:spacing w:line="360" w:lineRule="auto"/>
              <w:ind w:firstLine="420" w:firstLineChars="200"/>
              <w:jc w:val="left"/>
            </w:pPr>
            <w:r>
              <w:t>项目名称：</w:t>
            </w:r>
            <w:r>
              <w:rPr>
                <w:szCs w:val="21"/>
              </w:rPr>
              <w:t>柳河赵氏木业有限公司锅炉改造项目</w:t>
            </w:r>
          </w:p>
          <w:p>
            <w:pPr>
              <w:spacing w:line="360" w:lineRule="auto"/>
              <w:ind w:firstLine="420" w:firstLineChars="200"/>
              <w:jc w:val="left"/>
            </w:pPr>
            <w:r>
              <w:t>建设性质：</w:t>
            </w:r>
            <w:r>
              <w:rPr>
                <w:rFonts w:hint="eastAsia"/>
              </w:rPr>
              <w:t>扩建</w:t>
            </w:r>
          </w:p>
          <w:p>
            <w:pPr>
              <w:spacing w:line="360" w:lineRule="auto"/>
              <w:ind w:firstLine="420" w:firstLineChars="200"/>
              <w:jc w:val="left"/>
              <w:rPr>
                <w:u w:val="single"/>
              </w:rPr>
            </w:pPr>
            <w:r>
              <w:rPr>
                <w:u w:val="single"/>
              </w:rPr>
              <w:t>注：本项目将原有0.5MW燃生物质锅炉拆除，原址建设一台额定热功率1600kW有机热载体液相炉（导热油炉），热功率由0.5MW提升至1.6MW。本次</w:t>
            </w:r>
            <w:r>
              <w:rPr>
                <w:rFonts w:hint="eastAsia"/>
                <w:u w:val="single"/>
              </w:rPr>
              <w:t>建设内容</w:t>
            </w:r>
            <w:r>
              <w:rPr>
                <w:u w:val="single"/>
              </w:rPr>
              <w:t>在企业现有锅炉房内原址进行，不新增用地、不新增土建、不增加劳动定员、不扩大主体产品产能，仅供热设备供热能力有所提升。企业承诺本</w:t>
            </w:r>
            <w:r>
              <w:rPr>
                <w:rFonts w:hint="eastAsia"/>
                <w:u w:val="single"/>
              </w:rPr>
              <w:t>项目完成后</w:t>
            </w:r>
            <w:r>
              <w:rPr>
                <w:u w:val="single"/>
              </w:rPr>
              <w:t>全厂主要产品产能不变，供热能力提升部分仅用于提高现有生产线的供热效率及保障稳定性，不用于扩大生产规模。</w:t>
            </w:r>
          </w:p>
          <w:p>
            <w:pPr>
              <w:spacing w:line="360" w:lineRule="auto"/>
              <w:ind w:firstLine="420" w:firstLineChars="200"/>
              <w:jc w:val="left"/>
            </w:pPr>
            <w:r>
              <w:t>建设地点：</w:t>
            </w:r>
            <w:r>
              <w:rPr>
                <w:szCs w:val="21"/>
              </w:rPr>
              <w:t>吉林柳河经济开发区柳河赵氏木业有限公司院内</w:t>
            </w:r>
          </w:p>
          <w:p>
            <w:pPr>
              <w:spacing w:line="360" w:lineRule="auto"/>
              <w:ind w:firstLine="420" w:firstLineChars="200"/>
              <w:jc w:val="left"/>
            </w:pPr>
            <w:r>
              <w:t>周边情况：本项目锅炉房位于</w:t>
            </w:r>
            <w:r>
              <w:rPr>
                <w:szCs w:val="21"/>
              </w:rPr>
              <w:t>柳河赵氏木业有限公司院内南侧，东侧与南侧为院内空地，西侧与北侧紧邻家具厂厂房，</w:t>
            </w:r>
            <w:r>
              <w:t>距离本项目锅炉房最近居民为东南侧约750m处</w:t>
            </w:r>
            <w:r>
              <w:rPr>
                <w:szCs w:val="21"/>
              </w:rPr>
              <w:t>盛世家园小区居民</w:t>
            </w:r>
            <w:r>
              <w:t>。</w:t>
            </w:r>
          </w:p>
          <w:p>
            <w:pPr>
              <w:spacing w:line="360" w:lineRule="auto"/>
              <w:ind w:firstLine="420" w:firstLineChars="200"/>
              <w:jc w:val="left"/>
            </w:pPr>
            <w:r>
              <w:t>本项目地理位置详见</w:t>
            </w:r>
            <w:r>
              <w:rPr>
                <w:color w:val="FF0000"/>
              </w:rPr>
              <w:t>附图4</w:t>
            </w:r>
            <w:r>
              <w:t>，周围环境照片详见</w:t>
            </w:r>
            <w:r>
              <w:rPr>
                <w:color w:val="FF0000"/>
              </w:rPr>
              <w:t>附图5</w:t>
            </w:r>
            <w:r>
              <w:t>，项目周边环境现状卫星图详见</w:t>
            </w:r>
            <w:r>
              <w:rPr>
                <w:color w:val="FF0000"/>
              </w:rPr>
              <w:t>附图6</w:t>
            </w:r>
            <w:r>
              <w:t>。</w:t>
            </w:r>
          </w:p>
          <w:p>
            <w:pPr>
              <w:spacing w:line="360" w:lineRule="auto"/>
              <w:ind w:firstLine="420" w:firstLineChars="200"/>
              <w:jc w:val="left"/>
            </w:pPr>
            <w:r>
              <w:t>2、总投资及资金来源</w:t>
            </w:r>
          </w:p>
          <w:p>
            <w:pPr>
              <w:spacing w:line="360" w:lineRule="auto"/>
              <w:ind w:firstLine="420" w:firstLineChars="200"/>
              <w:jc w:val="left"/>
            </w:pPr>
            <w:r>
              <w:t>本项目总投资</w:t>
            </w:r>
            <w:r>
              <w:rPr>
                <w:szCs w:val="21"/>
              </w:rPr>
              <w:t>20.00</w:t>
            </w:r>
            <w:r>
              <w:t>万元，资金全部自筹。</w:t>
            </w:r>
          </w:p>
          <w:p>
            <w:pPr>
              <w:spacing w:line="360" w:lineRule="auto"/>
              <w:ind w:firstLine="420" w:firstLineChars="200"/>
              <w:jc w:val="left"/>
            </w:pPr>
            <w:r>
              <w:t>3、建设内容及规模</w:t>
            </w:r>
          </w:p>
          <w:p>
            <w:pPr>
              <w:spacing w:line="360" w:lineRule="auto"/>
              <w:ind w:firstLine="420" w:firstLineChars="200"/>
              <w:jc w:val="left"/>
            </w:pPr>
            <w:r>
              <w:rPr>
                <w:szCs w:val="21"/>
              </w:rPr>
              <w:t>本项目将位于现有锅炉房内的0.5MW燃生物质锅炉拆除，原址内安装一台额定热功率1600kW的有机热载体液相炉（导热油炉），同时拆除原有水除尘器，保留并改造现有布袋除尘系统</w:t>
            </w:r>
            <w:r>
              <w:rPr>
                <w:rFonts w:hint="eastAsia"/>
                <w:szCs w:val="21"/>
              </w:rPr>
              <w:t>（使之与新锅炉相匹配）</w:t>
            </w:r>
            <w:r>
              <w:rPr>
                <w:szCs w:val="21"/>
              </w:rPr>
              <w:t>，新增一套旋风除尘器作为预处理设施。</w:t>
            </w:r>
            <w:r>
              <w:rPr>
                <w:rFonts w:hint="eastAsia"/>
                <w:szCs w:val="21"/>
              </w:rPr>
              <w:t>建设</w:t>
            </w:r>
            <w:r>
              <w:rPr>
                <w:szCs w:val="21"/>
              </w:rPr>
              <w:t>完成后，锅炉烟气采用“旋风除尘+布袋除尘”两级除尘工艺，经处理后的锅炉烟气经30m高烟囱外排。</w:t>
            </w:r>
          </w:p>
          <w:p>
            <w:pPr>
              <w:spacing w:line="360" w:lineRule="auto"/>
              <w:ind w:firstLine="420" w:firstLineChars="200"/>
              <w:jc w:val="left"/>
            </w:pPr>
            <w:r>
              <w:t>本项目工程组成情况详见表6。</w:t>
            </w:r>
          </w:p>
          <w:p>
            <w:pPr>
              <w:snapToGrid w:val="0"/>
              <w:jc w:val="center"/>
              <w:rPr>
                <w:b/>
                <w:bCs/>
              </w:rPr>
            </w:pPr>
          </w:p>
          <w:p>
            <w:pPr>
              <w:snapToGrid w:val="0"/>
              <w:jc w:val="center"/>
              <w:rPr>
                <w:b/>
                <w:bCs/>
              </w:rPr>
            </w:pPr>
          </w:p>
          <w:p>
            <w:pPr>
              <w:snapToGrid w:val="0"/>
              <w:jc w:val="center"/>
              <w:rPr>
                <w:b/>
                <w:bCs/>
              </w:rPr>
            </w:pPr>
          </w:p>
          <w:p>
            <w:pPr>
              <w:snapToGrid w:val="0"/>
              <w:jc w:val="center"/>
              <w:rPr>
                <w:b/>
                <w:bCs/>
              </w:rPr>
            </w:pPr>
          </w:p>
          <w:p>
            <w:pPr>
              <w:snapToGrid w:val="0"/>
              <w:jc w:val="center"/>
              <w:rPr>
                <w:b/>
                <w:bCs/>
              </w:rPr>
            </w:pPr>
          </w:p>
          <w:p>
            <w:pPr>
              <w:snapToGrid w:val="0"/>
              <w:jc w:val="center"/>
              <w:rPr>
                <w:b/>
                <w:bCs/>
              </w:rPr>
            </w:pPr>
          </w:p>
          <w:p>
            <w:pPr>
              <w:snapToGrid w:val="0"/>
              <w:jc w:val="center"/>
              <w:rPr>
                <w:b/>
                <w:bCs/>
              </w:rPr>
            </w:pPr>
          </w:p>
          <w:p>
            <w:pPr>
              <w:snapToGrid w:val="0"/>
              <w:jc w:val="center"/>
              <w:rPr>
                <w:b/>
                <w:bCs/>
              </w:rPr>
            </w:pPr>
          </w:p>
          <w:p>
            <w:pPr>
              <w:snapToGrid w:val="0"/>
              <w:jc w:val="center"/>
              <w:rPr>
                <w:b/>
                <w:bCs/>
              </w:rPr>
            </w:pPr>
            <w:r>
              <w:rPr>
                <w:b/>
                <w:bCs/>
              </w:rPr>
              <w:t>表6  本项目工程组成情况一览表</w:t>
            </w:r>
          </w:p>
          <w:tbl>
            <w:tblPr>
              <w:tblStyle w:val="26"/>
              <w:tblW w:w="8501"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011"/>
              <w:gridCol w:w="1533"/>
              <w:gridCol w:w="3840"/>
              <w:gridCol w:w="2117"/>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011" w:type="dxa"/>
                  <w:vAlign w:val="center"/>
                </w:tcPr>
                <w:p>
                  <w:pPr>
                    <w:adjustRightInd w:val="0"/>
                    <w:snapToGrid w:val="0"/>
                    <w:jc w:val="center"/>
                    <w:rPr>
                      <w:sz w:val="18"/>
                      <w:szCs w:val="18"/>
                      <w:u w:val="single"/>
                    </w:rPr>
                  </w:pPr>
                  <w:r>
                    <w:rPr>
                      <w:sz w:val="18"/>
                      <w:szCs w:val="18"/>
                      <w:u w:val="single"/>
                    </w:rPr>
                    <w:t>工程组成</w:t>
                  </w:r>
                </w:p>
              </w:tc>
              <w:tc>
                <w:tcPr>
                  <w:tcW w:w="1533" w:type="dxa"/>
                  <w:vAlign w:val="center"/>
                </w:tcPr>
                <w:p>
                  <w:pPr>
                    <w:adjustRightInd w:val="0"/>
                    <w:snapToGrid w:val="0"/>
                    <w:jc w:val="center"/>
                    <w:rPr>
                      <w:sz w:val="18"/>
                      <w:szCs w:val="18"/>
                      <w:u w:val="single"/>
                    </w:rPr>
                  </w:pPr>
                  <w:r>
                    <w:rPr>
                      <w:sz w:val="18"/>
                      <w:szCs w:val="18"/>
                      <w:u w:val="single"/>
                    </w:rPr>
                    <w:t>单项工程名称</w:t>
                  </w:r>
                </w:p>
              </w:tc>
              <w:tc>
                <w:tcPr>
                  <w:tcW w:w="3840" w:type="dxa"/>
                  <w:vAlign w:val="center"/>
                </w:tcPr>
                <w:p>
                  <w:pPr>
                    <w:adjustRightInd w:val="0"/>
                    <w:snapToGrid w:val="0"/>
                    <w:jc w:val="center"/>
                    <w:rPr>
                      <w:sz w:val="18"/>
                      <w:szCs w:val="18"/>
                      <w:u w:val="single"/>
                    </w:rPr>
                  </w:pPr>
                  <w:r>
                    <w:rPr>
                      <w:sz w:val="18"/>
                      <w:szCs w:val="18"/>
                      <w:u w:val="single"/>
                    </w:rPr>
                    <w:t>建设内容</w:t>
                  </w:r>
                </w:p>
              </w:tc>
              <w:tc>
                <w:tcPr>
                  <w:tcW w:w="2117" w:type="dxa"/>
                  <w:vAlign w:val="center"/>
                </w:tcPr>
                <w:p>
                  <w:pPr>
                    <w:adjustRightInd w:val="0"/>
                    <w:snapToGrid w:val="0"/>
                    <w:jc w:val="center"/>
                    <w:rPr>
                      <w:sz w:val="18"/>
                      <w:szCs w:val="18"/>
                      <w:u w:val="single"/>
                    </w:rPr>
                  </w:pPr>
                  <w:r>
                    <w:rPr>
                      <w:sz w:val="18"/>
                      <w:szCs w:val="18"/>
                      <w:u w:val="single"/>
                    </w:rPr>
                    <w:t>与现有工程依托关系</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011" w:type="dxa"/>
                  <w:vAlign w:val="center"/>
                </w:tcPr>
                <w:p>
                  <w:pPr>
                    <w:adjustRightInd w:val="0"/>
                    <w:snapToGrid w:val="0"/>
                    <w:jc w:val="center"/>
                    <w:rPr>
                      <w:sz w:val="18"/>
                      <w:szCs w:val="18"/>
                      <w:u w:val="single"/>
                    </w:rPr>
                  </w:pPr>
                  <w:r>
                    <w:rPr>
                      <w:sz w:val="18"/>
                      <w:szCs w:val="18"/>
                      <w:u w:val="single"/>
                    </w:rPr>
                    <w:t>主体工程</w:t>
                  </w:r>
                </w:p>
              </w:tc>
              <w:tc>
                <w:tcPr>
                  <w:tcW w:w="1533" w:type="dxa"/>
                  <w:vAlign w:val="center"/>
                </w:tcPr>
                <w:p>
                  <w:pPr>
                    <w:adjustRightInd w:val="0"/>
                    <w:snapToGrid w:val="0"/>
                    <w:jc w:val="center"/>
                    <w:rPr>
                      <w:sz w:val="18"/>
                      <w:szCs w:val="18"/>
                      <w:u w:val="single"/>
                    </w:rPr>
                  </w:pPr>
                  <w:r>
                    <w:rPr>
                      <w:sz w:val="18"/>
                      <w:szCs w:val="18"/>
                      <w:u w:val="single"/>
                    </w:rPr>
                    <w:t>锅炉房</w:t>
                  </w:r>
                </w:p>
              </w:tc>
              <w:tc>
                <w:tcPr>
                  <w:tcW w:w="3840" w:type="dxa"/>
                  <w:vAlign w:val="center"/>
                </w:tcPr>
                <w:p>
                  <w:pPr>
                    <w:adjustRightInd w:val="0"/>
                    <w:snapToGrid w:val="0"/>
                    <w:jc w:val="center"/>
                    <w:rPr>
                      <w:sz w:val="18"/>
                      <w:szCs w:val="18"/>
                      <w:u w:val="single"/>
                    </w:rPr>
                  </w:pPr>
                  <w:r>
                    <w:rPr>
                      <w:sz w:val="18"/>
                      <w:szCs w:val="18"/>
                      <w:u w:val="single"/>
                    </w:rPr>
                    <w:t>将现有锅炉房内0.5MW燃生物质锅炉拆除，原址安装一台额定热功率1600kW有机热载体液相炉（导热油炉），同时拆除原有水除尘器，保留并改造现有布袋除尘系统，新增一套旋风除尘器作为预处理设施。</w:t>
                  </w:r>
                  <w:r>
                    <w:rPr>
                      <w:rFonts w:hint="eastAsia"/>
                      <w:sz w:val="18"/>
                      <w:szCs w:val="18"/>
                      <w:u w:val="single"/>
                    </w:rPr>
                    <w:t>建设</w:t>
                  </w:r>
                  <w:r>
                    <w:rPr>
                      <w:sz w:val="18"/>
                      <w:szCs w:val="18"/>
                      <w:u w:val="single"/>
                    </w:rPr>
                    <w:t>完成后，锅炉烟气采用"旋风除尘+布袋除尘"两级除尘工艺，经处理后的锅炉烟气经30m高烟囱外排</w:t>
                  </w:r>
                </w:p>
              </w:tc>
              <w:tc>
                <w:tcPr>
                  <w:tcW w:w="2117" w:type="dxa"/>
                  <w:vAlign w:val="center"/>
                </w:tcPr>
                <w:p>
                  <w:pPr>
                    <w:adjustRightInd w:val="0"/>
                    <w:snapToGrid w:val="0"/>
                    <w:jc w:val="center"/>
                    <w:rPr>
                      <w:sz w:val="18"/>
                      <w:szCs w:val="18"/>
                      <w:u w:val="single"/>
                    </w:rPr>
                  </w:pPr>
                  <w:r>
                    <w:rPr>
                      <w:sz w:val="18"/>
                      <w:szCs w:val="18"/>
                      <w:u w:val="single"/>
                    </w:rPr>
                    <w:t>原址</w:t>
                  </w:r>
                  <w:r>
                    <w:rPr>
                      <w:rFonts w:hint="eastAsia"/>
                      <w:sz w:val="18"/>
                      <w:szCs w:val="18"/>
                      <w:u w:val="single"/>
                    </w:rPr>
                    <w:t>建设</w:t>
                  </w:r>
                  <w:r>
                    <w:rPr>
                      <w:sz w:val="18"/>
                      <w:szCs w:val="18"/>
                      <w:u w:val="single"/>
                    </w:rPr>
                    <w:t>，新增1台1600kW有机热载体液相炉及1台旋风除尘器；保留并改造现有布袋除尘器；现有烟囱加高至30m</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011" w:type="dxa"/>
                  <w:vMerge w:val="restart"/>
                  <w:vAlign w:val="center"/>
                </w:tcPr>
                <w:p>
                  <w:pPr>
                    <w:adjustRightInd w:val="0"/>
                    <w:snapToGrid w:val="0"/>
                    <w:jc w:val="center"/>
                    <w:rPr>
                      <w:sz w:val="18"/>
                      <w:szCs w:val="18"/>
                      <w:u w:val="single"/>
                    </w:rPr>
                  </w:pPr>
                  <w:r>
                    <w:rPr>
                      <w:sz w:val="18"/>
                      <w:szCs w:val="18"/>
                      <w:u w:val="single"/>
                    </w:rPr>
                    <w:t>辅助工程</w:t>
                  </w:r>
                </w:p>
              </w:tc>
              <w:tc>
                <w:tcPr>
                  <w:tcW w:w="1533" w:type="dxa"/>
                  <w:vAlign w:val="center"/>
                </w:tcPr>
                <w:p>
                  <w:pPr>
                    <w:adjustRightInd w:val="0"/>
                    <w:snapToGrid w:val="0"/>
                    <w:jc w:val="center"/>
                    <w:rPr>
                      <w:sz w:val="18"/>
                      <w:szCs w:val="18"/>
                      <w:u w:val="single"/>
                    </w:rPr>
                  </w:pPr>
                  <w:r>
                    <w:rPr>
                      <w:sz w:val="18"/>
                      <w:szCs w:val="18"/>
                      <w:u w:val="single"/>
                    </w:rPr>
                    <w:t>燃料储存</w:t>
                  </w:r>
                </w:p>
              </w:tc>
              <w:tc>
                <w:tcPr>
                  <w:tcW w:w="3840" w:type="dxa"/>
                  <w:vAlign w:val="center"/>
                </w:tcPr>
                <w:p>
                  <w:pPr>
                    <w:adjustRightInd w:val="0"/>
                    <w:snapToGrid w:val="0"/>
                    <w:jc w:val="center"/>
                    <w:rPr>
                      <w:sz w:val="18"/>
                      <w:szCs w:val="18"/>
                      <w:u w:val="single"/>
                    </w:rPr>
                  </w:pPr>
                  <w:r>
                    <w:rPr>
                      <w:sz w:val="18"/>
                      <w:szCs w:val="18"/>
                      <w:u w:val="single"/>
                    </w:rPr>
                    <w:t>生物质成型燃料储存于锅炉房内专用燃料堆放区</w:t>
                  </w:r>
                </w:p>
              </w:tc>
              <w:tc>
                <w:tcPr>
                  <w:tcW w:w="2117" w:type="dxa"/>
                  <w:vAlign w:val="center"/>
                </w:tcPr>
                <w:p>
                  <w:pPr>
                    <w:adjustRightInd w:val="0"/>
                    <w:snapToGrid w:val="0"/>
                    <w:jc w:val="center"/>
                    <w:rPr>
                      <w:sz w:val="18"/>
                      <w:szCs w:val="18"/>
                      <w:u w:val="single"/>
                    </w:rPr>
                  </w:pPr>
                  <w:r>
                    <w:rPr>
                      <w:sz w:val="18"/>
                      <w:szCs w:val="18"/>
                      <w:u w:val="single"/>
                    </w:rPr>
                    <w:t>依托现有锅炉房内空间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011" w:type="dxa"/>
                  <w:vMerge w:val="continue"/>
                  <w:vAlign w:val="center"/>
                </w:tcPr>
                <w:p>
                  <w:pPr>
                    <w:adjustRightInd w:val="0"/>
                    <w:snapToGrid w:val="0"/>
                    <w:jc w:val="center"/>
                    <w:rPr>
                      <w:sz w:val="18"/>
                      <w:szCs w:val="18"/>
                      <w:u w:val="single"/>
                    </w:rPr>
                  </w:pPr>
                </w:p>
              </w:tc>
              <w:tc>
                <w:tcPr>
                  <w:tcW w:w="1533" w:type="dxa"/>
                  <w:vAlign w:val="center"/>
                </w:tcPr>
                <w:p>
                  <w:pPr>
                    <w:adjustRightInd w:val="0"/>
                    <w:snapToGrid w:val="0"/>
                    <w:jc w:val="center"/>
                    <w:rPr>
                      <w:sz w:val="18"/>
                      <w:szCs w:val="18"/>
                      <w:u w:val="single"/>
                    </w:rPr>
                  </w:pPr>
                  <w:r>
                    <w:rPr>
                      <w:sz w:val="18"/>
                      <w:szCs w:val="18"/>
                      <w:u w:val="single"/>
                    </w:rPr>
                    <w:t>灰渣暂存</w:t>
                  </w:r>
                </w:p>
              </w:tc>
              <w:tc>
                <w:tcPr>
                  <w:tcW w:w="3840" w:type="dxa"/>
                  <w:vAlign w:val="center"/>
                </w:tcPr>
                <w:p>
                  <w:pPr>
                    <w:adjustRightInd w:val="0"/>
                    <w:snapToGrid w:val="0"/>
                    <w:jc w:val="center"/>
                    <w:rPr>
                      <w:sz w:val="18"/>
                      <w:szCs w:val="18"/>
                      <w:u w:val="single"/>
                    </w:rPr>
                  </w:pPr>
                  <w:r>
                    <w:rPr>
                      <w:sz w:val="18"/>
                      <w:szCs w:val="18"/>
                      <w:u w:val="single"/>
                    </w:rPr>
                    <w:t>炉灰、除尘灰袋装后暂存于锅炉房内专用灰渣暂存区</w:t>
                  </w:r>
                </w:p>
              </w:tc>
              <w:tc>
                <w:tcPr>
                  <w:tcW w:w="2117" w:type="dxa"/>
                  <w:vAlign w:val="center"/>
                </w:tcPr>
                <w:p>
                  <w:pPr>
                    <w:adjustRightInd w:val="0"/>
                    <w:snapToGrid w:val="0"/>
                    <w:jc w:val="center"/>
                    <w:rPr>
                      <w:sz w:val="18"/>
                      <w:szCs w:val="18"/>
                      <w:u w:val="single"/>
                    </w:rPr>
                  </w:pPr>
                  <w:r>
                    <w:rPr>
                      <w:sz w:val="18"/>
                      <w:szCs w:val="18"/>
                      <w:u w:val="single"/>
                    </w:rPr>
                    <w:t>依托现有锅炉房内空间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011" w:type="dxa"/>
                  <w:vMerge w:val="restart"/>
                  <w:vAlign w:val="center"/>
                </w:tcPr>
                <w:p>
                  <w:pPr>
                    <w:adjustRightInd w:val="0"/>
                    <w:snapToGrid w:val="0"/>
                    <w:jc w:val="center"/>
                    <w:rPr>
                      <w:sz w:val="18"/>
                      <w:szCs w:val="18"/>
                      <w:u w:val="single"/>
                    </w:rPr>
                  </w:pPr>
                  <w:r>
                    <w:rPr>
                      <w:sz w:val="18"/>
                      <w:szCs w:val="18"/>
                      <w:u w:val="single"/>
                    </w:rPr>
                    <w:t>公用工程</w:t>
                  </w:r>
                </w:p>
              </w:tc>
              <w:tc>
                <w:tcPr>
                  <w:tcW w:w="1533" w:type="dxa"/>
                  <w:vAlign w:val="center"/>
                </w:tcPr>
                <w:p>
                  <w:pPr>
                    <w:adjustRightInd w:val="0"/>
                    <w:snapToGrid w:val="0"/>
                    <w:jc w:val="center"/>
                    <w:rPr>
                      <w:sz w:val="18"/>
                      <w:szCs w:val="18"/>
                      <w:u w:val="single"/>
                    </w:rPr>
                  </w:pPr>
                  <w:r>
                    <w:rPr>
                      <w:sz w:val="18"/>
                      <w:szCs w:val="18"/>
                      <w:u w:val="single"/>
                    </w:rPr>
                    <w:t>供热</w:t>
                  </w:r>
                </w:p>
              </w:tc>
              <w:tc>
                <w:tcPr>
                  <w:tcW w:w="3840" w:type="dxa"/>
                  <w:vAlign w:val="center"/>
                </w:tcPr>
                <w:p>
                  <w:pPr>
                    <w:adjustRightInd w:val="0"/>
                    <w:snapToGrid w:val="0"/>
                    <w:jc w:val="center"/>
                    <w:rPr>
                      <w:sz w:val="18"/>
                      <w:szCs w:val="18"/>
                      <w:u w:val="single"/>
                    </w:rPr>
                  </w:pPr>
                  <w:r>
                    <w:rPr>
                      <w:sz w:val="18"/>
                      <w:szCs w:val="18"/>
                      <w:u w:val="single"/>
                    </w:rPr>
                    <w:t>本项目生产用热由本次新建导热油炉供给</w:t>
                  </w:r>
                </w:p>
              </w:tc>
              <w:tc>
                <w:tcPr>
                  <w:tcW w:w="2117" w:type="dxa"/>
                  <w:vAlign w:val="center"/>
                </w:tcPr>
                <w:p>
                  <w:pPr>
                    <w:adjustRightInd w:val="0"/>
                    <w:snapToGrid w:val="0"/>
                    <w:jc w:val="center"/>
                    <w:rPr>
                      <w:sz w:val="18"/>
                      <w:szCs w:val="18"/>
                      <w:u w:val="single"/>
                    </w:rPr>
                  </w:pPr>
                  <w:r>
                    <w:rPr>
                      <w:sz w:val="18"/>
                      <w:szCs w:val="18"/>
                      <w:u w:val="single"/>
                    </w:rPr>
                    <w:t>本次新建，不依托现有锅炉，办公楼冬季采用空气能热泵采暖，车间冬季利用设备余热</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29" w:hRule="atLeast"/>
                <w:jc w:val="center"/>
              </w:trPr>
              <w:tc>
                <w:tcPr>
                  <w:tcW w:w="1011" w:type="dxa"/>
                  <w:vMerge w:val="continue"/>
                  <w:vAlign w:val="center"/>
                </w:tcPr>
                <w:p>
                  <w:pPr>
                    <w:adjustRightInd w:val="0"/>
                    <w:snapToGrid w:val="0"/>
                    <w:jc w:val="center"/>
                    <w:rPr>
                      <w:sz w:val="18"/>
                      <w:szCs w:val="18"/>
                      <w:u w:val="single"/>
                    </w:rPr>
                  </w:pPr>
                </w:p>
              </w:tc>
              <w:tc>
                <w:tcPr>
                  <w:tcW w:w="1533" w:type="dxa"/>
                  <w:vAlign w:val="center"/>
                </w:tcPr>
                <w:p>
                  <w:pPr>
                    <w:adjustRightInd w:val="0"/>
                    <w:snapToGrid w:val="0"/>
                    <w:jc w:val="center"/>
                    <w:rPr>
                      <w:sz w:val="18"/>
                      <w:szCs w:val="18"/>
                      <w:u w:val="single"/>
                    </w:rPr>
                  </w:pPr>
                  <w:r>
                    <w:rPr>
                      <w:sz w:val="18"/>
                      <w:szCs w:val="18"/>
                      <w:u w:val="single"/>
                    </w:rPr>
                    <w:t>供电</w:t>
                  </w:r>
                </w:p>
              </w:tc>
              <w:tc>
                <w:tcPr>
                  <w:tcW w:w="3840" w:type="dxa"/>
                  <w:vAlign w:val="center"/>
                </w:tcPr>
                <w:p>
                  <w:pPr>
                    <w:adjustRightInd w:val="0"/>
                    <w:snapToGrid w:val="0"/>
                    <w:jc w:val="center"/>
                    <w:rPr>
                      <w:sz w:val="18"/>
                      <w:szCs w:val="18"/>
                      <w:u w:val="single"/>
                    </w:rPr>
                  </w:pPr>
                  <w:r>
                    <w:rPr>
                      <w:sz w:val="18"/>
                      <w:szCs w:val="18"/>
                      <w:u w:val="single"/>
                    </w:rPr>
                    <w:t>由城镇供电网提供</w:t>
                  </w:r>
                </w:p>
              </w:tc>
              <w:tc>
                <w:tcPr>
                  <w:tcW w:w="2117" w:type="dxa"/>
                  <w:vAlign w:val="center"/>
                </w:tcPr>
                <w:p>
                  <w:pPr>
                    <w:adjustRightInd w:val="0"/>
                    <w:snapToGrid w:val="0"/>
                    <w:jc w:val="center"/>
                    <w:rPr>
                      <w:sz w:val="18"/>
                      <w:szCs w:val="18"/>
                      <w:u w:val="single"/>
                    </w:rPr>
                  </w:pPr>
                  <w:r>
                    <w:rPr>
                      <w:sz w:val="18"/>
                      <w:szCs w:val="18"/>
                      <w:u w:val="single"/>
                    </w:rPr>
                    <w:t>依托现有供电系统</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011" w:type="dxa"/>
                  <w:vMerge w:val="restart"/>
                  <w:vAlign w:val="center"/>
                </w:tcPr>
                <w:p>
                  <w:pPr>
                    <w:adjustRightInd w:val="0"/>
                    <w:snapToGrid w:val="0"/>
                    <w:jc w:val="center"/>
                    <w:rPr>
                      <w:sz w:val="18"/>
                      <w:szCs w:val="18"/>
                      <w:u w:val="single"/>
                    </w:rPr>
                  </w:pPr>
                  <w:r>
                    <w:rPr>
                      <w:sz w:val="18"/>
                      <w:szCs w:val="18"/>
                      <w:u w:val="single"/>
                    </w:rPr>
                    <w:t>环保工程</w:t>
                  </w:r>
                </w:p>
              </w:tc>
              <w:tc>
                <w:tcPr>
                  <w:tcW w:w="1533" w:type="dxa"/>
                  <w:vAlign w:val="center"/>
                </w:tcPr>
                <w:p>
                  <w:pPr>
                    <w:adjustRightInd w:val="0"/>
                    <w:snapToGrid w:val="0"/>
                    <w:jc w:val="center"/>
                    <w:rPr>
                      <w:sz w:val="18"/>
                      <w:szCs w:val="18"/>
                      <w:u w:val="single"/>
                    </w:rPr>
                  </w:pPr>
                  <w:r>
                    <w:rPr>
                      <w:sz w:val="18"/>
                      <w:szCs w:val="18"/>
                      <w:u w:val="single"/>
                    </w:rPr>
                    <w:t>废水治理</w:t>
                  </w:r>
                </w:p>
              </w:tc>
              <w:tc>
                <w:tcPr>
                  <w:tcW w:w="3840" w:type="dxa"/>
                  <w:vAlign w:val="center"/>
                </w:tcPr>
                <w:p>
                  <w:pPr>
                    <w:adjustRightInd w:val="0"/>
                    <w:snapToGrid w:val="0"/>
                    <w:jc w:val="center"/>
                    <w:rPr>
                      <w:sz w:val="18"/>
                      <w:szCs w:val="18"/>
                      <w:u w:val="single"/>
                    </w:rPr>
                  </w:pPr>
                  <w:r>
                    <w:rPr>
                      <w:sz w:val="18"/>
                      <w:szCs w:val="18"/>
                      <w:u w:val="single"/>
                    </w:rPr>
                    <w:t>本项目不新增劳动定员，无新增生活污水；导热油炉闭路循环，无需用水，无生产废水产生</w:t>
                  </w:r>
                </w:p>
              </w:tc>
              <w:tc>
                <w:tcPr>
                  <w:tcW w:w="2117" w:type="dxa"/>
                  <w:vAlign w:val="center"/>
                </w:tcPr>
                <w:p>
                  <w:pPr>
                    <w:adjustRightInd w:val="0"/>
                    <w:snapToGrid w:val="0"/>
                    <w:jc w:val="center"/>
                    <w:rPr>
                      <w:sz w:val="18"/>
                      <w:szCs w:val="18"/>
                      <w:u w:val="single"/>
                    </w:rPr>
                  </w:pPr>
                  <w:r>
                    <w:rPr>
                      <w:sz w:val="18"/>
                      <w:szCs w:val="18"/>
                      <w:u w:val="single"/>
                    </w:rPr>
                    <w:t>不涉及</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011" w:type="dxa"/>
                  <w:vMerge w:val="continue"/>
                  <w:vAlign w:val="center"/>
                </w:tcPr>
                <w:p>
                  <w:pPr>
                    <w:adjustRightInd w:val="0"/>
                    <w:snapToGrid w:val="0"/>
                    <w:jc w:val="center"/>
                    <w:rPr>
                      <w:sz w:val="18"/>
                      <w:szCs w:val="18"/>
                      <w:u w:val="single"/>
                    </w:rPr>
                  </w:pPr>
                </w:p>
              </w:tc>
              <w:tc>
                <w:tcPr>
                  <w:tcW w:w="1533" w:type="dxa"/>
                  <w:vAlign w:val="center"/>
                </w:tcPr>
                <w:p>
                  <w:pPr>
                    <w:adjustRightInd w:val="0"/>
                    <w:snapToGrid w:val="0"/>
                    <w:jc w:val="center"/>
                    <w:rPr>
                      <w:sz w:val="18"/>
                      <w:szCs w:val="18"/>
                      <w:u w:val="single"/>
                    </w:rPr>
                  </w:pPr>
                  <w:r>
                    <w:rPr>
                      <w:sz w:val="18"/>
                      <w:szCs w:val="18"/>
                      <w:u w:val="single"/>
                    </w:rPr>
                    <w:t>废气治理</w:t>
                  </w:r>
                </w:p>
              </w:tc>
              <w:tc>
                <w:tcPr>
                  <w:tcW w:w="3840" w:type="dxa"/>
                  <w:vAlign w:val="center"/>
                </w:tcPr>
                <w:p>
                  <w:pPr>
                    <w:adjustRightInd w:val="0"/>
                    <w:snapToGrid w:val="0"/>
                    <w:jc w:val="center"/>
                    <w:rPr>
                      <w:sz w:val="18"/>
                      <w:szCs w:val="18"/>
                      <w:u w:val="single"/>
                    </w:rPr>
                  </w:pPr>
                  <w:r>
                    <w:rPr>
                      <w:sz w:val="18"/>
                      <w:szCs w:val="18"/>
                      <w:u w:val="single"/>
                    </w:rPr>
                    <w:t>导热油炉烟气经“旋风除尘器（新增）+布袋除尘器（依托现有并改造）”两级除尘工艺处理后，经30m高烟囱（现有烟囱加高）排放</w:t>
                  </w:r>
                </w:p>
              </w:tc>
              <w:tc>
                <w:tcPr>
                  <w:tcW w:w="2117" w:type="dxa"/>
                  <w:vAlign w:val="center"/>
                </w:tcPr>
                <w:p>
                  <w:pPr>
                    <w:adjustRightInd w:val="0"/>
                    <w:snapToGrid w:val="0"/>
                    <w:jc w:val="center"/>
                    <w:rPr>
                      <w:sz w:val="18"/>
                      <w:szCs w:val="18"/>
                      <w:u w:val="single"/>
                    </w:rPr>
                  </w:pPr>
                  <w:r>
                    <w:rPr>
                      <w:sz w:val="18"/>
                      <w:szCs w:val="18"/>
                      <w:u w:val="single"/>
                    </w:rPr>
                    <w:t>新增旋风除尘器；依托现有布袋除尘器并改造；依托现有烟囱加高至30m</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011" w:type="dxa"/>
                  <w:vMerge w:val="continue"/>
                  <w:vAlign w:val="center"/>
                </w:tcPr>
                <w:p>
                  <w:pPr>
                    <w:adjustRightInd w:val="0"/>
                    <w:snapToGrid w:val="0"/>
                    <w:jc w:val="center"/>
                    <w:rPr>
                      <w:sz w:val="18"/>
                      <w:szCs w:val="18"/>
                      <w:u w:val="single"/>
                    </w:rPr>
                  </w:pPr>
                </w:p>
              </w:tc>
              <w:tc>
                <w:tcPr>
                  <w:tcW w:w="1533" w:type="dxa"/>
                  <w:vAlign w:val="center"/>
                </w:tcPr>
                <w:p>
                  <w:pPr>
                    <w:adjustRightInd w:val="0"/>
                    <w:snapToGrid w:val="0"/>
                    <w:jc w:val="center"/>
                    <w:rPr>
                      <w:sz w:val="18"/>
                      <w:szCs w:val="18"/>
                      <w:u w:val="single"/>
                    </w:rPr>
                  </w:pPr>
                  <w:r>
                    <w:rPr>
                      <w:sz w:val="18"/>
                      <w:szCs w:val="18"/>
                      <w:u w:val="single"/>
                    </w:rPr>
                    <w:t>噪声治理</w:t>
                  </w:r>
                </w:p>
              </w:tc>
              <w:tc>
                <w:tcPr>
                  <w:tcW w:w="3840" w:type="dxa"/>
                  <w:vAlign w:val="center"/>
                </w:tcPr>
                <w:p>
                  <w:pPr>
                    <w:adjustRightInd w:val="0"/>
                    <w:snapToGrid w:val="0"/>
                    <w:jc w:val="center"/>
                    <w:rPr>
                      <w:sz w:val="18"/>
                      <w:szCs w:val="18"/>
                      <w:u w:val="single"/>
                    </w:rPr>
                  </w:pPr>
                  <w:r>
                    <w:rPr>
                      <w:sz w:val="18"/>
                      <w:szCs w:val="18"/>
                      <w:u w:val="single"/>
                    </w:rPr>
                    <w:t>选用低噪声设备，安装减振基础，厂房隔声</w:t>
                  </w:r>
                </w:p>
              </w:tc>
              <w:tc>
                <w:tcPr>
                  <w:tcW w:w="2117" w:type="dxa"/>
                  <w:vAlign w:val="center"/>
                </w:tcPr>
                <w:p>
                  <w:pPr>
                    <w:adjustRightInd w:val="0"/>
                    <w:snapToGrid w:val="0"/>
                    <w:jc w:val="center"/>
                    <w:rPr>
                      <w:sz w:val="18"/>
                      <w:szCs w:val="18"/>
                      <w:u w:val="single"/>
                    </w:rPr>
                  </w:pPr>
                  <w:r>
                    <w:rPr>
                      <w:sz w:val="18"/>
                      <w:szCs w:val="18"/>
                      <w:u w:val="single"/>
                    </w:rPr>
                    <w:t>新建降噪措施</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011" w:type="dxa"/>
                  <w:vMerge w:val="continue"/>
                  <w:vAlign w:val="center"/>
                </w:tcPr>
                <w:p>
                  <w:pPr>
                    <w:adjustRightInd w:val="0"/>
                    <w:snapToGrid w:val="0"/>
                    <w:jc w:val="center"/>
                    <w:rPr>
                      <w:sz w:val="18"/>
                      <w:szCs w:val="18"/>
                      <w:u w:val="single"/>
                    </w:rPr>
                  </w:pPr>
                </w:p>
              </w:tc>
              <w:tc>
                <w:tcPr>
                  <w:tcW w:w="1533" w:type="dxa"/>
                  <w:vAlign w:val="center"/>
                </w:tcPr>
                <w:p>
                  <w:pPr>
                    <w:adjustRightInd w:val="0"/>
                    <w:snapToGrid w:val="0"/>
                    <w:jc w:val="center"/>
                    <w:rPr>
                      <w:sz w:val="18"/>
                      <w:szCs w:val="18"/>
                      <w:u w:val="single"/>
                    </w:rPr>
                  </w:pPr>
                  <w:r>
                    <w:rPr>
                      <w:sz w:val="18"/>
                      <w:szCs w:val="18"/>
                      <w:u w:val="single"/>
                    </w:rPr>
                    <w:t>固废治理</w:t>
                  </w:r>
                </w:p>
              </w:tc>
              <w:tc>
                <w:tcPr>
                  <w:tcW w:w="3840" w:type="dxa"/>
                  <w:vAlign w:val="center"/>
                </w:tcPr>
                <w:p>
                  <w:pPr>
                    <w:adjustRightInd w:val="0"/>
                    <w:snapToGrid w:val="0"/>
                    <w:jc w:val="center"/>
                    <w:rPr>
                      <w:sz w:val="18"/>
                      <w:szCs w:val="18"/>
                      <w:u w:val="single"/>
                    </w:rPr>
                  </w:pPr>
                  <w:r>
                    <w:rPr>
                      <w:sz w:val="18"/>
                      <w:szCs w:val="18"/>
                      <w:u w:val="single"/>
                    </w:rPr>
                    <w:t>除尘灰、炉灰袋装后定期送当地居民做有机肥；废布袋由厂家回收；废机油、废抹布、废油桶、废导热油依托厂区现有25m²危废暂存间暂存，委托吉林省高深环保科技有限公司处置</w:t>
                  </w:r>
                </w:p>
              </w:tc>
              <w:tc>
                <w:tcPr>
                  <w:tcW w:w="2117" w:type="dxa"/>
                  <w:vAlign w:val="center"/>
                </w:tcPr>
                <w:p>
                  <w:pPr>
                    <w:adjustRightInd w:val="0"/>
                    <w:snapToGrid w:val="0"/>
                    <w:jc w:val="center"/>
                    <w:rPr>
                      <w:sz w:val="18"/>
                      <w:szCs w:val="18"/>
                      <w:u w:val="single"/>
                    </w:rPr>
                  </w:pPr>
                  <w:r>
                    <w:rPr>
                      <w:sz w:val="18"/>
                      <w:szCs w:val="18"/>
                      <w:u w:val="single"/>
                    </w:rPr>
                    <w:t>依托现有危废暂存间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011" w:type="dxa"/>
                  <w:vAlign w:val="center"/>
                </w:tcPr>
                <w:p>
                  <w:pPr>
                    <w:adjustRightInd w:val="0"/>
                    <w:snapToGrid w:val="0"/>
                    <w:jc w:val="center"/>
                    <w:rPr>
                      <w:sz w:val="18"/>
                      <w:szCs w:val="18"/>
                      <w:u w:val="single"/>
                    </w:rPr>
                  </w:pPr>
                  <w:r>
                    <w:rPr>
                      <w:sz w:val="18"/>
                      <w:szCs w:val="18"/>
                      <w:u w:val="single"/>
                    </w:rPr>
                    <w:t>储运工程</w:t>
                  </w:r>
                </w:p>
              </w:tc>
              <w:tc>
                <w:tcPr>
                  <w:tcW w:w="1533" w:type="dxa"/>
                  <w:vAlign w:val="center"/>
                </w:tcPr>
                <w:p>
                  <w:pPr>
                    <w:adjustRightInd w:val="0"/>
                    <w:snapToGrid w:val="0"/>
                    <w:jc w:val="center"/>
                    <w:rPr>
                      <w:sz w:val="18"/>
                      <w:szCs w:val="18"/>
                      <w:u w:val="single"/>
                    </w:rPr>
                  </w:pPr>
                  <w:r>
                    <w:rPr>
                      <w:sz w:val="18"/>
                      <w:szCs w:val="18"/>
                      <w:u w:val="single"/>
                    </w:rPr>
                    <w:t>生物质颗粒存储</w:t>
                  </w:r>
                </w:p>
              </w:tc>
              <w:tc>
                <w:tcPr>
                  <w:tcW w:w="3840" w:type="dxa"/>
                  <w:vAlign w:val="center"/>
                </w:tcPr>
                <w:p>
                  <w:pPr>
                    <w:adjustRightInd w:val="0"/>
                    <w:snapToGrid w:val="0"/>
                    <w:jc w:val="center"/>
                    <w:rPr>
                      <w:sz w:val="18"/>
                      <w:szCs w:val="18"/>
                      <w:u w:val="single"/>
                    </w:rPr>
                  </w:pPr>
                  <w:r>
                    <w:rPr>
                      <w:sz w:val="18"/>
                      <w:szCs w:val="18"/>
                      <w:u w:val="single"/>
                    </w:rPr>
                    <w:t>导热油炉燃料（生物质颗粒）袋装存储于锅炉房内</w:t>
                  </w:r>
                </w:p>
              </w:tc>
              <w:tc>
                <w:tcPr>
                  <w:tcW w:w="2117" w:type="dxa"/>
                  <w:vAlign w:val="center"/>
                </w:tcPr>
                <w:p>
                  <w:pPr>
                    <w:adjustRightInd w:val="0"/>
                    <w:snapToGrid w:val="0"/>
                    <w:jc w:val="center"/>
                    <w:rPr>
                      <w:sz w:val="18"/>
                      <w:szCs w:val="18"/>
                      <w:u w:val="single"/>
                    </w:rPr>
                  </w:pPr>
                  <w:r>
                    <w:rPr>
                      <w:sz w:val="18"/>
                      <w:szCs w:val="18"/>
                      <w:u w:val="single"/>
                    </w:rPr>
                    <w:t>依托现有锅炉房内空间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011" w:type="dxa"/>
                  <w:vMerge w:val="restart"/>
                  <w:vAlign w:val="center"/>
                </w:tcPr>
                <w:p>
                  <w:pPr>
                    <w:adjustRightInd w:val="0"/>
                    <w:snapToGrid w:val="0"/>
                    <w:jc w:val="center"/>
                    <w:rPr>
                      <w:sz w:val="18"/>
                      <w:szCs w:val="18"/>
                      <w:u w:val="single"/>
                    </w:rPr>
                  </w:pPr>
                  <w:r>
                    <w:rPr>
                      <w:sz w:val="18"/>
                      <w:szCs w:val="18"/>
                      <w:u w:val="single"/>
                    </w:rPr>
                    <w:t>依托工程</w:t>
                  </w:r>
                </w:p>
              </w:tc>
              <w:tc>
                <w:tcPr>
                  <w:tcW w:w="1533" w:type="dxa"/>
                  <w:vAlign w:val="center"/>
                </w:tcPr>
                <w:p>
                  <w:pPr>
                    <w:adjustRightInd w:val="0"/>
                    <w:snapToGrid w:val="0"/>
                    <w:jc w:val="center"/>
                    <w:rPr>
                      <w:sz w:val="18"/>
                      <w:szCs w:val="18"/>
                      <w:u w:val="single"/>
                    </w:rPr>
                  </w:pPr>
                  <w:r>
                    <w:rPr>
                      <w:sz w:val="18"/>
                      <w:szCs w:val="18"/>
                      <w:u w:val="single"/>
                    </w:rPr>
                    <w:t>危废暂存间</w:t>
                  </w:r>
                </w:p>
              </w:tc>
              <w:tc>
                <w:tcPr>
                  <w:tcW w:w="3840" w:type="dxa"/>
                  <w:vAlign w:val="center"/>
                </w:tcPr>
                <w:p>
                  <w:pPr>
                    <w:adjustRightInd w:val="0"/>
                    <w:snapToGrid w:val="0"/>
                    <w:jc w:val="center"/>
                    <w:rPr>
                      <w:sz w:val="18"/>
                      <w:szCs w:val="18"/>
                      <w:u w:val="single"/>
                    </w:rPr>
                  </w:pPr>
                  <w:r>
                    <w:rPr>
                      <w:sz w:val="18"/>
                      <w:szCs w:val="18"/>
                      <w:u w:val="single"/>
                    </w:rPr>
                    <w:t>废导热油采用专用容器密闭收集，暂存于厂区现有25m²危废暂存间</w:t>
                  </w:r>
                </w:p>
              </w:tc>
              <w:tc>
                <w:tcPr>
                  <w:tcW w:w="2117" w:type="dxa"/>
                  <w:vAlign w:val="center"/>
                </w:tcPr>
                <w:p>
                  <w:pPr>
                    <w:adjustRightInd w:val="0"/>
                    <w:snapToGrid w:val="0"/>
                    <w:jc w:val="center"/>
                    <w:rPr>
                      <w:sz w:val="18"/>
                      <w:szCs w:val="18"/>
                      <w:u w:val="single"/>
                    </w:rPr>
                  </w:pPr>
                  <w:r>
                    <w:rPr>
                      <w:sz w:val="18"/>
                      <w:szCs w:val="18"/>
                      <w:u w:val="single"/>
                    </w:rPr>
                    <w:t>依托现有危废暂存间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011" w:type="dxa"/>
                  <w:vMerge w:val="continue"/>
                  <w:vAlign w:val="center"/>
                </w:tcPr>
                <w:p>
                  <w:pPr>
                    <w:adjustRightInd w:val="0"/>
                    <w:snapToGrid w:val="0"/>
                    <w:jc w:val="center"/>
                    <w:rPr>
                      <w:sz w:val="18"/>
                      <w:szCs w:val="18"/>
                      <w:u w:val="single"/>
                    </w:rPr>
                  </w:pPr>
                </w:p>
              </w:tc>
              <w:tc>
                <w:tcPr>
                  <w:tcW w:w="1533" w:type="dxa"/>
                  <w:vAlign w:val="center"/>
                </w:tcPr>
                <w:p>
                  <w:pPr>
                    <w:adjustRightInd w:val="0"/>
                    <w:snapToGrid w:val="0"/>
                    <w:jc w:val="center"/>
                    <w:rPr>
                      <w:sz w:val="18"/>
                      <w:szCs w:val="18"/>
                      <w:u w:val="single"/>
                    </w:rPr>
                  </w:pPr>
                  <w:r>
                    <w:rPr>
                      <w:sz w:val="18"/>
                      <w:szCs w:val="18"/>
                      <w:u w:val="single"/>
                    </w:rPr>
                    <w:t>排水系统</w:t>
                  </w:r>
                </w:p>
              </w:tc>
              <w:tc>
                <w:tcPr>
                  <w:tcW w:w="3840" w:type="dxa"/>
                  <w:vAlign w:val="center"/>
                </w:tcPr>
                <w:p>
                  <w:pPr>
                    <w:adjustRightInd w:val="0"/>
                    <w:snapToGrid w:val="0"/>
                    <w:jc w:val="center"/>
                    <w:rPr>
                      <w:sz w:val="18"/>
                      <w:szCs w:val="18"/>
                      <w:u w:val="single"/>
                    </w:rPr>
                  </w:pPr>
                  <w:r>
                    <w:rPr>
                      <w:sz w:val="18"/>
                      <w:szCs w:val="18"/>
                      <w:u w:val="single"/>
                    </w:rPr>
                    <w:t>生活污水依托厂区现有排水系统排入园区污水管网</w:t>
                  </w:r>
                </w:p>
              </w:tc>
              <w:tc>
                <w:tcPr>
                  <w:tcW w:w="2117" w:type="dxa"/>
                  <w:vAlign w:val="center"/>
                </w:tcPr>
                <w:p>
                  <w:pPr>
                    <w:adjustRightInd w:val="0"/>
                    <w:snapToGrid w:val="0"/>
                    <w:jc w:val="center"/>
                    <w:rPr>
                      <w:sz w:val="18"/>
                      <w:szCs w:val="18"/>
                      <w:u w:val="single"/>
                    </w:rPr>
                  </w:pPr>
                  <w:r>
                    <w:rPr>
                      <w:sz w:val="18"/>
                      <w:szCs w:val="18"/>
                      <w:u w:val="single"/>
                    </w:rPr>
                    <w:t>依托现有厂区排水系统</w:t>
                  </w:r>
                </w:p>
              </w:tc>
            </w:tr>
          </w:tbl>
          <w:p>
            <w:pPr>
              <w:spacing w:line="360" w:lineRule="auto"/>
              <w:ind w:firstLine="420" w:firstLineChars="200"/>
              <w:jc w:val="left"/>
            </w:pPr>
            <w:r>
              <w:t>4、占地面积及建构筑情况</w:t>
            </w:r>
          </w:p>
          <w:p>
            <w:pPr>
              <w:spacing w:line="360" w:lineRule="auto"/>
              <w:ind w:firstLine="420" w:firstLineChars="200"/>
              <w:jc w:val="left"/>
            </w:pPr>
            <w:r>
              <w:t>项目</w:t>
            </w:r>
            <w:r>
              <w:rPr>
                <w:szCs w:val="21"/>
              </w:rPr>
              <w:t>锅炉房</w:t>
            </w:r>
            <w:r>
              <w:t>占地面积30.00m</w:t>
            </w:r>
            <w:r>
              <w:rPr>
                <w:vertAlign w:val="superscript"/>
              </w:rPr>
              <w:t>2</w:t>
            </w:r>
            <w:r>
              <w:t>，建筑面积30.00m</w:t>
            </w:r>
            <w:r>
              <w:rPr>
                <w:vertAlign w:val="superscript"/>
              </w:rPr>
              <w:t>2</w:t>
            </w:r>
            <w:r>
              <w:t>。本项目建筑物情况详见表7。</w:t>
            </w:r>
          </w:p>
          <w:p>
            <w:pPr>
              <w:ind w:firstLine="422" w:firstLineChars="200"/>
              <w:jc w:val="center"/>
              <w:rPr>
                <w:b/>
                <w:bCs/>
              </w:rPr>
            </w:pPr>
            <w:r>
              <w:rPr>
                <w:b/>
                <w:bCs/>
              </w:rPr>
              <w:t>表7  本项目建筑物情况一览表</w:t>
            </w:r>
          </w:p>
          <w:tbl>
            <w:tblPr>
              <w:tblStyle w:val="26"/>
              <w:tblW w:w="8501" w:type="dxa"/>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588"/>
              <w:gridCol w:w="1141"/>
              <w:gridCol w:w="1527"/>
              <w:gridCol w:w="1527"/>
              <w:gridCol w:w="3718"/>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88" w:type="dxa"/>
                  <w:tcBorders>
                    <w:tl2br w:val="nil"/>
                    <w:tr2bl w:val="nil"/>
                  </w:tcBorders>
                  <w:vAlign w:val="center"/>
                </w:tcPr>
                <w:p>
                  <w:pPr>
                    <w:adjustRightInd w:val="0"/>
                    <w:snapToGrid w:val="0"/>
                    <w:jc w:val="center"/>
                    <w:rPr>
                      <w:sz w:val="18"/>
                      <w:szCs w:val="18"/>
                    </w:rPr>
                  </w:pPr>
                  <w:r>
                    <w:rPr>
                      <w:sz w:val="18"/>
                      <w:szCs w:val="18"/>
                    </w:rPr>
                    <w:t>序号</w:t>
                  </w:r>
                </w:p>
              </w:tc>
              <w:tc>
                <w:tcPr>
                  <w:tcW w:w="1141" w:type="dxa"/>
                  <w:tcBorders>
                    <w:tl2br w:val="nil"/>
                    <w:tr2bl w:val="nil"/>
                  </w:tcBorders>
                  <w:vAlign w:val="center"/>
                </w:tcPr>
                <w:p>
                  <w:pPr>
                    <w:adjustRightInd w:val="0"/>
                    <w:snapToGrid w:val="0"/>
                    <w:jc w:val="center"/>
                    <w:rPr>
                      <w:sz w:val="18"/>
                      <w:szCs w:val="18"/>
                    </w:rPr>
                  </w:pPr>
                  <w:r>
                    <w:rPr>
                      <w:sz w:val="18"/>
                      <w:szCs w:val="18"/>
                    </w:rPr>
                    <w:t>建筑名称</w:t>
                  </w:r>
                </w:p>
              </w:tc>
              <w:tc>
                <w:tcPr>
                  <w:tcW w:w="1527" w:type="dxa"/>
                  <w:tcBorders>
                    <w:tl2br w:val="nil"/>
                    <w:tr2bl w:val="nil"/>
                  </w:tcBorders>
                  <w:vAlign w:val="center"/>
                </w:tcPr>
                <w:p>
                  <w:pPr>
                    <w:adjustRightInd w:val="0"/>
                    <w:snapToGrid w:val="0"/>
                    <w:jc w:val="center"/>
                    <w:rPr>
                      <w:sz w:val="18"/>
                      <w:szCs w:val="18"/>
                    </w:rPr>
                  </w:pPr>
                  <w:r>
                    <w:rPr>
                      <w:sz w:val="18"/>
                      <w:szCs w:val="18"/>
                    </w:rPr>
                    <w:t>占地面积（m</w:t>
                  </w:r>
                  <w:r>
                    <w:rPr>
                      <w:sz w:val="18"/>
                      <w:szCs w:val="18"/>
                      <w:vertAlign w:val="superscript"/>
                    </w:rPr>
                    <w:t>2</w:t>
                  </w:r>
                  <w:r>
                    <w:rPr>
                      <w:sz w:val="18"/>
                      <w:szCs w:val="18"/>
                    </w:rPr>
                    <w:t>）</w:t>
                  </w:r>
                </w:p>
              </w:tc>
              <w:tc>
                <w:tcPr>
                  <w:tcW w:w="1527" w:type="dxa"/>
                  <w:tcBorders>
                    <w:tl2br w:val="nil"/>
                    <w:tr2bl w:val="nil"/>
                  </w:tcBorders>
                  <w:vAlign w:val="center"/>
                </w:tcPr>
                <w:p>
                  <w:pPr>
                    <w:adjustRightInd w:val="0"/>
                    <w:snapToGrid w:val="0"/>
                    <w:jc w:val="center"/>
                    <w:rPr>
                      <w:sz w:val="18"/>
                      <w:szCs w:val="18"/>
                    </w:rPr>
                  </w:pPr>
                  <w:r>
                    <w:rPr>
                      <w:sz w:val="18"/>
                      <w:szCs w:val="18"/>
                    </w:rPr>
                    <w:t>建筑面积（m</w:t>
                  </w:r>
                  <w:r>
                    <w:rPr>
                      <w:sz w:val="18"/>
                      <w:szCs w:val="18"/>
                      <w:vertAlign w:val="superscript"/>
                    </w:rPr>
                    <w:t>2</w:t>
                  </w:r>
                  <w:r>
                    <w:rPr>
                      <w:sz w:val="18"/>
                      <w:szCs w:val="18"/>
                    </w:rPr>
                    <w:t>）</w:t>
                  </w:r>
                </w:p>
              </w:tc>
              <w:tc>
                <w:tcPr>
                  <w:tcW w:w="3718" w:type="dxa"/>
                  <w:tcBorders>
                    <w:tl2br w:val="nil"/>
                    <w:tr2bl w:val="nil"/>
                  </w:tcBorders>
                  <w:vAlign w:val="center"/>
                </w:tcPr>
                <w:p>
                  <w:pPr>
                    <w:adjustRightInd w:val="0"/>
                    <w:snapToGrid w:val="0"/>
                    <w:jc w:val="center"/>
                    <w:rPr>
                      <w:sz w:val="18"/>
                      <w:szCs w:val="18"/>
                    </w:rPr>
                  </w:pPr>
                  <w:r>
                    <w:rPr>
                      <w:sz w:val="18"/>
                      <w:szCs w:val="18"/>
                    </w:rPr>
                    <w:t>备注</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588" w:type="dxa"/>
                  <w:tcBorders>
                    <w:tl2br w:val="nil"/>
                    <w:tr2bl w:val="nil"/>
                  </w:tcBorders>
                  <w:vAlign w:val="center"/>
                </w:tcPr>
                <w:p>
                  <w:pPr>
                    <w:adjustRightInd w:val="0"/>
                    <w:snapToGrid w:val="0"/>
                    <w:jc w:val="center"/>
                    <w:rPr>
                      <w:sz w:val="18"/>
                      <w:szCs w:val="18"/>
                    </w:rPr>
                  </w:pPr>
                  <w:r>
                    <w:rPr>
                      <w:sz w:val="18"/>
                      <w:szCs w:val="18"/>
                    </w:rPr>
                    <w:t>1</w:t>
                  </w:r>
                </w:p>
              </w:tc>
              <w:tc>
                <w:tcPr>
                  <w:tcW w:w="1141" w:type="dxa"/>
                  <w:tcBorders>
                    <w:tl2br w:val="nil"/>
                    <w:tr2bl w:val="nil"/>
                  </w:tcBorders>
                  <w:vAlign w:val="center"/>
                </w:tcPr>
                <w:p>
                  <w:pPr>
                    <w:adjustRightInd w:val="0"/>
                    <w:snapToGrid w:val="0"/>
                    <w:jc w:val="center"/>
                    <w:rPr>
                      <w:sz w:val="18"/>
                      <w:szCs w:val="18"/>
                    </w:rPr>
                  </w:pPr>
                  <w:r>
                    <w:rPr>
                      <w:sz w:val="18"/>
                      <w:szCs w:val="18"/>
                    </w:rPr>
                    <w:t>锅炉房</w:t>
                  </w:r>
                </w:p>
              </w:tc>
              <w:tc>
                <w:tcPr>
                  <w:tcW w:w="1527" w:type="dxa"/>
                  <w:tcBorders>
                    <w:tl2br w:val="nil"/>
                    <w:tr2bl w:val="nil"/>
                  </w:tcBorders>
                  <w:vAlign w:val="center"/>
                </w:tcPr>
                <w:p>
                  <w:pPr>
                    <w:adjustRightInd w:val="0"/>
                    <w:snapToGrid w:val="0"/>
                    <w:jc w:val="center"/>
                    <w:rPr>
                      <w:sz w:val="18"/>
                      <w:szCs w:val="18"/>
                    </w:rPr>
                  </w:pPr>
                  <w:r>
                    <w:rPr>
                      <w:sz w:val="18"/>
                      <w:szCs w:val="18"/>
                    </w:rPr>
                    <w:t>30.00</w:t>
                  </w:r>
                </w:p>
              </w:tc>
              <w:tc>
                <w:tcPr>
                  <w:tcW w:w="1527" w:type="dxa"/>
                  <w:tcBorders>
                    <w:tl2br w:val="nil"/>
                    <w:tr2bl w:val="nil"/>
                  </w:tcBorders>
                  <w:vAlign w:val="center"/>
                </w:tcPr>
                <w:p>
                  <w:pPr>
                    <w:adjustRightInd w:val="0"/>
                    <w:snapToGrid w:val="0"/>
                    <w:jc w:val="center"/>
                    <w:rPr>
                      <w:sz w:val="18"/>
                      <w:szCs w:val="18"/>
                    </w:rPr>
                  </w:pPr>
                  <w:r>
                    <w:rPr>
                      <w:sz w:val="18"/>
                      <w:szCs w:val="18"/>
                    </w:rPr>
                    <w:t>30.00</w:t>
                  </w:r>
                </w:p>
              </w:tc>
              <w:tc>
                <w:tcPr>
                  <w:tcW w:w="3718" w:type="dxa"/>
                  <w:tcBorders>
                    <w:tl2br w:val="nil"/>
                    <w:tr2bl w:val="nil"/>
                  </w:tcBorders>
                  <w:vAlign w:val="center"/>
                </w:tcPr>
                <w:p>
                  <w:pPr>
                    <w:adjustRightInd w:val="0"/>
                    <w:snapToGrid w:val="0"/>
                    <w:jc w:val="center"/>
                    <w:rPr>
                      <w:sz w:val="18"/>
                      <w:szCs w:val="18"/>
                    </w:rPr>
                  </w:pPr>
                  <w:r>
                    <w:rPr>
                      <w:sz w:val="18"/>
                      <w:szCs w:val="18"/>
                    </w:rPr>
                    <w:t>本次将淘汰原有水除尘器，增设旋风除尘器，与现有布袋除尘器配套使用，形成“旋风除尘+布袋除尘”两级除尘系统。</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729" w:type="dxa"/>
                  <w:gridSpan w:val="2"/>
                  <w:tcBorders>
                    <w:tl2br w:val="nil"/>
                    <w:tr2bl w:val="nil"/>
                  </w:tcBorders>
                  <w:vAlign w:val="center"/>
                </w:tcPr>
                <w:p>
                  <w:pPr>
                    <w:adjustRightInd w:val="0"/>
                    <w:snapToGrid w:val="0"/>
                    <w:jc w:val="center"/>
                    <w:rPr>
                      <w:sz w:val="18"/>
                      <w:szCs w:val="18"/>
                    </w:rPr>
                  </w:pPr>
                  <w:r>
                    <w:rPr>
                      <w:sz w:val="18"/>
                      <w:szCs w:val="18"/>
                    </w:rPr>
                    <w:t>合  计</w:t>
                  </w:r>
                </w:p>
              </w:tc>
              <w:tc>
                <w:tcPr>
                  <w:tcW w:w="1527" w:type="dxa"/>
                  <w:tcBorders>
                    <w:tl2br w:val="nil"/>
                    <w:tr2bl w:val="nil"/>
                  </w:tcBorders>
                  <w:vAlign w:val="center"/>
                </w:tcPr>
                <w:p>
                  <w:pPr>
                    <w:adjustRightInd w:val="0"/>
                    <w:snapToGrid w:val="0"/>
                    <w:jc w:val="center"/>
                    <w:rPr>
                      <w:sz w:val="18"/>
                      <w:szCs w:val="18"/>
                    </w:rPr>
                  </w:pPr>
                  <w:r>
                    <w:rPr>
                      <w:sz w:val="18"/>
                      <w:szCs w:val="18"/>
                    </w:rPr>
                    <w:t>30.00</w:t>
                  </w:r>
                </w:p>
              </w:tc>
              <w:tc>
                <w:tcPr>
                  <w:tcW w:w="1527" w:type="dxa"/>
                  <w:tcBorders>
                    <w:tl2br w:val="nil"/>
                    <w:tr2bl w:val="nil"/>
                  </w:tcBorders>
                  <w:vAlign w:val="center"/>
                </w:tcPr>
                <w:p>
                  <w:pPr>
                    <w:adjustRightInd w:val="0"/>
                    <w:snapToGrid w:val="0"/>
                    <w:jc w:val="center"/>
                    <w:rPr>
                      <w:sz w:val="18"/>
                      <w:szCs w:val="18"/>
                    </w:rPr>
                  </w:pPr>
                  <w:r>
                    <w:rPr>
                      <w:sz w:val="18"/>
                      <w:szCs w:val="18"/>
                    </w:rPr>
                    <w:t>30.00</w:t>
                  </w:r>
                </w:p>
              </w:tc>
              <w:tc>
                <w:tcPr>
                  <w:tcW w:w="3718" w:type="dxa"/>
                  <w:tcBorders>
                    <w:tl2br w:val="nil"/>
                    <w:tr2bl w:val="nil"/>
                  </w:tcBorders>
                  <w:vAlign w:val="center"/>
                </w:tcPr>
                <w:p>
                  <w:pPr>
                    <w:adjustRightInd w:val="0"/>
                    <w:snapToGrid w:val="0"/>
                    <w:jc w:val="center"/>
                    <w:rPr>
                      <w:sz w:val="18"/>
                      <w:szCs w:val="18"/>
                    </w:rPr>
                  </w:pPr>
                  <w:r>
                    <w:rPr>
                      <w:sz w:val="18"/>
                      <w:szCs w:val="18"/>
                    </w:rPr>
                    <w:t>/</w:t>
                  </w:r>
                </w:p>
              </w:tc>
            </w:tr>
          </w:tbl>
          <w:p>
            <w:pPr>
              <w:spacing w:line="360" w:lineRule="auto"/>
              <w:ind w:firstLine="420" w:firstLineChars="200"/>
              <w:jc w:val="left"/>
            </w:pPr>
            <w:r>
              <w:t>5、设备情况</w:t>
            </w:r>
          </w:p>
          <w:p>
            <w:pPr>
              <w:spacing w:line="360" w:lineRule="auto"/>
              <w:ind w:firstLine="420" w:firstLineChars="200"/>
              <w:jc w:val="left"/>
            </w:pPr>
            <w:r>
              <w:t>项目建成后设备情况详见表8。</w:t>
            </w:r>
          </w:p>
          <w:p>
            <w:pPr>
              <w:ind w:firstLine="422" w:firstLineChars="200"/>
              <w:jc w:val="center"/>
              <w:rPr>
                <w:b/>
                <w:bCs/>
              </w:rPr>
            </w:pPr>
          </w:p>
          <w:p>
            <w:pPr>
              <w:ind w:firstLine="422" w:firstLineChars="200"/>
              <w:jc w:val="center"/>
              <w:rPr>
                <w:b/>
                <w:bCs/>
              </w:rPr>
            </w:pPr>
          </w:p>
          <w:p>
            <w:pPr>
              <w:ind w:firstLine="422" w:firstLineChars="200"/>
              <w:jc w:val="center"/>
              <w:rPr>
                <w:b/>
                <w:bCs/>
              </w:rPr>
            </w:pPr>
          </w:p>
          <w:p>
            <w:pPr>
              <w:ind w:firstLine="422" w:firstLineChars="200"/>
              <w:jc w:val="center"/>
              <w:rPr>
                <w:b/>
                <w:bCs/>
              </w:rPr>
            </w:pPr>
          </w:p>
          <w:p>
            <w:pPr>
              <w:ind w:firstLine="422" w:firstLineChars="200"/>
              <w:jc w:val="center"/>
              <w:rPr>
                <w:b/>
                <w:bCs/>
              </w:rPr>
            </w:pPr>
          </w:p>
          <w:p>
            <w:pPr>
              <w:ind w:firstLine="422" w:firstLineChars="200"/>
              <w:jc w:val="center"/>
              <w:rPr>
                <w:b/>
                <w:bCs/>
              </w:rPr>
            </w:pPr>
            <w:r>
              <w:rPr>
                <w:b/>
                <w:bCs/>
              </w:rPr>
              <w:t>表8  本项目设备情况一览表</w:t>
            </w:r>
          </w:p>
          <w:tbl>
            <w:tblPr>
              <w:tblStyle w:val="26"/>
              <w:tblW w:w="8499" w:type="dxa"/>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585"/>
              <w:gridCol w:w="1693"/>
              <w:gridCol w:w="1328"/>
              <w:gridCol w:w="586"/>
              <w:gridCol w:w="586"/>
              <w:gridCol w:w="3721"/>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585" w:type="dxa"/>
                  <w:tcBorders>
                    <w:tl2br w:val="nil"/>
                    <w:tr2bl w:val="nil"/>
                  </w:tcBorders>
                  <w:vAlign w:val="center"/>
                </w:tcPr>
                <w:p>
                  <w:pPr>
                    <w:adjustRightInd w:val="0"/>
                    <w:snapToGrid w:val="0"/>
                    <w:jc w:val="center"/>
                    <w:rPr>
                      <w:sz w:val="18"/>
                      <w:szCs w:val="18"/>
                    </w:rPr>
                  </w:pPr>
                  <w:r>
                    <w:rPr>
                      <w:sz w:val="18"/>
                      <w:szCs w:val="18"/>
                    </w:rPr>
                    <w:t>序号</w:t>
                  </w:r>
                </w:p>
              </w:tc>
              <w:tc>
                <w:tcPr>
                  <w:tcW w:w="1693" w:type="dxa"/>
                  <w:tcBorders>
                    <w:tl2br w:val="nil"/>
                    <w:tr2bl w:val="nil"/>
                  </w:tcBorders>
                  <w:vAlign w:val="center"/>
                </w:tcPr>
                <w:p>
                  <w:pPr>
                    <w:adjustRightInd w:val="0"/>
                    <w:snapToGrid w:val="0"/>
                    <w:jc w:val="center"/>
                    <w:rPr>
                      <w:sz w:val="18"/>
                      <w:szCs w:val="18"/>
                    </w:rPr>
                  </w:pPr>
                  <w:r>
                    <w:rPr>
                      <w:sz w:val="18"/>
                      <w:szCs w:val="18"/>
                    </w:rPr>
                    <w:t>名称</w:t>
                  </w:r>
                </w:p>
              </w:tc>
              <w:tc>
                <w:tcPr>
                  <w:tcW w:w="1328" w:type="dxa"/>
                  <w:tcBorders>
                    <w:tl2br w:val="nil"/>
                    <w:tr2bl w:val="nil"/>
                  </w:tcBorders>
                  <w:vAlign w:val="center"/>
                </w:tcPr>
                <w:p>
                  <w:pPr>
                    <w:adjustRightInd w:val="0"/>
                    <w:snapToGrid w:val="0"/>
                    <w:jc w:val="center"/>
                    <w:rPr>
                      <w:sz w:val="18"/>
                      <w:szCs w:val="18"/>
                    </w:rPr>
                  </w:pPr>
                  <w:r>
                    <w:rPr>
                      <w:sz w:val="18"/>
                      <w:szCs w:val="18"/>
                    </w:rPr>
                    <w:t>型号</w:t>
                  </w:r>
                </w:p>
              </w:tc>
              <w:tc>
                <w:tcPr>
                  <w:tcW w:w="586" w:type="dxa"/>
                  <w:tcBorders>
                    <w:tl2br w:val="nil"/>
                    <w:tr2bl w:val="nil"/>
                  </w:tcBorders>
                  <w:vAlign w:val="center"/>
                </w:tcPr>
                <w:p>
                  <w:pPr>
                    <w:adjustRightInd w:val="0"/>
                    <w:snapToGrid w:val="0"/>
                    <w:jc w:val="center"/>
                    <w:rPr>
                      <w:sz w:val="18"/>
                      <w:szCs w:val="18"/>
                    </w:rPr>
                  </w:pPr>
                  <w:r>
                    <w:rPr>
                      <w:sz w:val="18"/>
                      <w:szCs w:val="18"/>
                    </w:rPr>
                    <w:t>单位</w:t>
                  </w:r>
                </w:p>
              </w:tc>
              <w:tc>
                <w:tcPr>
                  <w:tcW w:w="586" w:type="dxa"/>
                  <w:tcBorders>
                    <w:tl2br w:val="nil"/>
                    <w:tr2bl w:val="nil"/>
                  </w:tcBorders>
                  <w:vAlign w:val="center"/>
                </w:tcPr>
                <w:p>
                  <w:pPr>
                    <w:adjustRightInd w:val="0"/>
                    <w:snapToGrid w:val="0"/>
                    <w:jc w:val="center"/>
                    <w:rPr>
                      <w:sz w:val="18"/>
                      <w:szCs w:val="18"/>
                    </w:rPr>
                  </w:pPr>
                  <w:r>
                    <w:rPr>
                      <w:sz w:val="18"/>
                      <w:szCs w:val="18"/>
                    </w:rPr>
                    <w:t>数量</w:t>
                  </w:r>
                </w:p>
              </w:tc>
              <w:tc>
                <w:tcPr>
                  <w:tcW w:w="3721" w:type="dxa"/>
                  <w:tcBorders>
                    <w:tl2br w:val="nil"/>
                    <w:tr2bl w:val="nil"/>
                  </w:tcBorders>
                  <w:vAlign w:val="center"/>
                </w:tcPr>
                <w:p>
                  <w:pPr>
                    <w:adjustRightInd w:val="0"/>
                    <w:snapToGrid w:val="0"/>
                    <w:jc w:val="center"/>
                    <w:rPr>
                      <w:sz w:val="18"/>
                      <w:szCs w:val="18"/>
                    </w:rPr>
                  </w:pPr>
                  <w:r>
                    <w:rPr>
                      <w:sz w:val="18"/>
                      <w:szCs w:val="18"/>
                    </w:rPr>
                    <w:t>备注</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585" w:type="dxa"/>
                  <w:tcBorders>
                    <w:tl2br w:val="nil"/>
                    <w:tr2bl w:val="nil"/>
                  </w:tcBorders>
                  <w:vAlign w:val="center"/>
                </w:tcPr>
                <w:p>
                  <w:pPr>
                    <w:adjustRightInd w:val="0"/>
                    <w:snapToGrid w:val="0"/>
                    <w:jc w:val="center"/>
                    <w:rPr>
                      <w:sz w:val="18"/>
                      <w:szCs w:val="18"/>
                    </w:rPr>
                  </w:pPr>
                  <w:r>
                    <w:rPr>
                      <w:sz w:val="18"/>
                      <w:szCs w:val="18"/>
                    </w:rPr>
                    <w:t>1</w:t>
                  </w:r>
                </w:p>
              </w:tc>
              <w:tc>
                <w:tcPr>
                  <w:tcW w:w="1693" w:type="dxa"/>
                  <w:tcBorders>
                    <w:tl2br w:val="nil"/>
                    <w:tr2bl w:val="nil"/>
                  </w:tcBorders>
                  <w:vAlign w:val="center"/>
                </w:tcPr>
                <w:p>
                  <w:pPr>
                    <w:adjustRightInd w:val="0"/>
                    <w:snapToGrid w:val="0"/>
                    <w:jc w:val="center"/>
                    <w:rPr>
                      <w:sz w:val="18"/>
                      <w:szCs w:val="18"/>
                    </w:rPr>
                  </w:pPr>
                  <w:r>
                    <w:rPr>
                      <w:sz w:val="18"/>
                      <w:szCs w:val="18"/>
                    </w:rPr>
                    <w:t>有机热载体液相炉</w:t>
                  </w:r>
                </w:p>
              </w:tc>
              <w:tc>
                <w:tcPr>
                  <w:tcW w:w="1328" w:type="dxa"/>
                  <w:tcBorders>
                    <w:tl2br w:val="nil"/>
                    <w:tr2bl w:val="nil"/>
                  </w:tcBorders>
                  <w:vAlign w:val="center"/>
                </w:tcPr>
                <w:p>
                  <w:pPr>
                    <w:adjustRightInd w:val="0"/>
                    <w:snapToGrid w:val="0"/>
                    <w:jc w:val="center"/>
                    <w:rPr>
                      <w:sz w:val="18"/>
                      <w:szCs w:val="18"/>
                    </w:rPr>
                  </w:pPr>
                  <w:r>
                    <w:rPr>
                      <w:sz w:val="18"/>
                      <w:szCs w:val="18"/>
                    </w:rPr>
                    <w:t>YSL-1600S</w:t>
                  </w:r>
                </w:p>
              </w:tc>
              <w:tc>
                <w:tcPr>
                  <w:tcW w:w="586" w:type="dxa"/>
                  <w:tcBorders>
                    <w:tl2br w:val="nil"/>
                    <w:tr2bl w:val="nil"/>
                  </w:tcBorders>
                  <w:vAlign w:val="center"/>
                </w:tcPr>
                <w:p>
                  <w:pPr>
                    <w:adjustRightInd w:val="0"/>
                    <w:snapToGrid w:val="0"/>
                    <w:jc w:val="center"/>
                    <w:rPr>
                      <w:sz w:val="18"/>
                      <w:szCs w:val="18"/>
                    </w:rPr>
                  </w:pPr>
                  <w:r>
                    <w:rPr>
                      <w:sz w:val="18"/>
                      <w:szCs w:val="18"/>
                    </w:rPr>
                    <w:t>台</w:t>
                  </w:r>
                </w:p>
              </w:tc>
              <w:tc>
                <w:tcPr>
                  <w:tcW w:w="586" w:type="dxa"/>
                  <w:tcBorders>
                    <w:tl2br w:val="nil"/>
                    <w:tr2bl w:val="nil"/>
                  </w:tcBorders>
                  <w:vAlign w:val="center"/>
                </w:tcPr>
                <w:p>
                  <w:pPr>
                    <w:adjustRightInd w:val="0"/>
                    <w:snapToGrid w:val="0"/>
                    <w:jc w:val="center"/>
                    <w:rPr>
                      <w:sz w:val="18"/>
                      <w:szCs w:val="18"/>
                    </w:rPr>
                  </w:pPr>
                  <w:r>
                    <w:rPr>
                      <w:sz w:val="18"/>
                      <w:szCs w:val="18"/>
                    </w:rPr>
                    <w:t>1</w:t>
                  </w:r>
                </w:p>
              </w:tc>
              <w:tc>
                <w:tcPr>
                  <w:tcW w:w="3721" w:type="dxa"/>
                  <w:tcBorders>
                    <w:tl2br w:val="nil"/>
                    <w:tr2bl w:val="nil"/>
                  </w:tcBorders>
                  <w:vAlign w:val="center"/>
                </w:tcPr>
                <w:p>
                  <w:pPr>
                    <w:adjustRightInd w:val="0"/>
                    <w:snapToGrid w:val="0"/>
                    <w:jc w:val="center"/>
                    <w:rPr>
                      <w:sz w:val="18"/>
                      <w:szCs w:val="18"/>
                    </w:rPr>
                  </w:pPr>
                  <w:r>
                    <w:rPr>
                      <w:sz w:val="18"/>
                      <w:szCs w:val="18"/>
                    </w:rPr>
                    <w:t>新购置，即导热油炉，额定热功率1600kW</w:t>
                  </w:r>
                </w:p>
                <w:p>
                  <w:pPr>
                    <w:adjustRightInd w:val="0"/>
                    <w:snapToGrid w:val="0"/>
                    <w:jc w:val="center"/>
                    <w:rPr>
                      <w:sz w:val="18"/>
                      <w:szCs w:val="18"/>
                    </w:rPr>
                  </w:pPr>
                  <w:r>
                    <w:rPr>
                      <w:sz w:val="18"/>
                      <w:szCs w:val="18"/>
                    </w:rPr>
                    <w:t>燃料为生物质颗粒</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585" w:type="dxa"/>
                  <w:tcBorders>
                    <w:tl2br w:val="nil"/>
                    <w:tr2bl w:val="nil"/>
                  </w:tcBorders>
                  <w:vAlign w:val="center"/>
                </w:tcPr>
                <w:p>
                  <w:pPr>
                    <w:adjustRightInd w:val="0"/>
                    <w:snapToGrid w:val="0"/>
                    <w:jc w:val="center"/>
                    <w:rPr>
                      <w:sz w:val="18"/>
                      <w:szCs w:val="18"/>
                    </w:rPr>
                  </w:pPr>
                  <w:r>
                    <w:rPr>
                      <w:sz w:val="18"/>
                      <w:szCs w:val="18"/>
                    </w:rPr>
                    <w:t>2</w:t>
                  </w:r>
                </w:p>
              </w:tc>
              <w:tc>
                <w:tcPr>
                  <w:tcW w:w="1693" w:type="dxa"/>
                  <w:tcBorders>
                    <w:tl2br w:val="nil"/>
                    <w:tr2bl w:val="nil"/>
                  </w:tcBorders>
                  <w:vAlign w:val="center"/>
                </w:tcPr>
                <w:p>
                  <w:pPr>
                    <w:adjustRightInd w:val="0"/>
                    <w:snapToGrid w:val="0"/>
                    <w:jc w:val="center"/>
                    <w:rPr>
                      <w:sz w:val="18"/>
                      <w:szCs w:val="18"/>
                    </w:rPr>
                  </w:pPr>
                  <w:r>
                    <w:rPr>
                      <w:sz w:val="18"/>
                      <w:szCs w:val="18"/>
                    </w:rPr>
                    <w:t>循环泵</w:t>
                  </w:r>
                </w:p>
              </w:tc>
              <w:tc>
                <w:tcPr>
                  <w:tcW w:w="1328" w:type="dxa"/>
                  <w:tcBorders>
                    <w:tl2br w:val="nil"/>
                    <w:tr2bl w:val="nil"/>
                  </w:tcBorders>
                  <w:vAlign w:val="center"/>
                </w:tcPr>
                <w:p>
                  <w:pPr>
                    <w:adjustRightInd w:val="0"/>
                    <w:snapToGrid w:val="0"/>
                    <w:jc w:val="center"/>
                    <w:rPr>
                      <w:sz w:val="18"/>
                      <w:szCs w:val="18"/>
                    </w:rPr>
                  </w:pPr>
                  <w:r>
                    <w:rPr>
                      <w:sz w:val="18"/>
                      <w:szCs w:val="18"/>
                    </w:rPr>
                    <w:t>RY100-65-200</w:t>
                  </w:r>
                </w:p>
              </w:tc>
              <w:tc>
                <w:tcPr>
                  <w:tcW w:w="586" w:type="dxa"/>
                  <w:tcBorders>
                    <w:tl2br w:val="nil"/>
                    <w:tr2bl w:val="nil"/>
                  </w:tcBorders>
                  <w:vAlign w:val="center"/>
                </w:tcPr>
                <w:p>
                  <w:pPr>
                    <w:adjustRightInd w:val="0"/>
                    <w:snapToGrid w:val="0"/>
                    <w:jc w:val="center"/>
                    <w:rPr>
                      <w:sz w:val="18"/>
                      <w:szCs w:val="18"/>
                    </w:rPr>
                  </w:pPr>
                  <w:r>
                    <w:rPr>
                      <w:sz w:val="18"/>
                      <w:szCs w:val="18"/>
                    </w:rPr>
                    <w:t>台</w:t>
                  </w:r>
                </w:p>
              </w:tc>
              <w:tc>
                <w:tcPr>
                  <w:tcW w:w="586" w:type="dxa"/>
                  <w:tcBorders>
                    <w:tl2br w:val="nil"/>
                    <w:tr2bl w:val="nil"/>
                  </w:tcBorders>
                  <w:vAlign w:val="center"/>
                </w:tcPr>
                <w:p>
                  <w:pPr>
                    <w:adjustRightInd w:val="0"/>
                    <w:snapToGrid w:val="0"/>
                    <w:jc w:val="center"/>
                    <w:rPr>
                      <w:sz w:val="18"/>
                      <w:szCs w:val="18"/>
                    </w:rPr>
                  </w:pPr>
                  <w:r>
                    <w:rPr>
                      <w:sz w:val="18"/>
                      <w:szCs w:val="18"/>
                    </w:rPr>
                    <w:t>1</w:t>
                  </w:r>
                </w:p>
              </w:tc>
              <w:tc>
                <w:tcPr>
                  <w:tcW w:w="3721" w:type="dxa"/>
                  <w:tcBorders>
                    <w:tl2br w:val="nil"/>
                    <w:tr2bl w:val="nil"/>
                  </w:tcBorders>
                  <w:vAlign w:val="center"/>
                </w:tcPr>
                <w:p>
                  <w:pPr>
                    <w:adjustRightInd w:val="0"/>
                    <w:snapToGrid w:val="0"/>
                    <w:jc w:val="center"/>
                    <w:rPr>
                      <w:sz w:val="18"/>
                      <w:szCs w:val="18"/>
                    </w:rPr>
                  </w:pPr>
                  <w:r>
                    <w:rPr>
                      <w:sz w:val="18"/>
                      <w:szCs w:val="18"/>
                    </w:rPr>
                    <w:t>新购置</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585" w:type="dxa"/>
                  <w:tcBorders>
                    <w:tl2br w:val="nil"/>
                    <w:tr2bl w:val="nil"/>
                  </w:tcBorders>
                  <w:vAlign w:val="center"/>
                </w:tcPr>
                <w:p>
                  <w:pPr>
                    <w:adjustRightInd w:val="0"/>
                    <w:snapToGrid w:val="0"/>
                    <w:jc w:val="center"/>
                    <w:rPr>
                      <w:sz w:val="18"/>
                      <w:szCs w:val="18"/>
                    </w:rPr>
                  </w:pPr>
                  <w:r>
                    <w:rPr>
                      <w:sz w:val="18"/>
                      <w:szCs w:val="18"/>
                    </w:rPr>
                    <w:t>3</w:t>
                  </w:r>
                </w:p>
              </w:tc>
              <w:tc>
                <w:tcPr>
                  <w:tcW w:w="1693" w:type="dxa"/>
                  <w:tcBorders>
                    <w:tl2br w:val="nil"/>
                    <w:tr2bl w:val="nil"/>
                  </w:tcBorders>
                  <w:vAlign w:val="center"/>
                </w:tcPr>
                <w:p>
                  <w:pPr>
                    <w:adjustRightInd w:val="0"/>
                    <w:snapToGrid w:val="0"/>
                    <w:jc w:val="center"/>
                    <w:rPr>
                      <w:sz w:val="18"/>
                      <w:szCs w:val="18"/>
                    </w:rPr>
                  </w:pPr>
                  <w:r>
                    <w:rPr>
                      <w:sz w:val="18"/>
                      <w:szCs w:val="18"/>
                    </w:rPr>
                    <w:t>加油泵</w:t>
                  </w:r>
                </w:p>
              </w:tc>
              <w:tc>
                <w:tcPr>
                  <w:tcW w:w="1328" w:type="dxa"/>
                  <w:tcBorders>
                    <w:tl2br w:val="nil"/>
                    <w:tr2bl w:val="nil"/>
                  </w:tcBorders>
                  <w:vAlign w:val="center"/>
                </w:tcPr>
                <w:p>
                  <w:pPr>
                    <w:adjustRightInd w:val="0"/>
                    <w:snapToGrid w:val="0"/>
                    <w:jc w:val="center"/>
                    <w:rPr>
                      <w:sz w:val="18"/>
                      <w:szCs w:val="18"/>
                    </w:rPr>
                  </w:pPr>
                  <w:r>
                    <w:rPr>
                      <w:sz w:val="18"/>
                      <w:szCs w:val="18"/>
                    </w:rPr>
                    <w:t>KCB-55</w:t>
                  </w:r>
                </w:p>
              </w:tc>
              <w:tc>
                <w:tcPr>
                  <w:tcW w:w="586" w:type="dxa"/>
                  <w:tcBorders>
                    <w:tl2br w:val="nil"/>
                    <w:tr2bl w:val="nil"/>
                  </w:tcBorders>
                  <w:vAlign w:val="center"/>
                </w:tcPr>
                <w:p>
                  <w:pPr>
                    <w:adjustRightInd w:val="0"/>
                    <w:snapToGrid w:val="0"/>
                    <w:jc w:val="center"/>
                    <w:rPr>
                      <w:sz w:val="18"/>
                      <w:szCs w:val="18"/>
                    </w:rPr>
                  </w:pPr>
                  <w:r>
                    <w:rPr>
                      <w:sz w:val="18"/>
                      <w:szCs w:val="18"/>
                    </w:rPr>
                    <w:t>台</w:t>
                  </w:r>
                </w:p>
              </w:tc>
              <w:tc>
                <w:tcPr>
                  <w:tcW w:w="586" w:type="dxa"/>
                  <w:tcBorders>
                    <w:tl2br w:val="nil"/>
                    <w:tr2bl w:val="nil"/>
                  </w:tcBorders>
                  <w:vAlign w:val="center"/>
                </w:tcPr>
                <w:p>
                  <w:pPr>
                    <w:adjustRightInd w:val="0"/>
                    <w:snapToGrid w:val="0"/>
                    <w:jc w:val="center"/>
                    <w:rPr>
                      <w:sz w:val="18"/>
                      <w:szCs w:val="18"/>
                    </w:rPr>
                  </w:pPr>
                  <w:r>
                    <w:rPr>
                      <w:sz w:val="18"/>
                      <w:szCs w:val="18"/>
                    </w:rPr>
                    <w:t>1</w:t>
                  </w:r>
                </w:p>
              </w:tc>
              <w:tc>
                <w:tcPr>
                  <w:tcW w:w="3721" w:type="dxa"/>
                  <w:tcBorders>
                    <w:tl2br w:val="nil"/>
                    <w:tr2bl w:val="nil"/>
                  </w:tcBorders>
                  <w:vAlign w:val="center"/>
                </w:tcPr>
                <w:p>
                  <w:pPr>
                    <w:adjustRightInd w:val="0"/>
                    <w:snapToGrid w:val="0"/>
                    <w:jc w:val="center"/>
                    <w:rPr>
                      <w:sz w:val="18"/>
                      <w:szCs w:val="18"/>
                    </w:rPr>
                  </w:pPr>
                  <w:r>
                    <w:rPr>
                      <w:sz w:val="18"/>
                      <w:szCs w:val="18"/>
                    </w:rPr>
                    <w:t>新购置</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585" w:type="dxa"/>
                  <w:tcBorders>
                    <w:tl2br w:val="nil"/>
                    <w:tr2bl w:val="nil"/>
                  </w:tcBorders>
                  <w:vAlign w:val="center"/>
                </w:tcPr>
                <w:p>
                  <w:pPr>
                    <w:adjustRightInd w:val="0"/>
                    <w:snapToGrid w:val="0"/>
                    <w:jc w:val="center"/>
                    <w:rPr>
                      <w:sz w:val="18"/>
                      <w:szCs w:val="18"/>
                    </w:rPr>
                  </w:pPr>
                  <w:r>
                    <w:rPr>
                      <w:sz w:val="18"/>
                      <w:szCs w:val="18"/>
                    </w:rPr>
                    <w:t>4</w:t>
                  </w:r>
                </w:p>
              </w:tc>
              <w:tc>
                <w:tcPr>
                  <w:tcW w:w="1693" w:type="dxa"/>
                  <w:tcBorders>
                    <w:tl2br w:val="nil"/>
                    <w:tr2bl w:val="nil"/>
                  </w:tcBorders>
                  <w:vAlign w:val="center"/>
                </w:tcPr>
                <w:p>
                  <w:pPr>
                    <w:adjustRightInd w:val="0"/>
                    <w:snapToGrid w:val="0"/>
                    <w:jc w:val="center"/>
                    <w:rPr>
                      <w:sz w:val="18"/>
                      <w:szCs w:val="18"/>
                    </w:rPr>
                  </w:pPr>
                  <w:r>
                    <w:rPr>
                      <w:sz w:val="18"/>
                      <w:szCs w:val="18"/>
                    </w:rPr>
                    <w:t>风机</w:t>
                  </w:r>
                </w:p>
              </w:tc>
              <w:tc>
                <w:tcPr>
                  <w:tcW w:w="1328" w:type="dxa"/>
                  <w:tcBorders>
                    <w:tl2br w:val="nil"/>
                    <w:tr2bl w:val="nil"/>
                  </w:tcBorders>
                  <w:vAlign w:val="center"/>
                </w:tcPr>
                <w:p>
                  <w:pPr>
                    <w:adjustRightInd w:val="0"/>
                    <w:snapToGrid w:val="0"/>
                    <w:jc w:val="center"/>
                    <w:rPr>
                      <w:sz w:val="18"/>
                      <w:szCs w:val="18"/>
                    </w:rPr>
                  </w:pPr>
                  <w:r>
                    <w:rPr>
                      <w:sz w:val="18"/>
                      <w:szCs w:val="18"/>
                    </w:rPr>
                    <w:t>Y5-47</w:t>
                  </w:r>
                  <w:r>
                    <w:rPr>
                      <w:rFonts w:eastAsia="仿宋"/>
                      <w:sz w:val="18"/>
                      <w:szCs w:val="18"/>
                    </w:rPr>
                    <w:t>Ⅱ</w:t>
                  </w:r>
                  <w:r>
                    <w:rPr>
                      <w:sz w:val="18"/>
                      <w:szCs w:val="18"/>
                    </w:rPr>
                    <w:t>No6C</w:t>
                  </w:r>
                </w:p>
              </w:tc>
              <w:tc>
                <w:tcPr>
                  <w:tcW w:w="586" w:type="dxa"/>
                  <w:tcBorders>
                    <w:tl2br w:val="nil"/>
                    <w:tr2bl w:val="nil"/>
                  </w:tcBorders>
                  <w:vAlign w:val="center"/>
                </w:tcPr>
                <w:p>
                  <w:pPr>
                    <w:adjustRightInd w:val="0"/>
                    <w:snapToGrid w:val="0"/>
                    <w:jc w:val="center"/>
                    <w:rPr>
                      <w:sz w:val="18"/>
                      <w:szCs w:val="18"/>
                    </w:rPr>
                  </w:pPr>
                  <w:r>
                    <w:rPr>
                      <w:sz w:val="18"/>
                      <w:szCs w:val="18"/>
                    </w:rPr>
                    <w:t>台</w:t>
                  </w:r>
                </w:p>
              </w:tc>
              <w:tc>
                <w:tcPr>
                  <w:tcW w:w="586" w:type="dxa"/>
                  <w:tcBorders>
                    <w:tl2br w:val="nil"/>
                    <w:tr2bl w:val="nil"/>
                  </w:tcBorders>
                  <w:vAlign w:val="center"/>
                </w:tcPr>
                <w:p>
                  <w:pPr>
                    <w:adjustRightInd w:val="0"/>
                    <w:snapToGrid w:val="0"/>
                    <w:jc w:val="center"/>
                    <w:rPr>
                      <w:sz w:val="18"/>
                      <w:szCs w:val="18"/>
                    </w:rPr>
                  </w:pPr>
                  <w:r>
                    <w:rPr>
                      <w:sz w:val="18"/>
                      <w:szCs w:val="18"/>
                    </w:rPr>
                    <w:t>1</w:t>
                  </w:r>
                </w:p>
              </w:tc>
              <w:tc>
                <w:tcPr>
                  <w:tcW w:w="3721" w:type="dxa"/>
                  <w:tcBorders>
                    <w:tl2br w:val="nil"/>
                    <w:tr2bl w:val="nil"/>
                  </w:tcBorders>
                  <w:vAlign w:val="center"/>
                </w:tcPr>
                <w:p>
                  <w:pPr>
                    <w:adjustRightInd w:val="0"/>
                    <w:snapToGrid w:val="0"/>
                    <w:jc w:val="center"/>
                    <w:rPr>
                      <w:sz w:val="18"/>
                      <w:szCs w:val="18"/>
                    </w:rPr>
                  </w:pPr>
                  <w:r>
                    <w:rPr>
                      <w:sz w:val="18"/>
                      <w:szCs w:val="18"/>
                    </w:rPr>
                    <w:t>新购置，风量10500.00m</w:t>
                  </w:r>
                  <w:r>
                    <w:rPr>
                      <w:sz w:val="18"/>
                      <w:szCs w:val="18"/>
                      <w:vertAlign w:val="superscript"/>
                    </w:rPr>
                    <w:t>3</w:t>
                  </w:r>
                  <w:r>
                    <w:rPr>
                      <w:sz w:val="18"/>
                      <w:szCs w:val="18"/>
                    </w:rPr>
                    <w:t>/h</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585" w:type="dxa"/>
                  <w:tcBorders>
                    <w:tl2br w:val="nil"/>
                    <w:tr2bl w:val="nil"/>
                  </w:tcBorders>
                  <w:vAlign w:val="center"/>
                </w:tcPr>
                <w:p>
                  <w:pPr>
                    <w:adjustRightInd w:val="0"/>
                    <w:snapToGrid w:val="0"/>
                    <w:jc w:val="center"/>
                    <w:rPr>
                      <w:sz w:val="18"/>
                      <w:szCs w:val="18"/>
                    </w:rPr>
                  </w:pPr>
                  <w:r>
                    <w:rPr>
                      <w:sz w:val="18"/>
                      <w:szCs w:val="18"/>
                    </w:rPr>
                    <w:t>5</w:t>
                  </w:r>
                </w:p>
              </w:tc>
              <w:tc>
                <w:tcPr>
                  <w:tcW w:w="1693" w:type="dxa"/>
                  <w:tcBorders>
                    <w:tl2br w:val="nil"/>
                    <w:tr2bl w:val="nil"/>
                  </w:tcBorders>
                  <w:vAlign w:val="center"/>
                </w:tcPr>
                <w:p>
                  <w:pPr>
                    <w:adjustRightInd w:val="0"/>
                    <w:snapToGrid w:val="0"/>
                    <w:jc w:val="center"/>
                    <w:rPr>
                      <w:sz w:val="18"/>
                      <w:szCs w:val="18"/>
                    </w:rPr>
                  </w:pPr>
                  <w:r>
                    <w:rPr>
                      <w:sz w:val="18"/>
                      <w:szCs w:val="18"/>
                    </w:rPr>
                    <w:t>布袋除尘器</w:t>
                  </w:r>
                </w:p>
              </w:tc>
              <w:tc>
                <w:tcPr>
                  <w:tcW w:w="1328" w:type="dxa"/>
                  <w:tcBorders>
                    <w:tl2br w:val="nil"/>
                    <w:tr2bl w:val="nil"/>
                  </w:tcBorders>
                  <w:vAlign w:val="center"/>
                </w:tcPr>
                <w:p>
                  <w:pPr>
                    <w:adjustRightInd w:val="0"/>
                    <w:snapToGrid w:val="0"/>
                    <w:jc w:val="center"/>
                    <w:rPr>
                      <w:sz w:val="18"/>
                      <w:szCs w:val="18"/>
                    </w:rPr>
                  </w:pPr>
                  <w:r>
                    <w:rPr>
                      <w:sz w:val="18"/>
                      <w:szCs w:val="18"/>
                    </w:rPr>
                    <w:t>/</w:t>
                  </w:r>
                </w:p>
              </w:tc>
              <w:tc>
                <w:tcPr>
                  <w:tcW w:w="586" w:type="dxa"/>
                  <w:tcBorders>
                    <w:tl2br w:val="nil"/>
                    <w:tr2bl w:val="nil"/>
                  </w:tcBorders>
                  <w:vAlign w:val="center"/>
                </w:tcPr>
                <w:p>
                  <w:pPr>
                    <w:adjustRightInd w:val="0"/>
                    <w:snapToGrid w:val="0"/>
                    <w:jc w:val="center"/>
                    <w:rPr>
                      <w:sz w:val="18"/>
                      <w:szCs w:val="18"/>
                    </w:rPr>
                  </w:pPr>
                  <w:r>
                    <w:rPr>
                      <w:sz w:val="18"/>
                      <w:szCs w:val="18"/>
                    </w:rPr>
                    <w:t>台</w:t>
                  </w:r>
                </w:p>
              </w:tc>
              <w:tc>
                <w:tcPr>
                  <w:tcW w:w="586" w:type="dxa"/>
                  <w:tcBorders>
                    <w:tl2br w:val="nil"/>
                    <w:tr2bl w:val="nil"/>
                  </w:tcBorders>
                  <w:vAlign w:val="center"/>
                </w:tcPr>
                <w:p>
                  <w:pPr>
                    <w:adjustRightInd w:val="0"/>
                    <w:snapToGrid w:val="0"/>
                    <w:jc w:val="center"/>
                    <w:rPr>
                      <w:sz w:val="18"/>
                      <w:szCs w:val="18"/>
                    </w:rPr>
                  </w:pPr>
                  <w:r>
                    <w:rPr>
                      <w:sz w:val="18"/>
                      <w:szCs w:val="18"/>
                    </w:rPr>
                    <w:t>1</w:t>
                  </w:r>
                </w:p>
              </w:tc>
              <w:tc>
                <w:tcPr>
                  <w:tcW w:w="3721" w:type="dxa"/>
                  <w:tcBorders>
                    <w:tl2br w:val="nil"/>
                    <w:tr2bl w:val="nil"/>
                  </w:tcBorders>
                  <w:vAlign w:val="center"/>
                </w:tcPr>
                <w:p>
                  <w:pPr>
                    <w:adjustRightInd w:val="0"/>
                    <w:snapToGrid w:val="0"/>
                    <w:jc w:val="center"/>
                    <w:rPr>
                      <w:sz w:val="18"/>
                      <w:szCs w:val="18"/>
                    </w:rPr>
                  </w:pPr>
                  <w:r>
                    <w:rPr>
                      <w:sz w:val="18"/>
                      <w:szCs w:val="18"/>
                    </w:rPr>
                    <w:t>现有</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585" w:type="dxa"/>
                  <w:tcBorders>
                    <w:tl2br w:val="nil"/>
                    <w:tr2bl w:val="nil"/>
                  </w:tcBorders>
                  <w:vAlign w:val="center"/>
                </w:tcPr>
                <w:p>
                  <w:pPr>
                    <w:adjustRightInd w:val="0"/>
                    <w:snapToGrid w:val="0"/>
                    <w:jc w:val="center"/>
                    <w:rPr>
                      <w:sz w:val="18"/>
                      <w:szCs w:val="18"/>
                    </w:rPr>
                  </w:pPr>
                  <w:r>
                    <w:rPr>
                      <w:sz w:val="18"/>
                      <w:szCs w:val="18"/>
                    </w:rPr>
                    <w:t>6</w:t>
                  </w:r>
                </w:p>
              </w:tc>
              <w:tc>
                <w:tcPr>
                  <w:tcW w:w="1693" w:type="dxa"/>
                  <w:tcBorders>
                    <w:tl2br w:val="nil"/>
                    <w:tr2bl w:val="nil"/>
                  </w:tcBorders>
                  <w:vAlign w:val="center"/>
                </w:tcPr>
                <w:p>
                  <w:pPr>
                    <w:adjustRightInd w:val="0"/>
                    <w:snapToGrid w:val="0"/>
                    <w:jc w:val="center"/>
                    <w:rPr>
                      <w:sz w:val="18"/>
                      <w:szCs w:val="18"/>
                    </w:rPr>
                  </w:pPr>
                  <w:r>
                    <w:rPr>
                      <w:sz w:val="18"/>
                      <w:szCs w:val="18"/>
                    </w:rPr>
                    <w:t>旋风除尘器</w:t>
                  </w:r>
                </w:p>
              </w:tc>
              <w:tc>
                <w:tcPr>
                  <w:tcW w:w="1328" w:type="dxa"/>
                  <w:tcBorders>
                    <w:tl2br w:val="nil"/>
                    <w:tr2bl w:val="nil"/>
                  </w:tcBorders>
                  <w:vAlign w:val="center"/>
                </w:tcPr>
                <w:p>
                  <w:pPr>
                    <w:adjustRightInd w:val="0"/>
                    <w:snapToGrid w:val="0"/>
                    <w:jc w:val="center"/>
                    <w:rPr>
                      <w:sz w:val="18"/>
                      <w:szCs w:val="18"/>
                    </w:rPr>
                  </w:pPr>
                  <w:r>
                    <w:rPr>
                      <w:sz w:val="18"/>
                      <w:szCs w:val="18"/>
                    </w:rPr>
                    <w:t>/</w:t>
                  </w:r>
                </w:p>
              </w:tc>
              <w:tc>
                <w:tcPr>
                  <w:tcW w:w="586" w:type="dxa"/>
                  <w:tcBorders>
                    <w:tl2br w:val="nil"/>
                    <w:tr2bl w:val="nil"/>
                  </w:tcBorders>
                  <w:vAlign w:val="center"/>
                </w:tcPr>
                <w:p>
                  <w:pPr>
                    <w:adjustRightInd w:val="0"/>
                    <w:snapToGrid w:val="0"/>
                    <w:jc w:val="center"/>
                    <w:rPr>
                      <w:sz w:val="18"/>
                      <w:szCs w:val="18"/>
                    </w:rPr>
                  </w:pPr>
                  <w:r>
                    <w:rPr>
                      <w:sz w:val="18"/>
                      <w:szCs w:val="18"/>
                    </w:rPr>
                    <w:t>台</w:t>
                  </w:r>
                </w:p>
              </w:tc>
              <w:tc>
                <w:tcPr>
                  <w:tcW w:w="586" w:type="dxa"/>
                  <w:tcBorders>
                    <w:tl2br w:val="nil"/>
                    <w:tr2bl w:val="nil"/>
                  </w:tcBorders>
                  <w:vAlign w:val="center"/>
                </w:tcPr>
                <w:p>
                  <w:pPr>
                    <w:adjustRightInd w:val="0"/>
                    <w:snapToGrid w:val="0"/>
                    <w:jc w:val="center"/>
                    <w:rPr>
                      <w:sz w:val="18"/>
                      <w:szCs w:val="18"/>
                    </w:rPr>
                  </w:pPr>
                  <w:r>
                    <w:rPr>
                      <w:sz w:val="18"/>
                      <w:szCs w:val="18"/>
                    </w:rPr>
                    <w:t>1</w:t>
                  </w:r>
                </w:p>
              </w:tc>
              <w:tc>
                <w:tcPr>
                  <w:tcW w:w="3721" w:type="dxa"/>
                  <w:tcBorders>
                    <w:tl2br w:val="nil"/>
                    <w:tr2bl w:val="nil"/>
                  </w:tcBorders>
                  <w:vAlign w:val="center"/>
                </w:tcPr>
                <w:p>
                  <w:pPr>
                    <w:adjustRightInd w:val="0"/>
                    <w:snapToGrid w:val="0"/>
                    <w:jc w:val="center"/>
                    <w:rPr>
                      <w:sz w:val="18"/>
                      <w:szCs w:val="18"/>
                    </w:rPr>
                  </w:pPr>
                  <w:r>
                    <w:rPr>
                      <w:sz w:val="18"/>
                      <w:szCs w:val="18"/>
                    </w:rPr>
                    <w:t>新购置，将现有水除尘器拆除</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585" w:type="dxa"/>
                  <w:tcBorders>
                    <w:tl2br w:val="nil"/>
                    <w:tr2bl w:val="nil"/>
                  </w:tcBorders>
                  <w:vAlign w:val="center"/>
                </w:tcPr>
                <w:p>
                  <w:pPr>
                    <w:adjustRightInd w:val="0"/>
                    <w:snapToGrid w:val="0"/>
                    <w:jc w:val="center"/>
                    <w:rPr>
                      <w:sz w:val="18"/>
                      <w:szCs w:val="18"/>
                    </w:rPr>
                  </w:pPr>
                  <w:r>
                    <w:rPr>
                      <w:sz w:val="18"/>
                      <w:szCs w:val="18"/>
                    </w:rPr>
                    <w:t>7</w:t>
                  </w:r>
                </w:p>
              </w:tc>
              <w:tc>
                <w:tcPr>
                  <w:tcW w:w="1693" w:type="dxa"/>
                  <w:tcBorders>
                    <w:tl2br w:val="nil"/>
                    <w:tr2bl w:val="nil"/>
                  </w:tcBorders>
                  <w:vAlign w:val="center"/>
                </w:tcPr>
                <w:p>
                  <w:pPr>
                    <w:adjustRightInd w:val="0"/>
                    <w:snapToGrid w:val="0"/>
                    <w:jc w:val="center"/>
                    <w:rPr>
                      <w:sz w:val="18"/>
                      <w:szCs w:val="18"/>
                    </w:rPr>
                  </w:pPr>
                  <w:r>
                    <w:rPr>
                      <w:sz w:val="18"/>
                      <w:szCs w:val="18"/>
                    </w:rPr>
                    <w:t>烟囱</w:t>
                  </w:r>
                </w:p>
              </w:tc>
              <w:tc>
                <w:tcPr>
                  <w:tcW w:w="1328" w:type="dxa"/>
                  <w:tcBorders>
                    <w:tl2br w:val="nil"/>
                    <w:tr2bl w:val="nil"/>
                  </w:tcBorders>
                  <w:vAlign w:val="center"/>
                </w:tcPr>
                <w:p>
                  <w:pPr>
                    <w:adjustRightInd w:val="0"/>
                    <w:snapToGrid w:val="0"/>
                    <w:jc w:val="center"/>
                    <w:rPr>
                      <w:sz w:val="18"/>
                      <w:szCs w:val="18"/>
                    </w:rPr>
                  </w:pPr>
                  <w:r>
                    <w:rPr>
                      <w:sz w:val="18"/>
                      <w:szCs w:val="18"/>
                    </w:rPr>
                    <w:t>内径30cm</w:t>
                  </w:r>
                </w:p>
              </w:tc>
              <w:tc>
                <w:tcPr>
                  <w:tcW w:w="586" w:type="dxa"/>
                  <w:tcBorders>
                    <w:tl2br w:val="nil"/>
                    <w:tr2bl w:val="nil"/>
                  </w:tcBorders>
                  <w:vAlign w:val="center"/>
                </w:tcPr>
                <w:p>
                  <w:pPr>
                    <w:adjustRightInd w:val="0"/>
                    <w:snapToGrid w:val="0"/>
                    <w:jc w:val="center"/>
                    <w:rPr>
                      <w:sz w:val="18"/>
                      <w:szCs w:val="18"/>
                    </w:rPr>
                  </w:pPr>
                  <w:r>
                    <w:rPr>
                      <w:sz w:val="18"/>
                      <w:szCs w:val="18"/>
                    </w:rPr>
                    <w:t>根</w:t>
                  </w:r>
                </w:p>
              </w:tc>
              <w:tc>
                <w:tcPr>
                  <w:tcW w:w="586" w:type="dxa"/>
                  <w:tcBorders>
                    <w:tl2br w:val="nil"/>
                    <w:tr2bl w:val="nil"/>
                  </w:tcBorders>
                  <w:vAlign w:val="center"/>
                </w:tcPr>
                <w:p>
                  <w:pPr>
                    <w:adjustRightInd w:val="0"/>
                    <w:snapToGrid w:val="0"/>
                    <w:jc w:val="center"/>
                    <w:rPr>
                      <w:sz w:val="18"/>
                      <w:szCs w:val="18"/>
                    </w:rPr>
                  </w:pPr>
                  <w:r>
                    <w:rPr>
                      <w:sz w:val="18"/>
                      <w:szCs w:val="18"/>
                    </w:rPr>
                    <w:t>1</w:t>
                  </w:r>
                </w:p>
              </w:tc>
              <w:tc>
                <w:tcPr>
                  <w:tcW w:w="3721" w:type="dxa"/>
                  <w:tcBorders>
                    <w:tl2br w:val="nil"/>
                    <w:tr2bl w:val="nil"/>
                  </w:tcBorders>
                  <w:vAlign w:val="center"/>
                </w:tcPr>
                <w:p>
                  <w:pPr>
                    <w:adjustRightInd w:val="0"/>
                    <w:snapToGrid w:val="0"/>
                    <w:jc w:val="center"/>
                    <w:rPr>
                      <w:sz w:val="18"/>
                      <w:szCs w:val="18"/>
                    </w:rPr>
                  </w:pPr>
                  <w:r>
                    <w:rPr>
                      <w:sz w:val="18"/>
                      <w:szCs w:val="18"/>
                    </w:rPr>
                    <w:t>对现有20m高钢制烟囱进行加高至30m</w:t>
                  </w:r>
                </w:p>
              </w:tc>
            </w:tr>
          </w:tbl>
          <w:p>
            <w:pPr>
              <w:spacing w:line="360" w:lineRule="auto"/>
              <w:ind w:firstLine="420" w:firstLineChars="200"/>
              <w:jc w:val="left"/>
            </w:pPr>
            <w:r>
              <w:t>6、原辅料情况</w:t>
            </w:r>
          </w:p>
          <w:p>
            <w:pPr>
              <w:spacing w:line="360" w:lineRule="auto"/>
              <w:ind w:firstLine="420" w:firstLineChars="200"/>
              <w:jc w:val="left"/>
            </w:pPr>
            <w:r>
              <w:t>本项目原辅料情况详见表9。</w:t>
            </w:r>
          </w:p>
          <w:p>
            <w:pPr>
              <w:ind w:firstLine="422" w:firstLineChars="200"/>
              <w:jc w:val="center"/>
              <w:rPr>
                <w:b/>
                <w:bCs/>
              </w:rPr>
            </w:pPr>
            <w:r>
              <w:rPr>
                <w:b/>
                <w:bCs/>
              </w:rPr>
              <w:t>表9  本项目原料情况一览表</w:t>
            </w:r>
          </w:p>
          <w:tbl>
            <w:tblPr>
              <w:tblStyle w:val="26"/>
              <w:tblW w:w="8501" w:type="dxa"/>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649"/>
              <w:gridCol w:w="1263"/>
              <w:gridCol w:w="1318"/>
              <w:gridCol w:w="1726"/>
              <w:gridCol w:w="2076"/>
              <w:gridCol w:w="1469"/>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49" w:type="dxa"/>
                  <w:vAlign w:val="center"/>
                </w:tcPr>
                <w:p>
                  <w:pPr>
                    <w:adjustRightInd w:val="0"/>
                    <w:snapToGrid w:val="0"/>
                    <w:jc w:val="center"/>
                    <w:rPr>
                      <w:sz w:val="18"/>
                      <w:szCs w:val="18"/>
                    </w:rPr>
                  </w:pPr>
                  <w:r>
                    <w:rPr>
                      <w:sz w:val="18"/>
                      <w:szCs w:val="18"/>
                    </w:rPr>
                    <w:t>序号</w:t>
                  </w:r>
                </w:p>
              </w:tc>
              <w:tc>
                <w:tcPr>
                  <w:tcW w:w="1263" w:type="dxa"/>
                  <w:vAlign w:val="center"/>
                </w:tcPr>
                <w:p>
                  <w:pPr>
                    <w:adjustRightInd w:val="0"/>
                    <w:snapToGrid w:val="0"/>
                    <w:jc w:val="center"/>
                    <w:rPr>
                      <w:sz w:val="18"/>
                      <w:szCs w:val="18"/>
                    </w:rPr>
                  </w:pPr>
                  <w:r>
                    <w:rPr>
                      <w:sz w:val="18"/>
                      <w:szCs w:val="18"/>
                    </w:rPr>
                    <w:t>原辅料名称</w:t>
                  </w:r>
                </w:p>
              </w:tc>
              <w:tc>
                <w:tcPr>
                  <w:tcW w:w="1318" w:type="dxa"/>
                  <w:vAlign w:val="center"/>
                </w:tcPr>
                <w:p>
                  <w:pPr>
                    <w:adjustRightInd w:val="0"/>
                    <w:snapToGrid w:val="0"/>
                    <w:jc w:val="center"/>
                    <w:rPr>
                      <w:sz w:val="18"/>
                      <w:szCs w:val="18"/>
                    </w:rPr>
                  </w:pPr>
                  <w:r>
                    <w:rPr>
                      <w:sz w:val="18"/>
                      <w:szCs w:val="18"/>
                    </w:rPr>
                    <w:t>年用量（t）</w:t>
                  </w:r>
                </w:p>
              </w:tc>
              <w:tc>
                <w:tcPr>
                  <w:tcW w:w="1726" w:type="dxa"/>
                  <w:vAlign w:val="center"/>
                </w:tcPr>
                <w:p>
                  <w:pPr>
                    <w:adjustRightInd w:val="0"/>
                    <w:snapToGrid w:val="0"/>
                    <w:jc w:val="center"/>
                    <w:rPr>
                      <w:sz w:val="18"/>
                      <w:szCs w:val="18"/>
                      <w:u w:val="single"/>
                    </w:rPr>
                  </w:pPr>
                  <w:r>
                    <w:rPr>
                      <w:sz w:val="18"/>
                      <w:szCs w:val="18"/>
                      <w:u w:val="single"/>
                    </w:rPr>
                    <w:t>包装方式</w:t>
                  </w:r>
                </w:p>
              </w:tc>
              <w:tc>
                <w:tcPr>
                  <w:tcW w:w="2076" w:type="dxa"/>
                  <w:vAlign w:val="center"/>
                </w:tcPr>
                <w:p>
                  <w:pPr>
                    <w:adjustRightInd w:val="0"/>
                    <w:snapToGrid w:val="0"/>
                    <w:jc w:val="center"/>
                    <w:rPr>
                      <w:sz w:val="18"/>
                      <w:szCs w:val="18"/>
                      <w:u w:val="single"/>
                    </w:rPr>
                  </w:pPr>
                  <w:r>
                    <w:rPr>
                      <w:sz w:val="18"/>
                      <w:szCs w:val="18"/>
                      <w:u w:val="single"/>
                    </w:rPr>
                    <w:t>存储地点</w:t>
                  </w:r>
                </w:p>
              </w:tc>
              <w:tc>
                <w:tcPr>
                  <w:tcW w:w="1469" w:type="dxa"/>
                  <w:vAlign w:val="center"/>
                </w:tcPr>
                <w:p>
                  <w:pPr>
                    <w:adjustRightInd w:val="0"/>
                    <w:snapToGrid w:val="0"/>
                    <w:jc w:val="center"/>
                    <w:rPr>
                      <w:sz w:val="18"/>
                      <w:szCs w:val="18"/>
                      <w:u w:val="single"/>
                    </w:rPr>
                  </w:pPr>
                  <w:r>
                    <w:rPr>
                      <w:sz w:val="18"/>
                      <w:szCs w:val="18"/>
                      <w:u w:val="single"/>
                    </w:rPr>
                    <w:t>备注</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95" w:hRule="atLeast"/>
              </w:trPr>
              <w:tc>
                <w:tcPr>
                  <w:tcW w:w="649" w:type="dxa"/>
                  <w:vAlign w:val="center"/>
                </w:tcPr>
                <w:p>
                  <w:pPr>
                    <w:adjustRightInd w:val="0"/>
                    <w:snapToGrid w:val="0"/>
                    <w:jc w:val="center"/>
                    <w:rPr>
                      <w:sz w:val="18"/>
                      <w:szCs w:val="18"/>
                    </w:rPr>
                  </w:pPr>
                  <w:r>
                    <w:rPr>
                      <w:sz w:val="18"/>
                      <w:szCs w:val="18"/>
                    </w:rPr>
                    <w:t>1</w:t>
                  </w:r>
                </w:p>
              </w:tc>
              <w:tc>
                <w:tcPr>
                  <w:tcW w:w="1263" w:type="dxa"/>
                  <w:vAlign w:val="center"/>
                </w:tcPr>
                <w:p>
                  <w:pPr>
                    <w:adjustRightInd w:val="0"/>
                    <w:snapToGrid w:val="0"/>
                    <w:jc w:val="center"/>
                    <w:rPr>
                      <w:sz w:val="18"/>
                      <w:szCs w:val="18"/>
                    </w:rPr>
                  </w:pPr>
                  <w:r>
                    <w:rPr>
                      <w:sz w:val="18"/>
                      <w:szCs w:val="18"/>
                    </w:rPr>
                    <w:t>生物质颗粒</w:t>
                  </w:r>
                </w:p>
              </w:tc>
              <w:tc>
                <w:tcPr>
                  <w:tcW w:w="1318" w:type="dxa"/>
                  <w:vAlign w:val="center"/>
                </w:tcPr>
                <w:p>
                  <w:pPr>
                    <w:adjustRightInd w:val="0"/>
                    <w:snapToGrid w:val="0"/>
                    <w:jc w:val="center"/>
                    <w:rPr>
                      <w:sz w:val="18"/>
                      <w:szCs w:val="18"/>
                    </w:rPr>
                  </w:pPr>
                  <w:r>
                    <w:rPr>
                      <w:sz w:val="18"/>
                      <w:szCs w:val="18"/>
                    </w:rPr>
                    <w:t>25.00</w:t>
                  </w:r>
                </w:p>
              </w:tc>
              <w:tc>
                <w:tcPr>
                  <w:tcW w:w="1726" w:type="dxa"/>
                  <w:vAlign w:val="center"/>
                </w:tcPr>
                <w:p>
                  <w:pPr>
                    <w:adjustRightInd w:val="0"/>
                    <w:snapToGrid w:val="0"/>
                    <w:jc w:val="center"/>
                    <w:rPr>
                      <w:sz w:val="18"/>
                      <w:szCs w:val="18"/>
                      <w:u w:val="single"/>
                    </w:rPr>
                  </w:pPr>
                  <w:r>
                    <w:rPr>
                      <w:sz w:val="18"/>
                      <w:szCs w:val="18"/>
                      <w:u w:val="single"/>
                    </w:rPr>
                    <w:t>袋装（50kg/袋）</w:t>
                  </w:r>
                </w:p>
              </w:tc>
              <w:tc>
                <w:tcPr>
                  <w:tcW w:w="2076" w:type="dxa"/>
                  <w:vAlign w:val="center"/>
                </w:tcPr>
                <w:p>
                  <w:pPr>
                    <w:adjustRightInd w:val="0"/>
                    <w:snapToGrid w:val="0"/>
                    <w:jc w:val="center"/>
                    <w:rPr>
                      <w:sz w:val="18"/>
                      <w:szCs w:val="18"/>
                      <w:u w:val="single"/>
                    </w:rPr>
                  </w:pPr>
                  <w:r>
                    <w:rPr>
                      <w:sz w:val="18"/>
                      <w:szCs w:val="18"/>
                      <w:u w:val="single"/>
                    </w:rPr>
                    <w:t>锅炉房内燃料堆放区</w:t>
                  </w:r>
                </w:p>
              </w:tc>
              <w:tc>
                <w:tcPr>
                  <w:tcW w:w="1469" w:type="dxa"/>
                  <w:vAlign w:val="center"/>
                </w:tcPr>
                <w:p>
                  <w:pPr>
                    <w:adjustRightInd w:val="0"/>
                    <w:snapToGrid w:val="0"/>
                    <w:jc w:val="center"/>
                    <w:rPr>
                      <w:sz w:val="18"/>
                      <w:szCs w:val="18"/>
                      <w:u w:val="single"/>
                    </w:rPr>
                  </w:pPr>
                  <w:r>
                    <w:rPr>
                      <w:sz w:val="18"/>
                      <w:szCs w:val="18"/>
                      <w:u w:val="single"/>
                    </w:rPr>
                    <w:t>导热油炉燃料</w:t>
                  </w:r>
                </w:p>
              </w:tc>
            </w:tr>
          </w:tbl>
          <w:p>
            <w:pPr>
              <w:spacing w:line="360" w:lineRule="auto"/>
              <w:ind w:firstLine="420" w:firstLineChars="200"/>
              <w:jc w:val="left"/>
              <w:rPr>
                <w:u w:val="single"/>
              </w:rPr>
            </w:pPr>
            <w:r>
              <w:rPr>
                <w:u w:val="single"/>
              </w:rPr>
              <w:t>生物质颗粒成分分析详见表10。</w:t>
            </w:r>
          </w:p>
          <w:p>
            <w:pPr>
              <w:ind w:firstLine="422" w:firstLineChars="200"/>
              <w:jc w:val="center"/>
              <w:rPr>
                <w:b/>
                <w:bCs/>
                <w:u w:val="single"/>
              </w:rPr>
            </w:pPr>
            <w:r>
              <w:rPr>
                <w:b/>
                <w:bCs/>
                <w:u w:val="single"/>
              </w:rPr>
              <w:t>表10  生物质颗粒成分一览表</w:t>
            </w:r>
          </w:p>
          <w:tbl>
            <w:tblPr>
              <w:tblStyle w:val="26"/>
              <w:tblW w:w="8501" w:type="dxa"/>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577"/>
              <w:gridCol w:w="2364"/>
              <w:gridCol w:w="753"/>
              <w:gridCol w:w="939"/>
              <w:gridCol w:w="3868"/>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577" w:type="dxa"/>
                  <w:vAlign w:val="center"/>
                </w:tcPr>
                <w:p>
                  <w:pPr>
                    <w:adjustRightInd w:val="0"/>
                    <w:snapToGrid w:val="0"/>
                    <w:jc w:val="center"/>
                    <w:rPr>
                      <w:sz w:val="18"/>
                      <w:szCs w:val="18"/>
                      <w:u w:val="single"/>
                    </w:rPr>
                  </w:pPr>
                  <w:bookmarkStart w:id="5" w:name="_Toc10087"/>
                  <w:r>
                    <w:rPr>
                      <w:rFonts w:hint="eastAsia"/>
                      <w:sz w:val="18"/>
                      <w:szCs w:val="18"/>
                      <w:u w:val="single"/>
                    </w:rPr>
                    <w:t>序号</w:t>
                  </w:r>
                </w:p>
              </w:tc>
              <w:tc>
                <w:tcPr>
                  <w:tcW w:w="3117" w:type="dxa"/>
                  <w:gridSpan w:val="2"/>
                  <w:vAlign w:val="center"/>
                </w:tcPr>
                <w:p>
                  <w:pPr>
                    <w:adjustRightInd w:val="0"/>
                    <w:snapToGrid w:val="0"/>
                    <w:jc w:val="center"/>
                    <w:rPr>
                      <w:sz w:val="18"/>
                      <w:szCs w:val="18"/>
                      <w:u w:val="single"/>
                    </w:rPr>
                  </w:pPr>
                  <w:r>
                    <w:rPr>
                      <w:sz w:val="18"/>
                      <w:szCs w:val="18"/>
                      <w:u w:val="single"/>
                    </w:rPr>
                    <w:t>名称</w:t>
                  </w:r>
                </w:p>
              </w:tc>
              <w:tc>
                <w:tcPr>
                  <w:tcW w:w="939" w:type="dxa"/>
                  <w:vAlign w:val="center"/>
                </w:tcPr>
                <w:p>
                  <w:pPr>
                    <w:adjustRightInd w:val="0"/>
                    <w:snapToGrid w:val="0"/>
                    <w:jc w:val="center"/>
                    <w:rPr>
                      <w:sz w:val="18"/>
                      <w:szCs w:val="18"/>
                      <w:u w:val="single"/>
                    </w:rPr>
                  </w:pPr>
                  <w:r>
                    <w:rPr>
                      <w:rFonts w:hint="eastAsia"/>
                      <w:sz w:val="18"/>
                      <w:szCs w:val="18"/>
                      <w:u w:val="single"/>
                    </w:rPr>
                    <w:t>检验结果</w:t>
                  </w:r>
                </w:p>
              </w:tc>
              <w:tc>
                <w:tcPr>
                  <w:tcW w:w="3868" w:type="dxa"/>
                  <w:vAlign w:val="center"/>
                </w:tcPr>
                <w:p>
                  <w:pPr>
                    <w:adjustRightInd w:val="0"/>
                    <w:snapToGrid w:val="0"/>
                    <w:jc w:val="center"/>
                    <w:rPr>
                      <w:sz w:val="18"/>
                      <w:szCs w:val="18"/>
                      <w:u w:val="single"/>
                    </w:rPr>
                  </w:pPr>
                  <w:r>
                    <w:rPr>
                      <w:sz w:val="18"/>
                      <w:szCs w:val="18"/>
                      <w:u w:val="single"/>
                    </w:rPr>
                    <w:t>备注</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577" w:type="dxa"/>
                  <w:vAlign w:val="center"/>
                </w:tcPr>
                <w:p>
                  <w:pPr>
                    <w:adjustRightInd w:val="0"/>
                    <w:snapToGrid w:val="0"/>
                    <w:jc w:val="center"/>
                    <w:rPr>
                      <w:sz w:val="18"/>
                      <w:szCs w:val="18"/>
                      <w:u w:val="single"/>
                    </w:rPr>
                  </w:pPr>
                  <w:r>
                    <w:rPr>
                      <w:rFonts w:hint="eastAsia"/>
                      <w:sz w:val="18"/>
                      <w:szCs w:val="18"/>
                      <w:u w:val="single"/>
                    </w:rPr>
                    <w:t>1</w:t>
                  </w:r>
                </w:p>
              </w:tc>
              <w:tc>
                <w:tcPr>
                  <w:tcW w:w="2364" w:type="dxa"/>
                  <w:vAlign w:val="center"/>
                </w:tcPr>
                <w:p>
                  <w:pPr>
                    <w:adjustRightInd w:val="0"/>
                    <w:snapToGrid w:val="0"/>
                    <w:jc w:val="center"/>
                    <w:rPr>
                      <w:sz w:val="18"/>
                      <w:szCs w:val="18"/>
                      <w:u w:val="single"/>
                    </w:rPr>
                  </w:pPr>
                  <w:r>
                    <w:rPr>
                      <w:sz w:val="18"/>
                      <w:szCs w:val="18"/>
                      <w:u w:val="single"/>
                    </w:rPr>
                    <w:t>全水分</w:t>
                  </w:r>
                  <w:r>
                    <w:rPr>
                      <w:rFonts w:hint="eastAsia"/>
                      <w:sz w:val="18"/>
                      <w:szCs w:val="18"/>
                      <w:u w:val="single"/>
                    </w:rPr>
                    <w:t>（%）</w:t>
                  </w:r>
                </w:p>
              </w:tc>
              <w:tc>
                <w:tcPr>
                  <w:tcW w:w="753" w:type="dxa"/>
                  <w:vAlign w:val="center"/>
                </w:tcPr>
                <w:p>
                  <w:pPr>
                    <w:adjustRightInd w:val="0"/>
                    <w:snapToGrid w:val="0"/>
                    <w:jc w:val="center"/>
                    <w:rPr>
                      <w:sz w:val="18"/>
                      <w:szCs w:val="18"/>
                      <w:u w:val="single"/>
                    </w:rPr>
                  </w:pPr>
                  <w:r>
                    <w:rPr>
                      <w:rFonts w:hint="eastAsia"/>
                      <w:sz w:val="18"/>
                      <w:szCs w:val="18"/>
                      <w:u w:val="single"/>
                    </w:rPr>
                    <w:t>Mt</w:t>
                  </w:r>
                </w:p>
              </w:tc>
              <w:tc>
                <w:tcPr>
                  <w:tcW w:w="939" w:type="dxa"/>
                  <w:vAlign w:val="center"/>
                </w:tcPr>
                <w:p>
                  <w:pPr>
                    <w:adjustRightInd w:val="0"/>
                    <w:snapToGrid w:val="0"/>
                    <w:jc w:val="center"/>
                    <w:rPr>
                      <w:sz w:val="18"/>
                      <w:szCs w:val="18"/>
                      <w:u w:val="single"/>
                    </w:rPr>
                  </w:pPr>
                  <w:r>
                    <w:rPr>
                      <w:rFonts w:hint="eastAsia"/>
                      <w:sz w:val="18"/>
                      <w:szCs w:val="18"/>
                      <w:u w:val="single"/>
                    </w:rPr>
                    <w:t>5.33</w:t>
                  </w:r>
                </w:p>
              </w:tc>
              <w:tc>
                <w:tcPr>
                  <w:tcW w:w="3868" w:type="dxa"/>
                  <w:vAlign w:val="center"/>
                </w:tcPr>
                <w:p>
                  <w:pPr>
                    <w:adjustRightInd w:val="0"/>
                    <w:snapToGrid w:val="0"/>
                    <w:jc w:val="center"/>
                    <w:rPr>
                      <w:sz w:val="18"/>
                      <w:szCs w:val="18"/>
                      <w:u w:val="single"/>
                    </w:rPr>
                  </w:pPr>
                  <w:r>
                    <w:rPr>
                      <w:rFonts w:hint="eastAsia"/>
                      <w:sz w:val="18"/>
                      <w:szCs w:val="18"/>
                      <w:u w:val="single"/>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577" w:type="dxa"/>
                  <w:vAlign w:val="center"/>
                </w:tcPr>
                <w:p>
                  <w:pPr>
                    <w:adjustRightInd w:val="0"/>
                    <w:snapToGrid w:val="0"/>
                    <w:jc w:val="center"/>
                    <w:rPr>
                      <w:sz w:val="18"/>
                      <w:szCs w:val="18"/>
                      <w:u w:val="single"/>
                    </w:rPr>
                  </w:pPr>
                  <w:r>
                    <w:rPr>
                      <w:rFonts w:hint="eastAsia"/>
                      <w:sz w:val="18"/>
                      <w:szCs w:val="18"/>
                      <w:u w:val="single"/>
                    </w:rPr>
                    <w:t>2</w:t>
                  </w:r>
                </w:p>
              </w:tc>
              <w:tc>
                <w:tcPr>
                  <w:tcW w:w="2364" w:type="dxa"/>
                  <w:vAlign w:val="center"/>
                </w:tcPr>
                <w:p>
                  <w:pPr>
                    <w:adjustRightInd w:val="0"/>
                    <w:snapToGrid w:val="0"/>
                    <w:jc w:val="center"/>
                    <w:rPr>
                      <w:sz w:val="18"/>
                      <w:szCs w:val="18"/>
                      <w:u w:val="single"/>
                    </w:rPr>
                  </w:pPr>
                  <w:r>
                    <w:rPr>
                      <w:sz w:val="18"/>
                      <w:szCs w:val="18"/>
                      <w:u w:val="single"/>
                    </w:rPr>
                    <w:t>干燥基灰分</w:t>
                  </w:r>
                  <w:r>
                    <w:rPr>
                      <w:rFonts w:hint="eastAsia"/>
                      <w:sz w:val="18"/>
                      <w:szCs w:val="18"/>
                      <w:u w:val="single"/>
                    </w:rPr>
                    <w:t>（%）</w:t>
                  </w:r>
                </w:p>
              </w:tc>
              <w:tc>
                <w:tcPr>
                  <w:tcW w:w="753" w:type="dxa"/>
                  <w:vAlign w:val="center"/>
                </w:tcPr>
                <w:p>
                  <w:pPr>
                    <w:adjustRightInd w:val="0"/>
                    <w:snapToGrid w:val="0"/>
                    <w:jc w:val="center"/>
                    <w:rPr>
                      <w:sz w:val="18"/>
                      <w:szCs w:val="18"/>
                      <w:u w:val="single"/>
                    </w:rPr>
                  </w:pPr>
                  <w:r>
                    <w:rPr>
                      <w:rFonts w:hint="eastAsia"/>
                      <w:sz w:val="18"/>
                      <w:szCs w:val="18"/>
                      <w:u w:val="single"/>
                    </w:rPr>
                    <w:t>Ad</w:t>
                  </w:r>
                </w:p>
              </w:tc>
              <w:tc>
                <w:tcPr>
                  <w:tcW w:w="939" w:type="dxa"/>
                  <w:vAlign w:val="center"/>
                </w:tcPr>
                <w:p>
                  <w:pPr>
                    <w:adjustRightInd w:val="0"/>
                    <w:snapToGrid w:val="0"/>
                    <w:jc w:val="center"/>
                    <w:rPr>
                      <w:sz w:val="18"/>
                      <w:szCs w:val="18"/>
                      <w:u w:val="single"/>
                    </w:rPr>
                  </w:pPr>
                  <w:r>
                    <w:rPr>
                      <w:rFonts w:hint="eastAsia"/>
                      <w:sz w:val="18"/>
                      <w:szCs w:val="18"/>
                      <w:u w:val="single"/>
                    </w:rPr>
                    <w:t>2.92</w:t>
                  </w:r>
                </w:p>
              </w:tc>
              <w:tc>
                <w:tcPr>
                  <w:tcW w:w="3868" w:type="dxa"/>
                  <w:vAlign w:val="center"/>
                </w:tcPr>
                <w:p>
                  <w:pPr>
                    <w:adjustRightInd w:val="0"/>
                    <w:snapToGrid w:val="0"/>
                    <w:jc w:val="center"/>
                    <w:rPr>
                      <w:sz w:val="18"/>
                      <w:szCs w:val="18"/>
                      <w:u w:val="single"/>
                    </w:rPr>
                  </w:pPr>
                  <w:r>
                    <w:rPr>
                      <w:sz w:val="18"/>
                      <w:szCs w:val="18"/>
                      <w:u w:val="single"/>
                    </w:rPr>
                    <w:t>收到基灰分Aar=Ad×（100-Mt）/100</w:t>
                  </w:r>
                  <w:r>
                    <w:rPr>
                      <w:rFonts w:hint="eastAsia"/>
                      <w:sz w:val="18"/>
                      <w:szCs w:val="18"/>
                      <w:u w:val="single"/>
                    </w:rPr>
                    <w:t>=2.76</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577" w:type="dxa"/>
                  <w:vAlign w:val="center"/>
                </w:tcPr>
                <w:p>
                  <w:pPr>
                    <w:adjustRightInd w:val="0"/>
                    <w:snapToGrid w:val="0"/>
                    <w:jc w:val="center"/>
                    <w:rPr>
                      <w:sz w:val="18"/>
                      <w:szCs w:val="18"/>
                      <w:u w:val="single"/>
                    </w:rPr>
                  </w:pPr>
                  <w:r>
                    <w:rPr>
                      <w:rFonts w:hint="eastAsia"/>
                      <w:sz w:val="18"/>
                      <w:szCs w:val="18"/>
                      <w:u w:val="single"/>
                    </w:rPr>
                    <w:t>3</w:t>
                  </w:r>
                </w:p>
              </w:tc>
              <w:tc>
                <w:tcPr>
                  <w:tcW w:w="2364" w:type="dxa"/>
                  <w:vAlign w:val="center"/>
                </w:tcPr>
                <w:p>
                  <w:pPr>
                    <w:adjustRightInd w:val="0"/>
                    <w:snapToGrid w:val="0"/>
                    <w:jc w:val="center"/>
                    <w:rPr>
                      <w:sz w:val="18"/>
                      <w:szCs w:val="18"/>
                      <w:u w:val="single"/>
                    </w:rPr>
                  </w:pPr>
                  <w:r>
                    <w:rPr>
                      <w:rFonts w:hint="eastAsia"/>
                      <w:sz w:val="18"/>
                      <w:szCs w:val="18"/>
                      <w:u w:val="single"/>
                    </w:rPr>
                    <w:t>空气干燥基挥发分（%）</w:t>
                  </w:r>
                </w:p>
              </w:tc>
              <w:tc>
                <w:tcPr>
                  <w:tcW w:w="753" w:type="dxa"/>
                  <w:vAlign w:val="center"/>
                </w:tcPr>
                <w:p>
                  <w:pPr>
                    <w:adjustRightInd w:val="0"/>
                    <w:snapToGrid w:val="0"/>
                    <w:jc w:val="center"/>
                    <w:rPr>
                      <w:sz w:val="18"/>
                      <w:szCs w:val="18"/>
                      <w:u w:val="single"/>
                    </w:rPr>
                  </w:pPr>
                  <w:r>
                    <w:rPr>
                      <w:rFonts w:hint="eastAsia"/>
                      <w:sz w:val="18"/>
                      <w:szCs w:val="18"/>
                      <w:u w:val="single"/>
                    </w:rPr>
                    <w:t>Vad</w:t>
                  </w:r>
                </w:p>
              </w:tc>
              <w:tc>
                <w:tcPr>
                  <w:tcW w:w="939" w:type="dxa"/>
                  <w:vAlign w:val="center"/>
                </w:tcPr>
                <w:p>
                  <w:pPr>
                    <w:adjustRightInd w:val="0"/>
                    <w:snapToGrid w:val="0"/>
                    <w:jc w:val="center"/>
                    <w:rPr>
                      <w:sz w:val="18"/>
                      <w:szCs w:val="18"/>
                      <w:u w:val="single"/>
                    </w:rPr>
                  </w:pPr>
                  <w:r>
                    <w:rPr>
                      <w:rFonts w:hint="eastAsia"/>
                      <w:sz w:val="18"/>
                      <w:szCs w:val="18"/>
                      <w:u w:val="single"/>
                    </w:rPr>
                    <w:t>80.25</w:t>
                  </w:r>
                </w:p>
              </w:tc>
              <w:tc>
                <w:tcPr>
                  <w:tcW w:w="3868" w:type="dxa"/>
                  <w:vAlign w:val="center"/>
                </w:tcPr>
                <w:p>
                  <w:pPr>
                    <w:adjustRightInd w:val="0"/>
                    <w:snapToGrid w:val="0"/>
                    <w:jc w:val="center"/>
                    <w:rPr>
                      <w:sz w:val="18"/>
                      <w:szCs w:val="18"/>
                      <w:u w:val="single"/>
                    </w:rPr>
                  </w:pPr>
                  <w:r>
                    <w:rPr>
                      <w:rFonts w:hint="eastAsia"/>
                      <w:sz w:val="18"/>
                      <w:szCs w:val="18"/>
                      <w:u w:val="single"/>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577" w:type="dxa"/>
                  <w:vAlign w:val="center"/>
                </w:tcPr>
                <w:p>
                  <w:pPr>
                    <w:adjustRightInd w:val="0"/>
                    <w:snapToGrid w:val="0"/>
                    <w:jc w:val="center"/>
                    <w:rPr>
                      <w:sz w:val="18"/>
                      <w:szCs w:val="18"/>
                      <w:u w:val="single"/>
                    </w:rPr>
                  </w:pPr>
                  <w:r>
                    <w:rPr>
                      <w:rFonts w:hint="eastAsia"/>
                      <w:sz w:val="18"/>
                      <w:szCs w:val="18"/>
                      <w:u w:val="single"/>
                    </w:rPr>
                    <w:t>4</w:t>
                  </w:r>
                </w:p>
              </w:tc>
              <w:tc>
                <w:tcPr>
                  <w:tcW w:w="2364" w:type="dxa"/>
                  <w:vAlign w:val="center"/>
                </w:tcPr>
                <w:p>
                  <w:pPr>
                    <w:adjustRightInd w:val="0"/>
                    <w:snapToGrid w:val="0"/>
                    <w:jc w:val="center"/>
                    <w:rPr>
                      <w:sz w:val="18"/>
                      <w:szCs w:val="18"/>
                      <w:u w:val="single"/>
                    </w:rPr>
                  </w:pPr>
                  <w:r>
                    <w:rPr>
                      <w:rFonts w:hint="eastAsia"/>
                      <w:sz w:val="18"/>
                      <w:szCs w:val="18"/>
                      <w:u w:val="single"/>
                    </w:rPr>
                    <w:t>干燥无灰基挥发分（%）</w:t>
                  </w:r>
                </w:p>
              </w:tc>
              <w:tc>
                <w:tcPr>
                  <w:tcW w:w="753" w:type="dxa"/>
                  <w:vAlign w:val="center"/>
                </w:tcPr>
                <w:p>
                  <w:pPr>
                    <w:adjustRightInd w:val="0"/>
                    <w:snapToGrid w:val="0"/>
                    <w:jc w:val="center"/>
                    <w:rPr>
                      <w:sz w:val="18"/>
                      <w:szCs w:val="18"/>
                      <w:u w:val="single"/>
                    </w:rPr>
                  </w:pPr>
                  <w:r>
                    <w:rPr>
                      <w:rFonts w:hint="eastAsia"/>
                      <w:sz w:val="18"/>
                      <w:szCs w:val="18"/>
                      <w:u w:val="single"/>
                    </w:rPr>
                    <w:t>Vdaf</w:t>
                  </w:r>
                </w:p>
              </w:tc>
              <w:tc>
                <w:tcPr>
                  <w:tcW w:w="939" w:type="dxa"/>
                  <w:vAlign w:val="center"/>
                </w:tcPr>
                <w:p>
                  <w:pPr>
                    <w:adjustRightInd w:val="0"/>
                    <w:snapToGrid w:val="0"/>
                    <w:jc w:val="center"/>
                    <w:rPr>
                      <w:sz w:val="18"/>
                      <w:szCs w:val="18"/>
                      <w:u w:val="single"/>
                    </w:rPr>
                  </w:pPr>
                  <w:r>
                    <w:rPr>
                      <w:rFonts w:hint="eastAsia"/>
                      <w:sz w:val="18"/>
                      <w:szCs w:val="18"/>
                      <w:u w:val="single"/>
                    </w:rPr>
                    <w:t>83.09</w:t>
                  </w:r>
                </w:p>
              </w:tc>
              <w:tc>
                <w:tcPr>
                  <w:tcW w:w="3868" w:type="dxa"/>
                  <w:vAlign w:val="center"/>
                </w:tcPr>
                <w:p>
                  <w:pPr>
                    <w:adjustRightInd w:val="0"/>
                    <w:snapToGrid w:val="0"/>
                    <w:jc w:val="center"/>
                    <w:rPr>
                      <w:sz w:val="18"/>
                      <w:szCs w:val="18"/>
                      <w:u w:val="single"/>
                    </w:rPr>
                  </w:pPr>
                  <w:r>
                    <w:rPr>
                      <w:rFonts w:hint="eastAsia"/>
                      <w:sz w:val="18"/>
                      <w:szCs w:val="18"/>
                      <w:u w:val="single"/>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577" w:type="dxa"/>
                  <w:vAlign w:val="center"/>
                </w:tcPr>
                <w:p>
                  <w:pPr>
                    <w:adjustRightInd w:val="0"/>
                    <w:snapToGrid w:val="0"/>
                    <w:jc w:val="center"/>
                    <w:rPr>
                      <w:sz w:val="18"/>
                      <w:szCs w:val="18"/>
                      <w:u w:val="single"/>
                    </w:rPr>
                  </w:pPr>
                  <w:r>
                    <w:rPr>
                      <w:rFonts w:hint="eastAsia"/>
                      <w:sz w:val="18"/>
                      <w:szCs w:val="18"/>
                      <w:u w:val="single"/>
                    </w:rPr>
                    <w:t>5</w:t>
                  </w:r>
                </w:p>
              </w:tc>
              <w:tc>
                <w:tcPr>
                  <w:tcW w:w="2364" w:type="dxa"/>
                  <w:vAlign w:val="center"/>
                </w:tcPr>
                <w:p>
                  <w:pPr>
                    <w:adjustRightInd w:val="0"/>
                    <w:snapToGrid w:val="0"/>
                    <w:jc w:val="center"/>
                    <w:rPr>
                      <w:sz w:val="18"/>
                      <w:szCs w:val="18"/>
                      <w:u w:val="single"/>
                    </w:rPr>
                  </w:pPr>
                  <w:r>
                    <w:rPr>
                      <w:rFonts w:hint="eastAsia"/>
                      <w:sz w:val="18"/>
                      <w:szCs w:val="18"/>
                      <w:u w:val="single"/>
                    </w:rPr>
                    <w:t>焦渣特性（型）</w:t>
                  </w:r>
                </w:p>
              </w:tc>
              <w:tc>
                <w:tcPr>
                  <w:tcW w:w="753" w:type="dxa"/>
                  <w:vAlign w:val="center"/>
                </w:tcPr>
                <w:p>
                  <w:pPr>
                    <w:adjustRightInd w:val="0"/>
                    <w:snapToGrid w:val="0"/>
                    <w:jc w:val="center"/>
                    <w:rPr>
                      <w:sz w:val="18"/>
                      <w:szCs w:val="18"/>
                      <w:u w:val="single"/>
                    </w:rPr>
                  </w:pPr>
                  <w:r>
                    <w:rPr>
                      <w:rFonts w:hint="eastAsia"/>
                      <w:sz w:val="18"/>
                      <w:szCs w:val="18"/>
                      <w:u w:val="single"/>
                    </w:rPr>
                    <w:t>CRC</w:t>
                  </w:r>
                </w:p>
              </w:tc>
              <w:tc>
                <w:tcPr>
                  <w:tcW w:w="939" w:type="dxa"/>
                  <w:vAlign w:val="center"/>
                </w:tcPr>
                <w:p>
                  <w:pPr>
                    <w:adjustRightInd w:val="0"/>
                    <w:snapToGrid w:val="0"/>
                    <w:jc w:val="center"/>
                    <w:rPr>
                      <w:sz w:val="18"/>
                      <w:szCs w:val="18"/>
                      <w:u w:val="single"/>
                    </w:rPr>
                  </w:pPr>
                  <w:r>
                    <w:rPr>
                      <w:rFonts w:hint="eastAsia"/>
                      <w:sz w:val="18"/>
                      <w:szCs w:val="18"/>
                      <w:u w:val="single"/>
                    </w:rPr>
                    <w:t>2</w:t>
                  </w:r>
                </w:p>
              </w:tc>
              <w:tc>
                <w:tcPr>
                  <w:tcW w:w="3868" w:type="dxa"/>
                  <w:vAlign w:val="center"/>
                </w:tcPr>
                <w:p>
                  <w:pPr>
                    <w:adjustRightInd w:val="0"/>
                    <w:snapToGrid w:val="0"/>
                    <w:jc w:val="center"/>
                    <w:rPr>
                      <w:sz w:val="18"/>
                      <w:szCs w:val="18"/>
                      <w:u w:val="single"/>
                    </w:rPr>
                  </w:pPr>
                  <w:r>
                    <w:rPr>
                      <w:rFonts w:hint="eastAsia"/>
                      <w:sz w:val="18"/>
                      <w:szCs w:val="18"/>
                      <w:u w:val="single"/>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577" w:type="dxa"/>
                  <w:vAlign w:val="center"/>
                </w:tcPr>
                <w:p>
                  <w:pPr>
                    <w:adjustRightInd w:val="0"/>
                    <w:snapToGrid w:val="0"/>
                    <w:jc w:val="center"/>
                    <w:rPr>
                      <w:sz w:val="18"/>
                      <w:szCs w:val="18"/>
                      <w:u w:val="single"/>
                    </w:rPr>
                  </w:pPr>
                  <w:r>
                    <w:rPr>
                      <w:rFonts w:hint="eastAsia"/>
                      <w:sz w:val="18"/>
                      <w:szCs w:val="18"/>
                      <w:u w:val="single"/>
                    </w:rPr>
                    <w:t>6</w:t>
                  </w:r>
                </w:p>
              </w:tc>
              <w:tc>
                <w:tcPr>
                  <w:tcW w:w="2364" w:type="dxa"/>
                  <w:vAlign w:val="center"/>
                </w:tcPr>
                <w:p>
                  <w:pPr>
                    <w:adjustRightInd w:val="0"/>
                    <w:snapToGrid w:val="0"/>
                    <w:jc w:val="center"/>
                    <w:rPr>
                      <w:sz w:val="18"/>
                      <w:szCs w:val="18"/>
                      <w:u w:val="single"/>
                    </w:rPr>
                  </w:pPr>
                  <w:r>
                    <w:rPr>
                      <w:rFonts w:hint="eastAsia"/>
                      <w:sz w:val="18"/>
                      <w:szCs w:val="18"/>
                      <w:u w:val="single"/>
                    </w:rPr>
                    <w:t>干基高位发热量（Kcal）</w:t>
                  </w:r>
                </w:p>
              </w:tc>
              <w:tc>
                <w:tcPr>
                  <w:tcW w:w="753" w:type="dxa"/>
                  <w:vAlign w:val="center"/>
                </w:tcPr>
                <w:p>
                  <w:pPr>
                    <w:adjustRightInd w:val="0"/>
                    <w:snapToGrid w:val="0"/>
                    <w:jc w:val="center"/>
                    <w:rPr>
                      <w:sz w:val="18"/>
                      <w:szCs w:val="18"/>
                      <w:u w:val="single"/>
                    </w:rPr>
                  </w:pPr>
                  <w:r>
                    <w:rPr>
                      <w:rFonts w:hint="eastAsia"/>
                      <w:sz w:val="18"/>
                      <w:szCs w:val="18"/>
                      <w:u w:val="single"/>
                    </w:rPr>
                    <w:t>Qgr,d</w:t>
                  </w:r>
                </w:p>
              </w:tc>
              <w:tc>
                <w:tcPr>
                  <w:tcW w:w="939" w:type="dxa"/>
                  <w:vAlign w:val="center"/>
                </w:tcPr>
                <w:p>
                  <w:pPr>
                    <w:adjustRightInd w:val="0"/>
                    <w:snapToGrid w:val="0"/>
                    <w:jc w:val="center"/>
                    <w:rPr>
                      <w:sz w:val="18"/>
                      <w:szCs w:val="18"/>
                      <w:u w:val="single"/>
                    </w:rPr>
                  </w:pPr>
                  <w:r>
                    <w:rPr>
                      <w:rFonts w:hint="eastAsia"/>
                      <w:sz w:val="18"/>
                      <w:szCs w:val="18"/>
                      <w:u w:val="single"/>
                    </w:rPr>
                    <w:t>4563</w:t>
                  </w:r>
                </w:p>
              </w:tc>
              <w:tc>
                <w:tcPr>
                  <w:tcW w:w="3868" w:type="dxa"/>
                  <w:vAlign w:val="center"/>
                </w:tcPr>
                <w:p>
                  <w:pPr>
                    <w:adjustRightInd w:val="0"/>
                    <w:snapToGrid w:val="0"/>
                    <w:jc w:val="center"/>
                    <w:rPr>
                      <w:sz w:val="18"/>
                      <w:szCs w:val="18"/>
                      <w:u w:val="single"/>
                    </w:rPr>
                  </w:pPr>
                  <w:r>
                    <w:rPr>
                      <w:rFonts w:hint="eastAsia"/>
                      <w:sz w:val="18"/>
                      <w:szCs w:val="18"/>
                      <w:u w:val="single"/>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577" w:type="dxa"/>
                  <w:vAlign w:val="center"/>
                </w:tcPr>
                <w:p>
                  <w:pPr>
                    <w:adjustRightInd w:val="0"/>
                    <w:snapToGrid w:val="0"/>
                    <w:jc w:val="center"/>
                    <w:rPr>
                      <w:sz w:val="18"/>
                      <w:szCs w:val="18"/>
                      <w:u w:val="single"/>
                    </w:rPr>
                  </w:pPr>
                  <w:r>
                    <w:rPr>
                      <w:rFonts w:hint="eastAsia"/>
                      <w:sz w:val="18"/>
                      <w:szCs w:val="18"/>
                      <w:u w:val="single"/>
                    </w:rPr>
                    <w:t>7</w:t>
                  </w:r>
                </w:p>
              </w:tc>
              <w:tc>
                <w:tcPr>
                  <w:tcW w:w="2364" w:type="dxa"/>
                  <w:vAlign w:val="center"/>
                </w:tcPr>
                <w:p>
                  <w:pPr>
                    <w:adjustRightInd w:val="0"/>
                    <w:snapToGrid w:val="0"/>
                    <w:jc w:val="center"/>
                    <w:rPr>
                      <w:sz w:val="18"/>
                      <w:szCs w:val="18"/>
                      <w:u w:val="single"/>
                    </w:rPr>
                  </w:pPr>
                  <w:r>
                    <w:rPr>
                      <w:rFonts w:hint="eastAsia"/>
                      <w:sz w:val="18"/>
                      <w:szCs w:val="18"/>
                      <w:u w:val="single"/>
                    </w:rPr>
                    <w:t>收到基低位发热量（Kcal）</w:t>
                  </w:r>
                </w:p>
              </w:tc>
              <w:tc>
                <w:tcPr>
                  <w:tcW w:w="753" w:type="dxa"/>
                  <w:vAlign w:val="center"/>
                </w:tcPr>
                <w:p>
                  <w:pPr>
                    <w:adjustRightInd w:val="0"/>
                    <w:snapToGrid w:val="0"/>
                    <w:jc w:val="center"/>
                    <w:rPr>
                      <w:sz w:val="18"/>
                      <w:szCs w:val="18"/>
                      <w:u w:val="single"/>
                    </w:rPr>
                  </w:pPr>
                  <w:r>
                    <w:rPr>
                      <w:rFonts w:hint="eastAsia"/>
                      <w:sz w:val="18"/>
                      <w:szCs w:val="18"/>
                      <w:u w:val="single"/>
                    </w:rPr>
                    <w:t>Qnet,ar</w:t>
                  </w:r>
                </w:p>
              </w:tc>
              <w:tc>
                <w:tcPr>
                  <w:tcW w:w="939" w:type="dxa"/>
                  <w:vAlign w:val="center"/>
                </w:tcPr>
                <w:p>
                  <w:pPr>
                    <w:adjustRightInd w:val="0"/>
                    <w:snapToGrid w:val="0"/>
                    <w:jc w:val="center"/>
                    <w:rPr>
                      <w:sz w:val="18"/>
                      <w:szCs w:val="18"/>
                      <w:u w:val="single"/>
                    </w:rPr>
                  </w:pPr>
                  <w:r>
                    <w:rPr>
                      <w:rFonts w:hint="eastAsia"/>
                      <w:sz w:val="18"/>
                      <w:szCs w:val="18"/>
                      <w:u w:val="single"/>
                    </w:rPr>
                    <w:t>4124</w:t>
                  </w:r>
                </w:p>
              </w:tc>
              <w:tc>
                <w:tcPr>
                  <w:tcW w:w="3868" w:type="dxa"/>
                  <w:vAlign w:val="center"/>
                </w:tcPr>
                <w:p>
                  <w:pPr>
                    <w:adjustRightInd w:val="0"/>
                    <w:snapToGrid w:val="0"/>
                    <w:jc w:val="center"/>
                    <w:rPr>
                      <w:sz w:val="18"/>
                      <w:szCs w:val="18"/>
                      <w:u w:val="single"/>
                    </w:rPr>
                  </w:pPr>
                  <w:r>
                    <w:rPr>
                      <w:rFonts w:hint="eastAsia"/>
                      <w:sz w:val="18"/>
                      <w:szCs w:val="18"/>
                      <w:u w:val="single"/>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577" w:type="dxa"/>
                  <w:vAlign w:val="center"/>
                </w:tcPr>
                <w:p>
                  <w:pPr>
                    <w:adjustRightInd w:val="0"/>
                    <w:snapToGrid w:val="0"/>
                    <w:jc w:val="center"/>
                    <w:rPr>
                      <w:sz w:val="18"/>
                      <w:szCs w:val="18"/>
                      <w:u w:val="single"/>
                    </w:rPr>
                  </w:pPr>
                  <w:r>
                    <w:rPr>
                      <w:rFonts w:hint="eastAsia"/>
                      <w:sz w:val="18"/>
                      <w:szCs w:val="18"/>
                      <w:u w:val="single"/>
                    </w:rPr>
                    <w:t>8</w:t>
                  </w:r>
                </w:p>
              </w:tc>
              <w:tc>
                <w:tcPr>
                  <w:tcW w:w="2364" w:type="dxa"/>
                  <w:vAlign w:val="center"/>
                </w:tcPr>
                <w:p>
                  <w:pPr>
                    <w:adjustRightInd w:val="0"/>
                    <w:snapToGrid w:val="0"/>
                    <w:jc w:val="center"/>
                    <w:rPr>
                      <w:sz w:val="18"/>
                      <w:szCs w:val="18"/>
                      <w:u w:val="single"/>
                    </w:rPr>
                  </w:pPr>
                  <w:r>
                    <w:rPr>
                      <w:rFonts w:hint="eastAsia"/>
                      <w:sz w:val="18"/>
                      <w:szCs w:val="18"/>
                      <w:u w:val="single"/>
                    </w:rPr>
                    <w:t>干基全硫量（%）</w:t>
                  </w:r>
                </w:p>
              </w:tc>
              <w:tc>
                <w:tcPr>
                  <w:tcW w:w="753" w:type="dxa"/>
                  <w:vAlign w:val="center"/>
                </w:tcPr>
                <w:p>
                  <w:pPr>
                    <w:adjustRightInd w:val="0"/>
                    <w:snapToGrid w:val="0"/>
                    <w:jc w:val="center"/>
                    <w:rPr>
                      <w:sz w:val="18"/>
                      <w:szCs w:val="18"/>
                      <w:u w:val="single"/>
                    </w:rPr>
                  </w:pPr>
                  <w:r>
                    <w:rPr>
                      <w:rFonts w:hint="eastAsia"/>
                      <w:sz w:val="18"/>
                      <w:szCs w:val="18"/>
                      <w:u w:val="single"/>
                    </w:rPr>
                    <w:t>St,d</w:t>
                  </w:r>
                </w:p>
              </w:tc>
              <w:tc>
                <w:tcPr>
                  <w:tcW w:w="939" w:type="dxa"/>
                  <w:vAlign w:val="center"/>
                </w:tcPr>
                <w:p>
                  <w:pPr>
                    <w:adjustRightInd w:val="0"/>
                    <w:snapToGrid w:val="0"/>
                    <w:jc w:val="center"/>
                    <w:rPr>
                      <w:sz w:val="18"/>
                      <w:szCs w:val="18"/>
                      <w:u w:val="single"/>
                    </w:rPr>
                  </w:pPr>
                  <w:r>
                    <w:rPr>
                      <w:rFonts w:hint="eastAsia"/>
                      <w:sz w:val="18"/>
                      <w:szCs w:val="18"/>
                      <w:u w:val="single"/>
                    </w:rPr>
                    <w:t>0.03</w:t>
                  </w:r>
                </w:p>
              </w:tc>
              <w:tc>
                <w:tcPr>
                  <w:tcW w:w="3868" w:type="dxa"/>
                  <w:vAlign w:val="center"/>
                </w:tcPr>
                <w:p>
                  <w:pPr>
                    <w:adjustRightInd w:val="0"/>
                    <w:snapToGrid w:val="0"/>
                    <w:jc w:val="center"/>
                    <w:rPr>
                      <w:sz w:val="18"/>
                      <w:szCs w:val="18"/>
                      <w:u w:val="single"/>
                    </w:rPr>
                  </w:pPr>
                  <w:r>
                    <w:rPr>
                      <w:sz w:val="18"/>
                      <w:szCs w:val="18"/>
                      <w:u w:val="single"/>
                    </w:rPr>
                    <w:t>收到基硫Sar=St,d×（100-Mt）/100</w:t>
                  </w:r>
                  <w:r>
                    <w:rPr>
                      <w:rFonts w:hint="eastAsia"/>
                      <w:sz w:val="18"/>
                      <w:szCs w:val="18"/>
                      <w:u w:val="single"/>
                    </w:rPr>
                    <w:t>=0.028</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577" w:type="dxa"/>
                  <w:vAlign w:val="center"/>
                </w:tcPr>
                <w:p>
                  <w:pPr>
                    <w:adjustRightInd w:val="0"/>
                    <w:snapToGrid w:val="0"/>
                    <w:jc w:val="center"/>
                    <w:rPr>
                      <w:sz w:val="18"/>
                      <w:szCs w:val="18"/>
                      <w:u w:val="single"/>
                    </w:rPr>
                  </w:pPr>
                  <w:r>
                    <w:rPr>
                      <w:rFonts w:hint="eastAsia"/>
                      <w:sz w:val="18"/>
                      <w:szCs w:val="18"/>
                      <w:u w:val="single"/>
                    </w:rPr>
                    <w:t>9</w:t>
                  </w:r>
                </w:p>
              </w:tc>
              <w:tc>
                <w:tcPr>
                  <w:tcW w:w="2364" w:type="dxa"/>
                  <w:vAlign w:val="center"/>
                </w:tcPr>
                <w:p>
                  <w:pPr>
                    <w:adjustRightInd w:val="0"/>
                    <w:snapToGrid w:val="0"/>
                    <w:jc w:val="center"/>
                    <w:rPr>
                      <w:sz w:val="18"/>
                      <w:szCs w:val="18"/>
                      <w:u w:val="single"/>
                    </w:rPr>
                  </w:pPr>
                  <w:r>
                    <w:rPr>
                      <w:rFonts w:hint="eastAsia"/>
                      <w:sz w:val="18"/>
                      <w:szCs w:val="18"/>
                      <w:u w:val="single"/>
                    </w:rPr>
                    <w:t>固定碳含量（%）</w:t>
                  </w:r>
                </w:p>
              </w:tc>
              <w:tc>
                <w:tcPr>
                  <w:tcW w:w="753" w:type="dxa"/>
                  <w:vAlign w:val="center"/>
                </w:tcPr>
                <w:p>
                  <w:pPr>
                    <w:adjustRightInd w:val="0"/>
                    <w:snapToGrid w:val="0"/>
                    <w:jc w:val="center"/>
                    <w:rPr>
                      <w:sz w:val="18"/>
                      <w:szCs w:val="18"/>
                      <w:u w:val="single"/>
                    </w:rPr>
                  </w:pPr>
                  <w:r>
                    <w:rPr>
                      <w:rFonts w:hint="eastAsia"/>
                      <w:sz w:val="18"/>
                      <w:szCs w:val="18"/>
                      <w:u w:val="single"/>
                    </w:rPr>
                    <w:t>Fc,D</w:t>
                  </w:r>
                </w:p>
              </w:tc>
              <w:tc>
                <w:tcPr>
                  <w:tcW w:w="939" w:type="dxa"/>
                  <w:vAlign w:val="center"/>
                </w:tcPr>
                <w:p>
                  <w:pPr>
                    <w:adjustRightInd w:val="0"/>
                    <w:snapToGrid w:val="0"/>
                    <w:jc w:val="center"/>
                    <w:rPr>
                      <w:sz w:val="18"/>
                      <w:szCs w:val="18"/>
                      <w:u w:val="single"/>
                    </w:rPr>
                  </w:pPr>
                  <w:r>
                    <w:rPr>
                      <w:rFonts w:hint="eastAsia"/>
                      <w:sz w:val="18"/>
                      <w:szCs w:val="18"/>
                      <w:u w:val="single"/>
                    </w:rPr>
                    <w:t>16.33</w:t>
                  </w:r>
                </w:p>
              </w:tc>
              <w:tc>
                <w:tcPr>
                  <w:tcW w:w="3868" w:type="dxa"/>
                  <w:vAlign w:val="center"/>
                </w:tcPr>
                <w:p>
                  <w:pPr>
                    <w:adjustRightInd w:val="0"/>
                    <w:snapToGrid w:val="0"/>
                    <w:jc w:val="center"/>
                    <w:rPr>
                      <w:sz w:val="18"/>
                      <w:szCs w:val="18"/>
                      <w:u w:val="single"/>
                    </w:rPr>
                  </w:pPr>
                  <w:r>
                    <w:rPr>
                      <w:rFonts w:hint="eastAsia"/>
                      <w:sz w:val="18"/>
                      <w:szCs w:val="18"/>
                      <w:u w:val="single"/>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577" w:type="dxa"/>
                  <w:vAlign w:val="center"/>
                </w:tcPr>
                <w:p>
                  <w:pPr>
                    <w:adjustRightInd w:val="0"/>
                    <w:snapToGrid w:val="0"/>
                    <w:jc w:val="center"/>
                    <w:rPr>
                      <w:sz w:val="18"/>
                      <w:szCs w:val="18"/>
                      <w:u w:val="single"/>
                    </w:rPr>
                  </w:pPr>
                  <w:r>
                    <w:rPr>
                      <w:rFonts w:hint="eastAsia"/>
                      <w:sz w:val="18"/>
                      <w:szCs w:val="18"/>
                      <w:u w:val="single"/>
                    </w:rPr>
                    <w:t>送样</w:t>
                  </w:r>
                </w:p>
                <w:p>
                  <w:pPr>
                    <w:adjustRightInd w:val="0"/>
                    <w:snapToGrid w:val="0"/>
                    <w:jc w:val="center"/>
                    <w:rPr>
                      <w:sz w:val="18"/>
                      <w:szCs w:val="18"/>
                      <w:u w:val="single"/>
                    </w:rPr>
                  </w:pPr>
                  <w:r>
                    <w:rPr>
                      <w:rFonts w:hint="eastAsia"/>
                      <w:sz w:val="18"/>
                      <w:szCs w:val="18"/>
                      <w:u w:val="single"/>
                    </w:rPr>
                    <w:t>单位</w:t>
                  </w:r>
                </w:p>
              </w:tc>
              <w:tc>
                <w:tcPr>
                  <w:tcW w:w="4056" w:type="dxa"/>
                  <w:gridSpan w:val="3"/>
                  <w:vAlign w:val="center"/>
                </w:tcPr>
                <w:p>
                  <w:pPr>
                    <w:adjustRightInd w:val="0"/>
                    <w:snapToGrid w:val="0"/>
                    <w:jc w:val="center"/>
                    <w:rPr>
                      <w:sz w:val="18"/>
                      <w:szCs w:val="18"/>
                      <w:u w:val="single"/>
                    </w:rPr>
                  </w:pPr>
                  <w:r>
                    <w:rPr>
                      <w:rFonts w:hint="eastAsia"/>
                      <w:sz w:val="18"/>
                      <w:szCs w:val="18"/>
                      <w:u w:val="single"/>
                    </w:rPr>
                    <w:t>吉林省通源新能源开发有限公司</w:t>
                  </w:r>
                </w:p>
              </w:tc>
              <w:tc>
                <w:tcPr>
                  <w:tcW w:w="3868" w:type="dxa"/>
                  <w:vAlign w:val="center"/>
                </w:tcPr>
                <w:p>
                  <w:pPr>
                    <w:adjustRightInd w:val="0"/>
                    <w:snapToGrid w:val="0"/>
                    <w:jc w:val="center"/>
                    <w:rPr>
                      <w:sz w:val="18"/>
                      <w:szCs w:val="18"/>
                      <w:u w:val="single"/>
                    </w:rPr>
                  </w:pPr>
                  <w:r>
                    <w:rPr>
                      <w:rFonts w:hint="eastAsia"/>
                      <w:sz w:val="18"/>
                      <w:szCs w:val="18"/>
                      <w:u w:val="single"/>
                    </w:rPr>
                    <w:t>该公司位于通化县二密镇干沟村五组</w:t>
                  </w:r>
                </w:p>
                <w:p>
                  <w:pPr>
                    <w:adjustRightInd w:val="0"/>
                    <w:snapToGrid w:val="0"/>
                    <w:jc w:val="center"/>
                    <w:rPr>
                      <w:sz w:val="18"/>
                      <w:szCs w:val="18"/>
                      <w:u w:val="single"/>
                    </w:rPr>
                  </w:pPr>
                  <w:r>
                    <w:rPr>
                      <w:rFonts w:hint="eastAsia"/>
                      <w:sz w:val="18"/>
                      <w:szCs w:val="18"/>
                      <w:u w:val="single"/>
                    </w:rPr>
                    <w:t>与本项目属同一区域，燃用生物质属性相同</w:t>
                  </w:r>
                </w:p>
              </w:tc>
            </w:tr>
          </w:tbl>
          <w:p>
            <w:pPr>
              <w:spacing w:line="360" w:lineRule="auto"/>
              <w:ind w:firstLine="420" w:firstLineChars="200"/>
              <w:jc w:val="left"/>
            </w:pPr>
            <w:r>
              <w:t>7、总平面布置</w:t>
            </w:r>
            <w:bookmarkEnd w:id="5"/>
          </w:p>
          <w:p>
            <w:pPr>
              <w:spacing w:line="360" w:lineRule="auto"/>
              <w:ind w:firstLine="420" w:firstLineChars="200"/>
              <w:jc w:val="left"/>
            </w:pPr>
            <w:r>
              <w:t>本项目锅炉房为独立建筑物，位于</w:t>
            </w:r>
            <w:r>
              <w:rPr>
                <w:szCs w:val="21"/>
              </w:rPr>
              <w:t>柳河赵氏木业有限公司院内南侧</w:t>
            </w:r>
            <w:r>
              <w:t>。本项目平面布置详见</w:t>
            </w:r>
            <w:r>
              <w:rPr>
                <w:color w:val="FF0000"/>
              </w:rPr>
              <w:t>附图6</w:t>
            </w:r>
            <w:r>
              <w:t>。</w:t>
            </w:r>
          </w:p>
          <w:p>
            <w:pPr>
              <w:spacing w:line="360" w:lineRule="auto"/>
              <w:ind w:firstLine="420" w:firstLineChars="200"/>
              <w:jc w:val="left"/>
              <w:rPr>
                <w:u w:val="single"/>
              </w:rPr>
            </w:pPr>
            <w:r>
              <w:rPr>
                <w:u w:val="single"/>
              </w:rPr>
              <w:t>8、公用工程</w:t>
            </w:r>
          </w:p>
          <w:p>
            <w:pPr>
              <w:spacing w:line="360" w:lineRule="auto"/>
              <w:ind w:firstLine="420" w:firstLineChars="200"/>
              <w:jc w:val="left"/>
              <w:rPr>
                <w:u w:val="single"/>
              </w:rPr>
            </w:pPr>
            <w:r>
              <w:rPr>
                <w:u w:val="single"/>
              </w:rPr>
              <w:t>（1）给水</w:t>
            </w:r>
          </w:p>
          <w:p>
            <w:pPr>
              <w:spacing w:line="360" w:lineRule="auto"/>
              <w:ind w:firstLine="420" w:firstLineChars="200"/>
              <w:jc w:val="left"/>
              <w:rPr>
                <w:u w:val="single"/>
              </w:rPr>
            </w:pPr>
            <w:r>
              <w:rPr>
                <w:u w:val="single"/>
              </w:rPr>
              <w:t>本项目不新增劳动定员，不新增生活用水。导热油炉采用闭路循环系统，导热油在系统内循环使用不外排，日常运行过程中无需补水。项目不涉及生产工艺用水。因此，本项目不新增用水，全厂用水量维持现有水平不变。</w:t>
            </w:r>
          </w:p>
          <w:p>
            <w:pPr>
              <w:spacing w:line="360" w:lineRule="auto"/>
              <w:ind w:firstLine="420" w:firstLineChars="200"/>
              <w:jc w:val="left"/>
              <w:rPr>
                <w:u w:val="single"/>
              </w:rPr>
            </w:pPr>
            <w:r>
              <w:rPr>
                <w:u w:val="single"/>
              </w:rPr>
              <w:t>（2）排水</w:t>
            </w:r>
          </w:p>
          <w:p>
            <w:pPr>
              <w:spacing w:line="360" w:lineRule="auto"/>
              <w:ind w:firstLine="420" w:firstLineChars="200"/>
              <w:jc w:val="left"/>
              <w:rPr>
                <w:u w:val="single"/>
              </w:rPr>
            </w:pPr>
            <w:r>
              <w:rPr>
                <w:u w:val="single"/>
              </w:rPr>
              <w:t>本项目不新增劳动定员，不新增生活污水。导热油炉闭路循环运行，无生产废水产生。因此，本项目不新增排水，全厂排水量维持现有水平不变。</w:t>
            </w:r>
          </w:p>
          <w:p>
            <w:pPr>
              <w:spacing w:line="360" w:lineRule="auto"/>
              <w:ind w:firstLine="420" w:firstLineChars="200"/>
              <w:jc w:val="left"/>
              <w:rPr>
                <w:u w:val="single"/>
              </w:rPr>
            </w:pPr>
            <w:r>
              <w:rPr>
                <w:u w:val="single"/>
              </w:rPr>
              <w:t>（3）供热</w:t>
            </w:r>
          </w:p>
          <w:p>
            <w:pPr>
              <w:spacing w:line="360" w:lineRule="auto"/>
              <w:ind w:firstLine="420" w:firstLineChars="200"/>
              <w:jc w:val="left"/>
              <w:rPr>
                <w:u w:val="single"/>
              </w:rPr>
            </w:pPr>
            <w:r>
              <w:rPr>
                <w:u w:val="single"/>
              </w:rPr>
              <w:t>本项目为供热设施</w:t>
            </w:r>
            <w:r>
              <w:rPr>
                <w:rFonts w:hint="eastAsia"/>
                <w:u w:val="single"/>
              </w:rPr>
              <w:t>建设</w:t>
            </w:r>
            <w:r>
              <w:rPr>
                <w:u w:val="single"/>
              </w:rPr>
              <w:t>工程，</w:t>
            </w:r>
            <w:r>
              <w:rPr>
                <w:rFonts w:hint="eastAsia"/>
                <w:u w:val="single"/>
              </w:rPr>
              <w:t>建设</w:t>
            </w:r>
            <w:r>
              <w:rPr>
                <w:u w:val="single"/>
              </w:rPr>
              <w:t>前、后供热方式对比详见表5。</w:t>
            </w:r>
          </w:p>
          <w:p>
            <w:pPr>
              <w:ind w:firstLine="422" w:firstLineChars="200"/>
              <w:jc w:val="center"/>
              <w:rPr>
                <w:b/>
                <w:bCs/>
                <w:u w:val="single"/>
              </w:rPr>
            </w:pPr>
            <w:r>
              <w:rPr>
                <w:b/>
                <w:bCs/>
                <w:u w:val="single"/>
              </w:rPr>
              <w:t>表10  建设前后供热方式对比一览表</w:t>
            </w:r>
          </w:p>
          <w:tbl>
            <w:tblPr>
              <w:tblStyle w:val="26"/>
              <w:tblW w:w="8501" w:type="dxa"/>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162"/>
              <w:gridCol w:w="2934"/>
              <w:gridCol w:w="4405"/>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162" w:type="dxa"/>
                  <w:vAlign w:val="center"/>
                </w:tcPr>
                <w:p>
                  <w:pPr>
                    <w:adjustRightInd w:val="0"/>
                    <w:snapToGrid w:val="0"/>
                    <w:jc w:val="center"/>
                    <w:rPr>
                      <w:sz w:val="18"/>
                      <w:szCs w:val="18"/>
                      <w:u w:val="single"/>
                    </w:rPr>
                  </w:pPr>
                  <w:r>
                    <w:rPr>
                      <w:sz w:val="18"/>
                      <w:szCs w:val="18"/>
                      <w:u w:val="single"/>
                    </w:rPr>
                    <w:t>对比项目</w:t>
                  </w:r>
                </w:p>
              </w:tc>
              <w:tc>
                <w:tcPr>
                  <w:tcW w:w="2934" w:type="dxa"/>
                  <w:vAlign w:val="center"/>
                </w:tcPr>
                <w:p>
                  <w:pPr>
                    <w:adjustRightInd w:val="0"/>
                    <w:snapToGrid w:val="0"/>
                    <w:jc w:val="center"/>
                    <w:rPr>
                      <w:sz w:val="18"/>
                      <w:szCs w:val="18"/>
                      <w:u w:val="single"/>
                    </w:rPr>
                  </w:pPr>
                  <w:r>
                    <w:rPr>
                      <w:sz w:val="18"/>
                      <w:szCs w:val="18"/>
                      <w:u w:val="single"/>
                    </w:rPr>
                    <w:t>建设前</w:t>
                  </w:r>
                </w:p>
              </w:tc>
              <w:tc>
                <w:tcPr>
                  <w:tcW w:w="4405" w:type="dxa"/>
                  <w:vAlign w:val="center"/>
                </w:tcPr>
                <w:p>
                  <w:pPr>
                    <w:adjustRightInd w:val="0"/>
                    <w:snapToGrid w:val="0"/>
                    <w:jc w:val="center"/>
                    <w:rPr>
                      <w:sz w:val="18"/>
                      <w:szCs w:val="18"/>
                      <w:u w:val="single"/>
                    </w:rPr>
                  </w:pPr>
                  <w:r>
                    <w:rPr>
                      <w:sz w:val="18"/>
                      <w:szCs w:val="18"/>
                      <w:u w:val="single"/>
                    </w:rPr>
                    <w:t>建设后</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162" w:type="dxa"/>
                  <w:vAlign w:val="center"/>
                </w:tcPr>
                <w:p>
                  <w:pPr>
                    <w:adjustRightInd w:val="0"/>
                    <w:snapToGrid w:val="0"/>
                    <w:jc w:val="center"/>
                    <w:rPr>
                      <w:sz w:val="18"/>
                      <w:szCs w:val="18"/>
                      <w:u w:val="single"/>
                    </w:rPr>
                  </w:pPr>
                  <w:r>
                    <w:rPr>
                      <w:sz w:val="18"/>
                      <w:szCs w:val="18"/>
                      <w:u w:val="single"/>
                    </w:rPr>
                    <w:t>供热设备</w:t>
                  </w:r>
                </w:p>
              </w:tc>
              <w:tc>
                <w:tcPr>
                  <w:tcW w:w="2934" w:type="dxa"/>
                  <w:vAlign w:val="center"/>
                </w:tcPr>
                <w:p>
                  <w:pPr>
                    <w:adjustRightInd w:val="0"/>
                    <w:snapToGrid w:val="0"/>
                    <w:jc w:val="center"/>
                    <w:rPr>
                      <w:sz w:val="18"/>
                      <w:szCs w:val="18"/>
                      <w:u w:val="single"/>
                    </w:rPr>
                  </w:pPr>
                  <w:r>
                    <w:rPr>
                      <w:sz w:val="18"/>
                      <w:szCs w:val="18"/>
                      <w:u w:val="single"/>
                    </w:rPr>
                    <w:t>1台0.5MW燃生物质锅炉（水介质）</w:t>
                  </w:r>
                </w:p>
              </w:tc>
              <w:tc>
                <w:tcPr>
                  <w:tcW w:w="4405" w:type="dxa"/>
                  <w:vAlign w:val="center"/>
                </w:tcPr>
                <w:p>
                  <w:pPr>
                    <w:adjustRightInd w:val="0"/>
                    <w:snapToGrid w:val="0"/>
                    <w:jc w:val="center"/>
                    <w:rPr>
                      <w:sz w:val="18"/>
                      <w:szCs w:val="18"/>
                      <w:u w:val="single"/>
                    </w:rPr>
                  </w:pPr>
                  <w:r>
                    <w:rPr>
                      <w:sz w:val="18"/>
                      <w:szCs w:val="18"/>
                      <w:u w:val="single"/>
                    </w:rPr>
                    <w:t>1台1600kW有机热载体液相炉（导热油炉）</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162" w:type="dxa"/>
                  <w:vAlign w:val="center"/>
                </w:tcPr>
                <w:p>
                  <w:pPr>
                    <w:adjustRightInd w:val="0"/>
                    <w:snapToGrid w:val="0"/>
                    <w:jc w:val="center"/>
                    <w:rPr>
                      <w:sz w:val="18"/>
                      <w:szCs w:val="18"/>
                      <w:u w:val="single"/>
                    </w:rPr>
                  </w:pPr>
                  <w:r>
                    <w:rPr>
                      <w:sz w:val="18"/>
                      <w:szCs w:val="18"/>
                      <w:u w:val="single"/>
                    </w:rPr>
                    <w:t>供热介质</w:t>
                  </w:r>
                </w:p>
              </w:tc>
              <w:tc>
                <w:tcPr>
                  <w:tcW w:w="2934" w:type="dxa"/>
                  <w:vAlign w:val="center"/>
                </w:tcPr>
                <w:p>
                  <w:pPr>
                    <w:adjustRightInd w:val="0"/>
                    <w:snapToGrid w:val="0"/>
                    <w:jc w:val="center"/>
                    <w:rPr>
                      <w:sz w:val="18"/>
                      <w:szCs w:val="18"/>
                      <w:u w:val="single"/>
                    </w:rPr>
                  </w:pPr>
                  <w:r>
                    <w:rPr>
                      <w:sz w:val="18"/>
                      <w:szCs w:val="18"/>
                      <w:u w:val="single"/>
                    </w:rPr>
                    <w:t>水蒸气/热水</w:t>
                  </w:r>
                </w:p>
              </w:tc>
              <w:tc>
                <w:tcPr>
                  <w:tcW w:w="4405" w:type="dxa"/>
                  <w:vAlign w:val="center"/>
                </w:tcPr>
                <w:p>
                  <w:pPr>
                    <w:adjustRightInd w:val="0"/>
                    <w:snapToGrid w:val="0"/>
                    <w:jc w:val="center"/>
                    <w:rPr>
                      <w:sz w:val="18"/>
                      <w:szCs w:val="18"/>
                      <w:u w:val="single"/>
                    </w:rPr>
                  </w:pPr>
                  <w:r>
                    <w:rPr>
                      <w:sz w:val="18"/>
                      <w:szCs w:val="18"/>
                      <w:u w:val="single"/>
                    </w:rPr>
                    <w:t>导热油（有机热载体）</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162" w:type="dxa"/>
                  <w:vAlign w:val="center"/>
                </w:tcPr>
                <w:p>
                  <w:pPr>
                    <w:adjustRightInd w:val="0"/>
                    <w:snapToGrid w:val="0"/>
                    <w:jc w:val="center"/>
                    <w:rPr>
                      <w:sz w:val="18"/>
                      <w:szCs w:val="18"/>
                      <w:u w:val="single"/>
                    </w:rPr>
                  </w:pPr>
                  <w:r>
                    <w:rPr>
                      <w:sz w:val="18"/>
                      <w:szCs w:val="18"/>
                      <w:u w:val="single"/>
                    </w:rPr>
                    <w:t>供热量</w:t>
                  </w:r>
                </w:p>
              </w:tc>
              <w:tc>
                <w:tcPr>
                  <w:tcW w:w="2934" w:type="dxa"/>
                  <w:vAlign w:val="center"/>
                </w:tcPr>
                <w:p>
                  <w:pPr>
                    <w:adjustRightInd w:val="0"/>
                    <w:snapToGrid w:val="0"/>
                    <w:jc w:val="center"/>
                    <w:rPr>
                      <w:sz w:val="18"/>
                      <w:szCs w:val="18"/>
                      <w:u w:val="single"/>
                    </w:rPr>
                  </w:pPr>
                  <w:r>
                    <w:rPr>
                      <w:sz w:val="18"/>
                      <w:szCs w:val="18"/>
                      <w:u w:val="single"/>
                    </w:rPr>
                    <w:t>0.5MW</w:t>
                  </w:r>
                </w:p>
              </w:tc>
              <w:tc>
                <w:tcPr>
                  <w:tcW w:w="4405" w:type="dxa"/>
                  <w:vAlign w:val="center"/>
                </w:tcPr>
                <w:p>
                  <w:pPr>
                    <w:adjustRightInd w:val="0"/>
                    <w:snapToGrid w:val="0"/>
                    <w:jc w:val="center"/>
                    <w:rPr>
                      <w:sz w:val="18"/>
                      <w:szCs w:val="18"/>
                      <w:u w:val="single"/>
                    </w:rPr>
                  </w:pPr>
                  <w:r>
                    <w:rPr>
                      <w:sz w:val="18"/>
                      <w:szCs w:val="18"/>
                      <w:u w:val="single"/>
                    </w:rPr>
                    <w:t>1600kW（约2.29蒸吨/小时）</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162" w:type="dxa"/>
                  <w:vAlign w:val="center"/>
                </w:tcPr>
                <w:p>
                  <w:pPr>
                    <w:adjustRightInd w:val="0"/>
                    <w:snapToGrid w:val="0"/>
                    <w:jc w:val="center"/>
                    <w:rPr>
                      <w:sz w:val="18"/>
                      <w:szCs w:val="18"/>
                      <w:u w:val="single"/>
                    </w:rPr>
                  </w:pPr>
                  <w:r>
                    <w:rPr>
                      <w:sz w:val="18"/>
                      <w:szCs w:val="18"/>
                      <w:u w:val="single"/>
                    </w:rPr>
                    <w:t>供热对象</w:t>
                  </w:r>
                </w:p>
              </w:tc>
              <w:tc>
                <w:tcPr>
                  <w:tcW w:w="2934" w:type="dxa"/>
                  <w:vAlign w:val="center"/>
                </w:tcPr>
                <w:p>
                  <w:pPr>
                    <w:adjustRightInd w:val="0"/>
                    <w:snapToGrid w:val="0"/>
                    <w:jc w:val="center"/>
                    <w:rPr>
                      <w:sz w:val="18"/>
                      <w:szCs w:val="18"/>
                      <w:u w:val="single"/>
                    </w:rPr>
                  </w:pPr>
                  <w:r>
                    <w:rPr>
                      <w:sz w:val="18"/>
                      <w:szCs w:val="18"/>
                      <w:u w:val="single"/>
                    </w:rPr>
                    <w:t>生产线工艺用热</w:t>
                  </w:r>
                  <w:r>
                    <w:rPr>
                      <w:rFonts w:hint="eastAsia"/>
                      <w:sz w:val="18"/>
                      <w:szCs w:val="18"/>
                      <w:u w:val="single"/>
                    </w:rPr>
                    <w:t>+办公楼冬季取暖</w:t>
                  </w:r>
                </w:p>
              </w:tc>
              <w:tc>
                <w:tcPr>
                  <w:tcW w:w="4405" w:type="dxa"/>
                  <w:vAlign w:val="center"/>
                </w:tcPr>
                <w:p>
                  <w:pPr>
                    <w:adjustRightInd w:val="0"/>
                    <w:snapToGrid w:val="0"/>
                    <w:jc w:val="center"/>
                    <w:rPr>
                      <w:sz w:val="18"/>
                      <w:szCs w:val="18"/>
                      <w:u w:val="single"/>
                    </w:rPr>
                  </w:pPr>
                  <w:r>
                    <w:rPr>
                      <w:sz w:val="18"/>
                      <w:szCs w:val="18"/>
                      <w:u w:val="single"/>
                    </w:rPr>
                    <w:t>生产线工艺用热</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162" w:type="dxa"/>
                  <w:vAlign w:val="center"/>
                </w:tcPr>
                <w:p>
                  <w:pPr>
                    <w:adjustRightInd w:val="0"/>
                    <w:snapToGrid w:val="0"/>
                    <w:jc w:val="center"/>
                    <w:rPr>
                      <w:sz w:val="18"/>
                      <w:szCs w:val="18"/>
                      <w:u w:val="single"/>
                    </w:rPr>
                  </w:pPr>
                  <w:r>
                    <w:rPr>
                      <w:sz w:val="18"/>
                      <w:szCs w:val="18"/>
                      <w:u w:val="single"/>
                    </w:rPr>
                    <w:t>供暖方式</w:t>
                  </w:r>
                </w:p>
              </w:tc>
              <w:tc>
                <w:tcPr>
                  <w:tcW w:w="2934" w:type="dxa"/>
                  <w:vAlign w:val="center"/>
                </w:tcPr>
                <w:p>
                  <w:pPr>
                    <w:adjustRightInd w:val="0"/>
                    <w:snapToGrid w:val="0"/>
                    <w:jc w:val="center"/>
                    <w:rPr>
                      <w:sz w:val="18"/>
                      <w:szCs w:val="18"/>
                      <w:u w:val="single"/>
                    </w:rPr>
                  </w:pPr>
                  <w:r>
                    <w:rPr>
                      <w:sz w:val="18"/>
                      <w:szCs w:val="18"/>
                      <w:u w:val="single"/>
                    </w:rPr>
                    <w:t>原有锅炉兼顾冬季取暖</w:t>
                  </w:r>
                </w:p>
              </w:tc>
              <w:tc>
                <w:tcPr>
                  <w:tcW w:w="4405" w:type="dxa"/>
                  <w:vAlign w:val="center"/>
                </w:tcPr>
                <w:p>
                  <w:pPr>
                    <w:adjustRightInd w:val="0"/>
                    <w:snapToGrid w:val="0"/>
                    <w:jc w:val="center"/>
                    <w:rPr>
                      <w:sz w:val="18"/>
                      <w:szCs w:val="18"/>
                      <w:u w:val="single"/>
                    </w:rPr>
                  </w:pPr>
                  <w:r>
                    <w:rPr>
                      <w:sz w:val="18"/>
                      <w:szCs w:val="18"/>
                      <w:u w:val="single"/>
                    </w:rPr>
                    <w:t>办公楼采用空气能热泵采暖，车间利用设备余热</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162" w:type="dxa"/>
                  <w:vAlign w:val="center"/>
                </w:tcPr>
                <w:p>
                  <w:pPr>
                    <w:adjustRightInd w:val="0"/>
                    <w:snapToGrid w:val="0"/>
                    <w:jc w:val="center"/>
                    <w:rPr>
                      <w:sz w:val="18"/>
                      <w:szCs w:val="18"/>
                      <w:u w:val="single"/>
                    </w:rPr>
                  </w:pPr>
                  <w:r>
                    <w:rPr>
                      <w:sz w:val="18"/>
                      <w:szCs w:val="18"/>
                      <w:u w:val="single"/>
                    </w:rPr>
                    <w:t>供热方式</w:t>
                  </w:r>
                </w:p>
              </w:tc>
              <w:tc>
                <w:tcPr>
                  <w:tcW w:w="2934" w:type="dxa"/>
                  <w:vAlign w:val="center"/>
                </w:tcPr>
                <w:p>
                  <w:pPr>
                    <w:adjustRightInd w:val="0"/>
                    <w:snapToGrid w:val="0"/>
                    <w:jc w:val="center"/>
                    <w:rPr>
                      <w:sz w:val="18"/>
                      <w:szCs w:val="18"/>
                      <w:u w:val="single"/>
                    </w:rPr>
                  </w:pPr>
                  <w:r>
                    <w:rPr>
                      <w:sz w:val="18"/>
                      <w:szCs w:val="18"/>
                      <w:u w:val="single"/>
                    </w:rPr>
                    <w:t>燃生物质加热水产生蒸汽/热水</w:t>
                  </w:r>
                </w:p>
              </w:tc>
              <w:tc>
                <w:tcPr>
                  <w:tcW w:w="4405" w:type="dxa"/>
                  <w:vAlign w:val="center"/>
                </w:tcPr>
                <w:p>
                  <w:pPr>
                    <w:adjustRightInd w:val="0"/>
                    <w:snapToGrid w:val="0"/>
                    <w:jc w:val="center"/>
                    <w:rPr>
                      <w:sz w:val="18"/>
                      <w:szCs w:val="18"/>
                      <w:u w:val="single"/>
                    </w:rPr>
                  </w:pPr>
                  <w:r>
                    <w:rPr>
                      <w:sz w:val="18"/>
                      <w:szCs w:val="18"/>
                      <w:u w:val="single"/>
                    </w:rPr>
                    <w:t>燃生物质加热导热油，闭路循环输送至用热设备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162" w:type="dxa"/>
                  <w:vAlign w:val="center"/>
                </w:tcPr>
                <w:p>
                  <w:pPr>
                    <w:adjustRightInd w:val="0"/>
                    <w:snapToGrid w:val="0"/>
                    <w:jc w:val="center"/>
                    <w:rPr>
                      <w:sz w:val="18"/>
                      <w:szCs w:val="18"/>
                      <w:u w:val="single"/>
                    </w:rPr>
                  </w:pPr>
                  <w:r>
                    <w:rPr>
                      <w:sz w:val="18"/>
                      <w:szCs w:val="18"/>
                      <w:u w:val="single"/>
                    </w:rPr>
                    <w:t>燃料种类</w:t>
                  </w:r>
                </w:p>
              </w:tc>
              <w:tc>
                <w:tcPr>
                  <w:tcW w:w="2934" w:type="dxa"/>
                  <w:vAlign w:val="center"/>
                </w:tcPr>
                <w:p>
                  <w:pPr>
                    <w:adjustRightInd w:val="0"/>
                    <w:snapToGrid w:val="0"/>
                    <w:jc w:val="center"/>
                    <w:rPr>
                      <w:sz w:val="18"/>
                      <w:szCs w:val="18"/>
                      <w:u w:val="single"/>
                    </w:rPr>
                  </w:pPr>
                  <w:r>
                    <w:rPr>
                      <w:sz w:val="18"/>
                      <w:szCs w:val="18"/>
                      <w:u w:val="single"/>
                    </w:rPr>
                    <w:t>木材生产废料、边角料、除尘器收集粉尘</w:t>
                  </w:r>
                </w:p>
              </w:tc>
              <w:tc>
                <w:tcPr>
                  <w:tcW w:w="4405" w:type="dxa"/>
                  <w:vAlign w:val="center"/>
                </w:tcPr>
                <w:p>
                  <w:pPr>
                    <w:adjustRightInd w:val="0"/>
                    <w:snapToGrid w:val="0"/>
                    <w:jc w:val="center"/>
                    <w:rPr>
                      <w:sz w:val="18"/>
                      <w:szCs w:val="18"/>
                      <w:u w:val="single"/>
                    </w:rPr>
                  </w:pPr>
                  <w:r>
                    <w:rPr>
                      <w:sz w:val="18"/>
                      <w:szCs w:val="18"/>
                      <w:u w:val="single"/>
                    </w:rPr>
                    <w:t>生物质颗粒</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162" w:type="dxa"/>
                  <w:vAlign w:val="center"/>
                </w:tcPr>
                <w:p>
                  <w:pPr>
                    <w:adjustRightInd w:val="0"/>
                    <w:snapToGrid w:val="0"/>
                    <w:jc w:val="center"/>
                    <w:rPr>
                      <w:sz w:val="18"/>
                      <w:szCs w:val="18"/>
                      <w:u w:val="single"/>
                    </w:rPr>
                  </w:pPr>
                  <w:r>
                    <w:rPr>
                      <w:sz w:val="18"/>
                      <w:szCs w:val="18"/>
                      <w:u w:val="single"/>
                    </w:rPr>
                    <w:t>年运行天数</w:t>
                  </w:r>
                </w:p>
              </w:tc>
              <w:tc>
                <w:tcPr>
                  <w:tcW w:w="2934" w:type="dxa"/>
                  <w:vAlign w:val="center"/>
                </w:tcPr>
                <w:p>
                  <w:pPr>
                    <w:adjustRightInd w:val="0"/>
                    <w:snapToGrid w:val="0"/>
                    <w:jc w:val="center"/>
                    <w:rPr>
                      <w:sz w:val="18"/>
                      <w:szCs w:val="18"/>
                      <w:u w:val="single"/>
                    </w:rPr>
                  </w:pPr>
                  <w:r>
                    <w:rPr>
                      <w:rFonts w:hint="eastAsia"/>
                      <w:sz w:val="18"/>
                      <w:szCs w:val="18"/>
                      <w:u w:val="single"/>
                    </w:rPr>
                    <w:t>180</w:t>
                  </w:r>
                  <w:r>
                    <w:rPr>
                      <w:sz w:val="18"/>
                      <w:szCs w:val="18"/>
                      <w:u w:val="single"/>
                    </w:rPr>
                    <w:t>天</w:t>
                  </w:r>
                </w:p>
              </w:tc>
              <w:tc>
                <w:tcPr>
                  <w:tcW w:w="4405" w:type="dxa"/>
                  <w:vAlign w:val="center"/>
                </w:tcPr>
                <w:p>
                  <w:pPr>
                    <w:adjustRightInd w:val="0"/>
                    <w:snapToGrid w:val="0"/>
                    <w:jc w:val="center"/>
                    <w:rPr>
                      <w:sz w:val="18"/>
                      <w:szCs w:val="18"/>
                      <w:u w:val="single"/>
                    </w:rPr>
                  </w:pPr>
                  <w:r>
                    <w:rPr>
                      <w:sz w:val="18"/>
                      <w:szCs w:val="18"/>
                      <w:u w:val="single"/>
                    </w:rPr>
                    <w:t>100天</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162" w:type="dxa"/>
                  <w:vAlign w:val="center"/>
                </w:tcPr>
                <w:p>
                  <w:pPr>
                    <w:adjustRightInd w:val="0"/>
                    <w:snapToGrid w:val="0"/>
                    <w:jc w:val="center"/>
                    <w:rPr>
                      <w:sz w:val="18"/>
                      <w:szCs w:val="18"/>
                      <w:u w:val="single"/>
                    </w:rPr>
                  </w:pPr>
                  <w:r>
                    <w:rPr>
                      <w:sz w:val="18"/>
                      <w:szCs w:val="18"/>
                      <w:u w:val="single"/>
                    </w:rPr>
                    <w:t>日运行时长</w:t>
                  </w:r>
                </w:p>
              </w:tc>
              <w:tc>
                <w:tcPr>
                  <w:tcW w:w="2934" w:type="dxa"/>
                  <w:vAlign w:val="center"/>
                </w:tcPr>
                <w:p>
                  <w:pPr>
                    <w:adjustRightInd w:val="0"/>
                    <w:snapToGrid w:val="0"/>
                    <w:jc w:val="center"/>
                    <w:rPr>
                      <w:sz w:val="18"/>
                      <w:szCs w:val="18"/>
                      <w:u w:val="single"/>
                    </w:rPr>
                  </w:pPr>
                  <w:r>
                    <w:rPr>
                      <w:rFonts w:hint="eastAsia"/>
                      <w:sz w:val="18"/>
                      <w:szCs w:val="18"/>
                      <w:u w:val="single"/>
                    </w:rPr>
                    <w:t>8</w:t>
                  </w:r>
                  <w:r>
                    <w:rPr>
                      <w:sz w:val="18"/>
                      <w:szCs w:val="18"/>
                      <w:u w:val="single"/>
                    </w:rPr>
                    <w:t>小时</w:t>
                  </w:r>
                </w:p>
              </w:tc>
              <w:tc>
                <w:tcPr>
                  <w:tcW w:w="4405" w:type="dxa"/>
                  <w:vAlign w:val="center"/>
                </w:tcPr>
                <w:p>
                  <w:pPr>
                    <w:adjustRightInd w:val="0"/>
                    <w:snapToGrid w:val="0"/>
                    <w:jc w:val="center"/>
                    <w:rPr>
                      <w:sz w:val="18"/>
                      <w:szCs w:val="18"/>
                      <w:u w:val="single"/>
                    </w:rPr>
                  </w:pPr>
                  <w:r>
                    <w:rPr>
                      <w:sz w:val="18"/>
                      <w:szCs w:val="18"/>
                      <w:u w:val="single"/>
                    </w:rPr>
                    <w:t>4小时</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162" w:type="dxa"/>
                  <w:vAlign w:val="center"/>
                </w:tcPr>
                <w:p>
                  <w:pPr>
                    <w:adjustRightInd w:val="0"/>
                    <w:snapToGrid w:val="0"/>
                    <w:jc w:val="center"/>
                    <w:rPr>
                      <w:sz w:val="18"/>
                      <w:szCs w:val="18"/>
                      <w:u w:val="single"/>
                    </w:rPr>
                  </w:pPr>
                  <w:r>
                    <w:rPr>
                      <w:sz w:val="18"/>
                      <w:szCs w:val="18"/>
                      <w:u w:val="single"/>
                    </w:rPr>
                    <w:t>年运行时长</w:t>
                  </w:r>
                </w:p>
              </w:tc>
              <w:tc>
                <w:tcPr>
                  <w:tcW w:w="2934" w:type="dxa"/>
                  <w:vAlign w:val="center"/>
                </w:tcPr>
                <w:p>
                  <w:pPr>
                    <w:adjustRightInd w:val="0"/>
                    <w:snapToGrid w:val="0"/>
                    <w:jc w:val="center"/>
                    <w:rPr>
                      <w:sz w:val="18"/>
                      <w:szCs w:val="18"/>
                      <w:u w:val="single"/>
                    </w:rPr>
                  </w:pPr>
                  <w:r>
                    <w:rPr>
                      <w:rFonts w:hint="eastAsia"/>
                      <w:sz w:val="18"/>
                      <w:szCs w:val="18"/>
                      <w:u w:val="single"/>
                    </w:rPr>
                    <w:t>1440</w:t>
                  </w:r>
                  <w:r>
                    <w:rPr>
                      <w:sz w:val="18"/>
                      <w:szCs w:val="18"/>
                      <w:u w:val="single"/>
                    </w:rPr>
                    <w:t>h/a</w:t>
                  </w:r>
                </w:p>
              </w:tc>
              <w:tc>
                <w:tcPr>
                  <w:tcW w:w="4405" w:type="dxa"/>
                  <w:vAlign w:val="center"/>
                </w:tcPr>
                <w:p>
                  <w:pPr>
                    <w:adjustRightInd w:val="0"/>
                    <w:snapToGrid w:val="0"/>
                    <w:jc w:val="center"/>
                    <w:rPr>
                      <w:sz w:val="18"/>
                      <w:szCs w:val="18"/>
                      <w:u w:val="single"/>
                    </w:rPr>
                  </w:pPr>
                  <w:r>
                    <w:rPr>
                      <w:sz w:val="18"/>
                      <w:szCs w:val="18"/>
                      <w:u w:val="single"/>
                    </w:rPr>
                    <w:t>400h/a</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162" w:type="dxa"/>
                  <w:vAlign w:val="center"/>
                </w:tcPr>
                <w:p>
                  <w:pPr>
                    <w:adjustRightInd w:val="0"/>
                    <w:snapToGrid w:val="0"/>
                    <w:jc w:val="center"/>
                    <w:rPr>
                      <w:sz w:val="18"/>
                      <w:szCs w:val="18"/>
                      <w:u w:val="single"/>
                    </w:rPr>
                  </w:pPr>
                  <w:r>
                    <w:rPr>
                      <w:sz w:val="18"/>
                      <w:szCs w:val="18"/>
                      <w:u w:val="single"/>
                    </w:rPr>
                    <w:t>年耗燃料量</w:t>
                  </w:r>
                </w:p>
              </w:tc>
              <w:tc>
                <w:tcPr>
                  <w:tcW w:w="2934" w:type="dxa"/>
                  <w:vAlign w:val="center"/>
                </w:tcPr>
                <w:p>
                  <w:pPr>
                    <w:adjustRightInd w:val="0"/>
                    <w:snapToGrid w:val="0"/>
                    <w:jc w:val="center"/>
                    <w:rPr>
                      <w:sz w:val="18"/>
                      <w:szCs w:val="18"/>
                      <w:u w:val="single"/>
                    </w:rPr>
                  </w:pPr>
                  <w:r>
                    <w:rPr>
                      <w:sz w:val="18"/>
                      <w:szCs w:val="18"/>
                      <w:u w:val="single"/>
                    </w:rPr>
                    <w:t>约</w:t>
                  </w:r>
                  <w:r>
                    <w:rPr>
                      <w:rFonts w:hint="eastAsia"/>
                      <w:sz w:val="18"/>
                      <w:szCs w:val="18"/>
                      <w:u w:val="single"/>
                    </w:rPr>
                    <w:t>50</w:t>
                  </w:r>
                  <w:r>
                    <w:rPr>
                      <w:sz w:val="18"/>
                      <w:szCs w:val="18"/>
                      <w:u w:val="single"/>
                    </w:rPr>
                    <w:t>t</w:t>
                  </w:r>
                </w:p>
              </w:tc>
              <w:tc>
                <w:tcPr>
                  <w:tcW w:w="4405" w:type="dxa"/>
                  <w:vAlign w:val="center"/>
                </w:tcPr>
                <w:p>
                  <w:pPr>
                    <w:adjustRightInd w:val="0"/>
                    <w:snapToGrid w:val="0"/>
                    <w:jc w:val="center"/>
                    <w:rPr>
                      <w:sz w:val="18"/>
                      <w:szCs w:val="18"/>
                      <w:u w:val="single"/>
                    </w:rPr>
                  </w:pPr>
                  <w:r>
                    <w:rPr>
                      <w:sz w:val="18"/>
                      <w:szCs w:val="18"/>
                      <w:u w:val="single"/>
                    </w:rPr>
                    <w:t>约25t</w:t>
                  </w:r>
                </w:p>
              </w:tc>
            </w:tr>
          </w:tbl>
          <w:p>
            <w:pPr>
              <w:spacing w:line="360" w:lineRule="auto"/>
              <w:ind w:firstLine="420" w:firstLineChars="200"/>
              <w:jc w:val="left"/>
              <w:rPr>
                <w:u w:val="single"/>
              </w:rPr>
            </w:pPr>
            <w:r>
              <w:rPr>
                <w:u w:val="single"/>
              </w:rPr>
              <w:t>本项目</w:t>
            </w:r>
            <w:r>
              <w:rPr>
                <w:rFonts w:hint="eastAsia"/>
                <w:u w:val="single"/>
              </w:rPr>
              <w:t>建成后</w:t>
            </w:r>
            <w:r>
              <w:rPr>
                <w:u w:val="single"/>
              </w:rPr>
              <w:t>以生物质成型燃料为能源，供热介质由水/蒸汽变为导热油。导热油系统为闭路循环，热效率更高（≥82%），供热温度更稳定（约270℃），可满足家具生产线热压、干燥、压贴等工艺用热需求。</w:t>
            </w:r>
          </w:p>
          <w:p>
            <w:pPr>
              <w:spacing w:line="360" w:lineRule="auto"/>
              <w:ind w:firstLine="420" w:firstLineChars="200"/>
              <w:jc w:val="left"/>
              <w:rPr>
                <w:u w:val="single"/>
              </w:rPr>
            </w:pPr>
            <w:r>
              <w:rPr>
                <w:u w:val="single"/>
              </w:rPr>
              <w:t>本项目</w:t>
            </w:r>
            <w:r>
              <w:rPr>
                <w:rFonts w:hint="eastAsia"/>
                <w:u w:val="single"/>
              </w:rPr>
              <w:t>建成后</w:t>
            </w:r>
            <w:r>
              <w:rPr>
                <w:u w:val="single"/>
              </w:rPr>
              <w:t>，企业办公楼冬季供暖采用空气能热泵采暖，车间冬季利用设备运行余热维持温度，导热油炉不承担供暖任务。建设后供热能力提升仅用于提高现有生产线的供热稳定性及保障效率，不用于扩大产品产能。</w:t>
            </w:r>
          </w:p>
          <w:p>
            <w:pPr>
              <w:spacing w:line="360" w:lineRule="auto"/>
              <w:ind w:firstLine="420" w:firstLineChars="200"/>
              <w:jc w:val="left"/>
              <w:rPr>
                <w:u w:val="single"/>
              </w:rPr>
            </w:pPr>
            <w:r>
              <w:rPr>
                <w:u w:val="single"/>
              </w:rPr>
              <w:t>经核实，本项目不新增供暖用水及排水，全厂供水、排水量维持现有水平不变。</w:t>
            </w:r>
          </w:p>
          <w:p>
            <w:pPr>
              <w:spacing w:line="360" w:lineRule="auto"/>
              <w:ind w:firstLine="420" w:firstLineChars="200"/>
              <w:jc w:val="left"/>
              <w:rPr>
                <w:u w:val="single"/>
              </w:rPr>
            </w:pPr>
            <w:r>
              <w:rPr>
                <w:u w:val="single"/>
              </w:rPr>
              <w:t>（4）供电</w:t>
            </w:r>
          </w:p>
          <w:p>
            <w:pPr>
              <w:spacing w:line="360" w:lineRule="auto"/>
              <w:ind w:firstLine="420" w:firstLineChars="200"/>
              <w:jc w:val="left"/>
              <w:rPr>
                <w:u w:val="single"/>
              </w:rPr>
            </w:pPr>
            <w:r>
              <w:rPr>
                <w:u w:val="single"/>
              </w:rPr>
              <w:t>本项目用电由当地电网供给，可满足项目用电要求。建设后新增旋风除尘器及风机等设备，新增用电负荷约15kW，全厂用电量略有增加，由现有供电系统可满足。</w:t>
            </w:r>
          </w:p>
          <w:p>
            <w:pPr>
              <w:spacing w:line="360" w:lineRule="auto"/>
              <w:ind w:firstLine="420" w:firstLineChars="200"/>
              <w:jc w:val="left"/>
              <w:rPr>
                <w:u w:val="single"/>
              </w:rPr>
            </w:pPr>
            <w:r>
              <w:rPr>
                <w:u w:val="single"/>
              </w:rPr>
              <w:t>本项目实施后全厂供水、排水情况变化详见表5。</w:t>
            </w:r>
          </w:p>
          <w:p>
            <w:pPr>
              <w:ind w:firstLine="422" w:firstLineChars="200"/>
              <w:jc w:val="center"/>
              <w:rPr>
                <w:b/>
                <w:bCs/>
                <w:u w:val="single"/>
              </w:rPr>
            </w:pPr>
            <w:r>
              <w:rPr>
                <w:b/>
                <w:bCs/>
                <w:u w:val="single"/>
              </w:rPr>
              <w:t>表5  本项目实施后全厂供水、排水变化情况一览表</w:t>
            </w:r>
          </w:p>
          <w:tbl>
            <w:tblPr>
              <w:tblStyle w:val="26"/>
              <w:tblW w:w="8501" w:type="dxa"/>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2201"/>
              <w:gridCol w:w="1268"/>
              <w:gridCol w:w="1515"/>
              <w:gridCol w:w="2249"/>
              <w:gridCol w:w="1268"/>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2201" w:type="dxa"/>
                  <w:vAlign w:val="center"/>
                </w:tcPr>
                <w:p>
                  <w:pPr>
                    <w:adjustRightInd w:val="0"/>
                    <w:snapToGrid w:val="0"/>
                    <w:jc w:val="center"/>
                    <w:rPr>
                      <w:sz w:val="18"/>
                      <w:szCs w:val="18"/>
                      <w:u w:val="single"/>
                    </w:rPr>
                  </w:pPr>
                  <w:r>
                    <w:rPr>
                      <w:sz w:val="18"/>
                      <w:szCs w:val="18"/>
                      <w:u w:val="single"/>
                    </w:rPr>
                    <w:t>项目</w:t>
                  </w:r>
                </w:p>
              </w:tc>
              <w:tc>
                <w:tcPr>
                  <w:tcW w:w="1268" w:type="dxa"/>
                  <w:vAlign w:val="center"/>
                </w:tcPr>
                <w:p>
                  <w:pPr>
                    <w:adjustRightInd w:val="0"/>
                    <w:snapToGrid w:val="0"/>
                    <w:jc w:val="center"/>
                    <w:rPr>
                      <w:sz w:val="18"/>
                      <w:szCs w:val="18"/>
                      <w:u w:val="single"/>
                    </w:rPr>
                  </w:pPr>
                  <w:r>
                    <w:rPr>
                      <w:sz w:val="18"/>
                      <w:szCs w:val="18"/>
                      <w:u w:val="single"/>
                    </w:rPr>
                    <w:t>现有工程</w:t>
                  </w:r>
                </w:p>
              </w:tc>
              <w:tc>
                <w:tcPr>
                  <w:tcW w:w="1515" w:type="dxa"/>
                  <w:vAlign w:val="center"/>
                </w:tcPr>
                <w:p>
                  <w:pPr>
                    <w:adjustRightInd w:val="0"/>
                    <w:snapToGrid w:val="0"/>
                    <w:jc w:val="center"/>
                    <w:rPr>
                      <w:sz w:val="18"/>
                      <w:szCs w:val="18"/>
                      <w:u w:val="single"/>
                    </w:rPr>
                  </w:pPr>
                  <w:r>
                    <w:rPr>
                      <w:sz w:val="18"/>
                      <w:szCs w:val="18"/>
                      <w:u w:val="single"/>
                    </w:rPr>
                    <w:t>本项目新增</w:t>
                  </w:r>
                </w:p>
              </w:tc>
              <w:tc>
                <w:tcPr>
                  <w:tcW w:w="2249" w:type="dxa"/>
                  <w:vAlign w:val="center"/>
                </w:tcPr>
                <w:p>
                  <w:pPr>
                    <w:adjustRightInd w:val="0"/>
                    <w:snapToGrid w:val="0"/>
                    <w:jc w:val="center"/>
                    <w:rPr>
                      <w:sz w:val="18"/>
                      <w:szCs w:val="18"/>
                      <w:u w:val="single"/>
                    </w:rPr>
                  </w:pPr>
                  <w:r>
                    <w:rPr>
                      <w:sz w:val="18"/>
                      <w:szCs w:val="18"/>
                      <w:u w:val="single"/>
                    </w:rPr>
                    <w:t>本项目实施后全厂</w:t>
                  </w:r>
                </w:p>
              </w:tc>
              <w:tc>
                <w:tcPr>
                  <w:tcW w:w="1268" w:type="dxa"/>
                  <w:vAlign w:val="center"/>
                </w:tcPr>
                <w:p>
                  <w:pPr>
                    <w:adjustRightInd w:val="0"/>
                    <w:snapToGrid w:val="0"/>
                    <w:jc w:val="center"/>
                    <w:rPr>
                      <w:sz w:val="18"/>
                      <w:szCs w:val="18"/>
                      <w:u w:val="single"/>
                    </w:rPr>
                  </w:pPr>
                  <w:r>
                    <w:rPr>
                      <w:sz w:val="18"/>
                      <w:szCs w:val="18"/>
                      <w:u w:val="single"/>
                    </w:rPr>
                    <w:t>变化情况</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2201" w:type="dxa"/>
                  <w:vAlign w:val="center"/>
                </w:tcPr>
                <w:p>
                  <w:pPr>
                    <w:adjustRightInd w:val="0"/>
                    <w:snapToGrid w:val="0"/>
                    <w:jc w:val="center"/>
                    <w:rPr>
                      <w:sz w:val="18"/>
                      <w:szCs w:val="18"/>
                      <w:u w:val="single"/>
                    </w:rPr>
                  </w:pPr>
                  <w:r>
                    <w:rPr>
                      <w:sz w:val="18"/>
                      <w:szCs w:val="18"/>
                      <w:u w:val="single"/>
                    </w:rPr>
                    <w:t>生活用水（m</w:t>
                  </w:r>
                  <w:r>
                    <w:rPr>
                      <w:sz w:val="18"/>
                      <w:szCs w:val="18"/>
                      <w:u w:val="single"/>
                      <w:vertAlign w:val="superscript"/>
                    </w:rPr>
                    <w:t>3</w:t>
                  </w:r>
                  <w:r>
                    <w:rPr>
                      <w:sz w:val="18"/>
                      <w:szCs w:val="18"/>
                      <w:u w:val="single"/>
                    </w:rPr>
                    <w:t>/a）</w:t>
                  </w:r>
                </w:p>
              </w:tc>
              <w:tc>
                <w:tcPr>
                  <w:tcW w:w="1268" w:type="dxa"/>
                  <w:vAlign w:val="center"/>
                </w:tcPr>
                <w:p>
                  <w:pPr>
                    <w:adjustRightInd w:val="0"/>
                    <w:snapToGrid w:val="0"/>
                    <w:jc w:val="center"/>
                    <w:rPr>
                      <w:sz w:val="18"/>
                      <w:szCs w:val="18"/>
                      <w:u w:val="single"/>
                    </w:rPr>
                  </w:pPr>
                  <w:r>
                    <w:rPr>
                      <w:sz w:val="18"/>
                      <w:szCs w:val="18"/>
                      <w:u w:val="single"/>
                    </w:rPr>
                    <w:t>650</w:t>
                  </w:r>
                </w:p>
              </w:tc>
              <w:tc>
                <w:tcPr>
                  <w:tcW w:w="1515" w:type="dxa"/>
                  <w:vAlign w:val="center"/>
                </w:tcPr>
                <w:p>
                  <w:pPr>
                    <w:adjustRightInd w:val="0"/>
                    <w:snapToGrid w:val="0"/>
                    <w:jc w:val="center"/>
                    <w:rPr>
                      <w:sz w:val="18"/>
                      <w:szCs w:val="18"/>
                      <w:u w:val="single"/>
                    </w:rPr>
                  </w:pPr>
                  <w:r>
                    <w:rPr>
                      <w:sz w:val="18"/>
                      <w:szCs w:val="18"/>
                      <w:u w:val="single"/>
                    </w:rPr>
                    <w:t>0</w:t>
                  </w:r>
                </w:p>
              </w:tc>
              <w:tc>
                <w:tcPr>
                  <w:tcW w:w="2249" w:type="dxa"/>
                  <w:vAlign w:val="center"/>
                </w:tcPr>
                <w:p>
                  <w:pPr>
                    <w:adjustRightInd w:val="0"/>
                    <w:snapToGrid w:val="0"/>
                    <w:jc w:val="center"/>
                    <w:rPr>
                      <w:sz w:val="18"/>
                      <w:szCs w:val="18"/>
                      <w:u w:val="single"/>
                    </w:rPr>
                  </w:pPr>
                  <w:r>
                    <w:rPr>
                      <w:sz w:val="18"/>
                      <w:szCs w:val="18"/>
                      <w:u w:val="single"/>
                    </w:rPr>
                    <w:t>650</w:t>
                  </w:r>
                </w:p>
              </w:tc>
              <w:tc>
                <w:tcPr>
                  <w:tcW w:w="1268" w:type="dxa"/>
                  <w:vAlign w:val="center"/>
                </w:tcPr>
                <w:p>
                  <w:pPr>
                    <w:adjustRightInd w:val="0"/>
                    <w:snapToGrid w:val="0"/>
                    <w:jc w:val="center"/>
                    <w:rPr>
                      <w:sz w:val="18"/>
                      <w:szCs w:val="18"/>
                      <w:u w:val="single"/>
                    </w:rPr>
                  </w:pPr>
                  <w:r>
                    <w:rPr>
                      <w:sz w:val="18"/>
                      <w:szCs w:val="18"/>
                      <w:u w:val="single"/>
                    </w:rPr>
                    <w:t>不变</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2201" w:type="dxa"/>
                  <w:vAlign w:val="center"/>
                </w:tcPr>
                <w:p>
                  <w:pPr>
                    <w:adjustRightInd w:val="0"/>
                    <w:snapToGrid w:val="0"/>
                    <w:jc w:val="center"/>
                    <w:rPr>
                      <w:sz w:val="18"/>
                      <w:szCs w:val="18"/>
                      <w:u w:val="single"/>
                    </w:rPr>
                  </w:pPr>
                  <w:r>
                    <w:rPr>
                      <w:sz w:val="18"/>
                      <w:szCs w:val="18"/>
                      <w:u w:val="single"/>
                    </w:rPr>
                    <w:t>生产用水（m</w:t>
                  </w:r>
                  <w:r>
                    <w:rPr>
                      <w:sz w:val="18"/>
                      <w:szCs w:val="18"/>
                      <w:u w:val="single"/>
                      <w:vertAlign w:val="superscript"/>
                    </w:rPr>
                    <w:t>3</w:t>
                  </w:r>
                  <w:r>
                    <w:rPr>
                      <w:sz w:val="18"/>
                      <w:szCs w:val="18"/>
                      <w:u w:val="single"/>
                    </w:rPr>
                    <w:t>/a）</w:t>
                  </w:r>
                </w:p>
              </w:tc>
              <w:tc>
                <w:tcPr>
                  <w:tcW w:w="1268" w:type="dxa"/>
                  <w:vAlign w:val="center"/>
                </w:tcPr>
                <w:p>
                  <w:pPr>
                    <w:adjustRightInd w:val="0"/>
                    <w:snapToGrid w:val="0"/>
                    <w:jc w:val="center"/>
                    <w:rPr>
                      <w:sz w:val="18"/>
                      <w:szCs w:val="18"/>
                      <w:u w:val="single"/>
                    </w:rPr>
                  </w:pPr>
                  <w:r>
                    <w:rPr>
                      <w:sz w:val="18"/>
                      <w:szCs w:val="18"/>
                      <w:u w:val="single"/>
                    </w:rPr>
                    <w:t>0</w:t>
                  </w:r>
                </w:p>
              </w:tc>
              <w:tc>
                <w:tcPr>
                  <w:tcW w:w="1515" w:type="dxa"/>
                  <w:vAlign w:val="center"/>
                </w:tcPr>
                <w:p>
                  <w:pPr>
                    <w:adjustRightInd w:val="0"/>
                    <w:snapToGrid w:val="0"/>
                    <w:jc w:val="center"/>
                    <w:rPr>
                      <w:sz w:val="18"/>
                      <w:szCs w:val="18"/>
                      <w:u w:val="single"/>
                    </w:rPr>
                  </w:pPr>
                  <w:r>
                    <w:rPr>
                      <w:sz w:val="18"/>
                      <w:szCs w:val="18"/>
                      <w:u w:val="single"/>
                    </w:rPr>
                    <w:t>0</w:t>
                  </w:r>
                </w:p>
              </w:tc>
              <w:tc>
                <w:tcPr>
                  <w:tcW w:w="2249" w:type="dxa"/>
                  <w:vAlign w:val="center"/>
                </w:tcPr>
                <w:p>
                  <w:pPr>
                    <w:adjustRightInd w:val="0"/>
                    <w:snapToGrid w:val="0"/>
                    <w:jc w:val="center"/>
                    <w:rPr>
                      <w:sz w:val="18"/>
                      <w:szCs w:val="18"/>
                      <w:u w:val="single"/>
                    </w:rPr>
                  </w:pPr>
                  <w:r>
                    <w:rPr>
                      <w:sz w:val="18"/>
                      <w:szCs w:val="18"/>
                      <w:u w:val="single"/>
                    </w:rPr>
                    <w:t>0</w:t>
                  </w:r>
                </w:p>
              </w:tc>
              <w:tc>
                <w:tcPr>
                  <w:tcW w:w="1268" w:type="dxa"/>
                  <w:vAlign w:val="center"/>
                </w:tcPr>
                <w:p>
                  <w:pPr>
                    <w:adjustRightInd w:val="0"/>
                    <w:snapToGrid w:val="0"/>
                    <w:jc w:val="center"/>
                    <w:rPr>
                      <w:sz w:val="18"/>
                      <w:szCs w:val="18"/>
                      <w:u w:val="single"/>
                    </w:rPr>
                  </w:pPr>
                  <w:r>
                    <w:rPr>
                      <w:sz w:val="18"/>
                      <w:szCs w:val="18"/>
                      <w:u w:val="single"/>
                    </w:rPr>
                    <w:t>不变</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2201" w:type="dxa"/>
                  <w:vAlign w:val="center"/>
                </w:tcPr>
                <w:p>
                  <w:pPr>
                    <w:adjustRightInd w:val="0"/>
                    <w:snapToGrid w:val="0"/>
                    <w:jc w:val="center"/>
                    <w:rPr>
                      <w:sz w:val="18"/>
                      <w:szCs w:val="18"/>
                      <w:u w:val="single"/>
                    </w:rPr>
                  </w:pPr>
                  <w:r>
                    <w:rPr>
                      <w:sz w:val="18"/>
                      <w:szCs w:val="18"/>
                      <w:u w:val="single"/>
                    </w:rPr>
                    <w:t>合计用水（m</w:t>
                  </w:r>
                  <w:r>
                    <w:rPr>
                      <w:sz w:val="18"/>
                      <w:szCs w:val="18"/>
                      <w:u w:val="single"/>
                      <w:vertAlign w:val="superscript"/>
                    </w:rPr>
                    <w:t>3</w:t>
                  </w:r>
                  <w:r>
                    <w:rPr>
                      <w:sz w:val="18"/>
                      <w:szCs w:val="18"/>
                      <w:u w:val="single"/>
                    </w:rPr>
                    <w:t>/a）</w:t>
                  </w:r>
                </w:p>
              </w:tc>
              <w:tc>
                <w:tcPr>
                  <w:tcW w:w="1268" w:type="dxa"/>
                  <w:vAlign w:val="center"/>
                </w:tcPr>
                <w:p>
                  <w:pPr>
                    <w:adjustRightInd w:val="0"/>
                    <w:snapToGrid w:val="0"/>
                    <w:jc w:val="center"/>
                    <w:rPr>
                      <w:sz w:val="18"/>
                      <w:szCs w:val="18"/>
                      <w:u w:val="single"/>
                    </w:rPr>
                  </w:pPr>
                  <w:r>
                    <w:rPr>
                      <w:sz w:val="18"/>
                      <w:szCs w:val="18"/>
                      <w:u w:val="single"/>
                    </w:rPr>
                    <w:t>650</w:t>
                  </w:r>
                </w:p>
              </w:tc>
              <w:tc>
                <w:tcPr>
                  <w:tcW w:w="1515" w:type="dxa"/>
                  <w:vAlign w:val="center"/>
                </w:tcPr>
                <w:p>
                  <w:pPr>
                    <w:adjustRightInd w:val="0"/>
                    <w:snapToGrid w:val="0"/>
                    <w:jc w:val="center"/>
                    <w:rPr>
                      <w:sz w:val="18"/>
                      <w:szCs w:val="18"/>
                      <w:u w:val="single"/>
                    </w:rPr>
                  </w:pPr>
                  <w:r>
                    <w:rPr>
                      <w:sz w:val="18"/>
                      <w:szCs w:val="18"/>
                      <w:u w:val="single"/>
                    </w:rPr>
                    <w:t>0</w:t>
                  </w:r>
                </w:p>
              </w:tc>
              <w:tc>
                <w:tcPr>
                  <w:tcW w:w="2249" w:type="dxa"/>
                  <w:vAlign w:val="center"/>
                </w:tcPr>
                <w:p>
                  <w:pPr>
                    <w:adjustRightInd w:val="0"/>
                    <w:snapToGrid w:val="0"/>
                    <w:jc w:val="center"/>
                    <w:rPr>
                      <w:sz w:val="18"/>
                      <w:szCs w:val="18"/>
                      <w:u w:val="single"/>
                    </w:rPr>
                  </w:pPr>
                  <w:r>
                    <w:rPr>
                      <w:sz w:val="18"/>
                      <w:szCs w:val="18"/>
                      <w:u w:val="single"/>
                    </w:rPr>
                    <w:t>650</w:t>
                  </w:r>
                </w:p>
              </w:tc>
              <w:tc>
                <w:tcPr>
                  <w:tcW w:w="1268" w:type="dxa"/>
                  <w:vAlign w:val="center"/>
                </w:tcPr>
                <w:p>
                  <w:pPr>
                    <w:adjustRightInd w:val="0"/>
                    <w:snapToGrid w:val="0"/>
                    <w:jc w:val="center"/>
                    <w:rPr>
                      <w:sz w:val="18"/>
                      <w:szCs w:val="18"/>
                      <w:u w:val="single"/>
                    </w:rPr>
                  </w:pPr>
                  <w:r>
                    <w:rPr>
                      <w:sz w:val="18"/>
                      <w:szCs w:val="18"/>
                      <w:u w:val="single"/>
                    </w:rPr>
                    <w:t>不变</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2201" w:type="dxa"/>
                  <w:vAlign w:val="center"/>
                </w:tcPr>
                <w:p>
                  <w:pPr>
                    <w:adjustRightInd w:val="0"/>
                    <w:snapToGrid w:val="0"/>
                    <w:jc w:val="center"/>
                    <w:rPr>
                      <w:sz w:val="18"/>
                      <w:szCs w:val="18"/>
                      <w:u w:val="single"/>
                    </w:rPr>
                  </w:pPr>
                  <w:r>
                    <w:rPr>
                      <w:sz w:val="18"/>
                      <w:szCs w:val="18"/>
                      <w:u w:val="single"/>
                    </w:rPr>
                    <w:t>生活污水（m</w:t>
                  </w:r>
                  <w:r>
                    <w:rPr>
                      <w:sz w:val="18"/>
                      <w:szCs w:val="18"/>
                      <w:u w:val="single"/>
                      <w:vertAlign w:val="superscript"/>
                    </w:rPr>
                    <w:t>3</w:t>
                  </w:r>
                  <w:r>
                    <w:rPr>
                      <w:sz w:val="18"/>
                      <w:szCs w:val="18"/>
                      <w:u w:val="single"/>
                    </w:rPr>
                    <w:t>/a）</w:t>
                  </w:r>
                </w:p>
              </w:tc>
              <w:tc>
                <w:tcPr>
                  <w:tcW w:w="1268" w:type="dxa"/>
                  <w:vAlign w:val="center"/>
                </w:tcPr>
                <w:p>
                  <w:pPr>
                    <w:adjustRightInd w:val="0"/>
                    <w:snapToGrid w:val="0"/>
                    <w:jc w:val="center"/>
                    <w:rPr>
                      <w:sz w:val="18"/>
                      <w:szCs w:val="18"/>
                      <w:u w:val="single"/>
                    </w:rPr>
                  </w:pPr>
                  <w:r>
                    <w:rPr>
                      <w:sz w:val="18"/>
                      <w:szCs w:val="18"/>
                      <w:u w:val="single"/>
                    </w:rPr>
                    <w:t>520</w:t>
                  </w:r>
                </w:p>
              </w:tc>
              <w:tc>
                <w:tcPr>
                  <w:tcW w:w="1515" w:type="dxa"/>
                  <w:vAlign w:val="center"/>
                </w:tcPr>
                <w:p>
                  <w:pPr>
                    <w:adjustRightInd w:val="0"/>
                    <w:snapToGrid w:val="0"/>
                    <w:jc w:val="center"/>
                    <w:rPr>
                      <w:sz w:val="18"/>
                      <w:szCs w:val="18"/>
                      <w:u w:val="single"/>
                    </w:rPr>
                  </w:pPr>
                  <w:r>
                    <w:rPr>
                      <w:sz w:val="18"/>
                      <w:szCs w:val="18"/>
                      <w:u w:val="single"/>
                    </w:rPr>
                    <w:t>0</w:t>
                  </w:r>
                </w:p>
              </w:tc>
              <w:tc>
                <w:tcPr>
                  <w:tcW w:w="2249" w:type="dxa"/>
                  <w:vAlign w:val="center"/>
                </w:tcPr>
                <w:p>
                  <w:pPr>
                    <w:adjustRightInd w:val="0"/>
                    <w:snapToGrid w:val="0"/>
                    <w:jc w:val="center"/>
                    <w:rPr>
                      <w:sz w:val="18"/>
                      <w:szCs w:val="18"/>
                      <w:u w:val="single"/>
                    </w:rPr>
                  </w:pPr>
                  <w:r>
                    <w:rPr>
                      <w:sz w:val="18"/>
                      <w:szCs w:val="18"/>
                      <w:u w:val="single"/>
                    </w:rPr>
                    <w:t>520</w:t>
                  </w:r>
                </w:p>
              </w:tc>
              <w:tc>
                <w:tcPr>
                  <w:tcW w:w="1268" w:type="dxa"/>
                  <w:vAlign w:val="center"/>
                </w:tcPr>
                <w:p>
                  <w:pPr>
                    <w:adjustRightInd w:val="0"/>
                    <w:snapToGrid w:val="0"/>
                    <w:jc w:val="center"/>
                    <w:rPr>
                      <w:sz w:val="18"/>
                      <w:szCs w:val="18"/>
                      <w:u w:val="single"/>
                    </w:rPr>
                  </w:pPr>
                  <w:r>
                    <w:rPr>
                      <w:sz w:val="18"/>
                      <w:szCs w:val="18"/>
                      <w:u w:val="single"/>
                    </w:rPr>
                    <w:t>不变</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2201" w:type="dxa"/>
                  <w:vAlign w:val="center"/>
                </w:tcPr>
                <w:p>
                  <w:pPr>
                    <w:adjustRightInd w:val="0"/>
                    <w:snapToGrid w:val="0"/>
                    <w:jc w:val="center"/>
                    <w:rPr>
                      <w:sz w:val="18"/>
                      <w:szCs w:val="18"/>
                      <w:u w:val="single"/>
                    </w:rPr>
                  </w:pPr>
                  <w:r>
                    <w:rPr>
                      <w:sz w:val="18"/>
                      <w:szCs w:val="18"/>
                      <w:u w:val="single"/>
                    </w:rPr>
                    <w:t>生产废水（m</w:t>
                  </w:r>
                  <w:r>
                    <w:rPr>
                      <w:sz w:val="18"/>
                      <w:szCs w:val="18"/>
                      <w:u w:val="single"/>
                      <w:vertAlign w:val="superscript"/>
                    </w:rPr>
                    <w:t>3</w:t>
                  </w:r>
                  <w:r>
                    <w:rPr>
                      <w:sz w:val="18"/>
                      <w:szCs w:val="18"/>
                      <w:u w:val="single"/>
                    </w:rPr>
                    <w:t>/a）</w:t>
                  </w:r>
                </w:p>
              </w:tc>
              <w:tc>
                <w:tcPr>
                  <w:tcW w:w="1268" w:type="dxa"/>
                  <w:vAlign w:val="center"/>
                </w:tcPr>
                <w:p>
                  <w:pPr>
                    <w:adjustRightInd w:val="0"/>
                    <w:snapToGrid w:val="0"/>
                    <w:jc w:val="center"/>
                    <w:rPr>
                      <w:sz w:val="18"/>
                      <w:szCs w:val="18"/>
                      <w:u w:val="single"/>
                    </w:rPr>
                  </w:pPr>
                  <w:r>
                    <w:rPr>
                      <w:sz w:val="18"/>
                      <w:szCs w:val="18"/>
                      <w:u w:val="single"/>
                    </w:rPr>
                    <w:t>0</w:t>
                  </w:r>
                </w:p>
              </w:tc>
              <w:tc>
                <w:tcPr>
                  <w:tcW w:w="1515" w:type="dxa"/>
                  <w:vAlign w:val="center"/>
                </w:tcPr>
                <w:p>
                  <w:pPr>
                    <w:adjustRightInd w:val="0"/>
                    <w:snapToGrid w:val="0"/>
                    <w:jc w:val="center"/>
                    <w:rPr>
                      <w:sz w:val="18"/>
                      <w:szCs w:val="18"/>
                      <w:u w:val="single"/>
                    </w:rPr>
                  </w:pPr>
                  <w:r>
                    <w:rPr>
                      <w:sz w:val="18"/>
                      <w:szCs w:val="18"/>
                      <w:u w:val="single"/>
                    </w:rPr>
                    <w:t>0</w:t>
                  </w:r>
                </w:p>
              </w:tc>
              <w:tc>
                <w:tcPr>
                  <w:tcW w:w="2249" w:type="dxa"/>
                  <w:vAlign w:val="center"/>
                </w:tcPr>
                <w:p>
                  <w:pPr>
                    <w:adjustRightInd w:val="0"/>
                    <w:snapToGrid w:val="0"/>
                    <w:jc w:val="center"/>
                    <w:rPr>
                      <w:sz w:val="18"/>
                      <w:szCs w:val="18"/>
                      <w:u w:val="single"/>
                    </w:rPr>
                  </w:pPr>
                  <w:r>
                    <w:rPr>
                      <w:sz w:val="18"/>
                      <w:szCs w:val="18"/>
                      <w:u w:val="single"/>
                    </w:rPr>
                    <w:t>0</w:t>
                  </w:r>
                </w:p>
              </w:tc>
              <w:tc>
                <w:tcPr>
                  <w:tcW w:w="1268" w:type="dxa"/>
                  <w:vAlign w:val="center"/>
                </w:tcPr>
                <w:p>
                  <w:pPr>
                    <w:adjustRightInd w:val="0"/>
                    <w:snapToGrid w:val="0"/>
                    <w:jc w:val="center"/>
                    <w:rPr>
                      <w:sz w:val="18"/>
                      <w:szCs w:val="18"/>
                      <w:u w:val="single"/>
                    </w:rPr>
                  </w:pPr>
                  <w:r>
                    <w:rPr>
                      <w:sz w:val="18"/>
                      <w:szCs w:val="18"/>
                      <w:u w:val="single"/>
                    </w:rPr>
                    <w:t>不变</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2201" w:type="dxa"/>
                  <w:vAlign w:val="center"/>
                </w:tcPr>
                <w:p>
                  <w:pPr>
                    <w:adjustRightInd w:val="0"/>
                    <w:snapToGrid w:val="0"/>
                    <w:jc w:val="center"/>
                    <w:rPr>
                      <w:sz w:val="18"/>
                      <w:szCs w:val="18"/>
                      <w:u w:val="single"/>
                    </w:rPr>
                  </w:pPr>
                  <w:r>
                    <w:rPr>
                      <w:sz w:val="18"/>
                      <w:szCs w:val="18"/>
                      <w:u w:val="single"/>
                    </w:rPr>
                    <w:t>合计排水（m</w:t>
                  </w:r>
                  <w:r>
                    <w:rPr>
                      <w:sz w:val="18"/>
                      <w:szCs w:val="18"/>
                      <w:u w:val="single"/>
                      <w:vertAlign w:val="superscript"/>
                    </w:rPr>
                    <w:t>3</w:t>
                  </w:r>
                  <w:r>
                    <w:rPr>
                      <w:sz w:val="18"/>
                      <w:szCs w:val="18"/>
                      <w:u w:val="single"/>
                    </w:rPr>
                    <w:t>/a）</w:t>
                  </w:r>
                </w:p>
              </w:tc>
              <w:tc>
                <w:tcPr>
                  <w:tcW w:w="1268" w:type="dxa"/>
                  <w:vAlign w:val="center"/>
                </w:tcPr>
                <w:p>
                  <w:pPr>
                    <w:adjustRightInd w:val="0"/>
                    <w:snapToGrid w:val="0"/>
                    <w:jc w:val="center"/>
                    <w:rPr>
                      <w:sz w:val="18"/>
                      <w:szCs w:val="18"/>
                      <w:u w:val="single"/>
                    </w:rPr>
                  </w:pPr>
                  <w:r>
                    <w:rPr>
                      <w:sz w:val="18"/>
                      <w:szCs w:val="18"/>
                      <w:u w:val="single"/>
                    </w:rPr>
                    <w:t>520</w:t>
                  </w:r>
                </w:p>
              </w:tc>
              <w:tc>
                <w:tcPr>
                  <w:tcW w:w="1515" w:type="dxa"/>
                  <w:vAlign w:val="center"/>
                </w:tcPr>
                <w:p>
                  <w:pPr>
                    <w:adjustRightInd w:val="0"/>
                    <w:snapToGrid w:val="0"/>
                    <w:jc w:val="center"/>
                    <w:rPr>
                      <w:sz w:val="18"/>
                      <w:szCs w:val="18"/>
                      <w:u w:val="single"/>
                    </w:rPr>
                  </w:pPr>
                  <w:r>
                    <w:rPr>
                      <w:sz w:val="18"/>
                      <w:szCs w:val="18"/>
                      <w:u w:val="single"/>
                    </w:rPr>
                    <w:t>0</w:t>
                  </w:r>
                </w:p>
              </w:tc>
              <w:tc>
                <w:tcPr>
                  <w:tcW w:w="2249" w:type="dxa"/>
                  <w:vAlign w:val="center"/>
                </w:tcPr>
                <w:p>
                  <w:pPr>
                    <w:adjustRightInd w:val="0"/>
                    <w:snapToGrid w:val="0"/>
                    <w:jc w:val="center"/>
                    <w:rPr>
                      <w:sz w:val="18"/>
                      <w:szCs w:val="18"/>
                      <w:u w:val="single"/>
                    </w:rPr>
                  </w:pPr>
                  <w:r>
                    <w:rPr>
                      <w:sz w:val="18"/>
                      <w:szCs w:val="18"/>
                      <w:u w:val="single"/>
                    </w:rPr>
                    <w:t>520</w:t>
                  </w:r>
                </w:p>
              </w:tc>
              <w:tc>
                <w:tcPr>
                  <w:tcW w:w="1268" w:type="dxa"/>
                  <w:vAlign w:val="center"/>
                </w:tcPr>
                <w:p>
                  <w:pPr>
                    <w:adjustRightInd w:val="0"/>
                    <w:snapToGrid w:val="0"/>
                    <w:jc w:val="center"/>
                    <w:rPr>
                      <w:sz w:val="18"/>
                      <w:szCs w:val="18"/>
                      <w:u w:val="single"/>
                    </w:rPr>
                  </w:pPr>
                  <w:r>
                    <w:rPr>
                      <w:sz w:val="18"/>
                      <w:szCs w:val="18"/>
                      <w:u w:val="single"/>
                    </w:rPr>
                    <w:t>不变</w:t>
                  </w:r>
                </w:p>
              </w:tc>
            </w:tr>
          </w:tbl>
          <w:p>
            <w:pPr>
              <w:spacing w:line="360" w:lineRule="auto"/>
              <w:ind w:firstLine="420" w:firstLineChars="200"/>
              <w:jc w:val="left"/>
              <w:rPr>
                <w:u w:val="single"/>
              </w:rPr>
            </w:pPr>
            <w:r>
              <w:rPr>
                <w:u w:val="single"/>
              </w:rPr>
              <w:t>综上，本项目不新增用水、不新增排水，全厂供水、排水量均维持现有水平不变。</w:t>
            </w:r>
          </w:p>
          <w:p>
            <w:pPr>
              <w:spacing w:line="360" w:lineRule="auto"/>
              <w:ind w:firstLine="420" w:firstLineChars="200"/>
              <w:jc w:val="left"/>
              <w:rPr>
                <w:u w:val="single"/>
              </w:rPr>
            </w:pPr>
            <w:bookmarkStart w:id="6" w:name="_Toc31021"/>
            <w:r>
              <w:rPr>
                <w:u w:val="single"/>
              </w:rPr>
              <w:t>9、工作制度</w:t>
            </w:r>
            <w:bookmarkEnd w:id="6"/>
          </w:p>
          <w:p>
            <w:pPr>
              <w:spacing w:line="360" w:lineRule="auto"/>
              <w:ind w:firstLine="420" w:firstLineChars="200"/>
              <w:jc w:val="left"/>
              <w:rPr>
                <w:u w:val="single"/>
              </w:rPr>
            </w:pPr>
            <w:r>
              <w:rPr>
                <w:u w:val="single"/>
              </w:rPr>
              <w:t>本项目不新增劳动定员。导热油炉仅在生产时段运行，用于保障板式家具生产线热压、干燥、压贴等工序的工艺用热。</w:t>
            </w:r>
          </w:p>
          <w:p>
            <w:pPr>
              <w:spacing w:line="360" w:lineRule="auto"/>
              <w:ind w:firstLine="420" w:firstLineChars="200"/>
              <w:jc w:val="left"/>
              <w:rPr>
                <w:u w:val="single"/>
              </w:rPr>
            </w:pPr>
            <w:r>
              <w:rPr>
                <w:u w:val="single"/>
              </w:rPr>
              <w:t>（1）运行方案：导热油炉全年运行100天，每天运行4小时（昼间一班制），年运行时长=100天×4小时/天=400小时/年。</w:t>
            </w:r>
          </w:p>
          <w:p>
            <w:pPr>
              <w:spacing w:line="360" w:lineRule="auto"/>
              <w:ind w:firstLine="420" w:firstLineChars="200"/>
              <w:jc w:val="left"/>
              <w:rPr>
                <w:u w:val="single"/>
              </w:rPr>
            </w:pPr>
            <w:r>
              <w:rPr>
                <w:u w:val="single"/>
              </w:rPr>
              <w:t>（2）燃料用量：根据企业提供资料，本项目年燃生物质颗粒25t。</w:t>
            </w:r>
          </w:p>
          <w:p>
            <w:pPr>
              <w:spacing w:line="360" w:lineRule="auto"/>
              <w:ind w:firstLine="420" w:firstLineChars="200"/>
              <w:jc w:val="left"/>
              <w:rPr>
                <w:u w:val="single"/>
              </w:rPr>
            </w:pPr>
            <w:r>
              <w:rPr>
                <w:u w:val="single"/>
              </w:rPr>
              <w:t>经核实，企业冬季办公楼供暖采用空气能热泵采暖，车间冬季利用设备运行余热维持温度，不依赖锅炉供暖。本项目导热油炉仅用于生产线工艺用热，年运行100天、日运行4小时，年耗生物质颗粒25t，与企业实际生产用热需求一致。</w:t>
            </w:r>
          </w:p>
          <w:p>
            <w:pPr>
              <w:spacing w:line="360" w:lineRule="auto"/>
              <w:ind w:firstLine="420" w:firstLineChars="200"/>
              <w:jc w:val="left"/>
              <w:rPr>
                <w:u w:val="single"/>
              </w:rPr>
            </w:pPr>
            <w:r>
              <w:rPr>
                <w:u w:val="single"/>
              </w:rPr>
              <w:t>（3）供热用途：本项目导热油炉仅用于保障现有板式家具生产线（年产6万件，产能不变）热压、干燥、压贴等工序的供热稳定性及提高供热效率，不用于厂区建筑采暖，不用于新增生产设备或扩大生产规模。</w:t>
            </w:r>
          </w:p>
          <w:p>
            <w:pPr>
              <w:spacing w:line="360" w:lineRule="auto"/>
              <w:ind w:firstLine="420" w:firstLineChars="200"/>
              <w:jc w:val="left"/>
            </w:pPr>
            <w:bookmarkStart w:id="7" w:name="_Toc8771"/>
            <w:r>
              <w:t>10、项目实施进度安排</w:t>
            </w:r>
            <w:bookmarkEnd w:id="7"/>
          </w:p>
          <w:p>
            <w:pPr>
              <w:spacing w:line="360" w:lineRule="auto"/>
              <w:ind w:firstLine="420" w:firstLineChars="200"/>
              <w:jc w:val="left"/>
            </w:pPr>
            <w:r>
              <w:t>2026.8-2026.9。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 w:hRule="atLeast"/>
        </w:trPr>
        <w:tc>
          <w:tcPr>
            <w:tcW w:w="8720" w:type="dxa"/>
            <w:vAlign w:val="top"/>
          </w:tcPr>
          <w:p>
            <w:pPr>
              <w:jc w:val="left"/>
              <w:rPr>
                <w:b/>
                <w:bCs/>
              </w:rPr>
            </w:pPr>
            <w:r>
              <w:rPr>
                <w:b/>
                <w:bCs/>
              </w:rPr>
              <w:t>工艺流程和产排污环节</w:t>
            </w:r>
          </w:p>
          <w:p>
            <w:pPr>
              <w:spacing w:line="360" w:lineRule="auto"/>
              <w:ind w:firstLine="420" w:firstLineChars="200"/>
              <w:jc w:val="left"/>
            </w:pPr>
            <w:r>
              <w:t>一、施工期工艺流程和产排污环节</w:t>
            </w:r>
          </w:p>
          <w:p>
            <w:pPr>
              <w:spacing w:line="360" w:lineRule="auto"/>
              <w:ind w:firstLine="420" w:firstLineChars="200"/>
              <w:jc w:val="left"/>
            </w:pPr>
            <w:r>
              <w:t>1、施工期工艺流程</w:t>
            </w:r>
          </w:p>
          <w:p>
            <w:pPr>
              <w:spacing w:line="360" w:lineRule="auto"/>
              <w:ind w:firstLine="420" w:firstLineChars="200"/>
              <w:jc w:val="left"/>
            </w:pPr>
            <w:r>
              <w:t>施工期主要分为拆除阶段和安装阶段。</w:t>
            </w:r>
          </w:p>
          <w:p>
            <w:pPr>
              <w:spacing w:line="360" w:lineRule="auto"/>
              <w:ind w:firstLine="420" w:firstLineChars="200"/>
              <w:jc w:val="left"/>
            </w:pPr>
            <w:r>
              <w:t>（1）拆除阶段</w:t>
            </w:r>
          </w:p>
          <w:p>
            <w:pPr>
              <w:spacing w:line="360" w:lineRule="auto"/>
              <w:ind w:firstLine="420" w:firstLineChars="200"/>
              <w:jc w:val="left"/>
            </w:pPr>
            <w:r>
              <w:t>拆除阶段主要包括施工准备、原有锅炉系统排空、锅炉主体拆除、水除尘器拆除及辅机拆除等工序。</w:t>
            </w:r>
          </w:p>
          <w:p>
            <w:pPr>
              <w:spacing w:line="360" w:lineRule="auto"/>
              <w:ind w:firstLine="420" w:firstLineChars="200"/>
              <w:jc w:val="left"/>
            </w:pPr>
            <w:r>
              <w:t>施工前，先对施工区域设置围挡，清空设备内物料，切断水、电、气等公用工程连接。随后将原有锅炉系统内的水全部排空，采用专用容器密闭收集。排空完成后，依次拆除原有锅炉主体、水除尘器及辅机设备，拆除过程中产生的废旧金属、废保温材料等分类收集，建筑垃圾及时清运至指定消纳场所。</w:t>
            </w:r>
          </w:p>
          <w:p>
            <w:pPr>
              <w:spacing w:line="360" w:lineRule="auto"/>
              <w:ind w:firstLine="420" w:firstLineChars="200"/>
              <w:jc w:val="left"/>
            </w:pPr>
            <w:r>
              <w:t>（2）安装阶段</w:t>
            </w:r>
          </w:p>
          <w:p>
            <w:pPr>
              <w:spacing w:line="360" w:lineRule="auto"/>
              <w:ind w:firstLine="420" w:firstLineChars="200"/>
              <w:jc w:val="left"/>
            </w:pPr>
            <w:r>
              <w:t>安装阶段主要包括场地清理平整、设备基础施工、新锅炉及除尘器安装、管道连接及系统调试等工序。</w:t>
            </w:r>
          </w:p>
          <w:p>
            <w:pPr>
              <w:spacing w:line="360" w:lineRule="auto"/>
              <w:ind w:firstLine="420" w:firstLineChars="200"/>
              <w:jc w:val="left"/>
            </w:pPr>
            <w:r>
              <w:t>拆除工作完成后，对施工场地进行清理平整，进行新锅炉基础和旋风除尘器基础施工。基础达到养护强度后，依次安装有机热载体液相炉、旋风除尘器、引风机，完成电气及控制系统安装和管道连接保温。最后进行设备单机调试和系统联动试运行，验收合格后投入运营。</w:t>
            </w:r>
          </w:p>
          <w:p>
            <w:pPr>
              <w:spacing w:line="360" w:lineRule="auto"/>
              <w:ind w:firstLine="420" w:firstLineChars="200"/>
              <w:jc w:val="left"/>
            </w:pPr>
            <w:r>
              <w:t>（3）施工期工艺流程简图</w:t>
            </w:r>
          </w:p>
          <w:p>
            <w:pPr>
              <w:spacing w:line="360" w:lineRule="auto"/>
              <w:ind w:firstLine="420" w:firstLineChars="200"/>
              <w:jc w:val="left"/>
            </w:pPr>
            <w:r>
              <w:t>施工准备→公用工程切断→锅炉排空→旧锅炉拆除→旧除尘器拆除→建筑垃圾清运→场地平整→基础施工→新锅炉安装→旋风除尘器安装→烟道及辅机安装→电气安装→管道连接保温→调试运行。</w:t>
            </w:r>
          </w:p>
          <w:p>
            <w:pPr>
              <w:spacing w:line="360" w:lineRule="auto"/>
              <w:ind w:firstLine="420" w:firstLineChars="200"/>
              <w:jc w:val="left"/>
            </w:pPr>
            <w:r>
              <w:t>2、施工期产排污环节</w:t>
            </w:r>
          </w:p>
          <w:p>
            <w:pPr>
              <w:spacing w:line="360" w:lineRule="auto"/>
              <w:ind w:firstLine="420" w:firstLineChars="200"/>
              <w:jc w:val="left"/>
            </w:pPr>
            <w:r>
              <w:t>（1）废气</w:t>
            </w:r>
          </w:p>
          <w:p>
            <w:pPr>
              <w:spacing w:line="360" w:lineRule="auto"/>
              <w:ind w:firstLine="420" w:firstLineChars="200"/>
              <w:jc w:val="left"/>
            </w:pPr>
            <w:r>
              <w:t>施工期废气主要为扬尘和施工机械尾气。</w:t>
            </w:r>
          </w:p>
          <w:p>
            <w:pPr>
              <w:spacing w:line="360" w:lineRule="auto"/>
              <w:ind w:firstLine="420" w:firstLineChars="200"/>
              <w:jc w:val="left"/>
            </w:pPr>
            <w:r>
              <w:t>扬尘主要产生于旧设备拆除、基础土方开挖、建筑材料装卸堆放以及运输车辆行驶等环节，污染物为颗粒物，呈无组织排放。此外，运输车辆和施工机械运行时会产生尾气，主要污染物为一氧化碳、氮氧化物和碳氢化合物。</w:t>
            </w:r>
          </w:p>
          <w:p>
            <w:pPr>
              <w:spacing w:line="360" w:lineRule="auto"/>
              <w:ind w:firstLine="420" w:firstLineChars="200"/>
              <w:jc w:val="left"/>
            </w:pPr>
            <w:r>
              <w:t>针对施工扬尘，拟采取洒水降尘、设置围挡、物料遮盖、密闭运输等抑尘措施，施工场地执行《大气污染物综合排放标准》（GB16297-1996）中无组织排放监控浓度限值要求。</w:t>
            </w:r>
          </w:p>
          <w:p>
            <w:pPr>
              <w:spacing w:line="360" w:lineRule="auto"/>
              <w:ind w:firstLine="420" w:firstLineChars="200"/>
              <w:jc w:val="left"/>
            </w:pPr>
            <w:r>
              <w:t>（2）废水</w:t>
            </w:r>
          </w:p>
          <w:p>
            <w:pPr>
              <w:spacing w:line="360" w:lineRule="auto"/>
              <w:ind w:firstLine="420" w:firstLineChars="200"/>
              <w:jc w:val="left"/>
            </w:pPr>
            <w:r>
              <w:t>施工期废水主要为施工人员生活污水和少量施工废水。</w:t>
            </w:r>
          </w:p>
          <w:p>
            <w:pPr>
              <w:spacing w:line="360" w:lineRule="auto"/>
              <w:ind w:firstLine="420" w:firstLineChars="200"/>
              <w:jc w:val="left"/>
            </w:pPr>
            <w:r>
              <w:t>施工人员生活污水依托厂区现有排水系统，统一排入园区污水管网。施工废水主要来自设备清洗和管道试压，污染物为悬浮物，产生量较少，经简易沉淀后用于施工场地洒水降尘，不外排。</w:t>
            </w:r>
          </w:p>
          <w:p>
            <w:pPr>
              <w:spacing w:line="360" w:lineRule="auto"/>
              <w:ind w:firstLine="420" w:firstLineChars="200"/>
              <w:jc w:val="left"/>
            </w:pPr>
            <w:r>
              <w:t>（3）噪声</w:t>
            </w:r>
          </w:p>
          <w:p>
            <w:pPr>
              <w:spacing w:line="360" w:lineRule="auto"/>
              <w:ind w:firstLine="420" w:firstLineChars="200"/>
              <w:jc w:val="left"/>
            </w:pPr>
            <w:r>
              <w:t>施工期噪声源主要为拆除作业中的风镐、切割机，安装作业中的电焊机、起重机以及运输车辆等，声级值在75～105dB(A)之间。施工噪声为间歇性排放，且主要集中在昼间。</w:t>
            </w:r>
          </w:p>
          <w:p>
            <w:pPr>
              <w:spacing w:line="360" w:lineRule="auto"/>
              <w:ind w:firstLine="420" w:firstLineChars="200"/>
              <w:jc w:val="left"/>
              <w:rPr>
                <w:u w:val="single"/>
              </w:rPr>
            </w:pPr>
            <w:r>
              <w:t>为减轻噪声影响，拟采取以下措施：合理安排施工时间，严禁夜间（22:00-6:00）进行高噪声施工作业；选用低噪声设备和工艺；高噪声设备采取隔声、减振措施；运输车辆途经敏感点时减速慢行、禁止鸣笛。</w:t>
            </w:r>
            <w:r>
              <w:rPr>
                <w:u w:val="single"/>
              </w:rPr>
              <w:t>施工场界噪声执行《建筑施工噪声排放标准》（GB12523-2025）标准限值。</w:t>
            </w:r>
          </w:p>
          <w:p>
            <w:pPr>
              <w:spacing w:line="360" w:lineRule="auto"/>
              <w:ind w:firstLine="420" w:firstLineChars="200"/>
              <w:jc w:val="left"/>
            </w:pPr>
            <w:r>
              <w:t>（4）固体废物</w:t>
            </w:r>
          </w:p>
          <w:p>
            <w:pPr>
              <w:spacing w:line="360" w:lineRule="auto"/>
              <w:ind w:firstLine="420" w:firstLineChars="200"/>
              <w:jc w:val="left"/>
            </w:pPr>
            <w:r>
              <w:t>施工期固体废物主要包括以下几类：</w:t>
            </w:r>
          </w:p>
          <w:p>
            <w:pPr>
              <w:spacing w:line="360" w:lineRule="auto"/>
              <w:ind w:firstLine="420" w:firstLineChars="200"/>
              <w:jc w:val="left"/>
            </w:pPr>
            <w:r>
              <w:rPr>
                <w:rFonts w:eastAsia="仿宋"/>
              </w:rPr>
              <w:t>①</w:t>
            </w:r>
            <w:r>
              <w:t>废旧设备及金属材料，来自旧锅炉、旧除尘器拆除，属于一般工业固废，分类收集后交由物资回收公司综合利用。</w:t>
            </w:r>
          </w:p>
          <w:p>
            <w:pPr>
              <w:spacing w:line="360" w:lineRule="auto"/>
              <w:ind w:firstLine="420" w:firstLineChars="200"/>
              <w:jc w:val="left"/>
            </w:pPr>
            <w:r>
              <w:rPr>
                <w:rFonts w:eastAsia="仿宋"/>
              </w:rPr>
              <w:t>②</w:t>
            </w:r>
            <w:r>
              <w:t>废保温材料，来自旧设备拆除，属于一般工业固废，按照当地建筑垃圾管理规定处置。</w:t>
            </w:r>
          </w:p>
          <w:p>
            <w:pPr>
              <w:spacing w:line="360" w:lineRule="auto"/>
              <w:ind w:firstLine="420" w:firstLineChars="200"/>
              <w:jc w:val="left"/>
            </w:pPr>
            <w:r>
              <w:rPr>
                <w:rFonts w:eastAsia="仿宋"/>
              </w:rPr>
              <w:t>③</w:t>
            </w:r>
            <w:r>
              <w:t>建筑垃圾，来自基础施工产生的废弃混凝土和渣土，统一运往指定建筑垃圾消纳场处置。</w:t>
            </w:r>
          </w:p>
          <w:p>
            <w:pPr>
              <w:spacing w:line="360" w:lineRule="auto"/>
              <w:ind w:firstLine="420" w:firstLineChars="200"/>
              <w:jc w:val="left"/>
            </w:pPr>
            <w:r>
              <w:rPr>
                <w:rFonts w:eastAsia="仿宋"/>
              </w:rPr>
              <w:t>⑤</w:t>
            </w:r>
            <w:r>
              <w:t>废包装材料，来自设备安装产生的木箱、塑料等，分类收集后回收利用或清运。</w:t>
            </w:r>
          </w:p>
          <w:p>
            <w:pPr>
              <w:spacing w:line="360" w:lineRule="auto"/>
              <w:ind w:firstLine="420" w:firstLineChars="200"/>
              <w:jc w:val="left"/>
            </w:pPr>
            <w:r>
              <w:rPr>
                <w:rFonts w:eastAsia="仿宋"/>
              </w:rPr>
              <w:t>⑥</w:t>
            </w:r>
            <w:r>
              <w:t>生活垃圾，来自施工人员日常生活，由环卫部门统一清运处置。</w:t>
            </w:r>
          </w:p>
          <w:p>
            <w:pPr>
              <w:spacing w:line="360" w:lineRule="auto"/>
              <w:ind w:firstLine="420" w:firstLineChars="200"/>
              <w:jc w:val="left"/>
            </w:pPr>
            <w:r>
              <w:t>各类固体废物均分类收集、分开处置，确保不混堆混放，避免二次污染。</w:t>
            </w:r>
          </w:p>
          <w:p>
            <w:pPr>
              <w:spacing w:line="360" w:lineRule="auto"/>
              <w:ind w:firstLine="420" w:firstLineChars="200"/>
              <w:jc w:val="left"/>
            </w:pPr>
            <w:r>
              <w:t>二、营运期工艺流程和产排污环节</w:t>
            </w:r>
          </w:p>
          <w:p>
            <w:pPr>
              <w:spacing w:line="360" w:lineRule="auto"/>
              <w:ind w:firstLine="420" w:firstLineChars="200"/>
              <w:jc w:val="left"/>
            </w:pPr>
            <w:bookmarkStart w:id="8" w:name="OLE_LINK7"/>
            <w:bookmarkStart w:id="9" w:name="OLE_LINK8"/>
            <w:r>
              <w:t>1、营运期工艺流程</w:t>
            </w:r>
          </w:p>
          <w:p>
            <w:pPr>
              <w:spacing w:line="360" w:lineRule="auto"/>
              <w:ind w:firstLine="420" w:firstLineChars="200"/>
              <w:jc w:val="left"/>
            </w:pPr>
            <w:r>
              <w:t>本项目营运期工艺流程主要分为燃料供应系统、燃烧系统、热媒循环系统和烟气处理系统四个部分。</w:t>
            </w:r>
          </w:p>
          <w:p>
            <w:pPr>
              <w:spacing w:line="360" w:lineRule="auto"/>
              <w:ind w:firstLine="420" w:firstLineChars="200"/>
              <w:jc w:val="left"/>
            </w:pPr>
            <w:r>
              <w:t>（1）燃料供应系统</w:t>
            </w:r>
          </w:p>
          <w:p>
            <w:pPr>
              <w:spacing w:line="360" w:lineRule="auto"/>
              <w:ind w:firstLine="420" w:firstLineChars="200"/>
              <w:jc w:val="left"/>
            </w:pPr>
            <w:r>
              <w:t>外购的生物质成型燃料由封闭运输车辆运至锅炉房内储存。生产时，燃料输送皮带送入炉前料斗，经螺旋给料机均匀送入炉膛燃烧室。</w:t>
            </w:r>
          </w:p>
          <w:p>
            <w:pPr>
              <w:spacing w:line="360" w:lineRule="auto"/>
              <w:ind w:firstLine="420" w:firstLineChars="200"/>
              <w:jc w:val="left"/>
            </w:pPr>
            <w:r>
              <w:t>（2）燃烧系统</w:t>
            </w:r>
          </w:p>
          <w:p>
            <w:pPr>
              <w:spacing w:line="360" w:lineRule="auto"/>
              <w:ind w:firstLine="420" w:firstLineChars="200"/>
              <w:jc w:val="left"/>
            </w:pPr>
            <w:r>
              <w:t>生物质成型燃料在往复炉排上实现高效燃烧。燃料通过往复炉排的推动作用，在炉膛内依次经历干燥、热解、燃烧和燃尽四个阶段。一次风由炉排底部送入，提供燃料燃烧所需氧气；二次风由炉膛中部和上部送入，促进挥发分充分燃尽，减少污染物生成。燃烧产生的热量通过炉膛辐射和对流换热传递给导热油盘管。</w:t>
            </w:r>
          </w:p>
          <w:p>
            <w:pPr>
              <w:spacing w:line="360" w:lineRule="auto"/>
              <w:ind w:firstLine="420" w:firstLineChars="200"/>
              <w:jc w:val="left"/>
            </w:pPr>
            <w:r>
              <w:t>（3）热媒循环系统</w:t>
            </w:r>
          </w:p>
          <w:p>
            <w:pPr>
              <w:spacing w:line="360" w:lineRule="auto"/>
              <w:ind w:firstLine="420" w:firstLineChars="200"/>
              <w:jc w:val="left"/>
            </w:pPr>
            <w:r>
              <w:t>导热油在系统中闭路循环。低温导热油经循环泵加压后进入有机热载体液相炉的盘管受热面，吸收燃料燃烧释放的热量后升温至工艺要求的温度（约270℃）。高温导热油经供热管道输送至用热设备，释放热量后温度降至约230℃，再返回循环泵重新进入锅炉加热，形成闭路循环。导热油在系统内循环使用，不外排。</w:t>
            </w:r>
          </w:p>
          <w:p>
            <w:pPr>
              <w:spacing w:line="360" w:lineRule="auto"/>
              <w:ind w:firstLine="420" w:firstLineChars="200"/>
              <w:jc w:val="left"/>
            </w:pPr>
            <w:r>
              <w:t>（4）烟气处理系统</w:t>
            </w:r>
          </w:p>
          <w:p>
            <w:pPr>
              <w:spacing w:line="360" w:lineRule="auto"/>
              <w:ind w:firstLine="420" w:firstLineChars="200"/>
              <w:jc w:val="left"/>
            </w:pPr>
            <w:r>
              <w:t>燃料燃烧产生的高温烟气离开炉膛后，依次进入旋风除尘器和布袋除尘器进行两级除尘。烟气先进入旋风除尘器，利用离心力去除烟气中粒径较大的颗粒物；再进入布袋除尘器，通过滤袋过滤截留微细粉尘，实现烟尘的深度净化。净化后的洁净烟气由引风机抽送，经烟囱排放至大气。旋风除尘器捕集的粉尘和布袋除尘器捕集的粉尘定期清理，集中收集后外运处置。</w:t>
            </w:r>
          </w:p>
          <w:p>
            <w:pPr>
              <w:spacing w:line="360" w:lineRule="auto"/>
              <w:ind w:firstLine="420" w:firstLineChars="200"/>
              <w:jc w:val="left"/>
            </w:pPr>
            <w:r>
              <w:t>（5）营运期工艺流程简图</w:t>
            </w:r>
          </w:p>
          <w:p>
            <w:pPr>
              <w:spacing w:line="360" w:lineRule="auto"/>
              <w:ind w:firstLine="420" w:firstLineChars="200"/>
              <w:jc w:val="left"/>
            </w:pPr>
            <w:r>
              <w:t>生物质成型燃料储存→炉前料斗→螺旋给料机→往复炉排燃烧（一次风+二次风）→对流换热（导热油盘管）→高温导热油供用热设备→低温导热油回循环泵→加热循环。</w:t>
            </w:r>
          </w:p>
          <w:p>
            <w:pPr>
              <w:spacing w:line="360" w:lineRule="auto"/>
              <w:ind w:firstLine="420" w:firstLineChars="200"/>
              <w:jc w:val="left"/>
            </w:pPr>
            <w:r>
              <w:t>高温烟气：往复炉排燃烧产生烟气→旋风除尘器→布袋除尘器→引风机→烟囱排放。</w:t>
            </w:r>
          </w:p>
          <w:p>
            <w:pPr>
              <w:spacing w:line="360" w:lineRule="auto"/>
              <w:ind w:firstLine="420" w:firstLineChars="200"/>
              <w:jc w:val="left"/>
            </w:pPr>
            <w:r>
              <w:t>炉灰、除尘灰、废旧布袋：定期清理→集中收集→外运综合利用。</w:t>
            </w:r>
          </w:p>
          <w:p>
            <w:pPr>
              <w:spacing w:line="360" w:lineRule="auto"/>
              <w:ind w:firstLine="420" w:firstLineChars="200"/>
              <w:jc w:val="left"/>
            </w:pPr>
            <w:r>
              <w:t>废导热油：定期清理→专用容器密闭收集→资质单位处理。</w:t>
            </w:r>
          </w:p>
          <w:p>
            <w:pPr>
              <w:spacing w:line="360" w:lineRule="auto"/>
              <w:ind w:firstLine="420" w:firstLineChars="200"/>
              <w:jc w:val="left"/>
            </w:pPr>
            <w:r>
              <w:t>2、营运期产排污环节</w:t>
            </w:r>
          </w:p>
          <w:p>
            <w:pPr>
              <w:spacing w:line="360" w:lineRule="auto"/>
              <w:ind w:firstLine="420" w:firstLineChars="200"/>
              <w:jc w:val="left"/>
            </w:pPr>
            <w:r>
              <w:t>（1）废气</w:t>
            </w:r>
          </w:p>
          <w:p>
            <w:pPr>
              <w:spacing w:line="360" w:lineRule="auto"/>
              <w:ind w:firstLine="420" w:firstLineChars="200"/>
              <w:jc w:val="left"/>
            </w:pPr>
            <w:r>
              <w:rPr>
                <w:rFonts w:eastAsia="仿宋"/>
              </w:rPr>
              <w:t>①</w:t>
            </w:r>
            <w:r>
              <w:t>锅炉烟气（主要废气污染源）</w:t>
            </w:r>
          </w:p>
          <w:p>
            <w:pPr>
              <w:spacing w:line="360" w:lineRule="auto"/>
              <w:ind w:firstLine="420" w:firstLineChars="200"/>
              <w:jc w:val="left"/>
            </w:pPr>
            <w:r>
              <w:t>生物质成型燃料在往复炉排上燃烧过程中，主要产生颗粒物、二氧化硫和氮氧化物等大气污染物。</w:t>
            </w:r>
          </w:p>
          <w:p>
            <w:pPr>
              <w:spacing w:line="360" w:lineRule="auto"/>
              <w:ind w:firstLine="420" w:firstLineChars="200"/>
              <w:jc w:val="left"/>
            </w:pPr>
            <w:r>
              <w:t>颗粒物：主要来源于生物质燃料中灰分的释放和携带，烟气中颗粒物初始浓度较高，经“旋风除尘+布袋除尘”两级除尘工艺处理后，烟尘排放浓度可满足《锅炉大气污染物排放标准》（GB13271-2014）表2新建锅炉大气污染物排放浓度限值（颗粒物≤50mg/m</w:t>
            </w:r>
            <w:r>
              <w:rPr>
                <w:vertAlign w:val="superscript"/>
              </w:rPr>
              <w:t>3</w:t>
            </w:r>
            <w:r>
              <w:t>）。</w:t>
            </w:r>
          </w:p>
          <w:p>
            <w:pPr>
              <w:spacing w:line="360" w:lineRule="auto"/>
              <w:ind w:firstLine="420" w:firstLineChars="200"/>
              <w:jc w:val="left"/>
            </w:pPr>
            <w:r>
              <w:t>二氧化硫：来源于生物质燃料中硫分的燃烧氧化，生物质燃料含硫量较低，二氧化硫初始浓度较低，满足二氧化硫≤300mg/m</w:t>
            </w:r>
            <w:r>
              <w:rPr>
                <w:vertAlign w:val="superscript"/>
              </w:rPr>
              <w:t>3</w:t>
            </w:r>
            <w:r>
              <w:t>（表2）的限值要求。</w:t>
            </w:r>
          </w:p>
          <w:p>
            <w:pPr>
              <w:spacing w:line="360" w:lineRule="auto"/>
              <w:ind w:firstLine="420" w:firstLineChars="200"/>
              <w:jc w:val="left"/>
            </w:pPr>
            <w:r>
              <w:t>氮氧化物：来源于燃料中氮成分的热解氧化和空气中氮气的高温氧化。项目采用往复炉排燃烧技术，通过优化燃烧温度和配风方式，控制热力型NOx的生成。烟气中氮氧化物排放浓度可满足氮氧化物≤300mg/m</w:t>
            </w:r>
            <w:r>
              <w:rPr>
                <w:vertAlign w:val="superscript"/>
              </w:rPr>
              <w:t>3</w:t>
            </w:r>
            <w:r>
              <w:t>（表2）的限值要求。</w:t>
            </w:r>
          </w:p>
          <w:p>
            <w:pPr>
              <w:spacing w:line="360" w:lineRule="auto"/>
              <w:ind w:firstLine="420" w:firstLineChars="200"/>
              <w:jc w:val="left"/>
            </w:pPr>
            <w:r>
              <w:rPr>
                <w:rFonts w:eastAsia="仿宋"/>
              </w:rPr>
              <w:t>②</w:t>
            </w:r>
            <w:r>
              <w:t>燃料储存及输送扬尘</w:t>
            </w:r>
          </w:p>
          <w:p>
            <w:pPr>
              <w:spacing w:line="360" w:lineRule="auto"/>
              <w:ind w:firstLine="420" w:firstLineChars="200"/>
              <w:jc w:val="left"/>
            </w:pPr>
            <w:r>
              <w:t>生物质成型燃料在装卸、输送过程中会产生少量粉尘。燃料储存于锅炉房内，输送采用皮带输送方式，产尘量较小，通过封闭锅炉房可有效控制扬尘无组织排放。</w:t>
            </w:r>
          </w:p>
          <w:p>
            <w:pPr>
              <w:spacing w:line="360" w:lineRule="auto"/>
              <w:ind w:firstLine="420" w:firstLineChars="200"/>
              <w:jc w:val="left"/>
            </w:pPr>
            <w:r>
              <w:rPr>
                <w:rFonts w:eastAsia="仿宋"/>
              </w:rPr>
              <w:t>③</w:t>
            </w:r>
            <w:r>
              <w:t>灰渣出渣扬尘</w:t>
            </w:r>
          </w:p>
          <w:p>
            <w:pPr>
              <w:spacing w:line="360" w:lineRule="auto"/>
              <w:ind w:firstLine="420" w:firstLineChars="200"/>
              <w:jc w:val="left"/>
            </w:pPr>
            <w:r>
              <w:t>炉灰和除尘灰在锅炉房内出渣、清灰以及装车过程中会产生少量扬尘，产尘量较小，通过封闭锅炉房及袋装存储方式可有效控制扬尘无组织排放。运输车辆采用篷布苫盖，避免沿途洒落。炉灰和除尘灰暂存于封闭锅炉房内，定期清理外运，减少堆存扬尘。</w:t>
            </w:r>
          </w:p>
          <w:p>
            <w:pPr>
              <w:spacing w:line="360" w:lineRule="auto"/>
              <w:ind w:firstLine="420" w:firstLineChars="200"/>
              <w:jc w:val="left"/>
            </w:pPr>
            <w:r>
              <w:t>（2）噪声</w:t>
            </w:r>
          </w:p>
          <w:p>
            <w:pPr>
              <w:spacing w:line="360" w:lineRule="auto"/>
              <w:ind w:firstLine="420" w:firstLineChars="200"/>
              <w:jc w:val="left"/>
            </w:pPr>
            <w:r>
              <w:t>营运期主要噪声源为风机、泵类等设备运行噪声。各类噪声源及其声级值如下：</w:t>
            </w:r>
          </w:p>
          <w:p>
            <w:pPr>
              <w:spacing w:line="360" w:lineRule="auto"/>
              <w:ind w:firstLine="420" w:firstLineChars="200"/>
              <w:jc w:val="left"/>
            </w:pPr>
            <w:r>
              <w:t>风机：75～85dB(A)，为最主要的噪声源，采取减振基础、安装消声器、设置隔音罩等措施。</w:t>
            </w:r>
          </w:p>
          <w:p>
            <w:pPr>
              <w:spacing w:line="360" w:lineRule="auto"/>
              <w:ind w:firstLine="420" w:firstLineChars="200"/>
              <w:jc w:val="left"/>
            </w:pPr>
            <w:r>
              <w:t>泵类：75～80dB(A)，采取减振基础、柔性连接、泵房隔声等措施。</w:t>
            </w:r>
          </w:p>
          <w:p>
            <w:pPr>
              <w:spacing w:line="360" w:lineRule="auto"/>
              <w:ind w:firstLine="420" w:firstLineChars="200"/>
              <w:jc w:val="left"/>
            </w:pPr>
            <w:r>
              <w:t>通过采取选用低噪声设备、基础减振、安装消声器、厂房隔声、合理布局等综合降噪措施，厂界噪声可满足《工业企业厂界环境噪声排放标准》（GB12348-2008）中相应标准限值要求。</w:t>
            </w:r>
          </w:p>
          <w:p>
            <w:pPr>
              <w:spacing w:line="360" w:lineRule="auto"/>
              <w:ind w:firstLine="420" w:firstLineChars="200"/>
              <w:jc w:val="left"/>
            </w:pPr>
            <w:r>
              <w:t>（3）固体废物</w:t>
            </w:r>
          </w:p>
          <w:p>
            <w:pPr>
              <w:spacing w:line="360" w:lineRule="auto"/>
              <w:ind w:firstLine="420" w:firstLineChars="200"/>
              <w:jc w:val="left"/>
            </w:pPr>
            <w:r>
              <w:t>营运期主要固体废物为除尘灰、炉灰、废旧布袋及废导热油。</w:t>
            </w:r>
          </w:p>
          <w:p>
            <w:pPr>
              <w:spacing w:line="360" w:lineRule="auto"/>
              <w:ind w:firstLine="420" w:firstLineChars="200"/>
              <w:jc w:val="left"/>
            </w:pPr>
            <w:r>
              <w:t>锅炉炉灰：生物质燃料燃烧后产生的炉底炉灰，属于一般工业固废，定期送当地居民做有机肥。</w:t>
            </w:r>
          </w:p>
          <w:p>
            <w:pPr>
              <w:spacing w:line="360" w:lineRule="auto"/>
              <w:ind w:firstLine="420" w:firstLineChars="200"/>
              <w:jc w:val="left"/>
            </w:pPr>
            <w:r>
              <w:t>除尘器收集的粉尘：旋风除尘器和布袋除尘器捕集的烟尘，属于一般工业固废，定期送当地居民做有机肥。</w:t>
            </w:r>
          </w:p>
          <w:p>
            <w:pPr>
              <w:spacing w:line="360" w:lineRule="auto"/>
              <w:ind w:firstLine="420" w:firstLineChars="200"/>
              <w:jc w:val="left"/>
            </w:pPr>
            <w:r>
              <w:t>废旧布袋：废布袋由厂家回收。</w:t>
            </w:r>
          </w:p>
          <w:p>
            <w:pPr>
              <w:spacing w:line="360" w:lineRule="auto"/>
              <w:ind w:firstLine="420" w:firstLineChars="200"/>
              <w:jc w:val="left"/>
              <w:rPr>
                <w:b/>
                <w:bCs/>
              </w:rPr>
            </w:pPr>
            <w:r>
              <w:t>废导热油：导热油在长期高温运行过程中会发生热裂解和氧化，性能逐渐劣化，达到使用寿命后需要更换。更换产生的废导热油属于危险废物（废物类别HW08废矿物油与含矿物油废物），须严格按照危险废物管理要求进行管理。废导热油排放时采用专用容器密闭收集，暂存于场区现有危废暂存间，定期委托吉林省高深环保科技有限公司处置，严禁随意排放或混入一般固废。企业应建立危险废物管理台账，如实记录废导热油的产生、贮存、转移和处置情况，并依法执行危险废物转移联单制度。</w:t>
            </w:r>
            <w:bookmarkEnd w:id="8"/>
            <w:bookmarkEnd w:id="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720" w:type="dxa"/>
            <w:vAlign w:val="top"/>
          </w:tcPr>
          <w:p>
            <w:pPr>
              <w:jc w:val="left"/>
              <w:rPr>
                <w:b/>
                <w:bCs/>
              </w:rPr>
            </w:pPr>
            <w:r>
              <w:rPr>
                <w:b/>
                <w:bCs/>
              </w:rPr>
              <w:t>与项目有关的原有环境污染问题</w:t>
            </w:r>
          </w:p>
          <w:p>
            <w:pPr>
              <w:spacing w:line="360" w:lineRule="auto"/>
              <w:ind w:firstLine="420" w:firstLineChars="200"/>
              <w:jc w:val="left"/>
            </w:pPr>
            <w:r>
              <w:t>1、企业概况</w:t>
            </w:r>
          </w:p>
          <w:p>
            <w:pPr>
              <w:spacing w:line="360" w:lineRule="auto"/>
              <w:ind w:firstLine="420" w:firstLineChars="200"/>
              <w:jc w:val="left"/>
            </w:pPr>
            <w:r>
              <w:t>柳河赵氏木业有限公司占地面积为66667.00m</w:t>
            </w:r>
            <w:r>
              <w:rPr>
                <w:vertAlign w:val="superscript"/>
              </w:rPr>
              <w:t>2</w:t>
            </w:r>
            <w:r>
              <w:t>，年生产板式家具6万件。</w:t>
            </w:r>
          </w:p>
          <w:p>
            <w:pPr>
              <w:spacing w:line="360" w:lineRule="auto"/>
              <w:ind w:firstLine="420" w:firstLineChars="200"/>
              <w:jc w:val="left"/>
            </w:pPr>
            <w:r>
              <w:t>2、企业原有环保手续</w:t>
            </w:r>
          </w:p>
          <w:p>
            <w:pPr>
              <w:spacing w:line="360" w:lineRule="auto"/>
              <w:ind w:firstLine="420" w:firstLineChars="200"/>
              <w:jc w:val="left"/>
            </w:pPr>
            <w:r>
              <w:t>2009年11月，柳河木王</w:t>
            </w:r>
            <w:r>
              <w:rPr>
                <w:rFonts w:hint="eastAsia"/>
                <w:lang w:eastAsia="zh-CN"/>
              </w:rPr>
              <w:t>家具</w:t>
            </w:r>
            <w:r>
              <w:t>制造有限公司委托吉林大学编制了《柳河木王</w:t>
            </w:r>
            <w:r>
              <w:rPr>
                <w:rFonts w:hint="eastAsia"/>
                <w:lang w:eastAsia="zh-CN"/>
              </w:rPr>
              <w:t>家具</w:t>
            </w:r>
            <w:r>
              <w:t>制造有限公司年产6万件板式</w:t>
            </w:r>
            <w:r>
              <w:rPr>
                <w:rFonts w:hint="eastAsia"/>
                <w:lang w:eastAsia="zh-CN"/>
              </w:rPr>
              <w:t>家具</w:t>
            </w:r>
            <w:r>
              <w:t>移地扩建项目环境影响报告书》，2009年12月1日，柳河县环境保护局出具了《关于柳河木王</w:t>
            </w:r>
            <w:r>
              <w:rPr>
                <w:rFonts w:hint="eastAsia"/>
                <w:lang w:eastAsia="zh-CN"/>
              </w:rPr>
              <w:t>家具</w:t>
            </w:r>
            <w:r>
              <w:t>制造有限公司年产6万件板式</w:t>
            </w:r>
            <w:r>
              <w:rPr>
                <w:rFonts w:hint="eastAsia"/>
                <w:lang w:eastAsia="zh-CN"/>
              </w:rPr>
              <w:t>家具</w:t>
            </w:r>
            <w:r>
              <w:t>移地扩建项目环境影响报告书的批复》文件（柳环建字【2009】38号）。</w:t>
            </w:r>
          </w:p>
          <w:p>
            <w:pPr>
              <w:spacing w:line="360" w:lineRule="auto"/>
              <w:ind w:firstLine="420" w:firstLineChars="200"/>
              <w:jc w:val="left"/>
            </w:pPr>
            <w:r>
              <w:t>柳河木王</w:t>
            </w:r>
            <w:r>
              <w:rPr>
                <w:rFonts w:hint="eastAsia"/>
                <w:lang w:eastAsia="zh-CN"/>
              </w:rPr>
              <w:t>家具</w:t>
            </w:r>
            <w:r>
              <w:t>制造有限公司因经营管理不善倒闭，后由柳河赵氏木业有限公司接收管理经营，《柳河木王</w:t>
            </w:r>
            <w:r>
              <w:rPr>
                <w:rFonts w:hint="eastAsia"/>
                <w:lang w:eastAsia="zh-CN"/>
              </w:rPr>
              <w:t>家具</w:t>
            </w:r>
            <w:r>
              <w:t>制造有限公司年产6万件板式</w:t>
            </w:r>
            <w:r>
              <w:rPr>
                <w:rFonts w:hint="eastAsia"/>
                <w:lang w:eastAsia="zh-CN"/>
              </w:rPr>
              <w:t>家具</w:t>
            </w:r>
            <w:r>
              <w:t>移地扩建项目环境影响报告书》建设主体工程与辅助工程均未发生重大变更。</w:t>
            </w:r>
          </w:p>
          <w:p>
            <w:pPr>
              <w:spacing w:line="360" w:lineRule="auto"/>
              <w:ind w:firstLine="420" w:firstLineChars="200"/>
              <w:jc w:val="left"/>
            </w:pPr>
            <w:r>
              <w:t>柳河赵氏木业有限公司于2026年07月03日首次申领固定污染源排污登记回执，登记编号为：91220524MA152YFU84001X，有效期为2026年07月03日至2031年07月02日。</w:t>
            </w:r>
          </w:p>
          <w:p>
            <w:pPr>
              <w:spacing w:line="360" w:lineRule="auto"/>
              <w:ind w:firstLine="420" w:firstLineChars="200"/>
              <w:jc w:val="left"/>
            </w:pPr>
            <w:r>
              <w:t>柳河赵氏木业有限公司已编制全厂突发环境事件应急预案并完成备案，备案号为：220524-2023-006-L。</w:t>
            </w:r>
          </w:p>
          <w:p>
            <w:pPr>
              <w:spacing w:line="360" w:lineRule="auto"/>
              <w:ind w:firstLine="420" w:firstLineChars="200"/>
              <w:jc w:val="left"/>
            </w:pPr>
            <w:r>
              <w:t>柳河赵氏木业有限公司于2023年03月06日取得《柳河木王</w:t>
            </w:r>
            <w:r>
              <w:rPr>
                <w:rFonts w:hint="eastAsia"/>
                <w:lang w:eastAsia="zh-CN"/>
              </w:rPr>
              <w:t>家具</w:t>
            </w:r>
            <w:r>
              <w:t>制造有限公司年产6万件板式</w:t>
            </w:r>
            <w:r>
              <w:rPr>
                <w:rFonts w:hint="eastAsia"/>
                <w:lang w:eastAsia="zh-CN"/>
              </w:rPr>
              <w:t>家具</w:t>
            </w:r>
            <w:r>
              <w:t>移地扩建项目竣工环境保护验收意见》。</w:t>
            </w:r>
          </w:p>
          <w:p>
            <w:pPr>
              <w:spacing w:line="360" w:lineRule="auto"/>
              <w:ind w:firstLine="420" w:firstLineChars="200"/>
              <w:jc w:val="left"/>
              <w:rPr>
                <w:u w:val="single"/>
              </w:rPr>
            </w:pPr>
            <w:r>
              <w:rPr>
                <w:u w:val="single"/>
              </w:rPr>
              <w:t>3、企业原有工程污染物排放及污染防治措施</w:t>
            </w:r>
          </w:p>
          <w:p>
            <w:pPr>
              <w:spacing w:line="360" w:lineRule="auto"/>
              <w:ind w:firstLine="420" w:firstLineChars="200"/>
              <w:jc w:val="left"/>
              <w:rPr>
                <w:szCs w:val="21"/>
                <w:u w:val="single"/>
              </w:rPr>
            </w:pPr>
            <w:r>
              <w:rPr>
                <w:szCs w:val="21"/>
                <w:u w:val="single"/>
              </w:rPr>
              <w:t>根据《柳河木王</w:t>
            </w:r>
            <w:r>
              <w:rPr>
                <w:rFonts w:hint="eastAsia"/>
                <w:szCs w:val="21"/>
                <w:u w:val="single"/>
                <w:lang w:eastAsia="zh-CN"/>
              </w:rPr>
              <w:t>家具</w:t>
            </w:r>
            <w:r>
              <w:rPr>
                <w:szCs w:val="21"/>
                <w:u w:val="single"/>
              </w:rPr>
              <w:t>制造有限公司年产6万件板式</w:t>
            </w:r>
            <w:r>
              <w:rPr>
                <w:rFonts w:hint="eastAsia"/>
                <w:szCs w:val="21"/>
                <w:u w:val="single"/>
                <w:lang w:eastAsia="zh-CN"/>
              </w:rPr>
              <w:t>家具</w:t>
            </w:r>
            <w:r>
              <w:rPr>
                <w:szCs w:val="21"/>
                <w:u w:val="single"/>
              </w:rPr>
              <w:t>移地扩建项目竣工环境保护验收监测报告》（2023年2月）</w:t>
            </w:r>
            <w:r>
              <w:rPr>
                <w:rFonts w:hint="eastAsia"/>
                <w:szCs w:val="21"/>
                <w:u w:val="single"/>
              </w:rPr>
              <w:t>、</w:t>
            </w:r>
            <w:r>
              <w:rPr>
                <w:szCs w:val="21"/>
                <w:u w:val="single"/>
              </w:rPr>
              <w:t>原环评</w:t>
            </w:r>
            <w:r>
              <w:rPr>
                <w:rFonts w:hint="eastAsia"/>
                <w:szCs w:val="21"/>
                <w:u w:val="single"/>
              </w:rPr>
              <w:t>报告及</w:t>
            </w:r>
            <w:r>
              <w:rPr>
                <w:szCs w:val="21"/>
                <w:u w:val="single"/>
              </w:rPr>
              <w:t>批复（柳环建字【2009】38号），现有工程所采取的各项污染防治措施及污染物排放情况如下</w:t>
            </w:r>
            <w:r>
              <w:rPr>
                <w:u w:val="single"/>
              </w:rPr>
              <w:t>。</w:t>
            </w:r>
          </w:p>
          <w:p>
            <w:pPr>
              <w:spacing w:line="360" w:lineRule="auto"/>
              <w:ind w:firstLine="420" w:firstLineChars="200"/>
              <w:jc w:val="left"/>
              <w:rPr>
                <w:szCs w:val="21"/>
                <w:u w:val="single"/>
              </w:rPr>
            </w:pPr>
            <w:r>
              <w:rPr>
                <w:szCs w:val="21"/>
                <w:u w:val="single"/>
              </w:rPr>
              <w:t>（1）废水污染防治措施及排放情况</w:t>
            </w:r>
          </w:p>
          <w:p>
            <w:pPr>
              <w:spacing w:line="360" w:lineRule="auto"/>
              <w:ind w:firstLine="420" w:firstLineChars="200"/>
              <w:jc w:val="left"/>
              <w:rPr>
                <w:szCs w:val="21"/>
                <w:u w:val="single"/>
              </w:rPr>
            </w:pPr>
            <w:r>
              <w:rPr>
                <w:szCs w:val="21"/>
                <w:u w:val="single"/>
              </w:rPr>
              <w:t>废水污染防治措施及排放情况详见表11。</w:t>
            </w:r>
          </w:p>
          <w:p>
            <w:pPr>
              <w:ind w:firstLine="422" w:firstLineChars="200"/>
              <w:jc w:val="center"/>
              <w:rPr>
                <w:b/>
                <w:bCs/>
                <w:u w:val="single"/>
              </w:rPr>
            </w:pPr>
            <w:r>
              <w:rPr>
                <w:b/>
                <w:bCs/>
                <w:u w:val="single"/>
              </w:rPr>
              <w:t>表11  废水污染防治措施及排放情况一览表</w:t>
            </w:r>
          </w:p>
          <w:tbl>
            <w:tblPr>
              <w:tblStyle w:val="26"/>
              <w:tblW w:w="8501" w:type="dxa"/>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557"/>
              <w:gridCol w:w="1366"/>
              <w:gridCol w:w="4213"/>
              <w:gridCol w:w="1365"/>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557" w:type="dxa"/>
                  <w:vAlign w:val="center"/>
                </w:tcPr>
                <w:p>
                  <w:pPr>
                    <w:adjustRightInd w:val="0"/>
                    <w:snapToGrid w:val="0"/>
                    <w:jc w:val="center"/>
                    <w:rPr>
                      <w:sz w:val="18"/>
                      <w:szCs w:val="18"/>
                      <w:u w:val="single"/>
                    </w:rPr>
                  </w:pPr>
                  <w:r>
                    <w:rPr>
                      <w:sz w:val="18"/>
                      <w:szCs w:val="18"/>
                      <w:u w:val="single"/>
                    </w:rPr>
                    <w:t>废水种类</w:t>
                  </w:r>
                </w:p>
              </w:tc>
              <w:tc>
                <w:tcPr>
                  <w:tcW w:w="1366" w:type="dxa"/>
                  <w:vAlign w:val="center"/>
                </w:tcPr>
                <w:p>
                  <w:pPr>
                    <w:adjustRightInd w:val="0"/>
                    <w:snapToGrid w:val="0"/>
                    <w:jc w:val="center"/>
                    <w:rPr>
                      <w:sz w:val="18"/>
                      <w:szCs w:val="18"/>
                      <w:u w:val="single"/>
                    </w:rPr>
                  </w:pPr>
                  <w:r>
                    <w:rPr>
                      <w:sz w:val="18"/>
                      <w:szCs w:val="18"/>
                      <w:u w:val="single"/>
                    </w:rPr>
                    <w:t>来源</w:t>
                  </w:r>
                </w:p>
              </w:tc>
              <w:tc>
                <w:tcPr>
                  <w:tcW w:w="4213" w:type="dxa"/>
                  <w:vAlign w:val="center"/>
                </w:tcPr>
                <w:p>
                  <w:pPr>
                    <w:adjustRightInd w:val="0"/>
                    <w:snapToGrid w:val="0"/>
                    <w:jc w:val="center"/>
                    <w:rPr>
                      <w:sz w:val="18"/>
                      <w:szCs w:val="18"/>
                      <w:u w:val="single"/>
                    </w:rPr>
                  </w:pPr>
                  <w:r>
                    <w:rPr>
                      <w:sz w:val="18"/>
                      <w:szCs w:val="18"/>
                      <w:u w:val="single"/>
                    </w:rPr>
                    <w:t>处理措施</w:t>
                  </w:r>
                </w:p>
              </w:tc>
              <w:tc>
                <w:tcPr>
                  <w:tcW w:w="1365" w:type="dxa"/>
                  <w:vAlign w:val="center"/>
                </w:tcPr>
                <w:p>
                  <w:pPr>
                    <w:adjustRightInd w:val="0"/>
                    <w:snapToGrid w:val="0"/>
                    <w:jc w:val="center"/>
                    <w:rPr>
                      <w:sz w:val="18"/>
                      <w:szCs w:val="18"/>
                      <w:u w:val="single"/>
                    </w:rPr>
                  </w:pPr>
                  <w:r>
                    <w:rPr>
                      <w:rFonts w:hint="eastAsia"/>
                      <w:sz w:val="18"/>
                      <w:szCs w:val="18"/>
                      <w:u w:val="single"/>
                    </w:rPr>
                    <w:t>排放量（t/a）</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557" w:type="dxa"/>
                  <w:vAlign w:val="center"/>
                </w:tcPr>
                <w:p>
                  <w:pPr>
                    <w:adjustRightInd w:val="0"/>
                    <w:snapToGrid w:val="0"/>
                    <w:jc w:val="center"/>
                    <w:rPr>
                      <w:sz w:val="18"/>
                      <w:szCs w:val="18"/>
                      <w:u w:val="single"/>
                    </w:rPr>
                  </w:pPr>
                  <w:r>
                    <w:rPr>
                      <w:sz w:val="18"/>
                      <w:szCs w:val="18"/>
                      <w:u w:val="single"/>
                    </w:rPr>
                    <w:t>喷漆房水帘用水</w:t>
                  </w:r>
                </w:p>
              </w:tc>
              <w:tc>
                <w:tcPr>
                  <w:tcW w:w="1366" w:type="dxa"/>
                  <w:vAlign w:val="center"/>
                </w:tcPr>
                <w:p>
                  <w:pPr>
                    <w:adjustRightInd w:val="0"/>
                    <w:snapToGrid w:val="0"/>
                    <w:jc w:val="center"/>
                    <w:rPr>
                      <w:sz w:val="18"/>
                      <w:szCs w:val="18"/>
                      <w:u w:val="single"/>
                    </w:rPr>
                  </w:pPr>
                  <w:r>
                    <w:rPr>
                      <w:sz w:val="18"/>
                      <w:szCs w:val="18"/>
                      <w:u w:val="single"/>
                    </w:rPr>
                    <w:t>喷漆工序</w:t>
                  </w:r>
                </w:p>
              </w:tc>
              <w:tc>
                <w:tcPr>
                  <w:tcW w:w="4213" w:type="dxa"/>
                  <w:vAlign w:val="center"/>
                </w:tcPr>
                <w:p>
                  <w:pPr>
                    <w:adjustRightInd w:val="0"/>
                    <w:snapToGrid w:val="0"/>
                    <w:jc w:val="center"/>
                    <w:rPr>
                      <w:sz w:val="18"/>
                      <w:szCs w:val="18"/>
                      <w:u w:val="single"/>
                    </w:rPr>
                  </w:pPr>
                  <w:r>
                    <w:rPr>
                      <w:sz w:val="18"/>
                      <w:szCs w:val="18"/>
                      <w:u w:val="single"/>
                    </w:rPr>
                    <w:t>循环利用</w:t>
                  </w:r>
                </w:p>
              </w:tc>
              <w:tc>
                <w:tcPr>
                  <w:tcW w:w="1365" w:type="dxa"/>
                  <w:vAlign w:val="center"/>
                </w:tcPr>
                <w:p>
                  <w:pPr>
                    <w:adjustRightInd w:val="0"/>
                    <w:snapToGrid w:val="0"/>
                    <w:jc w:val="center"/>
                    <w:rPr>
                      <w:sz w:val="18"/>
                      <w:szCs w:val="18"/>
                      <w:u w:val="single"/>
                    </w:rPr>
                  </w:pPr>
                  <w:r>
                    <w:rPr>
                      <w:rFonts w:hint="eastAsia"/>
                      <w:sz w:val="18"/>
                      <w:szCs w:val="18"/>
                      <w:u w:val="single"/>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557" w:type="dxa"/>
                  <w:vAlign w:val="center"/>
                </w:tcPr>
                <w:p>
                  <w:pPr>
                    <w:adjustRightInd w:val="0"/>
                    <w:snapToGrid w:val="0"/>
                    <w:jc w:val="center"/>
                    <w:rPr>
                      <w:sz w:val="18"/>
                      <w:szCs w:val="18"/>
                      <w:u w:val="single"/>
                    </w:rPr>
                  </w:pPr>
                  <w:r>
                    <w:rPr>
                      <w:sz w:val="18"/>
                      <w:szCs w:val="18"/>
                      <w:u w:val="single"/>
                    </w:rPr>
                    <w:t>生活污水</w:t>
                  </w:r>
                </w:p>
              </w:tc>
              <w:tc>
                <w:tcPr>
                  <w:tcW w:w="1366" w:type="dxa"/>
                  <w:vAlign w:val="center"/>
                </w:tcPr>
                <w:p>
                  <w:pPr>
                    <w:adjustRightInd w:val="0"/>
                    <w:snapToGrid w:val="0"/>
                    <w:jc w:val="center"/>
                    <w:rPr>
                      <w:sz w:val="18"/>
                      <w:szCs w:val="18"/>
                      <w:u w:val="single"/>
                    </w:rPr>
                  </w:pPr>
                  <w:r>
                    <w:rPr>
                      <w:sz w:val="18"/>
                      <w:szCs w:val="18"/>
                      <w:u w:val="single"/>
                    </w:rPr>
                    <w:t>员工日常生活</w:t>
                  </w:r>
                </w:p>
              </w:tc>
              <w:tc>
                <w:tcPr>
                  <w:tcW w:w="4213" w:type="dxa"/>
                  <w:vAlign w:val="center"/>
                </w:tcPr>
                <w:p>
                  <w:pPr>
                    <w:adjustRightInd w:val="0"/>
                    <w:snapToGrid w:val="0"/>
                    <w:jc w:val="center"/>
                    <w:rPr>
                      <w:sz w:val="18"/>
                      <w:szCs w:val="18"/>
                      <w:u w:val="single"/>
                    </w:rPr>
                  </w:pPr>
                  <w:r>
                    <w:rPr>
                      <w:sz w:val="18"/>
                      <w:szCs w:val="18"/>
                      <w:u w:val="single"/>
                    </w:rPr>
                    <w:t>排入市政管网，由柳河县碧水污水处理有限公司</w:t>
                  </w:r>
                </w:p>
                <w:p>
                  <w:pPr>
                    <w:adjustRightInd w:val="0"/>
                    <w:snapToGrid w:val="0"/>
                    <w:jc w:val="center"/>
                    <w:rPr>
                      <w:sz w:val="18"/>
                      <w:szCs w:val="18"/>
                      <w:u w:val="single"/>
                    </w:rPr>
                  </w:pPr>
                  <w:r>
                    <w:rPr>
                      <w:sz w:val="18"/>
                      <w:szCs w:val="18"/>
                      <w:u w:val="single"/>
                    </w:rPr>
                    <w:t>处理达标后排放</w:t>
                  </w:r>
                </w:p>
              </w:tc>
              <w:tc>
                <w:tcPr>
                  <w:tcW w:w="1365" w:type="dxa"/>
                  <w:vAlign w:val="center"/>
                </w:tcPr>
                <w:p>
                  <w:pPr>
                    <w:adjustRightInd w:val="0"/>
                    <w:snapToGrid w:val="0"/>
                    <w:jc w:val="center"/>
                    <w:rPr>
                      <w:sz w:val="18"/>
                      <w:szCs w:val="18"/>
                      <w:u w:val="single"/>
                    </w:rPr>
                  </w:pPr>
                  <w:r>
                    <w:rPr>
                      <w:rFonts w:hint="eastAsia"/>
                      <w:sz w:val="18"/>
                      <w:szCs w:val="18"/>
                      <w:u w:val="single"/>
                    </w:rPr>
                    <w:t>COD：6.14</w:t>
                  </w:r>
                </w:p>
                <w:p>
                  <w:pPr>
                    <w:adjustRightInd w:val="0"/>
                    <w:snapToGrid w:val="0"/>
                    <w:jc w:val="center"/>
                    <w:rPr>
                      <w:sz w:val="18"/>
                      <w:szCs w:val="18"/>
                      <w:u w:val="single"/>
                    </w:rPr>
                  </w:pPr>
                  <w:r>
                    <w:rPr>
                      <w:rFonts w:hint="eastAsia"/>
                      <w:sz w:val="18"/>
                      <w:szCs w:val="18"/>
                      <w:u w:val="single"/>
                    </w:rPr>
                    <w:t>NH</w:t>
                  </w:r>
                  <w:r>
                    <w:rPr>
                      <w:rFonts w:hint="eastAsia"/>
                      <w:sz w:val="18"/>
                      <w:szCs w:val="18"/>
                      <w:u w:val="single"/>
                      <w:vertAlign w:val="subscript"/>
                    </w:rPr>
                    <w:t>3</w:t>
                  </w:r>
                  <w:r>
                    <w:rPr>
                      <w:rFonts w:hint="eastAsia"/>
                      <w:sz w:val="18"/>
                      <w:szCs w:val="18"/>
                      <w:u w:val="single"/>
                    </w:rPr>
                    <w:t>-N：0.61</w:t>
                  </w:r>
                </w:p>
              </w:tc>
            </w:tr>
          </w:tbl>
          <w:p>
            <w:pPr>
              <w:spacing w:line="360" w:lineRule="auto"/>
              <w:ind w:firstLine="420" w:firstLineChars="200"/>
              <w:jc w:val="left"/>
              <w:rPr>
                <w:szCs w:val="21"/>
                <w:u w:val="single"/>
              </w:rPr>
            </w:pPr>
            <w:r>
              <w:rPr>
                <w:szCs w:val="21"/>
                <w:u w:val="single"/>
              </w:rPr>
              <w:t>（2）废气污染防治措施及排放情况</w:t>
            </w:r>
          </w:p>
          <w:p>
            <w:pPr>
              <w:spacing w:line="360" w:lineRule="auto"/>
              <w:ind w:firstLine="420" w:firstLineChars="200"/>
              <w:jc w:val="left"/>
              <w:rPr>
                <w:szCs w:val="21"/>
                <w:u w:val="single"/>
              </w:rPr>
            </w:pPr>
            <w:r>
              <w:rPr>
                <w:szCs w:val="21"/>
                <w:u w:val="single"/>
              </w:rPr>
              <w:t>废气污染防治措施及排放情况详见表12。</w:t>
            </w:r>
          </w:p>
          <w:p>
            <w:pPr>
              <w:ind w:firstLine="422" w:firstLineChars="200"/>
              <w:jc w:val="center"/>
              <w:rPr>
                <w:b/>
                <w:bCs/>
                <w:u w:val="single"/>
              </w:rPr>
            </w:pPr>
          </w:p>
          <w:p>
            <w:pPr>
              <w:ind w:firstLine="422" w:firstLineChars="200"/>
              <w:jc w:val="center"/>
              <w:rPr>
                <w:b/>
                <w:bCs/>
                <w:u w:val="single"/>
              </w:rPr>
            </w:pPr>
          </w:p>
          <w:p>
            <w:pPr>
              <w:ind w:firstLine="422" w:firstLineChars="200"/>
              <w:jc w:val="center"/>
              <w:rPr>
                <w:b/>
                <w:bCs/>
                <w:u w:val="single"/>
              </w:rPr>
            </w:pPr>
          </w:p>
          <w:p>
            <w:pPr>
              <w:ind w:firstLine="422" w:firstLineChars="200"/>
              <w:jc w:val="center"/>
              <w:rPr>
                <w:b/>
                <w:bCs/>
                <w:u w:val="single"/>
              </w:rPr>
            </w:pPr>
          </w:p>
          <w:p>
            <w:pPr>
              <w:ind w:firstLine="422" w:firstLineChars="200"/>
              <w:jc w:val="center"/>
              <w:rPr>
                <w:b/>
                <w:bCs/>
                <w:u w:val="single"/>
              </w:rPr>
            </w:pPr>
          </w:p>
          <w:p>
            <w:pPr>
              <w:ind w:firstLine="422" w:firstLineChars="200"/>
              <w:jc w:val="center"/>
              <w:rPr>
                <w:b/>
                <w:bCs/>
                <w:u w:val="single"/>
              </w:rPr>
            </w:pPr>
          </w:p>
          <w:p>
            <w:pPr>
              <w:ind w:firstLine="422" w:firstLineChars="200"/>
              <w:jc w:val="center"/>
              <w:rPr>
                <w:b/>
                <w:bCs/>
                <w:u w:val="single"/>
              </w:rPr>
            </w:pPr>
          </w:p>
          <w:p>
            <w:pPr>
              <w:ind w:firstLine="422" w:firstLineChars="200"/>
              <w:jc w:val="center"/>
              <w:rPr>
                <w:b/>
                <w:bCs/>
                <w:u w:val="single"/>
              </w:rPr>
            </w:pPr>
          </w:p>
          <w:p>
            <w:pPr>
              <w:ind w:firstLine="422" w:firstLineChars="200"/>
              <w:jc w:val="center"/>
              <w:rPr>
                <w:b/>
                <w:bCs/>
                <w:u w:val="single"/>
              </w:rPr>
            </w:pPr>
          </w:p>
          <w:p>
            <w:pPr>
              <w:ind w:firstLine="422" w:firstLineChars="200"/>
              <w:jc w:val="center"/>
              <w:rPr>
                <w:b/>
                <w:bCs/>
                <w:u w:val="single"/>
              </w:rPr>
            </w:pPr>
          </w:p>
          <w:p>
            <w:pPr>
              <w:ind w:firstLine="422" w:firstLineChars="200"/>
              <w:jc w:val="center"/>
              <w:rPr>
                <w:b/>
                <w:bCs/>
                <w:u w:val="single"/>
              </w:rPr>
            </w:pPr>
          </w:p>
          <w:p>
            <w:pPr>
              <w:ind w:firstLine="422" w:firstLineChars="200"/>
              <w:jc w:val="center"/>
              <w:rPr>
                <w:b/>
                <w:bCs/>
                <w:u w:val="single"/>
              </w:rPr>
            </w:pPr>
            <w:r>
              <w:rPr>
                <w:b/>
                <w:bCs/>
                <w:u w:val="single"/>
              </w:rPr>
              <w:t>表12  废水污染防治措施及排放情况一览表</w:t>
            </w:r>
          </w:p>
          <w:tbl>
            <w:tblPr>
              <w:tblStyle w:val="26"/>
              <w:tblW w:w="8501" w:type="dxa"/>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142"/>
              <w:gridCol w:w="1048"/>
              <w:gridCol w:w="1219"/>
              <w:gridCol w:w="1440"/>
              <w:gridCol w:w="1593"/>
              <w:gridCol w:w="1455"/>
              <w:gridCol w:w="604"/>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142" w:type="dxa"/>
                  <w:vAlign w:val="center"/>
                </w:tcPr>
                <w:p>
                  <w:pPr>
                    <w:adjustRightInd w:val="0"/>
                    <w:snapToGrid w:val="0"/>
                    <w:jc w:val="center"/>
                    <w:rPr>
                      <w:sz w:val="18"/>
                      <w:szCs w:val="18"/>
                      <w:u w:val="single"/>
                    </w:rPr>
                  </w:pPr>
                  <w:r>
                    <w:rPr>
                      <w:sz w:val="18"/>
                      <w:szCs w:val="18"/>
                      <w:u w:val="single"/>
                    </w:rPr>
                    <w:t>污染源</w:t>
                  </w:r>
                </w:p>
              </w:tc>
              <w:tc>
                <w:tcPr>
                  <w:tcW w:w="1048" w:type="dxa"/>
                  <w:vAlign w:val="center"/>
                </w:tcPr>
                <w:p>
                  <w:pPr>
                    <w:adjustRightInd w:val="0"/>
                    <w:snapToGrid w:val="0"/>
                    <w:jc w:val="center"/>
                    <w:rPr>
                      <w:sz w:val="18"/>
                      <w:szCs w:val="18"/>
                      <w:u w:val="single"/>
                    </w:rPr>
                  </w:pPr>
                  <w:r>
                    <w:rPr>
                      <w:sz w:val="18"/>
                      <w:szCs w:val="18"/>
                      <w:u w:val="single"/>
                    </w:rPr>
                    <w:t>主要污染物</w:t>
                  </w:r>
                </w:p>
              </w:tc>
              <w:tc>
                <w:tcPr>
                  <w:tcW w:w="1219" w:type="dxa"/>
                  <w:vAlign w:val="center"/>
                </w:tcPr>
                <w:p>
                  <w:pPr>
                    <w:adjustRightInd w:val="0"/>
                    <w:snapToGrid w:val="0"/>
                    <w:jc w:val="center"/>
                    <w:rPr>
                      <w:sz w:val="18"/>
                      <w:szCs w:val="18"/>
                      <w:u w:val="single"/>
                    </w:rPr>
                  </w:pPr>
                  <w:r>
                    <w:rPr>
                      <w:sz w:val="18"/>
                      <w:szCs w:val="18"/>
                      <w:u w:val="single"/>
                    </w:rPr>
                    <w:t>治理措施</w:t>
                  </w:r>
                </w:p>
              </w:tc>
              <w:tc>
                <w:tcPr>
                  <w:tcW w:w="1440" w:type="dxa"/>
                  <w:vAlign w:val="center"/>
                </w:tcPr>
                <w:p>
                  <w:pPr>
                    <w:adjustRightInd w:val="0"/>
                    <w:snapToGrid w:val="0"/>
                    <w:jc w:val="center"/>
                    <w:rPr>
                      <w:sz w:val="18"/>
                      <w:szCs w:val="18"/>
                      <w:u w:val="single"/>
                    </w:rPr>
                  </w:pPr>
                  <w:r>
                    <w:rPr>
                      <w:sz w:val="18"/>
                      <w:szCs w:val="18"/>
                      <w:u w:val="single"/>
                    </w:rPr>
                    <w:t>排放方式</w:t>
                  </w:r>
                </w:p>
              </w:tc>
              <w:tc>
                <w:tcPr>
                  <w:tcW w:w="1593" w:type="dxa"/>
                  <w:vAlign w:val="center"/>
                </w:tcPr>
                <w:p>
                  <w:pPr>
                    <w:adjustRightInd w:val="0"/>
                    <w:snapToGrid w:val="0"/>
                    <w:jc w:val="center"/>
                    <w:rPr>
                      <w:sz w:val="18"/>
                      <w:szCs w:val="18"/>
                      <w:u w:val="single"/>
                    </w:rPr>
                  </w:pPr>
                  <w:r>
                    <w:rPr>
                      <w:sz w:val="18"/>
                      <w:szCs w:val="18"/>
                      <w:u w:val="single"/>
                    </w:rPr>
                    <w:t>排放浓度</w:t>
                  </w:r>
                </w:p>
                <w:p>
                  <w:pPr>
                    <w:adjustRightInd w:val="0"/>
                    <w:snapToGrid w:val="0"/>
                    <w:jc w:val="center"/>
                    <w:rPr>
                      <w:sz w:val="18"/>
                      <w:szCs w:val="18"/>
                      <w:u w:val="single"/>
                    </w:rPr>
                  </w:pPr>
                  <w:r>
                    <w:rPr>
                      <w:sz w:val="18"/>
                      <w:szCs w:val="18"/>
                      <w:u w:val="single"/>
                    </w:rPr>
                    <w:t>（验收监测均值）</w:t>
                  </w:r>
                </w:p>
              </w:tc>
              <w:tc>
                <w:tcPr>
                  <w:tcW w:w="1455" w:type="dxa"/>
                  <w:vAlign w:val="center"/>
                </w:tcPr>
                <w:p>
                  <w:pPr>
                    <w:adjustRightInd w:val="0"/>
                    <w:snapToGrid w:val="0"/>
                    <w:jc w:val="center"/>
                    <w:rPr>
                      <w:sz w:val="18"/>
                      <w:szCs w:val="18"/>
                      <w:u w:val="single"/>
                    </w:rPr>
                  </w:pPr>
                  <w:r>
                    <w:rPr>
                      <w:sz w:val="18"/>
                      <w:szCs w:val="18"/>
                      <w:u w:val="single"/>
                    </w:rPr>
                    <w:t>标准限值</w:t>
                  </w:r>
                </w:p>
              </w:tc>
              <w:tc>
                <w:tcPr>
                  <w:tcW w:w="604" w:type="dxa"/>
                  <w:vAlign w:val="center"/>
                </w:tcPr>
                <w:p>
                  <w:pPr>
                    <w:adjustRightInd w:val="0"/>
                    <w:snapToGrid w:val="0"/>
                    <w:jc w:val="center"/>
                    <w:rPr>
                      <w:sz w:val="18"/>
                      <w:szCs w:val="18"/>
                      <w:u w:val="single"/>
                    </w:rPr>
                  </w:pPr>
                  <w:r>
                    <w:rPr>
                      <w:sz w:val="18"/>
                      <w:szCs w:val="18"/>
                      <w:u w:val="single"/>
                    </w:rPr>
                    <w:t>达标情况</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142" w:type="dxa"/>
                  <w:vMerge w:val="restart"/>
                  <w:vAlign w:val="center"/>
                </w:tcPr>
                <w:p>
                  <w:pPr>
                    <w:adjustRightInd w:val="0"/>
                    <w:snapToGrid w:val="0"/>
                    <w:jc w:val="center"/>
                    <w:rPr>
                      <w:sz w:val="18"/>
                      <w:szCs w:val="18"/>
                      <w:u w:val="single"/>
                    </w:rPr>
                  </w:pPr>
                  <w:r>
                    <w:rPr>
                      <w:sz w:val="18"/>
                      <w:szCs w:val="18"/>
                      <w:u w:val="single"/>
                    </w:rPr>
                    <w:t>0.5MW燃生物质锅炉烟气</w:t>
                  </w:r>
                </w:p>
              </w:tc>
              <w:tc>
                <w:tcPr>
                  <w:tcW w:w="1048" w:type="dxa"/>
                  <w:vAlign w:val="center"/>
                </w:tcPr>
                <w:p>
                  <w:pPr>
                    <w:adjustRightInd w:val="0"/>
                    <w:snapToGrid w:val="0"/>
                    <w:jc w:val="center"/>
                    <w:rPr>
                      <w:sz w:val="18"/>
                      <w:szCs w:val="18"/>
                      <w:u w:val="single"/>
                    </w:rPr>
                  </w:pPr>
                  <w:r>
                    <w:rPr>
                      <w:sz w:val="18"/>
                      <w:szCs w:val="18"/>
                      <w:u w:val="single"/>
                    </w:rPr>
                    <w:t>颗粒物</w:t>
                  </w:r>
                </w:p>
              </w:tc>
              <w:tc>
                <w:tcPr>
                  <w:tcW w:w="1219" w:type="dxa"/>
                  <w:vAlign w:val="center"/>
                </w:tcPr>
                <w:p>
                  <w:pPr>
                    <w:adjustRightInd w:val="0"/>
                    <w:snapToGrid w:val="0"/>
                    <w:jc w:val="center"/>
                    <w:rPr>
                      <w:sz w:val="18"/>
                      <w:szCs w:val="18"/>
                      <w:u w:val="single"/>
                    </w:rPr>
                  </w:pPr>
                  <w:r>
                    <w:rPr>
                      <w:sz w:val="18"/>
                      <w:szCs w:val="18"/>
                      <w:u w:val="single"/>
                    </w:rPr>
                    <w:t>布袋除尘器</w:t>
                  </w:r>
                </w:p>
                <w:p>
                  <w:pPr>
                    <w:adjustRightInd w:val="0"/>
                    <w:snapToGrid w:val="0"/>
                    <w:jc w:val="center"/>
                    <w:rPr>
                      <w:sz w:val="18"/>
                      <w:szCs w:val="18"/>
                      <w:u w:val="single"/>
                    </w:rPr>
                  </w:pPr>
                  <w:r>
                    <w:rPr>
                      <w:rFonts w:hint="eastAsia"/>
                      <w:sz w:val="18"/>
                      <w:szCs w:val="18"/>
                      <w:u w:val="single"/>
                    </w:rPr>
                    <w:t>与水除尘</w:t>
                  </w:r>
                </w:p>
              </w:tc>
              <w:tc>
                <w:tcPr>
                  <w:tcW w:w="1440" w:type="dxa"/>
                  <w:vAlign w:val="center"/>
                </w:tcPr>
                <w:p>
                  <w:pPr>
                    <w:adjustRightInd w:val="0"/>
                    <w:snapToGrid w:val="0"/>
                    <w:jc w:val="center"/>
                    <w:rPr>
                      <w:sz w:val="18"/>
                      <w:szCs w:val="18"/>
                      <w:u w:val="single"/>
                    </w:rPr>
                  </w:pPr>
                  <w:r>
                    <w:rPr>
                      <w:sz w:val="18"/>
                      <w:szCs w:val="18"/>
                      <w:u w:val="single"/>
                    </w:rPr>
                    <w:t>20m高烟囱（1#）排放</w:t>
                  </w:r>
                </w:p>
              </w:tc>
              <w:tc>
                <w:tcPr>
                  <w:tcW w:w="1593" w:type="dxa"/>
                  <w:vAlign w:val="center"/>
                </w:tcPr>
                <w:p>
                  <w:pPr>
                    <w:adjustRightInd w:val="0"/>
                    <w:snapToGrid w:val="0"/>
                    <w:jc w:val="center"/>
                    <w:rPr>
                      <w:sz w:val="18"/>
                      <w:szCs w:val="18"/>
                      <w:u w:val="single"/>
                    </w:rPr>
                  </w:pPr>
                  <w:r>
                    <w:rPr>
                      <w:sz w:val="18"/>
                      <w:szCs w:val="18"/>
                      <w:u w:val="single"/>
                    </w:rPr>
                    <w:t>23-28mg/m</w:t>
                  </w:r>
                  <w:r>
                    <w:rPr>
                      <w:sz w:val="18"/>
                      <w:szCs w:val="18"/>
                      <w:u w:val="single"/>
                      <w:vertAlign w:val="superscript"/>
                    </w:rPr>
                    <w:t>3</w:t>
                  </w:r>
                </w:p>
              </w:tc>
              <w:tc>
                <w:tcPr>
                  <w:tcW w:w="1455" w:type="dxa"/>
                  <w:vAlign w:val="center"/>
                </w:tcPr>
                <w:p>
                  <w:pPr>
                    <w:adjustRightInd w:val="0"/>
                    <w:snapToGrid w:val="0"/>
                    <w:jc w:val="center"/>
                    <w:rPr>
                      <w:sz w:val="18"/>
                      <w:szCs w:val="18"/>
                      <w:u w:val="single"/>
                    </w:rPr>
                  </w:pPr>
                  <w:r>
                    <w:rPr>
                      <w:sz w:val="18"/>
                      <w:szCs w:val="18"/>
                      <w:u w:val="single"/>
                    </w:rPr>
                    <w:t>50mg/m</w:t>
                  </w:r>
                  <w:r>
                    <w:rPr>
                      <w:sz w:val="18"/>
                      <w:szCs w:val="18"/>
                      <w:u w:val="single"/>
                      <w:vertAlign w:val="superscript"/>
                    </w:rPr>
                    <w:t>3</w:t>
                  </w:r>
                </w:p>
              </w:tc>
              <w:tc>
                <w:tcPr>
                  <w:tcW w:w="604" w:type="dxa"/>
                  <w:vAlign w:val="center"/>
                </w:tcPr>
                <w:p>
                  <w:pPr>
                    <w:adjustRightInd w:val="0"/>
                    <w:snapToGrid w:val="0"/>
                    <w:jc w:val="center"/>
                    <w:rPr>
                      <w:sz w:val="18"/>
                      <w:szCs w:val="18"/>
                      <w:u w:val="single"/>
                    </w:rPr>
                  </w:pPr>
                  <w:r>
                    <w:rPr>
                      <w:sz w:val="18"/>
                      <w:szCs w:val="18"/>
                      <w:u w:val="single"/>
                    </w:rPr>
                    <w:t>达标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142" w:type="dxa"/>
                  <w:vMerge w:val="continue"/>
                  <w:vAlign w:val="center"/>
                </w:tcPr>
                <w:p>
                  <w:pPr>
                    <w:adjustRightInd w:val="0"/>
                    <w:snapToGrid w:val="0"/>
                    <w:jc w:val="center"/>
                    <w:rPr>
                      <w:sz w:val="18"/>
                      <w:szCs w:val="18"/>
                      <w:u w:val="single"/>
                    </w:rPr>
                  </w:pPr>
                </w:p>
              </w:tc>
              <w:tc>
                <w:tcPr>
                  <w:tcW w:w="1048" w:type="dxa"/>
                  <w:vAlign w:val="center"/>
                </w:tcPr>
                <w:p>
                  <w:pPr>
                    <w:adjustRightInd w:val="0"/>
                    <w:snapToGrid w:val="0"/>
                    <w:jc w:val="center"/>
                    <w:rPr>
                      <w:sz w:val="18"/>
                      <w:szCs w:val="18"/>
                      <w:u w:val="single"/>
                    </w:rPr>
                  </w:pPr>
                  <w:r>
                    <w:rPr>
                      <w:sz w:val="18"/>
                      <w:szCs w:val="18"/>
                      <w:u w:val="single"/>
                    </w:rPr>
                    <w:t>SO</w:t>
                  </w:r>
                  <w:r>
                    <w:rPr>
                      <w:sz w:val="18"/>
                      <w:szCs w:val="18"/>
                      <w:u w:val="single"/>
                      <w:vertAlign w:val="subscript"/>
                    </w:rPr>
                    <w:t>2</w:t>
                  </w:r>
                </w:p>
              </w:tc>
              <w:tc>
                <w:tcPr>
                  <w:tcW w:w="1219" w:type="dxa"/>
                  <w:vAlign w:val="center"/>
                </w:tcPr>
                <w:p>
                  <w:pPr>
                    <w:adjustRightInd w:val="0"/>
                    <w:snapToGrid w:val="0"/>
                    <w:jc w:val="center"/>
                    <w:rPr>
                      <w:sz w:val="18"/>
                      <w:szCs w:val="18"/>
                      <w:u w:val="single"/>
                    </w:rPr>
                  </w:pPr>
                  <w:r>
                    <w:rPr>
                      <w:sz w:val="18"/>
                      <w:szCs w:val="18"/>
                      <w:u w:val="single"/>
                    </w:rPr>
                    <w:t>/</w:t>
                  </w:r>
                </w:p>
              </w:tc>
              <w:tc>
                <w:tcPr>
                  <w:tcW w:w="1440" w:type="dxa"/>
                  <w:vAlign w:val="center"/>
                </w:tcPr>
                <w:p>
                  <w:pPr>
                    <w:adjustRightInd w:val="0"/>
                    <w:snapToGrid w:val="0"/>
                    <w:jc w:val="center"/>
                    <w:rPr>
                      <w:sz w:val="18"/>
                      <w:szCs w:val="18"/>
                      <w:u w:val="single"/>
                    </w:rPr>
                  </w:pPr>
                  <w:r>
                    <w:rPr>
                      <w:sz w:val="18"/>
                      <w:szCs w:val="18"/>
                      <w:u w:val="single"/>
                    </w:rPr>
                    <w:t>20m高烟囱（1#）排放</w:t>
                  </w:r>
                </w:p>
              </w:tc>
              <w:tc>
                <w:tcPr>
                  <w:tcW w:w="1593" w:type="dxa"/>
                  <w:vAlign w:val="center"/>
                </w:tcPr>
                <w:p>
                  <w:pPr>
                    <w:adjustRightInd w:val="0"/>
                    <w:snapToGrid w:val="0"/>
                    <w:jc w:val="center"/>
                    <w:rPr>
                      <w:sz w:val="18"/>
                      <w:szCs w:val="18"/>
                      <w:u w:val="single"/>
                    </w:rPr>
                  </w:pPr>
                  <w:r>
                    <w:rPr>
                      <w:sz w:val="18"/>
                      <w:szCs w:val="18"/>
                      <w:u w:val="single"/>
                    </w:rPr>
                    <w:t>24-31mg/m</w:t>
                  </w:r>
                  <w:r>
                    <w:rPr>
                      <w:sz w:val="18"/>
                      <w:szCs w:val="18"/>
                      <w:u w:val="single"/>
                      <w:vertAlign w:val="superscript"/>
                    </w:rPr>
                    <w:t>3</w:t>
                  </w:r>
                </w:p>
              </w:tc>
              <w:tc>
                <w:tcPr>
                  <w:tcW w:w="1455" w:type="dxa"/>
                  <w:vAlign w:val="center"/>
                </w:tcPr>
                <w:p>
                  <w:pPr>
                    <w:adjustRightInd w:val="0"/>
                    <w:snapToGrid w:val="0"/>
                    <w:jc w:val="center"/>
                    <w:rPr>
                      <w:sz w:val="18"/>
                      <w:szCs w:val="18"/>
                      <w:u w:val="single"/>
                    </w:rPr>
                  </w:pPr>
                  <w:r>
                    <w:rPr>
                      <w:sz w:val="18"/>
                      <w:szCs w:val="18"/>
                      <w:u w:val="single"/>
                    </w:rPr>
                    <w:t>300mg/m</w:t>
                  </w:r>
                  <w:r>
                    <w:rPr>
                      <w:sz w:val="18"/>
                      <w:szCs w:val="18"/>
                      <w:u w:val="single"/>
                      <w:vertAlign w:val="superscript"/>
                    </w:rPr>
                    <w:t>3</w:t>
                  </w:r>
                </w:p>
              </w:tc>
              <w:tc>
                <w:tcPr>
                  <w:tcW w:w="604" w:type="dxa"/>
                  <w:vAlign w:val="center"/>
                </w:tcPr>
                <w:p>
                  <w:pPr>
                    <w:adjustRightInd w:val="0"/>
                    <w:snapToGrid w:val="0"/>
                    <w:jc w:val="center"/>
                    <w:rPr>
                      <w:sz w:val="18"/>
                      <w:szCs w:val="18"/>
                      <w:u w:val="single"/>
                    </w:rPr>
                  </w:pPr>
                  <w:r>
                    <w:rPr>
                      <w:sz w:val="18"/>
                      <w:szCs w:val="18"/>
                      <w:u w:val="single"/>
                    </w:rPr>
                    <w:t>达标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142" w:type="dxa"/>
                  <w:vMerge w:val="continue"/>
                  <w:vAlign w:val="center"/>
                </w:tcPr>
                <w:p>
                  <w:pPr>
                    <w:adjustRightInd w:val="0"/>
                    <w:snapToGrid w:val="0"/>
                    <w:jc w:val="center"/>
                    <w:rPr>
                      <w:sz w:val="18"/>
                      <w:szCs w:val="18"/>
                      <w:u w:val="single"/>
                    </w:rPr>
                  </w:pPr>
                </w:p>
              </w:tc>
              <w:tc>
                <w:tcPr>
                  <w:tcW w:w="1048" w:type="dxa"/>
                  <w:vAlign w:val="center"/>
                </w:tcPr>
                <w:p>
                  <w:pPr>
                    <w:adjustRightInd w:val="0"/>
                    <w:snapToGrid w:val="0"/>
                    <w:jc w:val="center"/>
                    <w:rPr>
                      <w:sz w:val="18"/>
                      <w:szCs w:val="18"/>
                      <w:u w:val="single"/>
                    </w:rPr>
                  </w:pPr>
                  <w:r>
                    <w:rPr>
                      <w:sz w:val="18"/>
                      <w:szCs w:val="18"/>
                      <w:u w:val="single"/>
                    </w:rPr>
                    <w:t>NOx</w:t>
                  </w:r>
                </w:p>
              </w:tc>
              <w:tc>
                <w:tcPr>
                  <w:tcW w:w="1219" w:type="dxa"/>
                  <w:vAlign w:val="center"/>
                </w:tcPr>
                <w:p>
                  <w:pPr>
                    <w:adjustRightInd w:val="0"/>
                    <w:snapToGrid w:val="0"/>
                    <w:jc w:val="center"/>
                    <w:rPr>
                      <w:sz w:val="18"/>
                      <w:szCs w:val="18"/>
                      <w:u w:val="single"/>
                    </w:rPr>
                  </w:pPr>
                  <w:r>
                    <w:rPr>
                      <w:sz w:val="18"/>
                      <w:szCs w:val="18"/>
                      <w:u w:val="single"/>
                    </w:rPr>
                    <w:t>/</w:t>
                  </w:r>
                </w:p>
              </w:tc>
              <w:tc>
                <w:tcPr>
                  <w:tcW w:w="1440" w:type="dxa"/>
                  <w:vAlign w:val="center"/>
                </w:tcPr>
                <w:p>
                  <w:pPr>
                    <w:adjustRightInd w:val="0"/>
                    <w:snapToGrid w:val="0"/>
                    <w:jc w:val="center"/>
                    <w:rPr>
                      <w:sz w:val="18"/>
                      <w:szCs w:val="18"/>
                      <w:u w:val="single"/>
                    </w:rPr>
                  </w:pPr>
                  <w:r>
                    <w:rPr>
                      <w:sz w:val="18"/>
                      <w:szCs w:val="18"/>
                      <w:u w:val="single"/>
                    </w:rPr>
                    <w:t>20m高烟囱（1#）排放</w:t>
                  </w:r>
                </w:p>
              </w:tc>
              <w:tc>
                <w:tcPr>
                  <w:tcW w:w="1593" w:type="dxa"/>
                  <w:vAlign w:val="center"/>
                </w:tcPr>
                <w:p>
                  <w:pPr>
                    <w:adjustRightInd w:val="0"/>
                    <w:snapToGrid w:val="0"/>
                    <w:jc w:val="center"/>
                    <w:rPr>
                      <w:sz w:val="18"/>
                      <w:szCs w:val="18"/>
                      <w:u w:val="single"/>
                    </w:rPr>
                  </w:pPr>
                  <w:r>
                    <w:rPr>
                      <w:sz w:val="18"/>
                      <w:szCs w:val="18"/>
                      <w:u w:val="single"/>
                    </w:rPr>
                    <w:t>146-157mg/m</w:t>
                  </w:r>
                  <w:r>
                    <w:rPr>
                      <w:sz w:val="18"/>
                      <w:szCs w:val="18"/>
                      <w:u w:val="single"/>
                      <w:vertAlign w:val="superscript"/>
                    </w:rPr>
                    <w:t>3</w:t>
                  </w:r>
                </w:p>
              </w:tc>
              <w:tc>
                <w:tcPr>
                  <w:tcW w:w="1455" w:type="dxa"/>
                  <w:vAlign w:val="center"/>
                </w:tcPr>
                <w:p>
                  <w:pPr>
                    <w:adjustRightInd w:val="0"/>
                    <w:snapToGrid w:val="0"/>
                    <w:jc w:val="center"/>
                    <w:rPr>
                      <w:sz w:val="18"/>
                      <w:szCs w:val="18"/>
                      <w:u w:val="single"/>
                    </w:rPr>
                  </w:pPr>
                  <w:r>
                    <w:rPr>
                      <w:sz w:val="18"/>
                      <w:szCs w:val="18"/>
                      <w:u w:val="single"/>
                    </w:rPr>
                    <w:t>300mg/m</w:t>
                  </w:r>
                  <w:r>
                    <w:rPr>
                      <w:sz w:val="18"/>
                      <w:szCs w:val="18"/>
                      <w:u w:val="single"/>
                      <w:vertAlign w:val="superscript"/>
                    </w:rPr>
                    <w:t>3</w:t>
                  </w:r>
                </w:p>
              </w:tc>
              <w:tc>
                <w:tcPr>
                  <w:tcW w:w="604" w:type="dxa"/>
                  <w:vAlign w:val="center"/>
                </w:tcPr>
                <w:p>
                  <w:pPr>
                    <w:adjustRightInd w:val="0"/>
                    <w:snapToGrid w:val="0"/>
                    <w:jc w:val="center"/>
                    <w:rPr>
                      <w:sz w:val="18"/>
                      <w:szCs w:val="18"/>
                      <w:u w:val="single"/>
                    </w:rPr>
                  </w:pPr>
                  <w:r>
                    <w:rPr>
                      <w:sz w:val="18"/>
                      <w:szCs w:val="18"/>
                      <w:u w:val="single"/>
                    </w:rPr>
                    <w:t>达标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142" w:type="dxa"/>
                  <w:vMerge w:val="continue"/>
                  <w:vAlign w:val="center"/>
                </w:tcPr>
                <w:p>
                  <w:pPr>
                    <w:adjustRightInd w:val="0"/>
                    <w:snapToGrid w:val="0"/>
                    <w:jc w:val="center"/>
                    <w:rPr>
                      <w:sz w:val="18"/>
                      <w:szCs w:val="18"/>
                      <w:u w:val="single"/>
                    </w:rPr>
                  </w:pPr>
                </w:p>
              </w:tc>
              <w:tc>
                <w:tcPr>
                  <w:tcW w:w="1048" w:type="dxa"/>
                  <w:vAlign w:val="center"/>
                </w:tcPr>
                <w:p>
                  <w:pPr>
                    <w:adjustRightInd w:val="0"/>
                    <w:snapToGrid w:val="0"/>
                    <w:jc w:val="center"/>
                    <w:rPr>
                      <w:sz w:val="18"/>
                      <w:szCs w:val="18"/>
                      <w:u w:val="single"/>
                    </w:rPr>
                  </w:pPr>
                  <w:r>
                    <w:rPr>
                      <w:sz w:val="18"/>
                      <w:szCs w:val="18"/>
                      <w:u w:val="single"/>
                    </w:rPr>
                    <w:t>汞及其化合物</w:t>
                  </w:r>
                </w:p>
              </w:tc>
              <w:tc>
                <w:tcPr>
                  <w:tcW w:w="1219" w:type="dxa"/>
                  <w:vAlign w:val="center"/>
                </w:tcPr>
                <w:p>
                  <w:pPr>
                    <w:adjustRightInd w:val="0"/>
                    <w:snapToGrid w:val="0"/>
                    <w:jc w:val="center"/>
                    <w:rPr>
                      <w:sz w:val="18"/>
                      <w:szCs w:val="18"/>
                      <w:u w:val="single"/>
                    </w:rPr>
                  </w:pPr>
                  <w:r>
                    <w:rPr>
                      <w:sz w:val="18"/>
                      <w:szCs w:val="18"/>
                      <w:u w:val="single"/>
                    </w:rPr>
                    <w:t>/</w:t>
                  </w:r>
                </w:p>
              </w:tc>
              <w:tc>
                <w:tcPr>
                  <w:tcW w:w="1440" w:type="dxa"/>
                  <w:vAlign w:val="center"/>
                </w:tcPr>
                <w:p>
                  <w:pPr>
                    <w:adjustRightInd w:val="0"/>
                    <w:snapToGrid w:val="0"/>
                    <w:jc w:val="center"/>
                    <w:rPr>
                      <w:sz w:val="18"/>
                      <w:szCs w:val="18"/>
                      <w:u w:val="single"/>
                    </w:rPr>
                  </w:pPr>
                  <w:r>
                    <w:rPr>
                      <w:sz w:val="18"/>
                      <w:szCs w:val="18"/>
                      <w:u w:val="single"/>
                    </w:rPr>
                    <w:t>20m高烟囱（1#）排放</w:t>
                  </w:r>
                </w:p>
              </w:tc>
              <w:tc>
                <w:tcPr>
                  <w:tcW w:w="1593" w:type="dxa"/>
                  <w:vAlign w:val="center"/>
                </w:tcPr>
                <w:p>
                  <w:pPr>
                    <w:adjustRightInd w:val="0"/>
                    <w:snapToGrid w:val="0"/>
                    <w:jc w:val="center"/>
                    <w:rPr>
                      <w:sz w:val="18"/>
                      <w:szCs w:val="18"/>
                      <w:u w:val="single"/>
                    </w:rPr>
                  </w:pPr>
                  <w:r>
                    <w:rPr>
                      <w:sz w:val="18"/>
                      <w:szCs w:val="18"/>
                      <w:u w:val="single"/>
                    </w:rPr>
                    <w:t>0.006mg/m</w:t>
                  </w:r>
                  <w:r>
                    <w:rPr>
                      <w:sz w:val="18"/>
                      <w:szCs w:val="18"/>
                      <w:u w:val="single"/>
                      <w:vertAlign w:val="superscript"/>
                    </w:rPr>
                    <w:t>3</w:t>
                  </w:r>
                </w:p>
              </w:tc>
              <w:tc>
                <w:tcPr>
                  <w:tcW w:w="1455" w:type="dxa"/>
                  <w:vAlign w:val="center"/>
                </w:tcPr>
                <w:p>
                  <w:pPr>
                    <w:adjustRightInd w:val="0"/>
                    <w:snapToGrid w:val="0"/>
                    <w:jc w:val="center"/>
                    <w:rPr>
                      <w:sz w:val="18"/>
                      <w:szCs w:val="18"/>
                      <w:u w:val="single"/>
                    </w:rPr>
                  </w:pPr>
                  <w:r>
                    <w:rPr>
                      <w:sz w:val="18"/>
                      <w:szCs w:val="18"/>
                      <w:u w:val="single"/>
                    </w:rPr>
                    <w:t>0.05mg/m</w:t>
                  </w:r>
                  <w:r>
                    <w:rPr>
                      <w:sz w:val="18"/>
                      <w:szCs w:val="18"/>
                      <w:u w:val="single"/>
                      <w:vertAlign w:val="superscript"/>
                    </w:rPr>
                    <w:t>3</w:t>
                  </w:r>
                </w:p>
              </w:tc>
              <w:tc>
                <w:tcPr>
                  <w:tcW w:w="604" w:type="dxa"/>
                  <w:vAlign w:val="center"/>
                </w:tcPr>
                <w:p>
                  <w:pPr>
                    <w:adjustRightInd w:val="0"/>
                    <w:snapToGrid w:val="0"/>
                    <w:jc w:val="center"/>
                    <w:rPr>
                      <w:sz w:val="18"/>
                      <w:szCs w:val="18"/>
                      <w:u w:val="single"/>
                    </w:rPr>
                  </w:pPr>
                  <w:r>
                    <w:rPr>
                      <w:sz w:val="18"/>
                      <w:szCs w:val="18"/>
                      <w:u w:val="single"/>
                    </w:rPr>
                    <w:t>达标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142" w:type="dxa"/>
                  <w:vMerge w:val="continue"/>
                  <w:vAlign w:val="center"/>
                </w:tcPr>
                <w:p>
                  <w:pPr>
                    <w:adjustRightInd w:val="0"/>
                    <w:snapToGrid w:val="0"/>
                    <w:jc w:val="center"/>
                    <w:rPr>
                      <w:sz w:val="18"/>
                      <w:szCs w:val="18"/>
                      <w:u w:val="single"/>
                    </w:rPr>
                  </w:pPr>
                </w:p>
              </w:tc>
              <w:tc>
                <w:tcPr>
                  <w:tcW w:w="1048" w:type="dxa"/>
                  <w:vAlign w:val="center"/>
                </w:tcPr>
                <w:p>
                  <w:pPr>
                    <w:adjustRightInd w:val="0"/>
                    <w:snapToGrid w:val="0"/>
                    <w:jc w:val="center"/>
                    <w:rPr>
                      <w:sz w:val="18"/>
                      <w:szCs w:val="18"/>
                      <w:u w:val="single"/>
                    </w:rPr>
                  </w:pPr>
                  <w:r>
                    <w:rPr>
                      <w:sz w:val="18"/>
                      <w:szCs w:val="18"/>
                      <w:u w:val="single"/>
                    </w:rPr>
                    <w:t>林格曼黑度</w:t>
                  </w:r>
                </w:p>
              </w:tc>
              <w:tc>
                <w:tcPr>
                  <w:tcW w:w="1219" w:type="dxa"/>
                  <w:vAlign w:val="center"/>
                </w:tcPr>
                <w:p>
                  <w:pPr>
                    <w:adjustRightInd w:val="0"/>
                    <w:snapToGrid w:val="0"/>
                    <w:jc w:val="center"/>
                    <w:rPr>
                      <w:sz w:val="18"/>
                      <w:szCs w:val="18"/>
                      <w:u w:val="single"/>
                    </w:rPr>
                  </w:pPr>
                  <w:r>
                    <w:rPr>
                      <w:sz w:val="18"/>
                      <w:szCs w:val="18"/>
                      <w:u w:val="single"/>
                    </w:rPr>
                    <w:t>/</w:t>
                  </w:r>
                </w:p>
              </w:tc>
              <w:tc>
                <w:tcPr>
                  <w:tcW w:w="1440" w:type="dxa"/>
                  <w:vAlign w:val="center"/>
                </w:tcPr>
                <w:p>
                  <w:pPr>
                    <w:adjustRightInd w:val="0"/>
                    <w:snapToGrid w:val="0"/>
                    <w:jc w:val="center"/>
                    <w:rPr>
                      <w:sz w:val="18"/>
                      <w:szCs w:val="18"/>
                      <w:u w:val="single"/>
                    </w:rPr>
                  </w:pPr>
                  <w:r>
                    <w:rPr>
                      <w:sz w:val="18"/>
                      <w:szCs w:val="18"/>
                      <w:u w:val="single"/>
                    </w:rPr>
                    <w:t>20m高烟囱（1#）排放</w:t>
                  </w:r>
                </w:p>
              </w:tc>
              <w:tc>
                <w:tcPr>
                  <w:tcW w:w="1593" w:type="dxa"/>
                  <w:vAlign w:val="center"/>
                </w:tcPr>
                <w:p>
                  <w:pPr>
                    <w:adjustRightInd w:val="0"/>
                    <w:snapToGrid w:val="0"/>
                    <w:jc w:val="center"/>
                    <w:rPr>
                      <w:sz w:val="18"/>
                      <w:szCs w:val="18"/>
                      <w:u w:val="single"/>
                    </w:rPr>
                  </w:pPr>
                  <w:r>
                    <w:rPr>
                      <w:sz w:val="18"/>
                      <w:szCs w:val="18"/>
                      <w:u w:val="single"/>
                    </w:rPr>
                    <w:t>＜1级</w:t>
                  </w:r>
                </w:p>
              </w:tc>
              <w:tc>
                <w:tcPr>
                  <w:tcW w:w="1455" w:type="dxa"/>
                  <w:vAlign w:val="center"/>
                </w:tcPr>
                <w:p>
                  <w:pPr>
                    <w:adjustRightInd w:val="0"/>
                    <w:snapToGrid w:val="0"/>
                    <w:jc w:val="center"/>
                    <w:rPr>
                      <w:sz w:val="18"/>
                      <w:szCs w:val="18"/>
                      <w:u w:val="single"/>
                    </w:rPr>
                  </w:pPr>
                  <w:r>
                    <w:rPr>
                      <w:sz w:val="18"/>
                      <w:szCs w:val="18"/>
                      <w:u w:val="single"/>
                    </w:rPr>
                    <w:t>≤1级</w:t>
                  </w:r>
                </w:p>
              </w:tc>
              <w:tc>
                <w:tcPr>
                  <w:tcW w:w="604" w:type="dxa"/>
                  <w:vAlign w:val="center"/>
                </w:tcPr>
                <w:p>
                  <w:pPr>
                    <w:adjustRightInd w:val="0"/>
                    <w:snapToGrid w:val="0"/>
                    <w:jc w:val="center"/>
                    <w:rPr>
                      <w:sz w:val="18"/>
                      <w:szCs w:val="18"/>
                      <w:u w:val="single"/>
                    </w:rPr>
                  </w:pPr>
                  <w:r>
                    <w:rPr>
                      <w:sz w:val="18"/>
                      <w:szCs w:val="18"/>
                      <w:u w:val="single"/>
                    </w:rPr>
                    <w:t>达标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142" w:type="dxa"/>
                  <w:vAlign w:val="center"/>
                </w:tcPr>
                <w:p>
                  <w:pPr>
                    <w:adjustRightInd w:val="0"/>
                    <w:snapToGrid w:val="0"/>
                    <w:jc w:val="center"/>
                    <w:rPr>
                      <w:sz w:val="18"/>
                      <w:szCs w:val="18"/>
                      <w:u w:val="single"/>
                    </w:rPr>
                  </w:pPr>
                  <w:r>
                    <w:rPr>
                      <w:sz w:val="18"/>
                      <w:szCs w:val="18"/>
                      <w:u w:val="single"/>
                    </w:rPr>
                    <w:t>裁板、铣型、排钻粉尘</w:t>
                  </w:r>
                </w:p>
              </w:tc>
              <w:tc>
                <w:tcPr>
                  <w:tcW w:w="1048" w:type="dxa"/>
                  <w:vAlign w:val="center"/>
                </w:tcPr>
                <w:p>
                  <w:pPr>
                    <w:adjustRightInd w:val="0"/>
                    <w:snapToGrid w:val="0"/>
                    <w:jc w:val="center"/>
                    <w:rPr>
                      <w:sz w:val="18"/>
                      <w:szCs w:val="18"/>
                      <w:u w:val="single"/>
                    </w:rPr>
                  </w:pPr>
                  <w:r>
                    <w:rPr>
                      <w:sz w:val="18"/>
                      <w:szCs w:val="18"/>
                      <w:u w:val="single"/>
                    </w:rPr>
                    <w:t>颗粒物</w:t>
                  </w:r>
                </w:p>
              </w:tc>
              <w:tc>
                <w:tcPr>
                  <w:tcW w:w="1219" w:type="dxa"/>
                  <w:vAlign w:val="center"/>
                </w:tcPr>
                <w:p>
                  <w:pPr>
                    <w:adjustRightInd w:val="0"/>
                    <w:snapToGrid w:val="0"/>
                    <w:jc w:val="center"/>
                    <w:rPr>
                      <w:sz w:val="18"/>
                      <w:szCs w:val="18"/>
                      <w:u w:val="single"/>
                    </w:rPr>
                  </w:pPr>
                  <w:r>
                    <w:rPr>
                      <w:sz w:val="18"/>
                      <w:szCs w:val="18"/>
                      <w:u w:val="single"/>
                    </w:rPr>
                    <w:t>中央除尘+布袋除尘器</w:t>
                  </w:r>
                </w:p>
              </w:tc>
              <w:tc>
                <w:tcPr>
                  <w:tcW w:w="1440" w:type="dxa"/>
                  <w:vAlign w:val="center"/>
                </w:tcPr>
                <w:p>
                  <w:pPr>
                    <w:adjustRightInd w:val="0"/>
                    <w:snapToGrid w:val="0"/>
                    <w:jc w:val="center"/>
                    <w:rPr>
                      <w:sz w:val="18"/>
                      <w:szCs w:val="18"/>
                      <w:u w:val="single"/>
                    </w:rPr>
                  </w:pPr>
                  <w:r>
                    <w:rPr>
                      <w:sz w:val="18"/>
                      <w:szCs w:val="18"/>
                      <w:u w:val="single"/>
                    </w:rPr>
                    <w:t>15m高排气筒（2#）排放</w:t>
                  </w:r>
                </w:p>
              </w:tc>
              <w:tc>
                <w:tcPr>
                  <w:tcW w:w="1593" w:type="dxa"/>
                  <w:vAlign w:val="center"/>
                </w:tcPr>
                <w:p>
                  <w:pPr>
                    <w:adjustRightInd w:val="0"/>
                    <w:snapToGrid w:val="0"/>
                    <w:jc w:val="center"/>
                    <w:rPr>
                      <w:sz w:val="18"/>
                      <w:szCs w:val="18"/>
                      <w:u w:val="single"/>
                    </w:rPr>
                  </w:pPr>
                  <w:r>
                    <w:rPr>
                      <w:sz w:val="18"/>
                      <w:szCs w:val="18"/>
                      <w:u w:val="single"/>
                    </w:rPr>
                    <w:t>7-10mg/m</w:t>
                  </w:r>
                  <w:r>
                    <w:rPr>
                      <w:sz w:val="18"/>
                      <w:szCs w:val="18"/>
                      <w:u w:val="single"/>
                      <w:vertAlign w:val="superscript"/>
                    </w:rPr>
                    <w:t>3</w:t>
                  </w:r>
                </w:p>
              </w:tc>
              <w:tc>
                <w:tcPr>
                  <w:tcW w:w="1455" w:type="dxa"/>
                  <w:vAlign w:val="center"/>
                </w:tcPr>
                <w:p>
                  <w:pPr>
                    <w:adjustRightInd w:val="0"/>
                    <w:snapToGrid w:val="0"/>
                    <w:jc w:val="center"/>
                    <w:rPr>
                      <w:sz w:val="18"/>
                      <w:szCs w:val="18"/>
                      <w:u w:val="single"/>
                    </w:rPr>
                  </w:pPr>
                  <w:r>
                    <w:rPr>
                      <w:sz w:val="18"/>
                      <w:szCs w:val="18"/>
                      <w:u w:val="single"/>
                    </w:rPr>
                    <w:t>120mg/m</w:t>
                  </w:r>
                  <w:r>
                    <w:rPr>
                      <w:sz w:val="18"/>
                      <w:szCs w:val="18"/>
                      <w:u w:val="single"/>
                      <w:vertAlign w:val="superscript"/>
                    </w:rPr>
                    <w:t>3</w:t>
                  </w:r>
                </w:p>
              </w:tc>
              <w:tc>
                <w:tcPr>
                  <w:tcW w:w="604" w:type="dxa"/>
                  <w:vAlign w:val="center"/>
                </w:tcPr>
                <w:p>
                  <w:pPr>
                    <w:adjustRightInd w:val="0"/>
                    <w:snapToGrid w:val="0"/>
                    <w:jc w:val="center"/>
                    <w:rPr>
                      <w:sz w:val="18"/>
                      <w:szCs w:val="18"/>
                      <w:u w:val="single"/>
                    </w:rPr>
                  </w:pPr>
                  <w:r>
                    <w:rPr>
                      <w:sz w:val="18"/>
                      <w:szCs w:val="18"/>
                      <w:u w:val="single"/>
                    </w:rPr>
                    <w:t>达标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142" w:type="dxa"/>
                  <w:vAlign w:val="center"/>
                </w:tcPr>
                <w:p>
                  <w:pPr>
                    <w:adjustRightInd w:val="0"/>
                    <w:snapToGrid w:val="0"/>
                    <w:jc w:val="center"/>
                    <w:rPr>
                      <w:sz w:val="18"/>
                      <w:szCs w:val="18"/>
                      <w:u w:val="single"/>
                    </w:rPr>
                  </w:pPr>
                  <w:r>
                    <w:rPr>
                      <w:sz w:val="18"/>
                      <w:szCs w:val="18"/>
                      <w:u w:val="single"/>
                    </w:rPr>
                    <w:t>喷胶、喷漆废气</w:t>
                  </w:r>
                </w:p>
              </w:tc>
              <w:tc>
                <w:tcPr>
                  <w:tcW w:w="1048" w:type="dxa"/>
                  <w:vAlign w:val="center"/>
                </w:tcPr>
                <w:p>
                  <w:pPr>
                    <w:adjustRightInd w:val="0"/>
                    <w:snapToGrid w:val="0"/>
                    <w:jc w:val="center"/>
                    <w:rPr>
                      <w:sz w:val="18"/>
                      <w:szCs w:val="18"/>
                      <w:u w:val="single"/>
                    </w:rPr>
                  </w:pPr>
                  <w:r>
                    <w:rPr>
                      <w:sz w:val="18"/>
                      <w:szCs w:val="18"/>
                      <w:u w:val="single"/>
                    </w:rPr>
                    <w:t>苯、甲苯、二甲苯、非甲烷总烃</w:t>
                  </w:r>
                </w:p>
              </w:tc>
              <w:tc>
                <w:tcPr>
                  <w:tcW w:w="1219" w:type="dxa"/>
                  <w:vAlign w:val="center"/>
                </w:tcPr>
                <w:p>
                  <w:pPr>
                    <w:adjustRightInd w:val="0"/>
                    <w:snapToGrid w:val="0"/>
                    <w:jc w:val="center"/>
                    <w:rPr>
                      <w:sz w:val="18"/>
                      <w:szCs w:val="18"/>
                      <w:u w:val="single"/>
                    </w:rPr>
                  </w:pPr>
                  <w:r>
                    <w:rPr>
                      <w:sz w:val="18"/>
                      <w:szCs w:val="18"/>
                      <w:u w:val="single"/>
                    </w:rPr>
                    <w:t>水帘净化漆雾+活性炭吸附</w:t>
                  </w:r>
                </w:p>
              </w:tc>
              <w:tc>
                <w:tcPr>
                  <w:tcW w:w="1440" w:type="dxa"/>
                  <w:vAlign w:val="center"/>
                </w:tcPr>
                <w:p>
                  <w:pPr>
                    <w:adjustRightInd w:val="0"/>
                    <w:snapToGrid w:val="0"/>
                    <w:jc w:val="center"/>
                    <w:rPr>
                      <w:sz w:val="18"/>
                      <w:szCs w:val="18"/>
                      <w:u w:val="single"/>
                    </w:rPr>
                  </w:pPr>
                  <w:r>
                    <w:rPr>
                      <w:sz w:val="18"/>
                      <w:szCs w:val="18"/>
                      <w:u w:val="single"/>
                    </w:rPr>
                    <w:t>15m高排气筒（3#、4#）排放</w:t>
                  </w:r>
                </w:p>
              </w:tc>
              <w:tc>
                <w:tcPr>
                  <w:tcW w:w="1593" w:type="dxa"/>
                  <w:vAlign w:val="center"/>
                </w:tcPr>
                <w:p>
                  <w:pPr>
                    <w:adjustRightInd w:val="0"/>
                    <w:snapToGrid w:val="0"/>
                    <w:jc w:val="center"/>
                    <w:rPr>
                      <w:sz w:val="18"/>
                      <w:szCs w:val="18"/>
                      <w:u w:val="single"/>
                    </w:rPr>
                  </w:pPr>
                  <w:r>
                    <w:rPr>
                      <w:sz w:val="18"/>
                      <w:szCs w:val="18"/>
                      <w:u w:val="single"/>
                    </w:rPr>
                    <w:t>未检出（苯系物）</w:t>
                  </w:r>
                </w:p>
              </w:tc>
              <w:tc>
                <w:tcPr>
                  <w:tcW w:w="1455" w:type="dxa"/>
                  <w:vAlign w:val="center"/>
                </w:tcPr>
                <w:p>
                  <w:pPr>
                    <w:adjustRightInd w:val="0"/>
                    <w:snapToGrid w:val="0"/>
                    <w:jc w:val="center"/>
                    <w:rPr>
                      <w:sz w:val="18"/>
                      <w:szCs w:val="18"/>
                      <w:u w:val="single"/>
                    </w:rPr>
                  </w:pPr>
                  <w:r>
                    <w:rPr>
                      <w:sz w:val="18"/>
                      <w:szCs w:val="18"/>
                      <w:u w:val="single"/>
                    </w:rPr>
                    <w:t>达标</w:t>
                  </w:r>
                </w:p>
              </w:tc>
              <w:tc>
                <w:tcPr>
                  <w:tcW w:w="604" w:type="dxa"/>
                  <w:vAlign w:val="center"/>
                </w:tcPr>
                <w:p>
                  <w:pPr>
                    <w:adjustRightInd w:val="0"/>
                    <w:snapToGrid w:val="0"/>
                    <w:jc w:val="center"/>
                    <w:rPr>
                      <w:sz w:val="18"/>
                      <w:szCs w:val="18"/>
                      <w:u w:val="single"/>
                    </w:rPr>
                  </w:pPr>
                  <w:r>
                    <w:rPr>
                      <w:sz w:val="18"/>
                      <w:szCs w:val="18"/>
                      <w:u w:val="single"/>
                    </w:rPr>
                    <w:t>达标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142" w:type="dxa"/>
                  <w:vAlign w:val="center"/>
                </w:tcPr>
                <w:p>
                  <w:pPr>
                    <w:adjustRightInd w:val="0"/>
                    <w:snapToGrid w:val="0"/>
                    <w:jc w:val="center"/>
                    <w:rPr>
                      <w:sz w:val="18"/>
                      <w:szCs w:val="18"/>
                      <w:u w:val="single"/>
                    </w:rPr>
                  </w:pPr>
                  <w:r>
                    <w:rPr>
                      <w:sz w:val="18"/>
                      <w:szCs w:val="18"/>
                      <w:u w:val="single"/>
                    </w:rPr>
                    <w:t>面漆、覆膜废气</w:t>
                  </w:r>
                </w:p>
              </w:tc>
              <w:tc>
                <w:tcPr>
                  <w:tcW w:w="1048" w:type="dxa"/>
                  <w:vAlign w:val="center"/>
                </w:tcPr>
                <w:p>
                  <w:pPr>
                    <w:adjustRightInd w:val="0"/>
                    <w:snapToGrid w:val="0"/>
                    <w:jc w:val="center"/>
                    <w:rPr>
                      <w:sz w:val="18"/>
                      <w:szCs w:val="18"/>
                      <w:u w:val="single"/>
                    </w:rPr>
                  </w:pPr>
                  <w:r>
                    <w:rPr>
                      <w:sz w:val="18"/>
                      <w:szCs w:val="18"/>
                      <w:u w:val="single"/>
                    </w:rPr>
                    <w:t>苯、甲苯、二甲苯、非甲烷总烃</w:t>
                  </w:r>
                </w:p>
              </w:tc>
              <w:tc>
                <w:tcPr>
                  <w:tcW w:w="1219" w:type="dxa"/>
                  <w:vAlign w:val="center"/>
                </w:tcPr>
                <w:p>
                  <w:pPr>
                    <w:adjustRightInd w:val="0"/>
                    <w:snapToGrid w:val="0"/>
                    <w:jc w:val="center"/>
                    <w:rPr>
                      <w:sz w:val="18"/>
                      <w:szCs w:val="18"/>
                      <w:u w:val="single"/>
                    </w:rPr>
                  </w:pPr>
                  <w:r>
                    <w:rPr>
                      <w:sz w:val="18"/>
                      <w:szCs w:val="18"/>
                      <w:u w:val="single"/>
                    </w:rPr>
                    <w:t>水帘净化漆雾+活性炭吸附</w:t>
                  </w:r>
                </w:p>
              </w:tc>
              <w:tc>
                <w:tcPr>
                  <w:tcW w:w="1440" w:type="dxa"/>
                  <w:vAlign w:val="center"/>
                </w:tcPr>
                <w:p>
                  <w:pPr>
                    <w:adjustRightInd w:val="0"/>
                    <w:snapToGrid w:val="0"/>
                    <w:jc w:val="center"/>
                    <w:rPr>
                      <w:sz w:val="18"/>
                      <w:szCs w:val="18"/>
                      <w:u w:val="single"/>
                    </w:rPr>
                  </w:pPr>
                  <w:r>
                    <w:rPr>
                      <w:sz w:val="18"/>
                      <w:szCs w:val="18"/>
                      <w:u w:val="single"/>
                    </w:rPr>
                    <w:t>15m高排气筒（5#、6#）排放</w:t>
                  </w:r>
                </w:p>
              </w:tc>
              <w:tc>
                <w:tcPr>
                  <w:tcW w:w="1593" w:type="dxa"/>
                  <w:vAlign w:val="center"/>
                </w:tcPr>
                <w:p>
                  <w:pPr>
                    <w:adjustRightInd w:val="0"/>
                    <w:snapToGrid w:val="0"/>
                    <w:jc w:val="center"/>
                    <w:rPr>
                      <w:sz w:val="18"/>
                      <w:szCs w:val="18"/>
                      <w:u w:val="single"/>
                    </w:rPr>
                  </w:pPr>
                  <w:r>
                    <w:rPr>
                      <w:sz w:val="18"/>
                      <w:szCs w:val="18"/>
                      <w:u w:val="single"/>
                    </w:rPr>
                    <w:t>未检出（苯系物）</w:t>
                  </w:r>
                </w:p>
              </w:tc>
              <w:tc>
                <w:tcPr>
                  <w:tcW w:w="1455" w:type="dxa"/>
                  <w:vAlign w:val="center"/>
                </w:tcPr>
                <w:p>
                  <w:pPr>
                    <w:adjustRightInd w:val="0"/>
                    <w:snapToGrid w:val="0"/>
                    <w:jc w:val="center"/>
                    <w:rPr>
                      <w:sz w:val="18"/>
                      <w:szCs w:val="18"/>
                      <w:u w:val="single"/>
                    </w:rPr>
                  </w:pPr>
                  <w:r>
                    <w:rPr>
                      <w:sz w:val="18"/>
                      <w:szCs w:val="18"/>
                      <w:u w:val="single"/>
                    </w:rPr>
                    <w:t>达标</w:t>
                  </w:r>
                </w:p>
              </w:tc>
              <w:tc>
                <w:tcPr>
                  <w:tcW w:w="604" w:type="dxa"/>
                  <w:vAlign w:val="center"/>
                </w:tcPr>
                <w:p>
                  <w:pPr>
                    <w:adjustRightInd w:val="0"/>
                    <w:snapToGrid w:val="0"/>
                    <w:jc w:val="center"/>
                    <w:rPr>
                      <w:sz w:val="18"/>
                      <w:szCs w:val="18"/>
                      <w:u w:val="single"/>
                    </w:rPr>
                  </w:pPr>
                  <w:r>
                    <w:rPr>
                      <w:sz w:val="18"/>
                      <w:szCs w:val="18"/>
                      <w:u w:val="single"/>
                    </w:rPr>
                    <w:t>达标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142" w:type="dxa"/>
                  <w:vAlign w:val="center"/>
                </w:tcPr>
                <w:p>
                  <w:pPr>
                    <w:adjustRightInd w:val="0"/>
                    <w:snapToGrid w:val="0"/>
                    <w:jc w:val="center"/>
                    <w:rPr>
                      <w:sz w:val="18"/>
                      <w:szCs w:val="18"/>
                      <w:u w:val="single"/>
                    </w:rPr>
                  </w:pPr>
                  <w:r>
                    <w:rPr>
                      <w:sz w:val="18"/>
                      <w:szCs w:val="18"/>
                      <w:u w:val="single"/>
                    </w:rPr>
                    <w:t>批灰、精磨、细磨粉尘</w:t>
                  </w:r>
                </w:p>
              </w:tc>
              <w:tc>
                <w:tcPr>
                  <w:tcW w:w="1048" w:type="dxa"/>
                  <w:vAlign w:val="center"/>
                </w:tcPr>
                <w:p>
                  <w:pPr>
                    <w:adjustRightInd w:val="0"/>
                    <w:snapToGrid w:val="0"/>
                    <w:jc w:val="center"/>
                    <w:rPr>
                      <w:sz w:val="18"/>
                      <w:szCs w:val="18"/>
                      <w:u w:val="single"/>
                    </w:rPr>
                  </w:pPr>
                  <w:r>
                    <w:rPr>
                      <w:sz w:val="18"/>
                      <w:szCs w:val="18"/>
                      <w:u w:val="single"/>
                    </w:rPr>
                    <w:t>颗粒物</w:t>
                  </w:r>
                </w:p>
              </w:tc>
              <w:tc>
                <w:tcPr>
                  <w:tcW w:w="1219" w:type="dxa"/>
                  <w:vAlign w:val="center"/>
                </w:tcPr>
                <w:p>
                  <w:pPr>
                    <w:adjustRightInd w:val="0"/>
                    <w:snapToGrid w:val="0"/>
                    <w:jc w:val="center"/>
                    <w:rPr>
                      <w:sz w:val="18"/>
                      <w:szCs w:val="18"/>
                      <w:u w:val="single"/>
                    </w:rPr>
                  </w:pPr>
                  <w:r>
                    <w:rPr>
                      <w:sz w:val="18"/>
                      <w:szCs w:val="18"/>
                      <w:u w:val="single"/>
                    </w:rPr>
                    <w:t>移动式烟尘净化器</w:t>
                  </w:r>
                </w:p>
              </w:tc>
              <w:tc>
                <w:tcPr>
                  <w:tcW w:w="1440" w:type="dxa"/>
                  <w:vAlign w:val="center"/>
                </w:tcPr>
                <w:p>
                  <w:pPr>
                    <w:adjustRightInd w:val="0"/>
                    <w:snapToGrid w:val="0"/>
                    <w:jc w:val="center"/>
                    <w:rPr>
                      <w:sz w:val="18"/>
                      <w:szCs w:val="18"/>
                      <w:u w:val="single"/>
                    </w:rPr>
                  </w:pPr>
                  <w:r>
                    <w:rPr>
                      <w:sz w:val="18"/>
                      <w:szCs w:val="18"/>
                      <w:u w:val="single"/>
                    </w:rPr>
                    <w:t>无组织排放</w:t>
                  </w:r>
                </w:p>
              </w:tc>
              <w:tc>
                <w:tcPr>
                  <w:tcW w:w="1593" w:type="dxa"/>
                  <w:vAlign w:val="center"/>
                </w:tcPr>
                <w:p>
                  <w:pPr>
                    <w:adjustRightInd w:val="0"/>
                    <w:snapToGrid w:val="0"/>
                    <w:jc w:val="center"/>
                    <w:rPr>
                      <w:sz w:val="18"/>
                      <w:szCs w:val="18"/>
                      <w:u w:val="single"/>
                    </w:rPr>
                  </w:pPr>
                  <w:r>
                    <w:rPr>
                      <w:sz w:val="18"/>
                      <w:szCs w:val="18"/>
                      <w:u w:val="single"/>
                    </w:rPr>
                    <w:t>—</w:t>
                  </w:r>
                </w:p>
              </w:tc>
              <w:tc>
                <w:tcPr>
                  <w:tcW w:w="1455" w:type="dxa"/>
                  <w:vAlign w:val="center"/>
                </w:tcPr>
                <w:p>
                  <w:pPr>
                    <w:adjustRightInd w:val="0"/>
                    <w:snapToGrid w:val="0"/>
                    <w:jc w:val="center"/>
                    <w:rPr>
                      <w:sz w:val="18"/>
                      <w:szCs w:val="18"/>
                      <w:u w:val="single"/>
                    </w:rPr>
                  </w:pPr>
                  <w:r>
                    <w:rPr>
                      <w:sz w:val="18"/>
                      <w:szCs w:val="18"/>
                      <w:u w:val="single"/>
                    </w:rPr>
                    <w:t>1.0mg/m</w:t>
                  </w:r>
                  <w:r>
                    <w:rPr>
                      <w:sz w:val="18"/>
                      <w:szCs w:val="18"/>
                      <w:u w:val="single"/>
                      <w:vertAlign w:val="superscript"/>
                    </w:rPr>
                    <w:t>3</w:t>
                  </w:r>
                </w:p>
              </w:tc>
              <w:tc>
                <w:tcPr>
                  <w:tcW w:w="604" w:type="dxa"/>
                  <w:vAlign w:val="center"/>
                </w:tcPr>
                <w:p>
                  <w:pPr>
                    <w:adjustRightInd w:val="0"/>
                    <w:snapToGrid w:val="0"/>
                    <w:jc w:val="center"/>
                    <w:rPr>
                      <w:sz w:val="18"/>
                      <w:szCs w:val="18"/>
                      <w:u w:val="single"/>
                    </w:rPr>
                  </w:pPr>
                  <w:r>
                    <w:rPr>
                      <w:sz w:val="18"/>
                      <w:szCs w:val="18"/>
                      <w:u w:val="single"/>
                    </w:rPr>
                    <w:t>达标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142" w:type="dxa"/>
                  <w:vAlign w:val="center"/>
                </w:tcPr>
                <w:p>
                  <w:pPr>
                    <w:adjustRightInd w:val="0"/>
                    <w:snapToGrid w:val="0"/>
                    <w:jc w:val="center"/>
                    <w:rPr>
                      <w:sz w:val="18"/>
                      <w:szCs w:val="18"/>
                      <w:u w:val="single"/>
                    </w:rPr>
                  </w:pPr>
                  <w:r>
                    <w:rPr>
                      <w:sz w:val="18"/>
                      <w:szCs w:val="18"/>
                      <w:u w:val="single"/>
                    </w:rPr>
                    <w:t>厂区内无组织废气</w:t>
                  </w:r>
                </w:p>
              </w:tc>
              <w:tc>
                <w:tcPr>
                  <w:tcW w:w="1048" w:type="dxa"/>
                  <w:vAlign w:val="center"/>
                </w:tcPr>
                <w:p>
                  <w:pPr>
                    <w:adjustRightInd w:val="0"/>
                    <w:snapToGrid w:val="0"/>
                    <w:jc w:val="center"/>
                    <w:rPr>
                      <w:sz w:val="18"/>
                      <w:szCs w:val="18"/>
                      <w:u w:val="single"/>
                    </w:rPr>
                  </w:pPr>
                  <w:r>
                    <w:rPr>
                      <w:sz w:val="18"/>
                      <w:szCs w:val="18"/>
                      <w:u w:val="single"/>
                    </w:rPr>
                    <w:t>非甲烷总烃</w:t>
                  </w:r>
                </w:p>
              </w:tc>
              <w:tc>
                <w:tcPr>
                  <w:tcW w:w="1219" w:type="dxa"/>
                  <w:vAlign w:val="center"/>
                </w:tcPr>
                <w:p>
                  <w:pPr>
                    <w:adjustRightInd w:val="0"/>
                    <w:snapToGrid w:val="0"/>
                    <w:jc w:val="center"/>
                    <w:rPr>
                      <w:sz w:val="18"/>
                      <w:szCs w:val="18"/>
                      <w:u w:val="single"/>
                    </w:rPr>
                  </w:pPr>
                  <w:r>
                    <w:rPr>
                      <w:sz w:val="18"/>
                      <w:szCs w:val="18"/>
                      <w:u w:val="single"/>
                    </w:rPr>
                    <w:t>/</w:t>
                  </w:r>
                </w:p>
              </w:tc>
              <w:tc>
                <w:tcPr>
                  <w:tcW w:w="1440" w:type="dxa"/>
                  <w:vAlign w:val="center"/>
                </w:tcPr>
                <w:p>
                  <w:pPr>
                    <w:adjustRightInd w:val="0"/>
                    <w:snapToGrid w:val="0"/>
                    <w:jc w:val="center"/>
                    <w:rPr>
                      <w:sz w:val="18"/>
                      <w:szCs w:val="18"/>
                      <w:u w:val="single"/>
                    </w:rPr>
                  </w:pPr>
                  <w:r>
                    <w:rPr>
                      <w:sz w:val="18"/>
                      <w:szCs w:val="18"/>
                      <w:u w:val="single"/>
                    </w:rPr>
                    <w:t>无组织排放</w:t>
                  </w:r>
                </w:p>
              </w:tc>
              <w:tc>
                <w:tcPr>
                  <w:tcW w:w="1593" w:type="dxa"/>
                  <w:vAlign w:val="center"/>
                </w:tcPr>
                <w:p>
                  <w:pPr>
                    <w:adjustRightInd w:val="0"/>
                    <w:snapToGrid w:val="0"/>
                    <w:jc w:val="center"/>
                    <w:rPr>
                      <w:sz w:val="18"/>
                      <w:szCs w:val="18"/>
                      <w:u w:val="single"/>
                    </w:rPr>
                  </w:pPr>
                  <w:r>
                    <w:rPr>
                      <w:sz w:val="18"/>
                      <w:szCs w:val="18"/>
                      <w:u w:val="single"/>
                    </w:rPr>
                    <w:t>1.10-1.41mg/m</w:t>
                  </w:r>
                  <w:r>
                    <w:rPr>
                      <w:sz w:val="18"/>
                      <w:szCs w:val="18"/>
                      <w:u w:val="single"/>
                      <w:vertAlign w:val="superscript"/>
                    </w:rPr>
                    <w:t>3</w:t>
                  </w:r>
                </w:p>
              </w:tc>
              <w:tc>
                <w:tcPr>
                  <w:tcW w:w="1455" w:type="dxa"/>
                  <w:vAlign w:val="center"/>
                </w:tcPr>
                <w:p>
                  <w:pPr>
                    <w:adjustRightInd w:val="0"/>
                    <w:snapToGrid w:val="0"/>
                    <w:jc w:val="center"/>
                    <w:rPr>
                      <w:sz w:val="18"/>
                      <w:szCs w:val="18"/>
                      <w:u w:val="single"/>
                    </w:rPr>
                  </w:pPr>
                  <w:r>
                    <w:rPr>
                      <w:sz w:val="18"/>
                      <w:szCs w:val="18"/>
                      <w:u w:val="single"/>
                    </w:rPr>
                    <w:t>10mg/m</w:t>
                  </w:r>
                  <w:r>
                    <w:rPr>
                      <w:sz w:val="18"/>
                      <w:szCs w:val="18"/>
                      <w:u w:val="single"/>
                      <w:vertAlign w:val="superscript"/>
                    </w:rPr>
                    <w:t>3</w:t>
                  </w:r>
                  <w:r>
                    <w:rPr>
                      <w:sz w:val="18"/>
                      <w:szCs w:val="18"/>
                      <w:u w:val="single"/>
                    </w:rPr>
                    <w:t>（监控点处1h平均值）</w:t>
                  </w:r>
                </w:p>
              </w:tc>
              <w:tc>
                <w:tcPr>
                  <w:tcW w:w="604" w:type="dxa"/>
                  <w:vAlign w:val="center"/>
                </w:tcPr>
                <w:p>
                  <w:pPr>
                    <w:adjustRightInd w:val="0"/>
                    <w:snapToGrid w:val="0"/>
                    <w:jc w:val="center"/>
                    <w:rPr>
                      <w:sz w:val="18"/>
                      <w:szCs w:val="18"/>
                      <w:u w:val="single"/>
                    </w:rPr>
                  </w:pPr>
                  <w:r>
                    <w:rPr>
                      <w:sz w:val="18"/>
                      <w:szCs w:val="18"/>
                      <w:u w:val="single"/>
                    </w:rPr>
                    <w:t>达标</w:t>
                  </w:r>
                </w:p>
              </w:tc>
            </w:tr>
          </w:tbl>
          <w:p>
            <w:pPr>
              <w:spacing w:line="360" w:lineRule="auto"/>
              <w:ind w:firstLine="420" w:firstLineChars="200"/>
              <w:jc w:val="left"/>
              <w:rPr>
                <w:szCs w:val="21"/>
                <w:u w:val="single"/>
              </w:rPr>
            </w:pPr>
            <w:r>
              <w:rPr>
                <w:szCs w:val="21"/>
                <w:u w:val="single"/>
              </w:rPr>
              <w:t>现有工程锅炉废气污染物排放量详见表13。</w:t>
            </w:r>
          </w:p>
          <w:p>
            <w:pPr>
              <w:ind w:firstLine="422" w:firstLineChars="200"/>
              <w:jc w:val="center"/>
              <w:rPr>
                <w:b/>
                <w:bCs/>
                <w:u w:val="single"/>
              </w:rPr>
            </w:pPr>
            <w:r>
              <w:rPr>
                <w:b/>
                <w:bCs/>
                <w:u w:val="single"/>
              </w:rPr>
              <w:t>表13  现有工程锅炉废气污染物排放量一览表</w:t>
            </w:r>
          </w:p>
          <w:tbl>
            <w:tblPr>
              <w:tblStyle w:val="26"/>
              <w:tblW w:w="8501" w:type="dxa"/>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933"/>
              <w:gridCol w:w="1597"/>
              <w:gridCol w:w="3074"/>
              <w:gridCol w:w="2897"/>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933" w:type="dxa"/>
                  <w:vAlign w:val="center"/>
                </w:tcPr>
                <w:p>
                  <w:pPr>
                    <w:adjustRightInd w:val="0"/>
                    <w:snapToGrid w:val="0"/>
                    <w:jc w:val="center"/>
                    <w:rPr>
                      <w:sz w:val="18"/>
                      <w:szCs w:val="18"/>
                      <w:u w:val="single"/>
                    </w:rPr>
                  </w:pPr>
                  <w:r>
                    <w:rPr>
                      <w:sz w:val="18"/>
                      <w:szCs w:val="18"/>
                      <w:u w:val="single"/>
                    </w:rPr>
                    <w:t>污染物</w:t>
                  </w:r>
                </w:p>
              </w:tc>
              <w:tc>
                <w:tcPr>
                  <w:tcW w:w="1597" w:type="dxa"/>
                  <w:vAlign w:val="center"/>
                </w:tcPr>
                <w:p>
                  <w:pPr>
                    <w:adjustRightInd w:val="0"/>
                    <w:snapToGrid w:val="0"/>
                    <w:jc w:val="center"/>
                    <w:rPr>
                      <w:sz w:val="18"/>
                      <w:szCs w:val="18"/>
                      <w:u w:val="single"/>
                    </w:rPr>
                  </w:pPr>
                  <w:r>
                    <w:rPr>
                      <w:sz w:val="18"/>
                      <w:szCs w:val="18"/>
                      <w:u w:val="single"/>
                    </w:rPr>
                    <w:t>排放量（t/a）</w:t>
                  </w:r>
                </w:p>
              </w:tc>
              <w:tc>
                <w:tcPr>
                  <w:tcW w:w="3074" w:type="dxa"/>
                  <w:vAlign w:val="center"/>
                </w:tcPr>
                <w:p>
                  <w:pPr>
                    <w:adjustRightInd w:val="0"/>
                    <w:snapToGrid w:val="0"/>
                    <w:jc w:val="center"/>
                    <w:rPr>
                      <w:sz w:val="18"/>
                      <w:szCs w:val="18"/>
                      <w:u w:val="single"/>
                    </w:rPr>
                  </w:pPr>
                  <w:r>
                    <w:rPr>
                      <w:sz w:val="18"/>
                      <w:szCs w:val="18"/>
                      <w:u w:val="single"/>
                    </w:rPr>
                    <w:t>实测折算浓度均值（mg/m</w:t>
                  </w:r>
                  <w:r>
                    <w:rPr>
                      <w:rFonts w:hint="eastAsia"/>
                      <w:sz w:val="18"/>
                      <w:szCs w:val="18"/>
                      <w:u w:val="single"/>
                      <w:vertAlign w:val="superscript"/>
                    </w:rPr>
                    <w:t>3</w:t>
                  </w:r>
                  <w:r>
                    <w:rPr>
                      <w:sz w:val="18"/>
                      <w:szCs w:val="18"/>
                      <w:u w:val="single"/>
                    </w:rPr>
                    <w:t>）</w:t>
                  </w:r>
                </w:p>
              </w:tc>
              <w:tc>
                <w:tcPr>
                  <w:tcW w:w="2897" w:type="dxa"/>
                  <w:vAlign w:val="center"/>
                </w:tcPr>
                <w:p>
                  <w:pPr>
                    <w:adjustRightInd w:val="0"/>
                    <w:snapToGrid w:val="0"/>
                    <w:jc w:val="center"/>
                    <w:rPr>
                      <w:sz w:val="18"/>
                      <w:szCs w:val="18"/>
                      <w:u w:val="single"/>
                    </w:rPr>
                  </w:pPr>
                  <w:r>
                    <w:rPr>
                      <w:sz w:val="18"/>
                      <w:szCs w:val="18"/>
                      <w:u w:val="single"/>
                    </w:rPr>
                    <w:t>数据来源</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933" w:type="dxa"/>
                  <w:vAlign w:val="center"/>
                </w:tcPr>
                <w:p>
                  <w:pPr>
                    <w:adjustRightInd w:val="0"/>
                    <w:snapToGrid w:val="0"/>
                    <w:jc w:val="center"/>
                    <w:rPr>
                      <w:sz w:val="18"/>
                      <w:szCs w:val="18"/>
                      <w:u w:val="single"/>
                    </w:rPr>
                  </w:pPr>
                  <w:r>
                    <w:rPr>
                      <w:sz w:val="18"/>
                      <w:szCs w:val="18"/>
                      <w:u w:val="single"/>
                    </w:rPr>
                    <w:t>颗粒物</w:t>
                  </w:r>
                </w:p>
              </w:tc>
              <w:tc>
                <w:tcPr>
                  <w:tcW w:w="1597" w:type="dxa"/>
                  <w:vAlign w:val="center"/>
                </w:tcPr>
                <w:p>
                  <w:pPr>
                    <w:adjustRightInd w:val="0"/>
                    <w:snapToGrid w:val="0"/>
                    <w:jc w:val="center"/>
                    <w:rPr>
                      <w:sz w:val="18"/>
                      <w:szCs w:val="18"/>
                      <w:u w:val="single"/>
                    </w:rPr>
                  </w:pPr>
                  <w:r>
                    <w:rPr>
                      <w:rFonts w:hint="eastAsia"/>
                      <w:sz w:val="18"/>
                      <w:szCs w:val="18"/>
                      <w:u w:val="single"/>
                    </w:rPr>
                    <w:t>0.0524</w:t>
                  </w:r>
                </w:p>
              </w:tc>
              <w:tc>
                <w:tcPr>
                  <w:tcW w:w="3074" w:type="dxa"/>
                  <w:vAlign w:val="center"/>
                </w:tcPr>
                <w:p>
                  <w:pPr>
                    <w:adjustRightInd w:val="0"/>
                    <w:snapToGrid w:val="0"/>
                    <w:jc w:val="center"/>
                    <w:rPr>
                      <w:sz w:val="18"/>
                      <w:szCs w:val="18"/>
                      <w:u w:val="single"/>
                    </w:rPr>
                  </w:pPr>
                  <w:r>
                    <w:rPr>
                      <w:sz w:val="18"/>
                      <w:szCs w:val="18"/>
                      <w:u w:val="single"/>
                    </w:rPr>
                    <w:t>23</w:t>
                  </w:r>
                  <w:r>
                    <w:rPr>
                      <w:rFonts w:hint="eastAsia"/>
                      <w:sz w:val="18"/>
                      <w:szCs w:val="18"/>
                      <w:u w:val="single"/>
                    </w:rPr>
                    <w:t>-</w:t>
                  </w:r>
                  <w:r>
                    <w:rPr>
                      <w:sz w:val="18"/>
                      <w:szCs w:val="18"/>
                      <w:u w:val="single"/>
                    </w:rPr>
                    <w:t>28（取均值26）</w:t>
                  </w:r>
                </w:p>
              </w:tc>
              <w:tc>
                <w:tcPr>
                  <w:tcW w:w="2897" w:type="dxa"/>
                  <w:vAlign w:val="center"/>
                </w:tcPr>
                <w:p>
                  <w:pPr>
                    <w:adjustRightInd w:val="0"/>
                    <w:snapToGrid w:val="0"/>
                    <w:jc w:val="center"/>
                    <w:rPr>
                      <w:sz w:val="18"/>
                      <w:szCs w:val="18"/>
                      <w:u w:val="single"/>
                    </w:rPr>
                  </w:pPr>
                  <w:r>
                    <w:rPr>
                      <w:sz w:val="18"/>
                      <w:szCs w:val="18"/>
                      <w:u w:val="single"/>
                    </w:rPr>
                    <w:t>26mg/m</w:t>
                  </w:r>
                  <w:r>
                    <w:rPr>
                      <w:rFonts w:hint="eastAsia"/>
                      <w:sz w:val="18"/>
                      <w:szCs w:val="18"/>
                      <w:u w:val="single"/>
                      <w:vertAlign w:val="superscript"/>
                    </w:rPr>
                    <w:t>3</w:t>
                  </w:r>
                  <w:r>
                    <w:rPr>
                      <w:sz w:val="18"/>
                      <w:szCs w:val="18"/>
                      <w:u w:val="single"/>
                    </w:rPr>
                    <w:t>×1400m</w:t>
                  </w:r>
                  <w:r>
                    <w:rPr>
                      <w:rFonts w:hint="eastAsia"/>
                      <w:sz w:val="18"/>
                      <w:szCs w:val="18"/>
                      <w:u w:val="single"/>
                      <w:vertAlign w:val="superscript"/>
                    </w:rPr>
                    <w:t>3</w:t>
                  </w:r>
                  <w:r>
                    <w:rPr>
                      <w:sz w:val="18"/>
                      <w:szCs w:val="18"/>
                      <w:u w:val="single"/>
                    </w:rPr>
                    <w:t>/h×</w:t>
                  </w:r>
                  <w:r>
                    <w:rPr>
                      <w:rFonts w:hint="eastAsia"/>
                      <w:sz w:val="18"/>
                      <w:szCs w:val="18"/>
                      <w:u w:val="single"/>
                    </w:rPr>
                    <w:t>14</w:t>
                  </w:r>
                  <w:r>
                    <w:rPr>
                      <w:sz w:val="18"/>
                      <w:szCs w:val="18"/>
                      <w:u w:val="single"/>
                    </w:rPr>
                    <w:t>40h/a</w:t>
                  </w:r>
                  <w:r>
                    <w:rPr>
                      <w:rFonts w:hint="eastAsia"/>
                      <w:sz w:val="18"/>
                      <w:szCs w:val="18"/>
                      <w:u w:val="single"/>
                    </w:rPr>
                    <w:t>/10</w:t>
                  </w:r>
                  <w:r>
                    <w:rPr>
                      <w:rFonts w:hint="eastAsia"/>
                      <w:sz w:val="18"/>
                      <w:szCs w:val="18"/>
                      <w:u w:val="single"/>
                      <w:vertAlign w:val="superscript"/>
                    </w:rPr>
                    <w:t>-9</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933" w:type="dxa"/>
                  <w:vAlign w:val="center"/>
                </w:tcPr>
                <w:p>
                  <w:pPr>
                    <w:adjustRightInd w:val="0"/>
                    <w:snapToGrid w:val="0"/>
                    <w:jc w:val="center"/>
                    <w:rPr>
                      <w:sz w:val="18"/>
                      <w:szCs w:val="18"/>
                      <w:u w:val="single"/>
                    </w:rPr>
                  </w:pPr>
                  <w:r>
                    <w:rPr>
                      <w:sz w:val="18"/>
                      <w:szCs w:val="18"/>
                      <w:u w:val="single"/>
                    </w:rPr>
                    <w:t>SO</w:t>
                  </w:r>
                  <w:r>
                    <w:rPr>
                      <w:sz w:val="18"/>
                      <w:szCs w:val="18"/>
                      <w:u w:val="single"/>
                      <w:vertAlign w:val="subscript"/>
                    </w:rPr>
                    <w:t>2</w:t>
                  </w:r>
                </w:p>
              </w:tc>
              <w:tc>
                <w:tcPr>
                  <w:tcW w:w="1597" w:type="dxa"/>
                  <w:vAlign w:val="center"/>
                </w:tcPr>
                <w:p>
                  <w:pPr>
                    <w:adjustRightInd w:val="0"/>
                    <w:snapToGrid w:val="0"/>
                    <w:jc w:val="center"/>
                    <w:rPr>
                      <w:sz w:val="18"/>
                      <w:szCs w:val="18"/>
                      <w:u w:val="single"/>
                    </w:rPr>
                  </w:pPr>
                  <w:r>
                    <w:rPr>
                      <w:rFonts w:hint="eastAsia"/>
                      <w:sz w:val="18"/>
                      <w:szCs w:val="18"/>
                      <w:u w:val="single"/>
                    </w:rPr>
                    <w:t>0.0564</w:t>
                  </w:r>
                </w:p>
              </w:tc>
              <w:tc>
                <w:tcPr>
                  <w:tcW w:w="3074" w:type="dxa"/>
                  <w:vAlign w:val="center"/>
                </w:tcPr>
                <w:p>
                  <w:pPr>
                    <w:adjustRightInd w:val="0"/>
                    <w:snapToGrid w:val="0"/>
                    <w:jc w:val="center"/>
                    <w:rPr>
                      <w:sz w:val="18"/>
                      <w:szCs w:val="18"/>
                      <w:u w:val="single"/>
                    </w:rPr>
                  </w:pPr>
                  <w:r>
                    <w:rPr>
                      <w:sz w:val="18"/>
                      <w:szCs w:val="18"/>
                      <w:u w:val="single"/>
                    </w:rPr>
                    <w:t>24</w:t>
                  </w:r>
                  <w:r>
                    <w:rPr>
                      <w:rFonts w:hint="eastAsia"/>
                      <w:sz w:val="18"/>
                      <w:szCs w:val="18"/>
                      <w:u w:val="single"/>
                    </w:rPr>
                    <w:t>-</w:t>
                  </w:r>
                  <w:r>
                    <w:rPr>
                      <w:sz w:val="18"/>
                      <w:szCs w:val="18"/>
                      <w:u w:val="single"/>
                    </w:rPr>
                    <w:t>31（取均值28）</w:t>
                  </w:r>
                </w:p>
              </w:tc>
              <w:tc>
                <w:tcPr>
                  <w:tcW w:w="2897" w:type="dxa"/>
                  <w:vAlign w:val="center"/>
                </w:tcPr>
                <w:p>
                  <w:pPr>
                    <w:adjustRightInd w:val="0"/>
                    <w:snapToGrid w:val="0"/>
                    <w:jc w:val="center"/>
                    <w:rPr>
                      <w:sz w:val="18"/>
                      <w:szCs w:val="18"/>
                      <w:u w:val="single"/>
                    </w:rPr>
                  </w:pPr>
                  <w:r>
                    <w:rPr>
                      <w:sz w:val="18"/>
                      <w:szCs w:val="18"/>
                      <w:u w:val="single"/>
                    </w:rPr>
                    <w:t>28mg/m</w:t>
                  </w:r>
                  <w:r>
                    <w:rPr>
                      <w:rFonts w:hint="eastAsia"/>
                      <w:sz w:val="18"/>
                      <w:szCs w:val="18"/>
                      <w:u w:val="single"/>
                      <w:vertAlign w:val="superscript"/>
                    </w:rPr>
                    <w:t>3</w:t>
                  </w:r>
                  <w:r>
                    <w:rPr>
                      <w:sz w:val="18"/>
                      <w:szCs w:val="18"/>
                      <w:u w:val="single"/>
                    </w:rPr>
                    <w:t>×1400m</w:t>
                  </w:r>
                  <w:r>
                    <w:rPr>
                      <w:rFonts w:hint="eastAsia"/>
                      <w:sz w:val="18"/>
                      <w:szCs w:val="18"/>
                      <w:u w:val="single"/>
                      <w:vertAlign w:val="superscript"/>
                    </w:rPr>
                    <w:t>3</w:t>
                  </w:r>
                  <w:r>
                    <w:rPr>
                      <w:sz w:val="18"/>
                      <w:szCs w:val="18"/>
                      <w:u w:val="single"/>
                    </w:rPr>
                    <w:t>/h×</w:t>
                  </w:r>
                  <w:r>
                    <w:rPr>
                      <w:rFonts w:hint="eastAsia"/>
                      <w:sz w:val="18"/>
                      <w:szCs w:val="18"/>
                      <w:u w:val="single"/>
                    </w:rPr>
                    <w:t>14</w:t>
                  </w:r>
                  <w:r>
                    <w:rPr>
                      <w:sz w:val="18"/>
                      <w:szCs w:val="18"/>
                      <w:u w:val="single"/>
                    </w:rPr>
                    <w:t>40h/a</w:t>
                  </w:r>
                  <w:r>
                    <w:rPr>
                      <w:rFonts w:hint="eastAsia"/>
                      <w:sz w:val="18"/>
                      <w:szCs w:val="18"/>
                      <w:u w:val="single"/>
                    </w:rPr>
                    <w:t>/10</w:t>
                  </w:r>
                  <w:r>
                    <w:rPr>
                      <w:rFonts w:hint="eastAsia"/>
                      <w:sz w:val="18"/>
                      <w:szCs w:val="18"/>
                      <w:u w:val="single"/>
                      <w:vertAlign w:val="superscript"/>
                    </w:rPr>
                    <w:t>-9</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933" w:type="dxa"/>
                  <w:vAlign w:val="center"/>
                </w:tcPr>
                <w:p>
                  <w:pPr>
                    <w:adjustRightInd w:val="0"/>
                    <w:snapToGrid w:val="0"/>
                    <w:jc w:val="center"/>
                    <w:rPr>
                      <w:sz w:val="18"/>
                      <w:szCs w:val="18"/>
                      <w:u w:val="single"/>
                    </w:rPr>
                  </w:pPr>
                  <w:r>
                    <w:rPr>
                      <w:sz w:val="18"/>
                      <w:szCs w:val="18"/>
                      <w:u w:val="single"/>
                    </w:rPr>
                    <w:t>NOx</w:t>
                  </w:r>
                </w:p>
              </w:tc>
              <w:tc>
                <w:tcPr>
                  <w:tcW w:w="1597" w:type="dxa"/>
                  <w:vAlign w:val="center"/>
                </w:tcPr>
                <w:p>
                  <w:pPr>
                    <w:adjustRightInd w:val="0"/>
                    <w:snapToGrid w:val="0"/>
                    <w:jc w:val="center"/>
                    <w:rPr>
                      <w:sz w:val="18"/>
                      <w:szCs w:val="18"/>
                      <w:u w:val="single"/>
                    </w:rPr>
                  </w:pPr>
                  <w:r>
                    <w:rPr>
                      <w:rFonts w:hint="eastAsia"/>
                      <w:sz w:val="18"/>
                      <w:szCs w:val="18"/>
                      <w:u w:val="single"/>
                    </w:rPr>
                    <w:t>0.3064</w:t>
                  </w:r>
                </w:p>
              </w:tc>
              <w:tc>
                <w:tcPr>
                  <w:tcW w:w="3074" w:type="dxa"/>
                  <w:vAlign w:val="center"/>
                </w:tcPr>
                <w:p>
                  <w:pPr>
                    <w:adjustRightInd w:val="0"/>
                    <w:snapToGrid w:val="0"/>
                    <w:jc w:val="center"/>
                    <w:rPr>
                      <w:sz w:val="18"/>
                      <w:szCs w:val="18"/>
                      <w:u w:val="single"/>
                    </w:rPr>
                  </w:pPr>
                  <w:r>
                    <w:rPr>
                      <w:sz w:val="18"/>
                      <w:szCs w:val="18"/>
                      <w:u w:val="single"/>
                    </w:rPr>
                    <w:t>146</w:t>
                  </w:r>
                  <w:r>
                    <w:rPr>
                      <w:rFonts w:hint="eastAsia"/>
                      <w:sz w:val="18"/>
                      <w:szCs w:val="18"/>
                      <w:u w:val="single"/>
                    </w:rPr>
                    <w:t>-</w:t>
                  </w:r>
                  <w:r>
                    <w:rPr>
                      <w:sz w:val="18"/>
                      <w:szCs w:val="18"/>
                      <w:u w:val="single"/>
                    </w:rPr>
                    <w:t>157（取均值152）</w:t>
                  </w:r>
                </w:p>
              </w:tc>
              <w:tc>
                <w:tcPr>
                  <w:tcW w:w="2897" w:type="dxa"/>
                  <w:vAlign w:val="center"/>
                </w:tcPr>
                <w:p>
                  <w:pPr>
                    <w:adjustRightInd w:val="0"/>
                    <w:snapToGrid w:val="0"/>
                    <w:jc w:val="center"/>
                    <w:rPr>
                      <w:sz w:val="18"/>
                      <w:szCs w:val="18"/>
                      <w:u w:val="single"/>
                    </w:rPr>
                  </w:pPr>
                  <w:r>
                    <w:rPr>
                      <w:sz w:val="18"/>
                      <w:szCs w:val="18"/>
                      <w:u w:val="single"/>
                    </w:rPr>
                    <w:t>152mg/m</w:t>
                  </w:r>
                  <w:r>
                    <w:rPr>
                      <w:rFonts w:hint="eastAsia"/>
                      <w:sz w:val="18"/>
                      <w:szCs w:val="18"/>
                      <w:u w:val="single"/>
                      <w:vertAlign w:val="superscript"/>
                    </w:rPr>
                    <w:t>3</w:t>
                  </w:r>
                  <w:r>
                    <w:rPr>
                      <w:sz w:val="18"/>
                      <w:szCs w:val="18"/>
                      <w:u w:val="single"/>
                    </w:rPr>
                    <w:t>×1400m</w:t>
                  </w:r>
                  <w:r>
                    <w:rPr>
                      <w:rFonts w:hint="eastAsia"/>
                      <w:sz w:val="18"/>
                      <w:szCs w:val="18"/>
                      <w:u w:val="single"/>
                      <w:vertAlign w:val="superscript"/>
                    </w:rPr>
                    <w:t>3</w:t>
                  </w:r>
                  <w:r>
                    <w:rPr>
                      <w:sz w:val="18"/>
                      <w:szCs w:val="18"/>
                      <w:u w:val="single"/>
                    </w:rPr>
                    <w:t>/h×</w:t>
                  </w:r>
                  <w:r>
                    <w:rPr>
                      <w:rFonts w:hint="eastAsia"/>
                      <w:sz w:val="18"/>
                      <w:szCs w:val="18"/>
                      <w:u w:val="single"/>
                    </w:rPr>
                    <w:t>14</w:t>
                  </w:r>
                  <w:r>
                    <w:rPr>
                      <w:sz w:val="18"/>
                      <w:szCs w:val="18"/>
                      <w:u w:val="single"/>
                    </w:rPr>
                    <w:t>40h/a</w:t>
                  </w:r>
                  <w:r>
                    <w:rPr>
                      <w:rFonts w:hint="eastAsia"/>
                      <w:sz w:val="18"/>
                      <w:szCs w:val="18"/>
                      <w:u w:val="single"/>
                    </w:rPr>
                    <w:t>/10</w:t>
                  </w:r>
                  <w:r>
                    <w:rPr>
                      <w:rFonts w:hint="eastAsia"/>
                      <w:sz w:val="18"/>
                      <w:szCs w:val="18"/>
                      <w:u w:val="single"/>
                      <w:vertAlign w:val="superscript"/>
                    </w:rPr>
                    <w:t>-9</w:t>
                  </w:r>
                </w:p>
              </w:tc>
            </w:tr>
          </w:tbl>
          <w:p>
            <w:pPr>
              <w:spacing w:line="360" w:lineRule="auto"/>
              <w:ind w:firstLine="420" w:firstLineChars="200"/>
              <w:jc w:val="left"/>
              <w:rPr>
                <w:szCs w:val="21"/>
                <w:u w:val="single"/>
              </w:rPr>
            </w:pPr>
            <w:r>
              <w:rPr>
                <w:szCs w:val="21"/>
                <w:u w:val="single"/>
              </w:rPr>
              <w:t>（3）噪声污染防治措施</w:t>
            </w:r>
          </w:p>
          <w:p>
            <w:pPr>
              <w:spacing w:line="360" w:lineRule="auto"/>
              <w:ind w:firstLine="420" w:firstLineChars="200"/>
              <w:jc w:val="left"/>
              <w:rPr>
                <w:szCs w:val="21"/>
                <w:u w:val="single"/>
              </w:rPr>
            </w:pPr>
            <w:r>
              <w:rPr>
                <w:szCs w:val="21"/>
                <w:u w:val="single"/>
              </w:rPr>
              <w:t>生产厂房为封闭式建筑，作业机器设备安装减振基础，采取距离衰减等措施。验收监测期间，厂界昼间噪声值为61-64dB(A)，满足《工业企业厂界环境噪声排放标准》（GB12348-2008）3类标准（昼间65dB(A)）。</w:t>
            </w:r>
          </w:p>
          <w:p>
            <w:pPr>
              <w:spacing w:line="360" w:lineRule="auto"/>
              <w:ind w:firstLine="420" w:firstLineChars="200"/>
              <w:jc w:val="left"/>
              <w:rPr>
                <w:szCs w:val="21"/>
                <w:u w:val="single"/>
              </w:rPr>
            </w:pPr>
            <w:r>
              <w:rPr>
                <w:szCs w:val="21"/>
                <w:u w:val="single"/>
              </w:rPr>
              <w:t>（4）固体废物产生及处置情况</w:t>
            </w:r>
          </w:p>
          <w:p>
            <w:pPr>
              <w:spacing w:line="360" w:lineRule="auto"/>
              <w:ind w:firstLine="420" w:firstLineChars="200"/>
              <w:jc w:val="left"/>
              <w:rPr>
                <w:szCs w:val="21"/>
                <w:u w:val="single"/>
              </w:rPr>
            </w:pPr>
            <w:r>
              <w:rPr>
                <w:szCs w:val="21"/>
                <w:u w:val="single"/>
              </w:rPr>
              <w:t>固体废物产生及处置情况详见表14。</w:t>
            </w:r>
          </w:p>
          <w:p>
            <w:pPr>
              <w:ind w:firstLine="422" w:firstLineChars="200"/>
              <w:jc w:val="center"/>
              <w:rPr>
                <w:b/>
                <w:bCs/>
                <w:u w:val="single"/>
              </w:rPr>
            </w:pPr>
          </w:p>
          <w:p>
            <w:pPr>
              <w:ind w:firstLine="422" w:firstLineChars="200"/>
              <w:jc w:val="center"/>
              <w:rPr>
                <w:b/>
                <w:bCs/>
                <w:u w:val="single"/>
              </w:rPr>
            </w:pPr>
          </w:p>
          <w:p>
            <w:pPr>
              <w:ind w:firstLine="422" w:firstLineChars="200"/>
              <w:jc w:val="center"/>
              <w:rPr>
                <w:b/>
                <w:bCs/>
                <w:u w:val="single"/>
              </w:rPr>
            </w:pPr>
          </w:p>
          <w:p>
            <w:pPr>
              <w:ind w:firstLine="422" w:firstLineChars="200"/>
              <w:jc w:val="center"/>
              <w:rPr>
                <w:b/>
                <w:bCs/>
                <w:u w:val="single"/>
              </w:rPr>
            </w:pPr>
          </w:p>
          <w:p>
            <w:pPr>
              <w:ind w:firstLine="422" w:firstLineChars="200"/>
              <w:jc w:val="center"/>
              <w:rPr>
                <w:b/>
                <w:bCs/>
                <w:u w:val="single"/>
              </w:rPr>
            </w:pPr>
          </w:p>
          <w:p>
            <w:pPr>
              <w:ind w:firstLine="422" w:firstLineChars="200"/>
              <w:jc w:val="center"/>
              <w:rPr>
                <w:b/>
                <w:bCs/>
                <w:u w:val="single"/>
              </w:rPr>
            </w:pPr>
          </w:p>
          <w:p>
            <w:pPr>
              <w:ind w:firstLine="422" w:firstLineChars="200"/>
              <w:jc w:val="center"/>
              <w:rPr>
                <w:b/>
                <w:bCs/>
                <w:u w:val="single"/>
              </w:rPr>
            </w:pPr>
          </w:p>
          <w:p>
            <w:pPr>
              <w:ind w:firstLine="422" w:firstLineChars="200"/>
              <w:jc w:val="center"/>
              <w:rPr>
                <w:b/>
                <w:bCs/>
                <w:u w:val="single"/>
              </w:rPr>
            </w:pPr>
          </w:p>
          <w:p>
            <w:pPr>
              <w:ind w:firstLine="422" w:firstLineChars="200"/>
              <w:jc w:val="center"/>
              <w:rPr>
                <w:b/>
                <w:bCs/>
                <w:u w:val="single"/>
              </w:rPr>
            </w:pPr>
            <w:r>
              <w:rPr>
                <w:b/>
                <w:bCs/>
                <w:u w:val="single"/>
              </w:rPr>
              <w:t>表14  固体废物产生及处置情况一览表</w:t>
            </w:r>
          </w:p>
          <w:tbl>
            <w:tblPr>
              <w:tblStyle w:val="26"/>
              <w:tblW w:w="8501" w:type="dxa"/>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2089"/>
              <w:gridCol w:w="1615"/>
              <w:gridCol w:w="1153"/>
              <w:gridCol w:w="3644"/>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2089" w:type="dxa"/>
                  <w:vAlign w:val="center"/>
                </w:tcPr>
                <w:p>
                  <w:pPr>
                    <w:adjustRightInd w:val="0"/>
                    <w:snapToGrid w:val="0"/>
                    <w:jc w:val="center"/>
                    <w:rPr>
                      <w:sz w:val="18"/>
                      <w:szCs w:val="18"/>
                      <w:u w:val="single"/>
                    </w:rPr>
                  </w:pPr>
                  <w:r>
                    <w:rPr>
                      <w:sz w:val="18"/>
                      <w:szCs w:val="18"/>
                      <w:u w:val="single"/>
                    </w:rPr>
                    <w:t>固废名称</w:t>
                  </w:r>
                </w:p>
              </w:tc>
              <w:tc>
                <w:tcPr>
                  <w:tcW w:w="1615" w:type="dxa"/>
                  <w:vAlign w:val="center"/>
                </w:tcPr>
                <w:p>
                  <w:pPr>
                    <w:adjustRightInd w:val="0"/>
                    <w:snapToGrid w:val="0"/>
                    <w:jc w:val="center"/>
                    <w:rPr>
                      <w:sz w:val="18"/>
                      <w:szCs w:val="18"/>
                      <w:u w:val="single"/>
                    </w:rPr>
                  </w:pPr>
                  <w:r>
                    <w:rPr>
                      <w:sz w:val="18"/>
                      <w:szCs w:val="18"/>
                      <w:u w:val="single"/>
                    </w:rPr>
                    <w:t>性质</w:t>
                  </w:r>
                </w:p>
              </w:tc>
              <w:tc>
                <w:tcPr>
                  <w:tcW w:w="1153" w:type="dxa"/>
                  <w:vAlign w:val="center"/>
                </w:tcPr>
                <w:p>
                  <w:pPr>
                    <w:adjustRightInd w:val="0"/>
                    <w:snapToGrid w:val="0"/>
                    <w:jc w:val="center"/>
                    <w:rPr>
                      <w:sz w:val="18"/>
                      <w:szCs w:val="18"/>
                      <w:u w:val="single"/>
                    </w:rPr>
                  </w:pPr>
                  <w:r>
                    <w:rPr>
                      <w:sz w:val="18"/>
                      <w:szCs w:val="18"/>
                      <w:u w:val="single"/>
                    </w:rPr>
                    <w:t>产生量（t/a）</w:t>
                  </w:r>
                </w:p>
              </w:tc>
              <w:tc>
                <w:tcPr>
                  <w:tcW w:w="3644" w:type="dxa"/>
                  <w:vAlign w:val="center"/>
                </w:tcPr>
                <w:p>
                  <w:pPr>
                    <w:adjustRightInd w:val="0"/>
                    <w:snapToGrid w:val="0"/>
                    <w:jc w:val="center"/>
                    <w:rPr>
                      <w:sz w:val="18"/>
                      <w:szCs w:val="18"/>
                      <w:u w:val="single"/>
                    </w:rPr>
                  </w:pPr>
                  <w:r>
                    <w:rPr>
                      <w:sz w:val="18"/>
                      <w:szCs w:val="18"/>
                      <w:u w:val="single"/>
                    </w:rPr>
                    <w:t>处置去向</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2089" w:type="dxa"/>
                  <w:vAlign w:val="center"/>
                </w:tcPr>
                <w:p>
                  <w:pPr>
                    <w:adjustRightInd w:val="0"/>
                    <w:snapToGrid w:val="0"/>
                    <w:jc w:val="center"/>
                    <w:rPr>
                      <w:sz w:val="18"/>
                      <w:szCs w:val="18"/>
                      <w:u w:val="single"/>
                    </w:rPr>
                  </w:pPr>
                  <w:r>
                    <w:rPr>
                      <w:sz w:val="18"/>
                      <w:szCs w:val="18"/>
                      <w:u w:val="single"/>
                    </w:rPr>
                    <w:t>废漆渣</w:t>
                  </w:r>
                </w:p>
              </w:tc>
              <w:tc>
                <w:tcPr>
                  <w:tcW w:w="1615" w:type="dxa"/>
                  <w:vAlign w:val="center"/>
                </w:tcPr>
                <w:p>
                  <w:pPr>
                    <w:adjustRightInd w:val="0"/>
                    <w:snapToGrid w:val="0"/>
                    <w:jc w:val="center"/>
                    <w:rPr>
                      <w:sz w:val="18"/>
                      <w:szCs w:val="18"/>
                      <w:u w:val="single"/>
                    </w:rPr>
                  </w:pPr>
                  <w:r>
                    <w:rPr>
                      <w:sz w:val="18"/>
                      <w:szCs w:val="18"/>
                      <w:u w:val="single"/>
                    </w:rPr>
                    <w:t>危险废物（HW12）</w:t>
                  </w:r>
                </w:p>
              </w:tc>
              <w:tc>
                <w:tcPr>
                  <w:tcW w:w="1153" w:type="dxa"/>
                  <w:vAlign w:val="center"/>
                </w:tcPr>
                <w:p>
                  <w:pPr>
                    <w:adjustRightInd w:val="0"/>
                    <w:snapToGrid w:val="0"/>
                    <w:jc w:val="center"/>
                    <w:rPr>
                      <w:sz w:val="18"/>
                      <w:szCs w:val="18"/>
                      <w:u w:val="single"/>
                    </w:rPr>
                  </w:pPr>
                  <w:r>
                    <w:rPr>
                      <w:sz w:val="18"/>
                      <w:szCs w:val="18"/>
                      <w:u w:val="single"/>
                    </w:rPr>
                    <w:t>约0.5</w:t>
                  </w:r>
                </w:p>
              </w:tc>
              <w:tc>
                <w:tcPr>
                  <w:tcW w:w="3644" w:type="dxa"/>
                  <w:vMerge w:val="restart"/>
                  <w:vAlign w:val="center"/>
                </w:tcPr>
                <w:p>
                  <w:pPr>
                    <w:adjustRightInd w:val="0"/>
                    <w:snapToGrid w:val="0"/>
                    <w:jc w:val="center"/>
                    <w:rPr>
                      <w:sz w:val="18"/>
                      <w:szCs w:val="18"/>
                      <w:u w:val="single"/>
                    </w:rPr>
                  </w:pPr>
                  <w:r>
                    <w:rPr>
                      <w:sz w:val="18"/>
                      <w:szCs w:val="18"/>
                      <w:u w:val="single"/>
                    </w:rPr>
                    <w:t>暂存于危废暂存间，委托吉林省高深环保科技有限公司处置</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2089" w:type="dxa"/>
                  <w:vAlign w:val="center"/>
                </w:tcPr>
                <w:p>
                  <w:pPr>
                    <w:adjustRightInd w:val="0"/>
                    <w:snapToGrid w:val="0"/>
                    <w:jc w:val="center"/>
                    <w:rPr>
                      <w:sz w:val="18"/>
                      <w:szCs w:val="18"/>
                      <w:u w:val="single"/>
                    </w:rPr>
                  </w:pPr>
                  <w:r>
                    <w:rPr>
                      <w:sz w:val="18"/>
                      <w:szCs w:val="18"/>
                      <w:u w:val="single"/>
                    </w:rPr>
                    <w:t>喷漆废液</w:t>
                  </w:r>
                </w:p>
              </w:tc>
              <w:tc>
                <w:tcPr>
                  <w:tcW w:w="1615" w:type="dxa"/>
                  <w:vAlign w:val="center"/>
                </w:tcPr>
                <w:p>
                  <w:pPr>
                    <w:adjustRightInd w:val="0"/>
                    <w:snapToGrid w:val="0"/>
                    <w:jc w:val="center"/>
                    <w:rPr>
                      <w:sz w:val="18"/>
                      <w:szCs w:val="18"/>
                      <w:u w:val="single"/>
                    </w:rPr>
                  </w:pPr>
                  <w:r>
                    <w:rPr>
                      <w:sz w:val="18"/>
                      <w:szCs w:val="18"/>
                      <w:u w:val="single"/>
                    </w:rPr>
                    <w:t>危险废物（HW12）</w:t>
                  </w:r>
                </w:p>
              </w:tc>
              <w:tc>
                <w:tcPr>
                  <w:tcW w:w="1153" w:type="dxa"/>
                  <w:vAlign w:val="center"/>
                </w:tcPr>
                <w:p>
                  <w:pPr>
                    <w:adjustRightInd w:val="0"/>
                    <w:snapToGrid w:val="0"/>
                    <w:jc w:val="center"/>
                    <w:rPr>
                      <w:sz w:val="18"/>
                      <w:szCs w:val="18"/>
                      <w:u w:val="single"/>
                    </w:rPr>
                  </w:pPr>
                  <w:r>
                    <w:rPr>
                      <w:sz w:val="18"/>
                      <w:szCs w:val="18"/>
                      <w:u w:val="single"/>
                    </w:rPr>
                    <w:t>约0.3</w:t>
                  </w:r>
                </w:p>
              </w:tc>
              <w:tc>
                <w:tcPr>
                  <w:tcW w:w="3644" w:type="dxa"/>
                  <w:vMerge w:val="continue"/>
                  <w:vAlign w:val="center"/>
                </w:tcPr>
                <w:p>
                  <w:pPr>
                    <w:adjustRightInd w:val="0"/>
                    <w:snapToGrid w:val="0"/>
                    <w:jc w:val="center"/>
                    <w:rPr>
                      <w:sz w:val="18"/>
                      <w:szCs w:val="18"/>
                      <w:u w:val="single"/>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2089" w:type="dxa"/>
                  <w:vAlign w:val="center"/>
                </w:tcPr>
                <w:p>
                  <w:pPr>
                    <w:adjustRightInd w:val="0"/>
                    <w:snapToGrid w:val="0"/>
                    <w:jc w:val="center"/>
                    <w:rPr>
                      <w:sz w:val="18"/>
                      <w:szCs w:val="18"/>
                      <w:u w:val="single"/>
                    </w:rPr>
                  </w:pPr>
                  <w:r>
                    <w:rPr>
                      <w:sz w:val="18"/>
                      <w:szCs w:val="18"/>
                      <w:u w:val="single"/>
                    </w:rPr>
                    <w:t>废油漆桶及废稀释剂桶</w:t>
                  </w:r>
                </w:p>
              </w:tc>
              <w:tc>
                <w:tcPr>
                  <w:tcW w:w="1615" w:type="dxa"/>
                  <w:vAlign w:val="center"/>
                </w:tcPr>
                <w:p>
                  <w:pPr>
                    <w:adjustRightInd w:val="0"/>
                    <w:snapToGrid w:val="0"/>
                    <w:jc w:val="center"/>
                    <w:rPr>
                      <w:sz w:val="18"/>
                      <w:szCs w:val="18"/>
                      <w:u w:val="single"/>
                    </w:rPr>
                  </w:pPr>
                  <w:r>
                    <w:rPr>
                      <w:sz w:val="18"/>
                      <w:szCs w:val="18"/>
                      <w:u w:val="single"/>
                    </w:rPr>
                    <w:t>危险废物（HW49）</w:t>
                  </w:r>
                </w:p>
              </w:tc>
              <w:tc>
                <w:tcPr>
                  <w:tcW w:w="1153" w:type="dxa"/>
                  <w:vAlign w:val="center"/>
                </w:tcPr>
                <w:p>
                  <w:pPr>
                    <w:adjustRightInd w:val="0"/>
                    <w:snapToGrid w:val="0"/>
                    <w:jc w:val="center"/>
                    <w:rPr>
                      <w:sz w:val="18"/>
                      <w:szCs w:val="18"/>
                      <w:u w:val="single"/>
                    </w:rPr>
                  </w:pPr>
                  <w:r>
                    <w:rPr>
                      <w:sz w:val="18"/>
                      <w:szCs w:val="18"/>
                      <w:u w:val="single"/>
                    </w:rPr>
                    <w:t>约0.2</w:t>
                  </w:r>
                </w:p>
              </w:tc>
              <w:tc>
                <w:tcPr>
                  <w:tcW w:w="3644" w:type="dxa"/>
                  <w:vMerge w:val="continue"/>
                  <w:vAlign w:val="center"/>
                </w:tcPr>
                <w:p>
                  <w:pPr>
                    <w:adjustRightInd w:val="0"/>
                    <w:snapToGrid w:val="0"/>
                    <w:jc w:val="center"/>
                    <w:rPr>
                      <w:sz w:val="18"/>
                      <w:szCs w:val="18"/>
                      <w:u w:val="single"/>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2089" w:type="dxa"/>
                  <w:vAlign w:val="center"/>
                </w:tcPr>
                <w:p>
                  <w:pPr>
                    <w:adjustRightInd w:val="0"/>
                    <w:snapToGrid w:val="0"/>
                    <w:jc w:val="center"/>
                    <w:rPr>
                      <w:sz w:val="18"/>
                      <w:szCs w:val="18"/>
                      <w:u w:val="single"/>
                    </w:rPr>
                  </w:pPr>
                  <w:r>
                    <w:rPr>
                      <w:sz w:val="18"/>
                      <w:szCs w:val="18"/>
                      <w:u w:val="single"/>
                    </w:rPr>
                    <w:t>废活性炭</w:t>
                  </w:r>
                </w:p>
              </w:tc>
              <w:tc>
                <w:tcPr>
                  <w:tcW w:w="1615" w:type="dxa"/>
                  <w:vAlign w:val="center"/>
                </w:tcPr>
                <w:p>
                  <w:pPr>
                    <w:adjustRightInd w:val="0"/>
                    <w:snapToGrid w:val="0"/>
                    <w:jc w:val="center"/>
                    <w:rPr>
                      <w:sz w:val="18"/>
                      <w:szCs w:val="18"/>
                      <w:u w:val="single"/>
                    </w:rPr>
                  </w:pPr>
                  <w:r>
                    <w:rPr>
                      <w:sz w:val="18"/>
                      <w:szCs w:val="18"/>
                      <w:u w:val="single"/>
                    </w:rPr>
                    <w:t>危险废物（HW49）</w:t>
                  </w:r>
                </w:p>
              </w:tc>
              <w:tc>
                <w:tcPr>
                  <w:tcW w:w="1153" w:type="dxa"/>
                  <w:vAlign w:val="center"/>
                </w:tcPr>
                <w:p>
                  <w:pPr>
                    <w:adjustRightInd w:val="0"/>
                    <w:snapToGrid w:val="0"/>
                    <w:jc w:val="center"/>
                    <w:rPr>
                      <w:sz w:val="18"/>
                      <w:szCs w:val="18"/>
                      <w:u w:val="single"/>
                    </w:rPr>
                  </w:pPr>
                  <w:r>
                    <w:rPr>
                      <w:sz w:val="18"/>
                      <w:szCs w:val="18"/>
                      <w:u w:val="single"/>
                    </w:rPr>
                    <w:t>约0.2</w:t>
                  </w:r>
                </w:p>
              </w:tc>
              <w:tc>
                <w:tcPr>
                  <w:tcW w:w="3644" w:type="dxa"/>
                  <w:vMerge w:val="continue"/>
                  <w:vAlign w:val="center"/>
                </w:tcPr>
                <w:p>
                  <w:pPr>
                    <w:adjustRightInd w:val="0"/>
                    <w:snapToGrid w:val="0"/>
                    <w:jc w:val="center"/>
                    <w:rPr>
                      <w:sz w:val="18"/>
                      <w:szCs w:val="18"/>
                      <w:u w:val="single"/>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2089" w:type="dxa"/>
                  <w:vAlign w:val="center"/>
                </w:tcPr>
                <w:p>
                  <w:pPr>
                    <w:adjustRightInd w:val="0"/>
                    <w:snapToGrid w:val="0"/>
                    <w:jc w:val="center"/>
                    <w:rPr>
                      <w:sz w:val="18"/>
                      <w:szCs w:val="18"/>
                      <w:u w:val="single"/>
                    </w:rPr>
                  </w:pPr>
                  <w:r>
                    <w:rPr>
                      <w:sz w:val="18"/>
                      <w:szCs w:val="18"/>
                      <w:u w:val="single"/>
                    </w:rPr>
                    <w:t>木材生产废料、边角料</w:t>
                  </w:r>
                </w:p>
              </w:tc>
              <w:tc>
                <w:tcPr>
                  <w:tcW w:w="1615" w:type="dxa"/>
                  <w:vAlign w:val="center"/>
                </w:tcPr>
                <w:p>
                  <w:pPr>
                    <w:adjustRightInd w:val="0"/>
                    <w:snapToGrid w:val="0"/>
                    <w:jc w:val="center"/>
                    <w:rPr>
                      <w:sz w:val="18"/>
                      <w:szCs w:val="18"/>
                      <w:u w:val="single"/>
                    </w:rPr>
                  </w:pPr>
                  <w:r>
                    <w:rPr>
                      <w:sz w:val="18"/>
                      <w:szCs w:val="18"/>
                      <w:u w:val="single"/>
                    </w:rPr>
                    <w:t>一般固废</w:t>
                  </w:r>
                </w:p>
              </w:tc>
              <w:tc>
                <w:tcPr>
                  <w:tcW w:w="1153" w:type="dxa"/>
                  <w:vAlign w:val="center"/>
                </w:tcPr>
                <w:p>
                  <w:pPr>
                    <w:adjustRightInd w:val="0"/>
                    <w:snapToGrid w:val="0"/>
                    <w:jc w:val="center"/>
                    <w:rPr>
                      <w:sz w:val="18"/>
                      <w:szCs w:val="18"/>
                      <w:u w:val="single"/>
                    </w:rPr>
                  </w:pPr>
                  <w:r>
                    <w:rPr>
                      <w:sz w:val="18"/>
                      <w:szCs w:val="18"/>
                      <w:u w:val="single"/>
                    </w:rPr>
                    <w:t>约10</w:t>
                  </w:r>
                </w:p>
              </w:tc>
              <w:tc>
                <w:tcPr>
                  <w:tcW w:w="3644" w:type="dxa"/>
                  <w:vAlign w:val="center"/>
                </w:tcPr>
                <w:p>
                  <w:pPr>
                    <w:adjustRightInd w:val="0"/>
                    <w:snapToGrid w:val="0"/>
                    <w:jc w:val="center"/>
                    <w:rPr>
                      <w:sz w:val="18"/>
                      <w:szCs w:val="18"/>
                      <w:u w:val="single"/>
                    </w:rPr>
                  </w:pPr>
                  <w:r>
                    <w:rPr>
                      <w:sz w:val="18"/>
                      <w:szCs w:val="18"/>
                      <w:u w:val="single"/>
                    </w:rPr>
                    <w:t>作为生物质锅炉燃料</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2089" w:type="dxa"/>
                  <w:vAlign w:val="center"/>
                </w:tcPr>
                <w:p>
                  <w:pPr>
                    <w:adjustRightInd w:val="0"/>
                    <w:snapToGrid w:val="0"/>
                    <w:jc w:val="center"/>
                    <w:rPr>
                      <w:sz w:val="18"/>
                      <w:szCs w:val="18"/>
                      <w:u w:val="single"/>
                    </w:rPr>
                  </w:pPr>
                  <w:r>
                    <w:rPr>
                      <w:sz w:val="18"/>
                      <w:szCs w:val="18"/>
                      <w:u w:val="single"/>
                    </w:rPr>
                    <w:t>除尘器收集粉尘</w:t>
                  </w:r>
                </w:p>
              </w:tc>
              <w:tc>
                <w:tcPr>
                  <w:tcW w:w="1615" w:type="dxa"/>
                  <w:vAlign w:val="center"/>
                </w:tcPr>
                <w:p>
                  <w:pPr>
                    <w:adjustRightInd w:val="0"/>
                    <w:snapToGrid w:val="0"/>
                    <w:jc w:val="center"/>
                    <w:rPr>
                      <w:sz w:val="18"/>
                      <w:szCs w:val="18"/>
                      <w:u w:val="single"/>
                    </w:rPr>
                  </w:pPr>
                  <w:r>
                    <w:rPr>
                      <w:sz w:val="18"/>
                      <w:szCs w:val="18"/>
                      <w:u w:val="single"/>
                    </w:rPr>
                    <w:t>一般固废</w:t>
                  </w:r>
                </w:p>
              </w:tc>
              <w:tc>
                <w:tcPr>
                  <w:tcW w:w="1153" w:type="dxa"/>
                  <w:vAlign w:val="center"/>
                </w:tcPr>
                <w:p>
                  <w:pPr>
                    <w:adjustRightInd w:val="0"/>
                    <w:snapToGrid w:val="0"/>
                    <w:jc w:val="center"/>
                    <w:rPr>
                      <w:sz w:val="18"/>
                      <w:szCs w:val="18"/>
                      <w:u w:val="single"/>
                    </w:rPr>
                  </w:pPr>
                  <w:r>
                    <w:rPr>
                      <w:sz w:val="18"/>
                      <w:szCs w:val="18"/>
                      <w:u w:val="single"/>
                    </w:rPr>
                    <w:t>约0.5</w:t>
                  </w:r>
                </w:p>
              </w:tc>
              <w:tc>
                <w:tcPr>
                  <w:tcW w:w="3644" w:type="dxa"/>
                  <w:vAlign w:val="center"/>
                </w:tcPr>
                <w:p>
                  <w:pPr>
                    <w:adjustRightInd w:val="0"/>
                    <w:snapToGrid w:val="0"/>
                    <w:jc w:val="center"/>
                    <w:rPr>
                      <w:sz w:val="18"/>
                      <w:szCs w:val="18"/>
                      <w:u w:val="single"/>
                    </w:rPr>
                  </w:pPr>
                  <w:r>
                    <w:rPr>
                      <w:sz w:val="18"/>
                      <w:szCs w:val="18"/>
                      <w:u w:val="single"/>
                    </w:rPr>
                    <w:t>作为生物质锅炉燃料</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2089" w:type="dxa"/>
                  <w:vAlign w:val="center"/>
                </w:tcPr>
                <w:p>
                  <w:pPr>
                    <w:adjustRightInd w:val="0"/>
                    <w:snapToGrid w:val="0"/>
                    <w:jc w:val="center"/>
                    <w:rPr>
                      <w:sz w:val="18"/>
                      <w:szCs w:val="18"/>
                      <w:u w:val="single"/>
                    </w:rPr>
                  </w:pPr>
                  <w:r>
                    <w:rPr>
                      <w:sz w:val="18"/>
                      <w:szCs w:val="18"/>
                      <w:u w:val="single"/>
                    </w:rPr>
                    <w:t>生物质灰渣</w:t>
                  </w:r>
                </w:p>
              </w:tc>
              <w:tc>
                <w:tcPr>
                  <w:tcW w:w="1615" w:type="dxa"/>
                  <w:vAlign w:val="center"/>
                </w:tcPr>
                <w:p>
                  <w:pPr>
                    <w:adjustRightInd w:val="0"/>
                    <w:snapToGrid w:val="0"/>
                    <w:jc w:val="center"/>
                    <w:rPr>
                      <w:sz w:val="18"/>
                      <w:szCs w:val="18"/>
                      <w:u w:val="single"/>
                    </w:rPr>
                  </w:pPr>
                  <w:r>
                    <w:rPr>
                      <w:sz w:val="18"/>
                      <w:szCs w:val="18"/>
                      <w:u w:val="single"/>
                    </w:rPr>
                    <w:t>一般固废</w:t>
                  </w:r>
                </w:p>
              </w:tc>
              <w:tc>
                <w:tcPr>
                  <w:tcW w:w="1153" w:type="dxa"/>
                  <w:vAlign w:val="center"/>
                </w:tcPr>
                <w:p>
                  <w:pPr>
                    <w:adjustRightInd w:val="0"/>
                    <w:snapToGrid w:val="0"/>
                    <w:jc w:val="center"/>
                    <w:rPr>
                      <w:sz w:val="18"/>
                      <w:szCs w:val="18"/>
                      <w:u w:val="single"/>
                    </w:rPr>
                  </w:pPr>
                  <w:r>
                    <w:rPr>
                      <w:sz w:val="18"/>
                      <w:szCs w:val="18"/>
                      <w:u w:val="single"/>
                    </w:rPr>
                    <w:t>约0.2</w:t>
                  </w:r>
                </w:p>
              </w:tc>
              <w:tc>
                <w:tcPr>
                  <w:tcW w:w="3644" w:type="dxa"/>
                  <w:vAlign w:val="center"/>
                </w:tcPr>
                <w:p>
                  <w:pPr>
                    <w:adjustRightInd w:val="0"/>
                    <w:snapToGrid w:val="0"/>
                    <w:jc w:val="center"/>
                    <w:rPr>
                      <w:sz w:val="18"/>
                      <w:szCs w:val="18"/>
                      <w:u w:val="single"/>
                    </w:rPr>
                  </w:pPr>
                  <w:r>
                    <w:rPr>
                      <w:sz w:val="18"/>
                      <w:szCs w:val="18"/>
                      <w:u w:val="single"/>
                    </w:rPr>
                    <w:t>送当地居民做有机肥</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2089" w:type="dxa"/>
                  <w:vAlign w:val="center"/>
                </w:tcPr>
                <w:p>
                  <w:pPr>
                    <w:adjustRightInd w:val="0"/>
                    <w:snapToGrid w:val="0"/>
                    <w:jc w:val="center"/>
                    <w:rPr>
                      <w:sz w:val="18"/>
                      <w:szCs w:val="18"/>
                      <w:u w:val="single"/>
                    </w:rPr>
                  </w:pPr>
                  <w:r>
                    <w:rPr>
                      <w:sz w:val="18"/>
                      <w:szCs w:val="18"/>
                      <w:u w:val="single"/>
                    </w:rPr>
                    <w:t>废布袋</w:t>
                  </w:r>
                </w:p>
              </w:tc>
              <w:tc>
                <w:tcPr>
                  <w:tcW w:w="1615" w:type="dxa"/>
                  <w:vAlign w:val="center"/>
                </w:tcPr>
                <w:p>
                  <w:pPr>
                    <w:adjustRightInd w:val="0"/>
                    <w:snapToGrid w:val="0"/>
                    <w:jc w:val="center"/>
                    <w:rPr>
                      <w:sz w:val="18"/>
                      <w:szCs w:val="18"/>
                      <w:u w:val="single"/>
                    </w:rPr>
                  </w:pPr>
                  <w:r>
                    <w:rPr>
                      <w:sz w:val="18"/>
                      <w:szCs w:val="18"/>
                      <w:u w:val="single"/>
                    </w:rPr>
                    <w:t>一般固废</w:t>
                  </w:r>
                </w:p>
              </w:tc>
              <w:tc>
                <w:tcPr>
                  <w:tcW w:w="1153" w:type="dxa"/>
                  <w:vAlign w:val="center"/>
                </w:tcPr>
                <w:p>
                  <w:pPr>
                    <w:adjustRightInd w:val="0"/>
                    <w:snapToGrid w:val="0"/>
                    <w:jc w:val="center"/>
                    <w:rPr>
                      <w:sz w:val="18"/>
                      <w:szCs w:val="18"/>
                      <w:u w:val="single"/>
                    </w:rPr>
                  </w:pPr>
                  <w:r>
                    <w:rPr>
                      <w:sz w:val="18"/>
                      <w:szCs w:val="18"/>
                      <w:u w:val="single"/>
                    </w:rPr>
                    <w:t>0.10</w:t>
                  </w:r>
                </w:p>
              </w:tc>
              <w:tc>
                <w:tcPr>
                  <w:tcW w:w="3644" w:type="dxa"/>
                  <w:vAlign w:val="center"/>
                </w:tcPr>
                <w:p>
                  <w:pPr>
                    <w:adjustRightInd w:val="0"/>
                    <w:snapToGrid w:val="0"/>
                    <w:jc w:val="center"/>
                    <w:rPr>
                      <w:sz w:val="18"/>
                      <w:szCs w:val="18"/>
                      <w:u w:val="single"/>
                    </w:rPr>
                  </w:pPr>
                  <w:r>
                    <w:rPr>
                      <w:sz w:val="18"/>
                      <w:szCs w:val="18"/>
                      <w:u w:val="single"/>
                    </w:rPr>
                    <w:t>由厂家回收</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2089" w:type="dxa"/>
                  <w:vAlign w:val="center"/>
                </w:tcPr>
                <w:p>
                  <w:pPr>
                    <w:adjustRightInd w:val="0"/>
                    <w:snapToGrid w:val="0"/>
                    <w:jc w:val="center"/>
                    <w:rPr>
                      <w:sz w:val="18"/>
                      <w:szCs w:val="18"/>
                      <w:u w:val="single"/>
                    </w:rPr>
                  </w:pPr>
                  <w:r>
                    <w:rPr>
                      <w:sz w:val="18"/>
                      <w:szCs w:val="18"/>
                      <w:u w:val="single"/>
                    </w:rPr>
                    <w:t>废包装</w:t>
                  </w:r>
                </w:p>
              </w:tc>
              <w:tc>
                <w:tcPr>
                  <w:tcW w:w="1615" w:type="dxa"/>
                  <w:vAlign w:val="center"/>
                </w:tcPr>
                <w:p>
                  <w:pPr>
                    <w:adjustRightInd w:val="0"/>
                    <w:snapToGrid w:val="0"/>
                    <w:jc w:val="center"/>
                    <w:rPr>
                      <w:sz w:val="18"/>
                      <w:szCs w:val="18"/>
                      <w:u w:val="single"/>
                    </w:rPr>
                  </w:pPr>
                  <w:r>
                    <w:rPr>
                      <w:sz w:val="18"/>
                      <w:szCs w:val="18"/>
                      <w:u w:val="single"/>
                    </w:rPr>
                    <w:t>一般固废</w:t>
                  </w:r>
                </w:p>
              </w:tc>
              <w:tc>
                <w:tcPr>
                  <w:tcW w:w="1153" w:type="dxa"/>
                  <w:vAlign w:val="center"/>
                </w:tcPr>
                <w:p>
                  <w:pPr>
                    <w:adjustRightInd w:val="0"/>
                    <w:snapToGrid w:val="0"/>
                    <w:jc w:val="center"/>
                    <w:rPr>
                      <w:sz w:val="18"/>
                      <w:szCs w:val="18"/>
                      <w:u w:val="single"/>
                    </w:rPr>
                  </w:pPr>
                  <w:r>
                    <w:rPr>
                      <w:sz w:val="18"/>
                      <w:szCs w:val="18"/>
                      <w:u w:val="single"/>
                    </w:rPr>
                    <w:t>约0.5</w:t>
                  </w:r>
                </w:p>
              </w:tc>
              <w:tc>
                <w:tcPr>
                  <w:tcW w:w="3644" w:type="dxa"/>
                  <w:vAlign w:val="center"/>
                </w:tcPr>
                <w:p>
                  <w:pPr>
                    <w:adjustRightInd w:val="0"/>
                    <w:snapToGrid w:val="0"/>
                    <w:jc w:val="center"/>
                    <w:rPr>
                      <w:sz w:val="18"/>
                      <w:szCs w:val="18"/>
                      <w:u w:val="single"/>
                    </w:rPr>
                  </w:pPr>
                  <w:r>
                    <w:rPr>
                      <w:sz w:val="18"/>
                      <w:szCs w:val="18"/>
                      <w:u w:val="single"/>
                    </w:rPr>
                    <w:t>外卖废品回收站</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2089" w:type="dxa"/>
                  <w:vAlign w:val="center"/>
                </w:tcPr>
                <w:p>
                  <w:pPr>
                    <w:adjustRightInd w:val="0"/>
                    <w:snapToGrid w:val="0"/>
                    <w:jc w:val="center"/>
                    <w:rPr>
                      <w:sz w:val="18"/>
                      <w:szCs w:val="18"/>
                      <w:u w:val="single"/>
                    </w:rPr>
                  </w:pPr>
                  <w:r>
                    <w:rPr>
                      <w:sz w:val="18"/>
                      <w:szCs w:val="18"/>
                      <w:u w:val="single"/>
                    </w:rPr>
                    <w:t>生活垃圾</w:t>
                  </w:r>
                </w:p>
              </w:tc>
              <w:tc>
                <w:tcPr>
                  <w:tcW w:w="1615" w:type="dxa"/>
                  <w:vAlign w:val="center"/>
                </w:tcPr>
                <w:p>
                  <w:pPr>
                    <w:adjustRightInd w:val="0"/>
                    <w:snapToGrid w:val="0"/>
                    <w:jc w:val="center"/>
                    <w:rPr>
                      <w:sz w:val="18"/>
                      <w:szCs w:val="18"/>
                      <w:u w:val="single"/>
                    </w:rPr>
                  </w:pPr>
                  <w:r>
                    <w:rPr>
                      <w:sz w:val="18"/>
                      <w:szCs w:val="18"/>
                      <w:u w:val="single"/>
                    </w:rPr>
                    <w:t>/</w:t>
                  </w:r>
                </w:p>
              </w:tc>
              <w:tc>
                <w:tcPr>
                  <w:tcW w:w="1153" w:type="dxa"/>
                  <w:vAlign w:val="center"/>
                </w:tcPr>
                <w:p>
                  <w:pPr>
                    <w:adjustRightInd w:val="0"/>
                    <w:snapToGrid w:val="0"/>
                    <w:jc w:val="center"/>
                    <w:rPr>
                      <w:sz w:val="18"/>
                      <w:szCs w:val="18"/>
                      <w:u w:val="single"/>
                    </w:rPr>
                  </w:pPr>
                  <w:r>
                    <w:rPr>
                      <w:sz w:val="18"/>
                      <w:szCs w:val="18"/>
                      <w:u w:val="single"/>
                    </w:rPr>
                    <w:t>约6.5</w:t>
                  </w:r>
                </w:p>
              </w:tc>
              <w:tc>
                <w:tcPr>
                  <w:tcW w:w="3644" w:type="dxa"/>
                  <w:vAlign w:val="center"/>
                </w:tcPr>
                <w:p>
                  <w:pPr>
                    <w:adjustRightInd w:val="0"/>
                    <w:snapToGrid w:val="0"/>
                    <w:jc w:val="center"/>
                    <w:rPr>
                      <w:sz w:val="18"/>
                      <w:szCs w:val="18"/>
                      <w:u w:val="single"/>
                    </w:rPr>
                  </w:pPr>
                  <w:r>
                    <w:rPr>
                      <w:sz w:val="18"/>
                      <w:szCs w:val="18"/>
                      <w:u w:val="single"/>
                    </w:rPr>
                    <w:t>环卫部门清运</w:t>
                  </w:r>
                </w:p>
              </w:tc>
            </w:tr>
          </w:tbl>
          <w:p>
            <w:pPr>
              <w:spacing w:line="360" w:lineRule="auto"/>
              <w:ind w:firstLine="420" w:firstLineChars="200"/>
              <w:jc w:val="left"/>
              <w:rPr>
                <w:szCs w:val="21"/>
                <w:u w:val="single"/>
              </w:rPr>
            </w:pPr>
            <w:r>
              <w:rPr>
                <w:szCs w:val="21"/>
                <w:u w:val="single"/>
              </w:rPr>
              <w:t>（5）污染物排放量汇总（现有工程“三本账”）</w:t>
            </w:r>
          </w:p>
          <w:p>
            <w:pPr>
              <w:spacing w:line="360" w:lineRule="auto"/>
              <w:ind w:firstLine="420" w:firstLineChars="200"/>
              <w:jc w:val="left"/>
              <w:rPr>
                <w:szCs w:val="21"/>
                <w:u w:val="single"/>
              </w:rPr>
            </w:pPr>
            <w:r>
              <w:rPr>
                <w:szCs w:val="21"/>
                <w:u w:val="single"/>
              </w:rPr>
              <w:t>污染物排放量汇总详见表15。</w:t>
            </w:r>
          </w:p>
          <w:p>
            <w:pPr>
              <w:ind w:firstLine="422" w:firstLineChars="200"/>
              <w:jc w:val="center"/>
              <w:rPr>
                <w:b/>
                <w:bCs/>
                <w:u w:val="single"/>
              </w:rPr>
            </w:pPr>
            <w:r>
              <w:rPr>
                <w:b/>
                <w:bCs/>
                <w:u w:val="single"/>
              </w:rPr>
              <w:t>表15  污染物排放量汇总一览表</w:t>
            </w:r>
          </w:p>
          <w:tbl>
            <w:tblPr>
              <w:tblStyle w:val="26"/>
              <w:tblW w:w="8501" w:type="dxa"/>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977"/>
              <w:gridCol w:w="1284"/>
              <w:gridCol w:w="3426"/>
              <w:gridCol w:w="2814"/>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977" w:type="dxa"/>
                  <w:vAlign w:val="center"/>
                </w:tcPr>
                <w:p>
                  <w:pPr>
                    <w:adjustRightInd w:val="0"/>
                    <w:snapToGrid w:val="0"/>
                    <w:jc w:val="center"/>
                    <w:rPr>
                      <w:sz w:val="18"/>
                      <w:szCs w:val="18"/>
                      <w:u w:val="single"/>
                    </w:rPr>
                  </w:pPr>
                  <w:r>
                    <w:rPr>
                      <w:sz w:val="18"/>
                      <w:szCs w:val="18"/>
                      <w:u w:val="single"/>
                    </w:rPr>
                    <w:t>类别</w:t>
                  </w:r>
                </w:p>
              </w:tc>
              <w:tc>
                <w:tcPr>
                  <w:tcW w:w="1284" w:type="dxa"/>
                  <w:vAlign w:val="center"/>
                </w:tcPr>
                <w:p>
                  <w:pPr>
                    <w:adjustRightInd w:val="0"/>
                    <w:snapToGrid w:val="0"/>
                    <w:jc w:val="center"/>
                    <w:rPr>
                      <w:sz w:val="18"/>
                      <w:szCs w:val="18"/>
                      <w:u w:val="single"/>
                    </w:rPr>
                  </w:pPr>
                  <w:r>
                    <w:rPr>
                      <w:sz w:val="18"/>
                      <w:szCs w:val="18"/>
                      <w:u w:val="single"/>
                    </w:rPr>
                    <w:t>污染物</w:t>
                  </w:r>
                </w:p>
              </w:tc>
              <w:tc>
                <w:tcPr>
                  <w:tcW w:w="3426" w:type="dxa"/>
                  <w:vAlign w:val="center"/>
                </w:tcPr>
                <w:p>
                  <w:pPr>
                    <w:adjustRightInd w:val="0"/>
                    <w:snapToGrid w:val="0"/>
                    <w:jc w:val="center"/>
                    <w:rPr>
                      <w:sz w:val="18"/>
                      <w:szCs w:val="18"/>
                      <w:u w:val="single"/>
                    </w:rPr>
                  </w:pPr>
                  <w:r>
                    <w:rPr>
                      <w:sz w:val="18"/>
                      <w:szCs w:val="18"/>
                      <w:u w:val="single"/>
                    </w:rPr>
                    <w:t>现有工程排放量（t/a）</w:t>
                  </w:r>
                </w:p>
              </w:tc>
              <w:tc>
                <w:tcPr>
                  <w:tcW w:w="2814" w:type="dxa"/>
                  <w:vAlign w:val="center"/>
                </w:tcPr>
                <w:p>
                  <w:pPr>
                    <w:adjustRightInd w:val="0"/>
                    <w:snapToGrid w:val="0"/>
                    <w:jc w:val="center"/>
                    <w:rPr>
                      <w:sz w:val="18"/>
                      <w:szCs w:val="18"/>
                      <w:u w:val="single"/>
                    </w:rPr>
                  </w:pPr>
                  <w:r>
                    <w:rPr>
                      <w:sz w:val="18"/>
                      <w:szCs w:val="18"/>
                      <w:u w:val="single"/>
                    </w:rPr>
                    <w:t>许可排放量（t/a）</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977" w:type="dxa"/>
                  <w:vAlign w:val="center"/>
                </w:tcPr>
                <w:p>
                  <w:pPr>
                    <w:adjustRightInd w:val="0"/>
                    <w:snapToGrid w:val="0"/>
                    <w:jc w:val="center"/>
                    <w:rPr>
                      <w:sz w:val="18"/>
                      <w:szCs w:val="18"/>
                      <w:u w:val="single"/>
                    </w:rPr>
                  </w:pPr>
                  <w:r>
                    <w:rPr>
                      <w:sz w:val="18"/>
                      <w:szCs w:val="18"/>
                      <w:u w:val="single"/>
                    </w:rPr>
                    <w:t>废气</w:t>
                  </w:r>
                </w:p>
              </w:tc>
              <w:tc>
                <w:tcPr>
                  <w:tcW w:w="1284" w:type="dxa"/>
                  <w:vAlign w:val="center"/>
                </w:tcPr>
                <w:p>
                  <w:pPr>
                    <w:adjustRightInd w:val="0"/>
                    <w:snapToGrid w:val="0"/>
                    <w:jc w:val="center"/>
                    <w:rPr>
                      <w:sz w:val="18"/>
                      <w:szCs w:val="18"/>
                      <w:u w:val="single"/>
                    </w:rPr>
                  </w:pPr>
                  <w:r>
                    <w:rPr>
                      <w:sz w:val="18"/>
                      <w:szCs w:val="18"/>
                      <w:u w:val="single"/>
                    </w:rPr>
                    <w:t>颗粒物</w:t>
                  </w:r>
                </w:p>
              </w:tc>
              <w:tc>
                <w:tcPr>
                  <w:tcW w:w="3426" w:type="dxa"/>
                  <w:vAlign w:val="center"/>
                </w:tcPr>
                <w:p>
                  <w:pPr>
                    <w:adjustRightInd w:val="0"/>
                    <w:snapToGrid w:val="0"/>
                    <w:jc w:val="center"/>
                    <w:rPr>
                      <w:sz w:val="18"/>
                      <w:szCs w:val="18"/>
                      <w:highlight w:val="red"/>
                      <w:u w:val="single"/>
                    </w:rPr>
                  </w:pPr>
                  <w:r>
                    <w:rPr>
                      <w:rFonts w:hint="eastAsia"/>
                      <w:sz w:val="18"/>
                      <w:szCs w:val="18"/>
                      <w:u w:val="single"/>
                    </w:rPr>
                    <w:t>0.0524</w:t>
                  </w:r>
                </w:p>
              </w:tc>
              <w:tc>
                <w:tcPr>
                  <w:tcW w:w="2814" w:type="dxa"/>
                  <w:vAlign w:val="center"/>
                </w:tcPr>
                <w:p>
                  <w:pPr>
                    <w:adjustRightInd w:val="0"/>
                    <w:snapToGrid w:val="0"/>
                    <w:jc w:val="center"/>
                    <w:rPr>
                      <w:sz w:val="18"/>
                      <w:szCs w:val="18"/>
                      <w:u w:val="single"/>
                    </w:rPr>
                  </w:pPr>
                  <w:r>
                    <w:rPr>
                      <w:sz w:val="18"/>
                      <w:szCs w:val="18"/>
                      <w:u w:val="single"/>
                    </w:rPr>
                    <w:t>0（登记管理）</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977" w:type="dxa"/>
                  <w:vAlign w:val="center"/>
                </w:tcPr>
                <w:p>
                  <w:pPr>
                    <w:adjustRightInd w:val="0"/>
                    <w:snapToGrid w:val="0"/>
                    <w:jc w:val="center"/>
                    <w:rPr>
                      <w:sz w:val="18"/>
                      <w:szCs w:val="18"/>
                      <w:u w:val="single"/>
                    </w:rPr>
                  </w:pPr>
                  <w:r>
                    <w:rPr>
                      <w:sz w:val="18"/>
                      <w:szCs w:val="18"/>
                      <w:u w:val="single"/>
                    </w:rPr>
                    <w:t>废气</w:t>
                  </w:r>
                </w:p>
              </w:tc>
              <w:tc>
                <w:tcPr>
                  <w:tcW w:w="1284" w:type="dxa"/>
                  <w:vAlign w:val="center"/>
                </w:tcPr>
                <w:p>
                  <w:pPr>
                    <w:adjustRightInd w:val="0"/>
                    <w:snapToGrid w:val="0"/>
                    <w:jc w:val="center"/>
                    <w:rPr>
                      <w:sz w:val="18"/>
                      <w:szCs w:val="18"/>
                      <w:u w:val="single"/>
                    </w:rPr>
                  </w:pPr>
                  <w:r>
                    <w:rPr>
                      <w:sz w:val="18"/>
                      <w:szCs w:val="18"/>
                      <w:u w:val="single"/>
                    </w:rPr>
                    <w:t>SO</w:t>
                  </w:r>
                  <w:r>
                    <w:rPr>
                      <w:sz w:val="18"/>
                      <w:szCs w:val="18"/>
                      <w:u w:val="single"/>
                      <w:vertAlign w:val="subscript"/>
                    </w:rPr>
                    <w:t>2</w:t>
                  </w:r>
                </w:p>
              </w:tc>
              <w:tc>
                <w:tcPr>
                  <w:tcW w:w="3426" w:type="dxa"/>
                  <w:vAlign w:val="center"/>
                </w:tcPr>
                <w:p>
                  <w:pPr>
                    <w:adjustRightInd w:val="0"/>
                    <w:snapToGrid w:val="0"/>
                    <w:jc w:val="center"/>
                    <w:rPr>
                      <w:sz w:val="18"/>
                      <w:szCs w:val="18"/>
                      <w:highlight w:val="red"/>
                      <w:u w:val="single"/>
                    </w:rPr>
                  </w:pPr>
                  <w:r>
                    <w:rPr>
                      <w:rFonts w:hint="eastAsia"/>
                      <w:sz w:val="18"/>
                      <w:szCs w:val="18"/>
                      <w:u w:val="single"/>
                    </w:rPr>
                    <w:t>0.0564</w:t>
                  </w:r>
                </w:p>
              </w:tc>
              <w:tc>
                <w:tcPr>
                  <w:tcW w:w="2814" w:type="dxa"/>
                  <w:vAlign w:val="center"/>
                </w:tcPr>
                <w:p>
                  <w:pPr>
                    <w:adjustRightInd w:val="0"/>
                    <w:snapToGrid w:val="0"/>
                    <w:jc w:val="center"/>
                    <w:rPr>
                      <w:sz w:val="18"/>
                      <w:szCs w:val="18"/>
                      <w:u w:val="single"/>
                    </w:rPr>
                  </w:pPr>
                  <w:r>
                    <w:rPr>
                      <w:sz w:val="18"/>
                      <w:szCs w:val="18"/>
                      <w:u w:val="single"/>
                    </w:rPr>
                    <w:t>0（登记管理）</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977" w:type="dxa"/>
                  <w:vAlign w:val="center"/>
                </w:tcPr>
                <w:p>
                  <w:pPr>
                    <w:adjustRightInd w:val="0"/>
                    <w:snapToGrid w:val="0"/>
                    <w:jc w:val="center"/>
                    <w:rPr>
                      <w:sz w:val="18"/>
                      <w:szCs w:val="18"/>
                      <w:u w:val="single"/>
                    </w:rPr>
                  </w:pPr>
                  <w:r>
                    <w:rPr>
                      <w:sz w:val="18"/>
                      <w:szCs w:val="18"/>
                      <w:u w:val="single"/>
                    </w:rPr>
                    <w:t>废气</w:t>
                  </w:r>
                </w:p>
              </w:tc>
              <w:tc>
                <w:tcPr>
                  <w:tcW w:w="1284" w:type="dxa"/>
                  <w:vAlign w:val="center"/>
                </w:tcPr>
                <w:p>
                  <w:pPr>
                    <w:adjustRightInd w:val="0"/>
                    <w:snapToGrid w:val="0"/>
                    <w:jc w:val="center"/>
                    <w:rPr>
                      <w:sz w:val="18"/>
                      <w:szCs w:val="18"/>
                      <w:u w:val="single"/>
                    </w:rPr>
                  </w:pPr>
                  <w:r>
                    <w:rPr>
                      <w:sz w:val="18"/>
                      <w:szCs w:val="18"/>
                      <w:u w:val="single"/>
                    </w:rPr>
                    <w:t>NOx</w:t>
                  </w:r>
                </w:p>
              </w:tc>
              <w:tc>
                <w:tcPr>
                  <w:tcW w:w="3426" w:type="dxa"/>
                  <w:vAlign w:val="center"/>
                </w:tcPr>
                <w:p>
                  <w:pPr>
                    <w:adjustRightInd w:val="0"/>
                    <w:snapToGrid w:val="0"/>
                    <w:jc w:val="center"/>
                    <w:rPr>
                      <w:sz w:val="18"/>
                      <w:szCs w:val="18"/>
                      <w:highlight w:val="red"/>
                      <w:u w:val="single"/>
                    </w:rPr>
                  </w:pPr>
                  <w:r>
                    <w:rPr>
                      <w:rFonts w:hint="eastAsia"/>
                      <w:sz w:val="18"/>
                      <w:szCs w:val="18"/>
                      <w:u w:val="single"/>
                    </w:rPr>
                    <w:t>0.3064</w:t>
                  </w:r>
                </w:p>
              </w:tc>
              <w:tc>
                <w:tcPr>
                  <w:tcW w:w="2814" w:type="dxa"/>
                  <w:vAlign w:val="center"/>
                </w:tcPr>
                <w:p>
                  <w:pPr>
                    <w:adjustRightInd w:val="0"/>
                    <w:snapToGrid w:val="0"/>
                    <w:jc w:val="center"/>
                    <w:rPr>
                      <w:sz w:val="18"/>
                      <w:szCs w:val="18"/>
                      <w:u w:val="single"/>
                    </w:rPr>
                  </w:pPr>
                  <w:r>
                    <w:rPr>
                      <w:sz w:val="18"/>
                      <w:szCs w:val="18"/>
                      <w:u w:val="single"/>
                    </w:rPr>
                    <w:t>0（登记管理）</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977" w:type="dxa"/>
                  <w:vAlign w:val="center"/>
                </w:tcPr>
                <w:p>
                  <w:pPr>
                    <w:adjustRightInd w:val="0"/>
                    <w:snapToGrid w:val="0"/>
                    <w:jc w:val="center"/>
                    <w:rPr>
                      <w:sz w:val="18"/>
                      <w:szCs w:val="18"/>
                      <w:u w:val="single"/>
                    </w:rPr>
                  </w:pPr>
                  <w:r>
                    <w:rPr>
                      <w:sz w:val="18"/>
                      <w:szCs w:val="18"/>
                      <w:u w:val="single"/>
                    </w:rPr>
                    <w:t>废水</w:t>
                  </w:r>
                </w:p>
              </w:tc>
              <w:tc>
                <w:tcPr>
                  <w:tcW w:w="1284" w:type="dxa"/>
                  <w:vAlign w:val="center"/>
                </w:tcPr>
                <w:p>
                  <w:pPr>
                    <w:adjustRightInd w:val="0"/>
                    <w:snapToGrid w:val="0"/>
                    <w:jc w:val="center"/>
                    <w:rPr>
                      <w:sz w:val="18"/>
                      <w:szCs w:val="18"/>
                      <w:u w:val="single"/>
                    </w:rPr>
                  </w:pPr>
                  <w:r>
                    <w:rPr>
                      <w:sz w:val="18"/>
                      <w:szCs w:val="18"/>
                      <w:u w:val="single"/>
                    </w:rPr>
                    <w:t>COD</w:t>
                  </w:r>
                </w:p>
              </w:tc>
              <w:tc>
                <w:tcPr>
                  <w:tcW w:w="3426" w:type="dxa"/>
                  <w:vAlign w:val="center"/>
                </w:tcPr>
                <w:p>
                  <w:pPr>
                    <w:adjustRightInd w:val="0"/>
                    <w:snapToGrid w:val="0"/>
                    <w:jc w:val="center"/>
                    <w:rPr>
                      <w:sz w:val="18"/>
                      <w:szCs w:val="18"/>
                      <w:u w:val="single"/>
                    </w:rPr>
                  </w:pPr>
                  <w:r>
                    <w:rPr>
                      <w:sz w:val="18"/>
                      <w:szCs w:val="18"/>
                      <w:u w:val="single"/>
                    </w:rPr>
                    <w:t>0</w:t>
                  </w:r>
                </w:p>
              </w:tc>
              <w:tc>
                <w:tcPr>
                  <w:tcW w:w="2814" w:type="dxa"/>
                  <w:vAlign w:val="center"/>
                </w:tcPr>
                <w:p>
                  <w:pPr>
                    <w:adjustRightInd w:val="0"/>
                    <w:snapToGrid w:val="0"/>
                    <w:jc w:val="center"/>
                    <w:rPr>
                      <w:sz w:val="18"/>
                      <w:szCs w:val="18"/>
                      <w:u w:val="single"/>
                    </w:rPr>
                  </w:pPr>
                  <w:r>
                    <w:rPr>
                      <w:sz w:val="18"/>
                      <w:szCs w:val="18"/>
                      <w:u w:val="single"/>
                    </w:rPr>
                    <w:t>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977" w:type="dxa"/>
                  <w:vAlign w:val="center"/>
                </w:tcPr>
                <w:p>
                  <w:pPr>
                    <w:adjustRightInd w:val="0"/>
                    <w:snapToGrid w:val="0"/>
                    <w:jc w:val="center"/>
                    <w:rPr>
                      <w:sz w:val="18"/>
                      <w:szCs w:val="18"/>
                      <w:u w:val="single"/>
                    </w:rPr>
                  </w:pPr>
                  <w:r>
                    <w:rPr>
                      <w:sz w:val="18"/>
                      <w:szCs w:val="18"/>
                      <w:u w:val="single"/>
                    </w:rPr>
                    <w:t>废水</w:t>
                  </w:r>
                </w:p>
              </w:tc>
              <w:tc>
                <w:tcPr>
                  <w:tcW w:w="1284" w:type="dxa"/>
                  <w:vAlign w:val="center"/>
                </w:tcPr>
                <w:p>
                  <w:pPr>
                    <w:adjustRightInd w:val="0"/>
                    <w:snapToGrid w:val="0"/>
                    <w:jc w:val="center"/>
                    <w:rPr>
                      <w:sz w:val="18"/>
                      <w:szCs w:val="18"/>
                      <w:u w:val="single"/>
                    </w:rPr>
                  </w:pPr>
                  <w:r>
                    <w:rPr>
                      <w:sz w:val="18"/>
                      <w:szCs w:val="18"/>
                      <w:u w:val="single"/>
                    </w:rPr>
                    <w:t>氨氮</w:t>
                  </w:r>
                </w:p>
              </w:tc>
              <w:tc>
                <w:tcPr>
                  <w:tcW w:w="3426" w:type="dxa"/>
                  <w:vAlign w:val="center"/>
                </w:tcPr>
                <w:p>
                  <w:pPr>
                    <w:adjustRightInd w:val="0"/>
                    <w:snapToGrid w:val="0"/>
                    <w:jc w:val="center"/>
                    <w:rPr>
                      <w:sz w:val="18"/>
                      <w:szCs w:val="18"/>
                      <w:u w:val="single"/>
                    </w:rPr>
                  </w:pPr>
                  <w:r>
                    <w:rPr>
                      <w:sz w:val="18"/>
                      <w:szCs w:val="18"/>
                      <w:u w:val="single"/>
                    </w:rPr>
                    <w:t>0</w:t>
                  </w:r>
                </w:p>
              </w:tc>
              <w:tc>
                <w:tcPr>
                  <w:tcW w:w="2814" w:type="dxa"/>
                  <w:vAlign w:val="center"/>
                </w:tcPr>
                <w:p>
                  <w:pPr>
                    <w:adjustRightInd w:val="0"/>
                    <w:snapToGrid w:val="0"/>
                    <w:jc w:val="center"/>
                    <w:rPr>
                      <w:sz w:val="18"/>
                      <w:szCs w:val="18"/>
                      <w:u w:val="single"/>
                    </w:rPr>
                  </w:pPr>
                  <w:r>
                    <w:rPr>
                      <w:sz w:val="18"/>
                      <w:szCs w:val="18"/>
                      <w:u w:val="single"/>
                    </w:rPr>
                    <w:t>0</w:t>
                  </w:r>
                </w:p>
              </w:tc>
            </w:tr>
          </w:tbl>
          <w:p>
            <w:pPr>
              <w:spacing w:line="360" w:lineRule="auto"/>
              <w:ind w:firstLine="420" w:firstLineChars="200"/>
              <w:jc w:val="left"/>
              <w:rPr>
                <w:u w:val="single"/>
              </w:rPr>
            </w:pPr>
            <w:r>
              <w:rPr>
                <w:u w:val="single"/>
              </w:rPr>
              <w:t>4、企业现存环境问题</w:t>
            </w:r>
          </w:p>
          <w:p>
            <w:pPr>
              <w:spacing w:line="360" w:lineRule="auto"/>
              <w:ind w:firstLine="420" w:firstLineChars="200"/>
              <w:jc w:val="left"/>
              <w:rPr>
                <w:u w:val="single"/>
              </w:rPr>
            </w:pPr>
            <w:r>
              <w:rPr>
                <w:u w:val="single"/>
              </w:rPr>
              <w:t>（1）根据《产业结构调整指导目录（2024年本）》（国家发展改革委2023年第7号令）</w:t>
            </w:r>
            <w:r>
              <w:rPr>
                <w:rFonts w:hint="eastAsia"/>
                <w:u w:val="single"/>
              </w:rPr>
              <w:t>，</w:t>
            </w:r>
            <w:r>
              <w:rPr>
                <w:u w:val="single"/>
              </w:rPr>
              <w:t>第三类“机械”第66项：每小时2蒸吨及以下生物质锅炉</w:t>
            </w:r>
            <w:r>
              <w:rPr>
                <w:rFonts w:hint="eastAsia"/>
                <w:u w:val="single"/>
              </w:rPr>
              <w:t>，为淘汰类</w:t>
            </w:r>
            <w:r>
              <w:rPr>
                <w:u w:val="single"/>
              </w:rPr>
              <w:t>。</w:t>
            </w:r>
          </w:p>
          <w:p>
            <w:pPr>
              <w:spacing w:line="360" w:lineRule="auto"/>
              <w:ind w:firstLine="420" w:firstLineChars="200"/>
              <w:jc w:val="left"/>
              <w:rPr>
                <w:u w:val="single"/>
              </w:rPr>
            </w:pPr>
            <w:r>
              <w:rPr>
                <w:u w:val="single"/>
              </w:rPr>
              <w:t>（2）本项目</w:t>
            </w:r>
            <w:r>
              <w:rPr>
                <w:rFonts w:hint="eastAsia"/>
                <w:u w:val="single"/>
              </w:rPr>
              <w:t>建成</w:t>
            </w:r>
            <w:r>
              <w:rPr>
                <w:u w:val="single"/>
              </w:rPr>
              <w:t>后，锅炉房内安装一台额定热功率1600kW的有机热载体液相炉（导热油炉），折合约2.29蒸吨/小时（按0.7MW=1蒸吨换算）。根据《锅炉大气污染物排放标准》（GB13271-2014）表4要求，锅炉房总装机容量在2-＜4t/h间，烟囱最低允许高度为30m，现有锅炉房烟囱高度为20m，无法满足《锅炉大气污染物排放标准》（GB13271-2014）表4要求。</w:t>
            </w:r>
          </w:p>
          <w:p>
            <w:pPr>
              <w:spacing w:line="360" w:lineRule="auto"/>
              <w:ind w:firstLine="420" w:firstLineChars="200"/>
              <w:jc w:val="left"/>
            </w:pPr>
            <w:r>
              <w:t>5、整改措施</w:t>
            </w:r>
          </w:p>
          <w:p>
            <w:pPr>
              <w:spacing w:line="360" w:lineRule="auto"/>
              <w:ind w:firstLine="420" w:firstLineChars="200"/>
              <w:jc w:val="left"/>
            </w:pPr>
            <w:r>
              <w:t>本项目</w:t>
            </w:r>
            <w:r>
              <w:rPr>
                <w:rFonts w:hint="eastAsia"/>
              </w:rPr>
              <w:t>建成</w:t>
            </w:r>
            <w:r>
              <w:t>后，锅炉房内安装一台额定热功率1600kW的有机热载体液相炉（导热油炉），折合约2.29蒸吨/小时（按0.7MW=1蒸吨换算）</w:t>
            </w:r>
            <w:r>
              <w:rPr>
                <w:rFonts w:hint="eastAsia"/>
              </w:rPr>
              <w:t>，</w:t>
            </w:r>
            <w:r>
              <w:rPr>
                <w:szCs w:val="21"/>
              </w:rPr>
              <w:t>经处理后的锅炉烟气经30m高烟囱外排。</w:t>
            </w:r>
          </w:p>
          <w:p>
            <w:pPr>
              <w:spacing w:line="360" w:lineRule="auto"/>
              <w:ind w:firstLine="420" w:firstLineChars="200"/>
              <w:jc w:val="left"/>
            </w:pPr>
          </w:p>
          <w:p>
            <w:pPr>
              <w:spacing w:line="360" w:lineRule="auto"/>
              <w:ind w:firstLine="420" w:firstLineChars="200"/>
              <w:jc w:val="left"/>
            </w:pPr>
          </w:p>
          <w:p>
            <w:pPr>
              <w:spacing w:line="360" w:lineRule="auto"/>
              <w:ind w:firstLine="420" w:firstLineChars="200"/>
              <w:jc w:val="left"/>
            </w:pPr>
          </w:p>
          <w:p>
            <w:pPr>
              <w:spacing w:line="360" w:lineRule="auto"/>
              <w:ind w:firstLine="420" w:firstLineChars="200"/>
              <w:jc w:val="left"/>
            </w:pPr>
          </w:p>
          <w:p>
            <w:pPr>
              <w:spacing w:line="360" w:lineRule="auto"/>
              <w:ind w:firstLine="420" w:firstLineChars="200"/>
              <w:jc w:val="left"/>
            </w:pPr>
          </w:p>
        </w:tc>
      </w:tr>
    </w:tbl>
    <w:p>
      <w:pPr>
        <w:spacing w:line="360" w:lineRule="auto"/>
        <w:jc w:val="left"/>
        <w:sectPr>
          <w:pgSz w:w="11906" w:h="16838"/>
          <w:pgMar w:top="1701" w:right="1701" w:bottom="1701" w:left="1701" w:header="851" w:footer="992" w:gutter="0"/>
          <w:cols w:space="0" w:num="1"/>
          <w:docGrid w:type="lines" w:linePitch="312" w:charSpace="0"/>
        </w:sectPr>
      </w:pPr>
      <w:bookmarkStart w:id="10" w:name="_Toc27755"/>
    </w:p>
    <w:p>
      <w:pPr>
        <w:pStyle w:val="2"/>
        <w:spacing w:before="0" w:after="0" w:line="240" w:lineRule="auto"/>
        <w:ind w:firstLine="148" w:firstLineChars="49"/>
        <w:jc w:val="center"/>
        <w:rPr>
          <w:bCs w:val="0"/>
          <w:kern w:val="2"/>
          <w:sz w:val="30"/>
          <w:szCs w:val="20"/>
        </w:rPr>
      </w:pPr>
      <w:r>
        <w:rPr>
          <w:rFonts w:eastAsia="黑体"/>
          <w:snapToGrid w:val="0"/>
          <w:sz w:val="30"/>
          <w:szCs w:val="30"/>
        </w:rPr>
        <w:t>三、区域环境质量现状、环境保护目标及评价标准</w:t>
      </w:r>
      <w:bookmarkEnd w:id="10"/>
    </w:p>
    <w:tbl>
      <w:tblPr>
        <w:tblStyle w:val="26"/>
        <w:tblW w:w="87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5" w:hRule="atLeast"/>
        </w:trPr>
        <w:tc>
          <w:tcPr>
            <w:tcW w:w="8720" w:type="dxa"/>
            <w:vAlign w:val="top"/>
          </w:tcPr>
          <w:p>
            <w:pPr>
              <w:jc w:val="left"/>
              <w:rPr>
                <w:b/>
                <w:bCs/>
              </w:rPr>
            </w:pPr>
            <w:r>
              <w:rPr>
                <w:b/>
                <w:bCs/>
              </w:rPr>
              <w:t>区域环境质量现状</w:t>
            </w:r>
          </w:p>
          <w:p>
            <w:pPr>
              <w:spacing w:line="360" w:lineRule="auto"/>
              <w:ind w:firstLine="420" w:firstLineChars="200"/>
              <w:jc w:val="left"/>
            </w:pPr>
            <w:r>
              <w:t>一、地表水环境</w:t>
            </w:r>
          </w:p>
          <w:p>
            <w:pPr>
              <w:spacing w:line="360" w:lineRule="auto"/>
              <w:ind w:firstLine="420" w:firstLineChars="200"/>
              <w:jc w:val="left"/>
              <w:rPr>
                <w:kern w:val="0"/>
                <w:szCs w:val="21"/>
              </w:rPr>
            </w:pPr>
            <w:r>
              <w:rPr>
                <w:kern w:val="0"/>
                <w:szCs w:val="21"/>
              </w:rPr>
              <w:t>根据《建设项目环境影响报告表编制技术指南（污染影响类）》（试行）的有关规定，引用与建设项目距离近的有效数据，包括近3年的规划环境影响评价的监测数据，所在流域控制单元内国家、地方控制断面监测数据，生态环境主管部门发布的水环境质量数据或地表水达标情况的结论。</w:t>
            </w:r>
          </w:p>
          <w:p>
            <w:pPr>
              <w:spacing w:line="360" w:lineRule="auto"/>
              <w:ind w:firstLine="420" w:firstLineChars="200"/>
              <w:jc w:val="left"/>
            </w:pPr>
            <w:r>
              <w:t>根据《2025年吉林省生态环境状况公报》可知，柳河县地区所在的松花江水系水质良好，保持稳定。62个国控河流断面，Ⅰ-Ⅲ类水质断面57个，占91.9%，同比上升3.2个百分点；Ⅳ类水质断面5个，占8.1%，同比下降3.2个百分点；无Ⅴ类、劣Ⅴ类水质断面，同比持平。其中，8个省界断面，1个为Ⅱ类水质，7个为Ⅲ类水质。</w:t>
            </w:r>
          </w:p>
          <w:p>
            <w:pPr>
              <w:spacing w:line="360" w:lineRule="auto"/>
              <w:ind w:firstLine="420" w:firstLineChars="200"/>
              <w:jc w:val="left"/>
              <w:rPr>
                <w:kern w:val="0"/>
                <w:szCs w:val="21"/>
              </w:rPr>
            </w:pPr>
            <w:r>
              <w:rPr>
                <w:kern w:val="0"/>
                <w:szCs w:val="21"/>
              </w:rPr>
              <w:t>根据吉林省生态环境厅网站发布的《吉林省2025年1月-12月份吉林省江河国控断面水质月报》得知，通化市一统河大迫子断面、一统河入口断面，在2025年1月份-2025年12月份水质情况无法满足2025年水质目标（Ⅲ类水质）。详见表11。</w:t>
            </w:r>
          </w:p>
          <w:p>
            <w:pPr>
              <w:jc w:val="center"/>
              <w:rPr>
                <w:b/>
                <w:bCs/>
              </w:rPr>
            </w:pPr>
            <w:r>
              <w:rPr>
                <w:b/>
                <w:bCs/>
              </w:rPr>
              <w:t>表11  地表水水质情况表</w:t>
            </w:r>
          </w:p>
          <w:tbl>
            <w:tblPr>
              <w:tblStyle w:val="26"/>
              <w:tblW w:w="8504" w:type="dxa"/>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923"/>
              <w:gridCol w:w="1106"/>
              <w:gridCol w:w="1126"/>
              <w:gridCol w:w="1288"/>
              <w:gridCol w:w="739"/>
              <w:gridCol w:w="739"/>
              <w:gridCol w:w="1105"/>
              <w:gridCol w:w="739"/>
              <w:gridCol w:w="739"/>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923" w:type="dxa"/>
                  <w:vMerge w:val="restart"/>
                  <w:tcBorders>
                    <w:tl2br w:val="nil"/>
                    <w:tr2bl w:val="nil"/>
                  </w:tcBorders>
                  <w:vAlign w:val="center"/>
                </w:tcPr>
                <w:p>
                  <w:pPr>
                    <w:adjustRightInd w:val="0"/>
                    <w:snapToGrid w:val="0"/>
                    <w:jc w:val="center"/>
                    <w:rPr>
                      <w:sz w:val="18"/>
                      <w:szCs w:val="18"/>
                    </w:rPr>
                  </w:pPr>
                  <w:r>
                    <w:rPr>
                      <w:sz w:val="18"/>
                      <w:szCs w:val="18"/>
                    </w:rPr>
                    <w:t>地市</w:t>
                  </w:r>
                </w:p>
              </w:tc>
              <w:tc>
                <w:tcPr>
                  <w:tcW w:w="1106" w:type="dxa"/>
                  <w:vMerge w:val="restart"/>
                  <w:tcBorders>
                    <w:tl2br w:val="nil"/>
                    <w:tr2bl w:val="nil"/>
                  </w:tcBorders>
                  <w:vAlign w:val="center"/>
                </w:tcPr>
                <w:p>
                  <w:pPr>
                    <w:adjustRightInd w:val="0"/>
                    <w:snapToGrid w:val="0"/>
                    <w:jc w:val="center"/>
                    <w:rPr>
                      <w:sz w:val="18"/>
                      <w:szCs w:val="18"/>
                    </w:rPr>
                  </w:pPr>
                  <w:r>
                    <w:rPr>
                      <w:sz w:val="18"/>
                      <w:szCs w:val="18"/>
                    </w:rPr>
                    <w:t>所在水体</w:t>
                  </w:r>
                </w:p>
              </w:tc>
              <w:tc>
                <w:tcPr>
                  <w:tcW w:w="1126" w:type="dxa"/>
                  <w:vMerge w:val="restart"/>
                  <w:tcBorders>
                    <w:tl2br w:val="nil"/>
                    <w:tr2bl w:val="nil"/>
                  </w:tcBorders>
                  <w:vAlign w:val="center"/>
                </w:tcPr>
                <w:p>
                  <w:pPr>
                    <w:adjustRightInd w:val="0"/>
                    <w:snapToGrid w:val="0"/>
                    <w:jc w:val="center"/>
                    <w:rPr>
                      <w:sz w:val="18"/>
                      <w:szCs w:val="18"/>
                    </w:rPr>
                  </w:pPr>
                  <w:r>
                    <w:rPr>
                      <w:sz w:val="18"/>
                      <w:szCs w:val="18"/>
                    </w:rPr>
                    <w:t>时间</w:t>
                  </w:r>
                </w:p>
              </w:tc>
              <w:tc>
                <w:tcPr>
                  <w:tcW w:w="1288" w:type="dxa"/>
                  <w:vMerge w:val="restart"/>
                  <w:tcBorders>
                    <w:tl2br w:val="nil"/>
                    <w:tr2bl w:val="nil"/>
                  </w:tcBorders>
                  <w:vAlign w:val="center"/>
                </w:tcPr>
                <w:p>
                  <w:pPr>
                    <w:adjustRightInd w:val="0"/>
                    <w:snapToGrid w:val="0"/>
                    <w:jc w:val="center"/>
                    <w:rPr>
                      <w:sz w:val="18"/>
                      <w:szCs w:val="18"/>
                    </w:rPr>
                  </w:pPr>
                  <w:r>
                    <w:rPr>
                      <w:sz w:val="18"/>
                      <w:szCs w:val="18"/>
                    </w:rPr>
                    <w:t>断面名称</w:t>
                  </w:r>
                </w:p>
              </w:tc>
              <w:tc>
                <w:tcPr>
                  <w:tcW w:w="2583" w:type="dxa"/>
                  <w:gridSpan w:val="3"/>
                  <w:tcBorders>
                    <w:tl2br w:val="nil"/>
                    <w:tr2bl w:val="nil"/>
                  </w:tcBorders>
                  <w:vAlign w:val="center"/>
                </w:tcPr>
                <w:p>
                  <w:pPr>
                    <w:adjustRightInd w:val="0"/>
                    <w:snapToGrid w:val="0"/>
                    <w:jc w:val="center"/>
                    <w:rPr>
                      <w:sz w:val="18"/>
                      <w:szCs w:val="18"/>
                    </w:rPr>
                  </w:pPr>
                  <w:r>
                    <w:rPr>
                      <w:sz w:val="18"/>
                      <w:szCs w:val="18"/>
                    </w:rPr>
                    <w:t>水质类别</w:t>
                  </w:r>
                </w:p>
              </w:tc>
              <w:tc>
                <w:tcPr>
                  <w:tcW w:w="739" w:type="dxa"/>
                  <w:vMerge w:val="restart"/>
                  <w:tcBorders>
                    <w:tl2br w:val="nil"/>
                    <w:tr2bl w:val="nil"/>
                  </w:tcBorders>
                  <w:vAlign w:val="center"/>
                </w:tcPr>
                <w:p>
                  <w:pPr>
                    <w:adjustRightInd w:val="0"/>
                    <w:snapToGrid w:val="0"/>
                    <w:jc w:val="center"/>
                    <w:rPr>
                      <w:sz w:val="18"/>
                      <w:szCs w:val="18"/>
                    </w:rPr>
                  </w:pPr>
                  <w:r>
                    <w:rPr>
                      <w:sz w:val="18"/>
                      <w:szCs w:val="18"/>
                    </w:rPr>
                    <w:t>环比</w:t>
                  </w:r>
                </w:p>
              </w:tc>
              <w:tc>
                <w:tcPr>
                  <w:tcW w:w="739" w:type="dxa"/>
                  <w:vMerge w:val="restart"/>
                  <w:tcBorders>
                    <w:tl2br w:val="nil"/>
                    <w:tr2bl w:val="nil"/>
                  </w:tcBorders>
                  <w:vAlign w:val="center"/>
                </w:tcPr>
                <w:p>
                  <w:pPr>
                    <w:adjustRightInd w:val="0"/>
                    <w:snapToGrid w:val="0"/>
                    <w:jc w:val="center"/>
                    <w:rPr>
                      <w:sz w:val="18"/>
                      <w:szCs w:val="18"/>
                    </w:rPr>
                  </w:pPr>
                  <w:r>
                    <w:rPr>
                      <w:sz w:val="18"/>
                      <w:szCs w:val="18"/>
                    </w:rPr>
                    <w:t>同比</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923" w:type="dxa"/>
                  <w:vMerge w:val="continue"/>
                  <w:tcBorders>
                    <w:tl2br w:val="nil"/>
                    <w:tr2bl w:val="nil"/>
                  </w:tcBorders>
                  <w:vAlign w:val="center"/>
                </w:tcPr>
                <w:p>
                  <w:pPr>
                    <w:adjustRightInd w:val="0"/>
                    <w:snapToGrid w:val="0"/>
                    <w:jc w:val="center"/>
                    <w:rPr>
                      <w:sz w:val="18"/>
                      <w:szCs w:val="18"/>
                    </w:rPr>
                  </w:pPr>
                </w:p>
              </w:tc>
              <w:tc>
                <w:tcPr>
                  <w:tcW w:w="1106" w:type="dxa"/>
                  <w:vMerge w:val="continue"/>
                  <w:tcBorders>
                    <w:tl2br w:val="nil"/>
                    <w:tr2bl w:val="nil"/>
                  </w:tcBorders>
                  <w:vAlign w:val="center"/>
                </w:tcPr>
                <w:p>
                  <w:pPr>
                    <w:adjustRightInd w:val="0"/>
                    <w:snapToGrid w:val="0"/>
                    <w:jc w:val="center"/>
                    <w:rPr>
                      <w:sz w:val="18"/>
                      <w:szCs w:val="18"/>
                    </w:rPr>
                  </w:pPr>
                </w:p>
              </w:tc>
              <w:tc>
                <w:tcPr>
                  <w:tcW w:w="1126" w:type="dxa"/>
                  <w:vMerge w:val="continue"/>
                  <w:tcBorders>
                    <w:tl2br w:val="nil"/>
                    <w:tr2bl w:val="nil"/>
                  </w:tcBorders>
                  <w:vAlign w:val="center"/>
                </w:tcPr>
                <w:p>
                  <w:pPr>
                    <w:adjustRightInd w:val="0"/>
                    <w:snapToGrid w:val="0"/>
                    <w:jc w:val="center"/>
                    <w:rPr>
                      <w:sz w:val="18"/>
                      <w:szCs w:val="18"/>
                    </w:rPr>
                  </w:pPr>
                </w:p>
              </w:tc>
              <w:tc>
                <w:tcPr>
                  <w:tcW w:w="1288" w:type="dxa"/>
                  <w:vMerge w:val="continue"/>
                  <w:tcBorders>
                    <w:tl2br w:val="nil"/>
                    <w:tr2bl w:val="nil"/>
                  </w:tcBorders>
                  <w:vAlign w:val="center"/>
                </w:tcPr>
                <w:p>
                  <w:pPr>
                    <w:adjustRightInd w:val="0"/>
                    <w:snapToGrid w:val="0"/>
                    <w:jc w:val="center"/>
                    <w:rPr>
                      <w:sz w:val="18"/>
                      <w:szCs w:val="18"/>
                    </w:rPr>
                  </w:pPr>
                </w:p>
              </w:tc>
              <w:tc>
                <w:tcPr>
                  <w:tcW w:w="739" w:type="dxa"/>
                  <w:tcBorders>
                    <w:tl2br w:val="nil"/>
                    <w:tr2bl w:val="nil"/>
                  </w:tcBorders>
                  <w:vAlign w:val="center"/>
                </w:tcPr>
                <w:p>
                  <w:pPr>
                    <w:adjustRightInd w:val="0"/>
                    <w:snapToGrid w:val="0"/>
                    <w:jc w:val="center"/>
                    <w:rPr>
                      <w:sz w:val="18"/>
                      <w:szCs w:val="18"/>
                    </w:rPr>
                  </w:pPr>
                  <w:r>
                    <w:rPr>
                      <w:sz w:val="18"/>
                      <w:szCs w:val="18"/>
                    </w:rPr>
                    <w:t>本月</w:t>
                  </w:r>
                </w:p>
              </w:tc>
              <w:tc>
                <w:tcPr>
                  <w:tcW w:w="739" w:type="dxa"/>
                  <w:tcBorders>
                    <w:tl2br w:val="nil"/>
                    <w:tr2bl w:val="nil"/>
                  </w:tcBorders>
                  <w:vAlign w:val="center"/>
                </w:tcPr>
                <w:p>
                  <w:pPr>
                    <w:adjustRightInd w:val="0"/>
                    <w:snapToGrid w:val="0"/>
                    <w:jc w:val="center"/>
                    <w:rPr>
                      <w:sz w:val="18"/>
                      <w:szCs w:val="18"/>
                    </w:rPr>
                  </w:pPr>
                  <w:r>
                    <w:rPr>
                      <w:sz w:val="18"/>
                      <w:szCs w:val="18"/>
                    </w:rPr>
                    <w:t>上月</w:t>
                  </w:r>
                </w:p>
              </w:tc>
              <w:tc>
                <w:tcPr>
                  <w:tcW w:w="1105" w:type="dxa"/>
                  <w:tcBorders>
                    <w:tl2br w:val="nil"/>
                    <w:tr2bl w:val="nil"/>
                  </w:tcBorders>
                  <w:vAlign w:val="center"/>
                </w:tcPr>
                <w:p>
                  <w:pPr>
                    <w:adjustRightInd w:val="0"/>
                    <w:snapToGrid w:val="0"/>
                    <w:jc w:val="center"/>
                    <w:rPr>
                      <w:sz w:val="18"/>
                      <w:szCs w:val="18"/>
                    </w:rPr>
                  </w:pPr>
                  <w:r>
                    <w:rPr>
                      <w:sz w:val="18"/>
                      <w:szCs w:val="18"/>
                    </w:rPr>
                    <w:t>去年同期</w:t>
                  </w:r>
                </w:p>
              </w:tc>
              <w:tc>
                <w:tcPr>
                  <w:tcW w:w="739" w:type="dxa"/>
                  <w:vMerge w:val="continue"/>
                  <w:tcBorders>
                    <w:tl2br w:val="nil"/>
                    <w:tr2bl w:val="nil"/>
                  </w:tcBorders>
                  <w:vAlign w:val="center"/>
                </w:tcPr>
                <w:p>
                  <w:pPr>
                    <w:adjustRightInd w:val="0"/>
                    <w:snapToGrid w:val="0"/>
                    <w:jc w:val="center"/>
                    <w:rPr>
                      <w:sz w:val="18"/>
                      <w:szCs w:val="18"/>
                    </w:rPr>
                  </w:pPr>
                </w:p>
              </w:tc>
              <w:tc>
                <w:tcPr>
                  <w:tcW w:w="739" w:type="dxa"/>
                  <w:vMerge w:val="continue"/>
                  <w:tcBorders>
                    <w:tl2br w:val="nil"/>
                    <w:tr2bl w:val="nil"/>
                  </w:tcBorders>
                  <w:vAlign w:val="center"/>
                </w:tcPr>
                <w:p>
                  <w:pPr>
                    <w:adjustRightInd w:val="0"/>
                    <w:snapToGrid w:val="0"/>
                    <w:jc w:val="center"/>
                    <w:rPr>
                      <w:sz w:val="18"/>
                      <w:szCs w:val="18"/>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23" w:type="dxa"/>
                  <w:vMerge w:val="restart"/>
                  <w:tcBorders>
                    <w:tl2br w:val="nil"/>
                    <w:tr2bl w:val="nil"/>
                  </w:tcBorders>
                  <w:vAlign w:val="center"/>
                </w:tcPr>
                <w:p>
                  <w:pPr>
                    <w:adjustRightInd w:val="0"/>
                    <w:snapToGrid w:val="0"/>
                    <w:jc w:val="center"/>
                    <w:rPr>
                      <w:sz w:val="18"/>
                      <w:szCs w:val="18"/>
                    </w:rPr>
                  </w:pPr>
                  <w:r>
                    <w:rPr>
                      <w:sz w:val="18"/>
                      <w:szCs w:val="18"/>
                    </w:rPr>
                    <w:t>通化市</w:t>
                  </w:r>
                </w:p>
              </w:tc>
              <w:tc>
                <w:tcPr>
                  <w:tcW w:w="1106" w:type="dxa"/>
                  <w:vMerge w:val="restart"/>
                  <w:tcBorders>
                    <w:tl2br w:val="nil"/>
                    <w:tr2bl w:val="nil"/>
                  </w:tcBorders>
                  <w:vAlign w:val="center"/>
                </w:tcPr>
                <w:p>
                  <w:pPr>
                    <w:adjustRightInd w:val="0"/>
                    <w:snapToGrid w:val="0"/>
                    <w:jc w:val="center"/>
                    <w:rPr>
                      <w:sz w:val="18"/>
                      <w:szCs w:val="18"/>
                    </w:rPr>
                  </w:pPr>
                  <w:r>
                    <w:rPr>
                      <w:sz w:val="18"/>
                      <w:szCs w:val="18"/>
                    </w:rPr>
                    <w:t>一统河</w:t>
                  </w:r>
                </w:p>
              </w:tc>
              <w:tc>
                <w:tcPr>
                  <w:tcW w:w="1126" w:type="dxa"/>
                  <w:vMerge w:val="restart"/>
                  <w:tcBorders>
                    <w:tl2br w:val="nil"/>
                    <w:tr2bl w:val="nil"/>
                  </w:tcBorders>
                  <w:vAlign w:val="center"/>
                </w:tcPr>
                <w:p>
                  <w:pPr>
                    <w:adjustRightInd w:val="0"/>
                    <w:snapToGrid w:val="0"/>
                    <w:jc w:val="center"/>
                    <w:rPr>
                      <w:sz w:val="18"/>
                      <w:szCs w:val="18"/>
                    </w:rPr>
                  </w:pPr>
                  <w:r>
                    <w:rPr>
                      <w:sz w:val="18"/>
                      <w:szCs w:val="18"/>
                    </w:rPr>
                    <w:t>2025.12</w:t>
                  </w:r>
                </w:p>
              </w:tc>
              <w:tc>
                <w:tcPr>
                  <w:tcW w:w="1288" w:type="dxa"/>
                  <w:tcBorders>
                    <w:tl2br w:val="nil"/>
                    <w:tr2bl w:val="nil"/>
                  </w:tcBorders>
                  <w:vAlign w:val="center"/>
                </w:tcPr>
                <w:p>
                  <w:pPr>
                    <w:adjustRightInd w:val="0"/>
                    <w:snapToGrid w:val="0"/>
                    <w:jc w:val="center"/>
                    <w:rPr>
                      <w:sz w:val="18"/>
                      <w:szCs w:val="18"/>
                    </w:rPr>
                  </w:pPr>
                  <w:r>
                    <w:rPr>
                      <w:sz w:val="18"/>
                      <w:szCs w:val="18"/>
                    </w:rPr>
                    <w:t>大迫子</w:t>
                  </w:r>
                </w:p>
              </w:tc>
              <w:tc>
                <w:tcPr>
                  <w:tcW w:w="739" w:type="dxa"/>
                  <w:tcBorders>
                    <w:tl2br w:val="nil"/>
                    <w:tr2bl w:val="nil"/>
                  </w:tcBorders>
                  <w:vAlign w:val="center"/>
                </w:tcPr>
                <w:p>
                  <w:pPr>
                    <w:adjustRightInd w:val="0"/>
                    <w:snapToGrid w:val="0"/>
                    <w:jc w:val="center"/>
                    <w:rPr>
                      <w:sz w:val="18"/>
                      <w:szCs w:val="18"/>
                    </w:rPr>
                  </w:pPr>
                  <w:r>
                    <w:rPr>
                      <w:sz w:val="18"/>
                      <w:szCs w:val="18"/>
                    </w:rPr>
                    <w:t>Ⅱ</w:t>
                  </w:r>
                </w:p>
              </w:tc>
              <w:tc>
                <w:tcPr>
                  <w:tcW w:w="739" w:type="dxa"/>
                  <w:tcBorders>
                    <w:tl2br w:val="nil"/>
                    <w:tr2bl w:val="nil"/>
                  </w:tcBorders>
                  <w:vAlign w:val="center"/>
                </w:tcPr>
                <w:p>
                  <w:pPr>
                    <w:adjustRightInd w:val="0"/>
                    <w:snapToGrid w:val="0"/>
                    <w:jc w:val="center"/>
                    <w:rPr>
                      <w:sz w:val="18"/>
                      <w:szCs w:val="18"/>
                    </w:rPr>
                  </w:pPr>
                  <w:r>
                    <w:rPr>
                      <w:sz w:val="18"/>
                      <w:szCs w:val="18"/>
                    </w:rPr>
                    <w:t>Ⅱ</w:t>
                  </w:r>
                </w:p>
              </w:tc>
              <w:tc>
                <w:tcPr>
                  <w:tcW w:w="1105" w:type="dxa"/>
                  <w:tcBorders>
                    <w:tl2br w:val="nil"/>
                    <w:tr2bl w:val="nil"/>
                  </w:tcBorders>
                  <w:vAlign w:val="center"/>
                </w:tcPr>
                <w:p>
                  <w:pPr>
                    <w:adjustRightInd w:val="0"/>
                    <w:snapToGrid w:val="0"/>
                    <w:jc w:val="center"/>
                    <w:rPr>
                      <w:sz w:val="18"/>
                      <w:szCs w:val="18"/>
                    </w:rPr>
                  </w:pPr>
                  <w:r>
                    <w:rPr>
                      <w:sz w:val="18"/>
                      <w:szCs w:val="18"/>
                    </w:rPr>
                    <w:t>Ⅱ</w:t>
                  </w:r>
                </w:p>
              </w:tc>
              <w:tc>
                <w:tcPr>
                  <w:tcW w:w="739" w:type="dxa"/>
                  <w:tcBorders>
                    <w:tl2br w:val="nil"/>
                    <w:tr2bl w:val="nil"/>
                  </w:tcBorders>
                  <w:vAlign w:val="center"/>
                </w:tcPr>
                <w:p>
                  <w:pPr>
                    <w:adjustRightInd w:val="0"/>
                    <w:snapToGrid w:val="0"/>
                    <w:jc w:val="center"/>
                    <w:rPr>
                      <w:sz w:val="18"/>
                      <w:szCs w:val="18"/>
                    </w:rPr>
                  </w:pPr>
                  <w:r>
                    <w:rPr>
                      <w:sz w:val="18"/>
                      <w:szCs w:val="18"/>
                    </w:rPr>
                    <w:t>→</w:t>
                  </w:r>
                </w:p>
              </w:tc>
              <w:tc>
                <w:tcPr>
                  <w:tcW w:w="739" w:type="dxa"/>
                  <w:tcBorders>
                    <w:tl2br w:val="nil"/>
                    <w:tr2bl w:val="nil"/>
                  </w:tcBorders>
                  <w:vAlign w:val="center"/>
                </w:tcPr>
                <w:p>
                  <w:pPr>
                    <w:adjustRightInd w:val="0"/>
                    <w:snapToGrid w:val="0"/>
                    <w:jc w:val="center"/>
                    <w:rPr>
                      <w:sz w:val="18"/>
                      <w:szCs w:val="18"/>
                    </w:rPr>
                  </w:pPr>
                  <w:r>
                    <w:rPr>
                      <w:sz w:val="18"/>
                      <w:szCs w:val="18"/>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923" w:type="dxa"/>
                  <w:vMerge w:val="continue"/>
                  <w:tcBorders>
                    <w:tl2br w:val="nil"/>
                    <w:tr2bl w:val="nil"/>
                  </w:tcBorders>
                  <w:vAlign w:val="center"/>
                </w:tcPr>
                <w:p>
                  <w:pPr>
                    <w:adjustRightInd w:val="0"/>
                    <w:snapToGrid w:val="0"/>
                    <w:jc w:val="center"/>
                    <w:rPr>
                      <w:sz w:val="18"/>
                      <w:szCs w:val="18"/>
                    </w:rPr>
                  </w:pPr>
                </w:p>
              </w:tc>
              <w:tc>
                <w:tcPr>
                  <w:tcW w:w="1106" w:type="dxa"/>
                  <w:vMerge w:val="continue"/>
                  <w:tcBorders>
                    <w:tl2br w:val="nil"/>
                    <w:tr2bl w:val="nil"/>
                  </w:tcBorders>
                  <w:vAlign w:val="center"/>
                </w:tcPr>
                <w:p>
                  <w:pPr>
                    <w:adjustRightInd w:val="0"/>
                    <w:snapToGrid w:val="0"/>
                    <w:jc w:val="center"/>
                    <w:rPr>
                      <w:sz w:val="18"/>
                      <w:szCs w:val="18"/>
                    </w:rPr>
                  </w:pPr>
                </w:p>
              </w:tc>
              <w:tc>
                <w:tcPr>
                  <w:tcW w:w="1126" w:type="dxa"/>
                  <w:vMerge w:val="continue"/>
                  <w:tcBorders>
                    <w:tl2br w:val="nil"/>
                    <w:tr2bl w:val="nil"/>
                  </w:tcBorders>
                  <w:vAlign w:val="center"/>
                </w:tcPr>
                <w:p>
                  <w:pPr>
                    <w:adjustRightInd w:val="0"/>
                    <w:snapToGrid w:val="0"/>
                    <w:jc w:val="center"/>
                    <w:rPr>
                      <w:sz w:val="18"/>
                      <w:szCs w:val="18"/>
                    </w:rPr>
                  </w:pPr>
                </w:p>
              </w:tc>
              <w:tc>
                <w:tcPr>
                  <w:tcW w:w="1288" w:type="dxa"/>
                  <w:tcBorders>
                    <w:tl2br w:val="nil"/>
                    <w:tr2bl w:val="nil"/>
                  </w:tcBorders>
                  <w:vAlign w:val="center"/>
                </w:tcPr>
                <w:p>
                  <w:pPr>
                    <w:adjustRightInd w:val="0"/>
                    <w:snapToGrid w:val="0"/>
                    <w:jc w:val="center"/>
                    <w:rPr>
                      <w:sz w:val="18"/>
                      <w:szCs w:val="18"/>
                    </w:rPr>
                  </w:pPr>
                  <w:r>
                    <w:rPr>
                      <w:sz w:val="18"/>
                      <w:szCs w:val="18"/>
                    </w:rPr>
                    <w:t>一统河入口</w:t>
                  </w:r>
                </w:p>
              </w:tc>
              <w:tc>
                <w:tcPr>
                  <w:tcW w:w="739" w:type="dxa"/>
                  <w:tcBorders>
                    <w:tl2br w:val="nil"/>
                    <w:tr2bl w:val="nil"/>
                  </w:tcBorders>
                  <w:vAlign w:val="center"/>
                </w:tcPr>
                <w:p>
                  <w:pPr>
                    <w:adjustRightInd w:val="0"/>
                    <w:snapToGrid w:val="0"/>
                    <w:jc w:val="center"/>
                    <w:rPr>
                      <w:sz w:val="18"/>
                      <w:szCs w:val="18"/>
                    </w:rPr>
                  </w:pPr>
                  <w:r>
                    <w:rPr>
                      <w:sz w:val="18"/>
                      <w:szCs w:val="18"/>
                    </w:rPr>
                    <w:t>Ⅱ</w:t>
                  </w:r>
                </w:p>
              </w:tc>
              <w:tc>
                <w:tcPr>
                  <w:tcW w:w="739" w:type="dxa"/>
                  <w:tcBorders>
                    <w:tl2br w:val="nil"/>
                    <w:tr2bl w:val="nil"/>
                  </w:tcBorders>
                  <w:vAlign w:val="center"/>
                </w:tcPr>
                <w:p>
                  <w:pPr>
                    <w:adjustRightInd w:val="0"/>
                    <w:snapToGrid w:val="0"/>
                    <w:jc w:val="center"/>
                    <w:rPr>
                      <w:sz w:val="18"/>
                      <w:szCs w:val="18"/>
                    </w:rPr>
                  </w:pPr>
                  <w:r>
                    <w:rPr>
                      <w:sz w:val="18"/>
                      <w:szCs w:val="18"/>
                    </w:rPr>
                    <w:t>Ⅱ</w:t>
                  </w:r>
                </w:p>
              </w:tc>
              <w:tc>
                <w:tcPr>
                  <w:tcW w:w="1105" w:type="dxa"/>
                  <w:tcBorders>
                    <w:tl2br w:val="nil"/>
                    <w:tr2bl w:val="nil"/>
                  </w:tcBorders>
                  <w:vAlign w:val="center"/>
                </w:tcPr>
                <w:p>
                  <w:pPr>
                    <w:adjustRightInd w:val="0"/>
                    <w:snapToGrid w:val="0"/>
                    <w:jc w:val="center"/>
                    <w:rPr>
                      <w:sz w:val="18"/>
                      <w:szCs w:val="18"/>
                    </w:rPr>
                  </w:pPr>
                  <w:r>
                    <w:rPr>
                      <w:sz w:val="18"/>
                      <w:szCs w:val="18"/>
                    </w:rPr>
                    <w:t>/</w:t>
                  </w:r>
                </w:p>
              </w:tc>
              <w:tc>
                <w:tcPr>
                  <w:tcW w:w="739" w:type="dxa"/>
                  <w:tcBorders>
                    <w:tl2br w:val="nil"/>
                    <w:tr2bl w:val="nil"/>
                  </w:tcBorders>
                  <w:vAlign w:val="center"/>
                </w:tcPr>
                <w:p>
                  <w:pPr>
                    <w:adjustRightInd w:val="0"/>
                    <w:snapToGrid w:val="0"/>
                    <w:jc w:val="center"/>
                    <w:rPr>
                      <w:sz w:val="18"/>
                      <w:szCs w:val="18"/>
                    </w:rPr>
                  </w:pPr>
                  <w:r>
                    <w:rPr>
                      <w:sz w:val="18"/>
                      <w:szCs w:val="18"/>
                    </w:rPr>
                    <w:t>→</w:t>
                  </w:r>
                </w:p>
              </w:tc>
              <w:tc>
                <w:tcPr>
                  <w:tcW w:w="739" w:type="dxa"/>
                  <w:tcBorders>
                    <w:tl2br w:val="nil"/>
                    <w:tr2bl w:val="nil"/>
                  </w:tcBorders>
                  <w:vAlign w:val="center"/>
                </w:tcPr>
                <w:p>
                  <w:pPr>
                    <w:adjustRightInd w:val="0"/>
                    <w:snapToGrid w:val="0"/>
                    <w:jc w:val="center"/>
                    <w:rPr>
                      <w:sz w:val="18"/>
                      <w:szCs w:val="18"/>
                    </w:rPr>
                  </w:pPr>
                  <w:r>
                    <w:rPr>
                      <w:sz w:val="18"/>
                      <w:szCs w:val="18"/>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923" w:type="dxa"/>
                  <w:vMerge w:val="continue"/>
                  <w:tcBorders>
                    <w:tl2br w:val="nil"/>
                    <w:tr2bl w:val="nil"/>
                  </w:tcBorders>
                  <w:vAlign w:val="center"/>
                </w:tcPr>
                <w:p>
                  <w:pPr>
                    <w:adjustRightInd w:val="0"/>
                    <w:snapToGrid w:val="0"/>
                    <w:jc w:val="center"/>
                    <w:rPr>
                      <w:sz w:val="18"/>
                      <w:szCs w:val="18"/>
                    </w:rPr>
                  </w:pPr>
                </w:p>
              </w:tc>
              <w:tc>
                <w:tcPr>
                  <w:tcW w:w="1106" w:type="dxa"/>
                  <w:vMerge w:val="continue"/>
                  <w:tcBorders>
                    <w:tl2br w:val="nil"/>
                    <w:tr2bl w:val="nil"/>
                  </w:tcBorders>
                  <w:vAlign w:val="center"/>
                </w:tcPr>
                <w:p>
                  <w:pPr>
                    <w:adjustRightInd w:val="0"/>
                    <w:snapToGrid w:val="0"/>
                    <w:jc w:val="center"/>
                    <w:rPr>
                      <w:sz w:val="18"/>
                      <w:szCs w:val="18"/>
                    </w:rPr>
                  </w:pPr>
                </w:p>
              </w:tc>
              <w:tc>
                <w:tcPr>
                  <w:tcW w:w="1126" w:type="dxa"/>
                  <w:vMerge w:val="restart"/>
                  <w:tcBorders>
                    <w:tl2br w:val="nil"/>
                    <w:tr2bl w:val="nil"/>
                  </w:tcBorders>
                  <w:vAlign w:val="center"/>
                </w:tcPr>
                <w:p>
                  <w:pPr>
                    <w:adjustRightInd w:val="0"/>
                    <w:snapToGrid w:val="0"/>
                    <w:jc w:val="center"/>
                    <w:rPr>
                      <w:sz w:val="18"/>
                      <w:szCs w:val="18"/>
                    </w:rPr>
                  </w:pPr>
                  <w:r>
                    <w:rPr>
                      <w:sz w:val="18"/>
                      <w:szCs w:val="18"/>
                    </w:rPr>
                    <w:t>2025.11</w:t>
                  </w:r>
                </w:p>
              </w:tc>
              <w:tc>
                <w:tcPr>
                  <w:tcW w:w="1288" w:type="dxa"/>
                  <w:tcBorders>
                    <w:tl2br w:val="nil"/>
                    <w:tr2bl w:val="nil"/>
                  </w:tcBorders>
                  <w:vAlign w:val="center"/>
                </w:tcPr>
                <w:p>
                  <w:pPr>
                    <w:adjustRightInd w:val="0"/>
                    <w:snapToGrid w:val="0"/>
                    <w:jc w:val="center"/>
                    <w:rPr>
                      <w:sz w:val="18"/>
                      <w:szCs w:val="18"/>
                    </w:rPr>
                  </w:pPr>
                  <w:r>
                    <w:rPr>
                      <w:sz w:val="18"/>
                      <w:szCs w:val="18"/>
                    </w:rPr>
                    <w:t>大迫子</w:t>
                  </w:r>
                </w:p>
              </w:tc>
              <w:tc>
                <w:tcPr>
                  <w:tcW w:w="739" w:type="dxa"/>
                  <w:tcBorders>
                    <w:tl2br w:val="nil"/>
                    <w:tr2bl w:val="nil"/>
                  </w:tcBorders>
                  <w:vAlign w:val="center"/>
                </w:tcPr>
                <w:p>
                  <w:pPr>
                    <w:adjustRightInd w:val="0"/>
                    <w:snapToGrid w:val="0"/>
                    <w:jc w:val="center"/>
                    <w:rPr>
                      <w:sz w:val="18"/>
                      <w:szCs w:val="18"/>
                    </w:rPr>
                  </w:pPr>
                  <w:r>
                    <w:rPr>
                      <w:sz w:val="18"/>
                      <w:szCs w:val="18"/>
                    </w:rPr>
                    <w:t>Ⅱ</w:t>
                  </w:r>
                </w:p>
              </w:tc>
              <w:tc>
                <w:tcPr>
                  <w:tcW w:w="739" w:type="dxa"/>
                  <w:tcBorders>
                    <w:tl2br w:val="nil"/>
                    <w:tr2bl w:val="nil"/>
                  </w:tcBorders>
                  <w:vAlign w:val="center"/>
                </w:tcPr>
                <w:p>
                  <w:pPr>
                    <w:adjustRightInd w:val="0"/>
                    <w:snapToGrid w:val="0"/>
                    <w:jc w:val="center"/>
                    <w:rPr>
                      <w:sz w:val="18"/>
                      <w:szCs w:val="18"/>
                    </w:rPr>
                  </w:pPr>
                  <w:r>
                    <w:rPr>
                      <w:sz w:val="18"/>
                      <w:szCs w:val="18"/>
                    </w:rPr>
                    <w:t>Ⅱ</w:t>
                  </w:r>
                </w:p>
              </w:tc>
              <w:tc>
                <w:tcPr>
                  <w:tcW w:w="1105" w:type="dxa"/>
                  <w:tcBorders>
                    <w:tl2br w:val="nil"/>
                    <w:tr2bl w:val="nil"/>
                  </w:tcBorders>
                  <w:vAlign w:val="center"/>
                </w:tcPr>
                <w:p>
                  <w:pPr>
                    <w:adjustRightInd w:val="0"/>
                    <w:snapToGrid w:val="0"/>
                    <w:jc w:val="center"/>
                    <w:rPr>
                      <w:sz w:val="18"/>
                      <w:szCs w:val="18"/>
                    </w:rPr>
                  </w:pPr>
                  <w:r>
                    <w:rPr>
                      <w:sz w:val="18"/>
                      <w:szCs w:val="18"/>
                    </w:rPr>
                    <w:t>Ⅱ</w:t>
                  </w:r>
                </w:p>
              </w:tc>
              <w:tc>
                <w:tcPr>
                  <w:tcW w:w="739" w:type="dxa"/>
                  <w:tcBorders>
                    <w:tl2br w:val="nil"/>
                    <w:tr2bl w:val="nil"/>
                  </w:tcBorders>
                  <w:vAlign w:val="center"/>
                </w:tcPr>
                <w:p>
                  <w:pPr>
                    <w:adjustRightInd w:val="0"/>
                    <w:snapToGrid w:val="0"/>
                    <w:jc w:val="center"/>
                    <w:rPr>
                      <w:sz w:val="18"/>
                      <w:szCs w:val="18"/>
                    </w:rPr>
                  </w:pPr>
                  <w:r>
                    <w:rPr>
                      <w:sz w:val="18"/>
                      <w:szCs w:val="18"/>
                    </w:rPr>
                    <w:t>→</w:t>
                  </w:r>
                </w:p>
              </w:tc>
              <w:tc>
                <w:tcPr>
                  <w:tcW w:w="739" w:type="dxa"/>
                  <w:tcBorders>
                    <w:tl2br w:val="nil"/>
                    <w:tr2bl w:val="nil"/>
                  </w:tcBorders>
                  <w:vAlign w:val="center"/>
                </w:tcPr>
                <w:p>
                  <w:pPr>
                    <w:adjustRightInd w:val="0"/>
                    <w:snapToGrid w:val="0"/>
                    <w:jc w:val="center"/>
                    <w:rPr>
                      <w:sz w:val="18"/>
                      <w:szCs w:val="18"/>
                    </w:rPr>
                  </w:pPr>
                  <w:r>
                    <w:rPr>
                      <w:sz w:val="18"/>
                      <w:szCs w:val="18"/>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923" w:type="dxa"/>
                  <w:vMerge w:val="continue"/>
                  <w:tcBorders>
                    <w:tl2br w:val="nil"/>
                    <w:tr2bl w:val="nil"/>
                  </w:tcBorders>
                  <w:vAlign w:val="center"/>
                </w:tcPr>
                <w:p>
                  <w:pPr>
                    <w:adjustRightInd w:val="0"/>
                    <w:snapToGrid w:val="0"/>
                    <w:jc w:val="center"/>
                    <w:rPr>
                      <w:sz w:val="18"/>
                      <w:szCs w:val="18"/>
                    </w:rPr>
                  </w:pPr>
                </w:p>
              </w:tc>
              <w:tc>
                <w:tcPr>
                  <w:tcW w:w="1106" w:type="dxa"/>
                  <w:vMerge w:val="continue"/>
                  <w:tcBorders>
                    <w:tl2br w:val="nil"/>
                    <w:tr2bl w:val="nil"/>
                  </w:tcBorders>
                  <w:vAlign w:val="center"/>
                </w:tcPr>
                <w:p>
                  <w:pPr>
                    <w:adjustRightInd w:val="0"/>
                    <w:snapToGrid w:val="0"/>
                    <w:jc w:val="center"/>
                    <w:rPr>
                      <w:sz w:val="18"/>
                      <w:szCs w:val="18"/>
                    </w:rPr>
                  </w:pPr>
                </w:p>
              </w:tc>
              <w:tc>
                <w:tcPr>
                  <w:tcW w:w="1126" w:type="dxa"/>
                  <w:vMerge w:val="continue"/>
                  <w:tcBorders>
                    <w:tl2br w:val="nil"/>
                    <w:tr2bl w:val="nil"/>
                  </w:tcBorders>
                  <w:vAlign w:val="center"/>
                </w:tcPr>
                <w:p>
                  <w:pPr>
                    <w:adjustRightInd w:val="0"/>
                    <w:snapToGrid w:val="0"/>
                    <w:jc w:val="center"/>
                    <w:rPr>
                      <w:sz w:val="18"/>
                      <w:szCs w:val="18"/>
                    </w:rPr>
                  </w:pPr>
                </w:p>
              </w:tc>
              <w:tc>
                <w:tcPr>
                  <w:tcW w:w="1288" w:type="dxa"/>
                  <w:tcBorders>
                    <w:tl2br w:val="nil"/>
                    <w:tr2bl w:val="nil"/>
                  </w:tcBorders>
                  <w:vAlign w:val="center"/>
                </w:tcPr>
                <w:p>
                  <w:pPr>
                    <w:adjustRightInd w:val="0"/>
                    <w:snapToGrid w:val="0"/>
                    <w:jc w:val="center"/>
                    <w:rPr>
                      <w:sz w:val="18"/>
                      <w:szCs w:val="18"/>
                    </w:rPr>
                  </w:pPr>
                  <w:r>
                    <w:rPr>
                      <w:sz w:val="18"/>
                      <w:szCs w:val="18"/>
                    </w:rPr>
                    <w:t>一统河入口</w:t>
                  </w:r>
                </w:p>
              </w:tc>
              <w:tc>
                <w:tcPr>
                  <w:tcW w:w="739" w:type="dxa"/>
                  <w:tcBorders>
                    <w:tl2br w:val="nil"/>
                    <w:tr2bl w:val="nil"/>
                  </w:tcBorders>
                  <w:vAlign w:val="center"/>
                </w:tcPr>
                <w:p>
                  <w:pPr>
                    <w:adjustRightInd w:val="0"/>
                    <w:snapToGrid w:val="0"/>
                    <w:jc w:val="center"/>
                    <w:rPr>
                      <w:sz w:val="18"/>
                      <w:szCs w:val="18"/>
                    </w:rPr>
                  </w:pPr>
                  <w:r>
                    <w:rPr>
                      <w:sz w:val="18"/>
                      <w:szCs w:val="18"/>
                    </w:rPr>
                    <w:t>Ⅱ</w:t>
                  </w:r>
                </w:p>
              </w:tc>
              <w:tc>
                <w:tcPr>
                  <w:tcW w:w="739" w:type="dxa"/>
                  <w:tcBorders>
                    <w:tl2br w:val="nil"/>
                    <w:tr2bl w:val="nil"/>
                  </w:tcBorders>
                  <w:vAlign w:val="center"/>
                </w:tcPr>
                <w:p>
                  <w:pPr>
                    <w:adjustRightInd w:val="0"/>
                    <w:snapToGrid w:val="0"/>
                    <w:jc w:val="center"/>
                    <w:rPr>
                      <w:sz w:val="18"/>
                      <w:szCs w:val="18"/>
                    </w:rPr>
                  </w:pPr>
                  <w:r>
                    <w:rPr>
                      <w:sz w:val="18"/>
                      <w:szCs w:val="18"/>
                    </w:rPr>
                    <w:t>Ⅱ</w:t>
                  </w:r>
                </w:p>
              </w:tc>
              <w:tc>
                <w:tcPr>
                  <w:tcW w:w="1105" w:type="dxa"/>
                  <w:tcBorders>
                    <w:tl2br w:val="nil"/>
                    <w:tr2bl w:val="nil"/>
                  </w:tcBorders>
                  <w:vAlign w:val="center"/>
                </w:tcPr>
                <w:p>
                  <w:pPr>
                    <w:adjustRightInd w:val="0"/>
                    <w:snapToGrid w:val="0"/>
                    <w:jc w:val="center"/>
                    <w:rPr>
                      <w:sz w:val="18"/>
                      <w:szCs w:val="18"/>
                    </w:rPr>
                  </w:pPr>
                  <w:r>
                    <w:rPr>
                      <w:sz w:val="18"/>
                      <w:szCs w:val="18"/>
                    </w:rPr>
                    <w:t>Ⅱ</w:t>
                  </w:r>
                </w:p>
              </w:tc>
              <w:tc>
                <w:tcPr>
                  <w:tcW w:w="739" w:type="dxa"/>
                  <w:tcBorders>
                    <w:tl2br w:val="nil"/>
                    <w:tr2bl w:val="nil"/>
                  </w:tcBorders>
                  <w:vAlign w:val="center"/>
                </w:tcPr>
                <w:p>
                  <w:pPr>
                    <w:adjustRightInd w:val="0"/>
                    <w:snapToGrid w:val="0"/>
                    <w:jc w:val="center"/>
                    <w:rPr>
                      <w:sz w:val="18"/>
                      <w:szCs w:val="18"/>
                    </w:rPr>
                  </w:pPr>
                  <w:r>
                    <w:rPr>
                      <w:sz w:val="18"/>
                      <w:szCs w:val="18"/>
                    </w:rPr>
                    <w:t>→</w:t>
                  </w:r>
                </w:p>
              </w:tc>
              <w:tc>
                <w:tcPr>
                  <w:tcW w:w="739" w:type="dxa"/>
                  <w:tcBorders>
                    <w:tl2br w:val="nil"/>
                    <w:tr2bl w:val="nil"/>
                  </w:tcBorders>
                  <w:vAlign w:val="center"/>
                </w:tcPr>
                <w:p>
                  <w:pPr>
                    <w:adjustRightInd w:val="0"/>
                    <w:snapToGrid w:val="0"/>
                    <w:jc w:val="center"/>
                    <w:rPr>
                      <w:sz w:val="18"/>
                      <w:szCs w:val="18"/>
                    </w:rPr>
                  </w:pPr>
                  <w:r>
                    <w:rPr>
                      <w:sz w:val="18"/>
                      <w:szCs w:val="18"/>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923" w:type="dxa"/>
                  <w:vMerge w:val="continue"/>
                  <w:tcBorders>
                    <w:tl2br w:val="nil"/>
                    <w:tr2bl w:val="nil"/>
                  </w:tcBorders>
                  <w:vAlign w:val="center"/>
                </w:tcPr>
                <w:p>
                  <w:pPr>
                    <w:adjustRightInd w:val="0"/>
                    <w:snapToGrid w:val="0"/>
                    <w:jc w:val="center"/>
                    <w:rPr>
                      <w:sz w:val="18"/>
                      <w:szCs w:val="18"/>
                    </w:rPr>
                  </w:pPr>
                </w:p>
              </w:tc>
              <w:tc>
                <w:tcPr>
                  <w:tcW w:w="1106" w:type="dxa"/>
                  <w:vMerge w:val="continue"/>
                  <w:tcBorders>
                    <w:tl2br w:val="nil"/>
                    <w:tr2bl w:val="nil"/>
                  </w:tcBorders>
                  <w:vAlign w:val="center"/>
                </w:tcPr>
                <w:p>
                  <w:pPr>
                    <w:adjustRightInd w:val="0"/>
                    <w:snapToGrid w:val="0"/>
                    <w:jc w:val="center"/>
                    <w:rPr>
                      <w:sz w:val="18"/>
                      <w:szCs w:val="18"/>
                    </w:rPr>
                  </w:pPr>
                </w:p>
              </w:tc>
              <w:tc>
                <w:tcPr>
                  <w:tcW w:w="1126" w:type="dxa"/>
                  <w:vMerge w:val="restart"/>
                  <w:tcBorders>
                    <w:tl2br w:val="nil"/>
                    <w:tr2bl w:val="nil"/>
                  </w:tcBorders>
                  <w:vAlign w:val="center"/>
                </w:tcPr>
                <w:p>
                  <w:pPr>
                    <w:adjustRightInd w:val="0"/>
                    <w:snapToGrid w:val="0"/>
                    <w:jc w:val="center"/>
                    <w:rPr>
                      <w:sz w:val="18"/>
                      <w:szCs w:val="18"/>
                    </w:rPr>
                  </w:pPr>
                  <w:r>
                    <w:rPr>
                      <w:sz w:val="18"/>
                      <w:szCs w:val="18"/>
                    </w:rPr>
                    <w:t>2025.10</w:t>
                  </w:r>
                </w:p>
              </w:tc>
              <w:tc>
                <w:tcPr>
                  <w:tcW w:w="1288" w:type="dxa"/>
                  <w:tcBorders>
                    <w:tl2br w:val="nil"/>
                    <w:tr2bl w:val="nil"/>
                  </w:tcBorders>
                  <w:vAlign w:val="center"/>
                </w:tcPr>
                <w:p>
                  <w:pPr>
                    <w:adjustRightInd w:val="0"/>
                    <w:snapToGrid w:val="0"/>
                    <w:jc w:val="center"/>
                    <w:rPr>
                      <w:sz w:val="18"/>
                      <w:szCs w:val="18"/>
                    </w:rPr>
                  </w:pPr>
                  <w:r>
                    <w:rPr>
                      <w:sz w:val="18"/>
                      <w:szCs w:val="18"/>
                    </w:rPr>
                    <w:t>大迫子</w:t>
                  </w:r>
                </w:p>
              </w:tc>
              <w:tc>
                <w:tcPr>
                  <w:tcW w:w="739" w:type="dxa"/>
                  <w:tcBorders>
                    <w:tl2br w:val="nil"/>
                    <w:tr2bl w:val="nil"/>
                  </w:tcBorders>
                  <w:vAlign w:val="center"/>
                </w:tcPr>
                <w:p>
                  <w:pPr>
                    <w:adjustRightInd w:val="0"/>
                    <w:snapToGrid w:val="0"/>
                    <w:jc w:val="center"/>
                    <w:rPr>
                      <w:sz w:val="18"/>
                      <w:szCs w:val="18"/>
                    </w:rPr>
                  </w:pPr>
                  <w:r>
                    <w:rPr>
                      <w:sz w:val="18"/>
                      <w:szCs w:val="18"/>
                    </w:rPr>
                    <w:t>Ⅱ</w:t>
                  </w:r>
                </w:p>
              </w:tc>
              <w:tc>
                <w:tcPr>
                  <w:tcW w:w="739" w:type="dxa"/>
                  <w:tcBorders>
                    <w:tl2br w:val="nil"/>
                    <w:tr2bl w:val="nil"/>
                  </w:tcBorders>
                  <w:vAlign w:val="center"/>
                </w:tcPr>
                <w:p>
                  <w:pPr>
                    <w:adjustRightInd w:val="0"/>
                    <w:snapToGrid w:val="0"/>
                    <w:jc w:val="center"/>
                    <w:rPr>
                      <w:sz w:val="18"/>
                      <w:szCs w:val="18"/>
                    </w:rPr>
                  </w:pPr>
                  <w:r>
                    <w:rPr>
                      <w:sz w:val="18"/>
                      <w:szCs w:val="18"/>
                    </w:rPr>
                    <w:t>Ⅲ</w:t>
                  </w:r>
                </w:p>
              </w:tc>
              <w:tc>
                <w:tcPr>
                  <w:tcW w:w="1105" w:type="dxa"/>
                  <w:tcBorders>
                    <w:tl2br w:val="nil"/>
                    <w:tr2bl w:val="nil"/>
                  </w:tcBorders>
                  <w:vAlign w:val="center"/>
                </w:tcPr>
                <w:p>
                  <w:pPr>
                    <w:adjustRightInd w:val="0"/>
                    <w:snapToGrid w:val="0"/>
                    <w:jc w:val="center"/>
                    <w:rPr>
                      <w:sz w:val="18"/>
                      <w:szCs w:val="18"/>
                    </w:rPr>
                  </w:pPr>
                  <w:r>
                    <w:rPr>
                      <w:sz w:val="18"/>
                      <w:szCs w:val="18"/>
                    </w:rPr>
                    <w:t>Ⅱ</w:t>
                  </w:r>
                </w:p>
              </w:tc>
              <w:tc>
                <w:tcPr>
                  <w:tcW w:w="739" w:type="dxa"/>
                  <w:tcBorders>
                    <w:tl2br w:val="nil"/>
                    <w:tr2bl w:val="nil"/>
                  </w:tcBorders>
                  <w:vAlign w:val="center"/>
                </w:tcPr>
                <w:p>
                  <w:pPr>
                    <w:adjustRightInd w:val="0"/>
                    <w:snapToGrid w:val="0"/>
                    <w:jc w:val="center"/>
                    <w:rPr>
                      <w:sz w:val="18"/>
                      <w:szCs w:val="18"/>
                    </w:rPr>
                  </w:pPr>
                  <w:r>
                    <w:rPr>
                      <w:sz w:val="18"/>
                      <w:szCs w:val="18"/>
                    </w:rPr>
                    <w:t>↑</w:t>
                  </w:r>
                </w:p>
              </w:tc>
              <w:tc>
                <w:tcPr>
                  <w:tcW w:w="739" w:type="dxa"/>
                  <w:tcBorders>
                    <w:tl2br w:val="nil"/>
                    <w:tr2bl w:val="nil"/>
                  </w:tcBorders>
                  <w:vAlign w:val="center"/>
                </w:tcPr>
                <w:p>
                  <w:pPr>
                    <w:adjustRightInd w:val="0"/>
                    <w:snapToGrid w:val="0"/>
                    <w:jc w:val="center"/>
                    <w:rPr>
                      <w:sz w:val="18"/>
                      <w:szCs w:val="18"/>
                    </w:rPr>
                  </w:pPr>
                  <w:r>
                    <w:rPr>
                      <w:sz w:val="18"/>
                      <w:szCs w:val="18"/>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923" w:type="dxa"/>
                  <w:vMerge w:val="continue"/>
                  <w:tcBorders>
                    <w:tl2br w:val="nil"/>
                    <w:tr2bl w:val="nil"/>
                  </w:tcBorders>
                  <w:vAlign w:val="center"/>
                </w:tcPr>
                <w:p>
                  <w:pPr>
                    <w:adjustRightInd w:val="0"/>
                    <w:snapToGrid w:val="0"/>
                    <w:jc w:val="center"/>
                    <w:rPr>
                      <w:sz w:val="18"/>
                      <w:szCs w:val="18"/>
                    </w:rPr>
                  </w:pPr>
                </w:p>
              </w:tc>
              <w:tc>
                <w:tcPr>
                  <w:tcW w:w="1106" w:type="dxa"/>
                  <w:vMerge w:val="continue"/>
                  <w:tcBorders>
                    <w:tl2br w:val="nil"/>
                    <w:tr2bl w:val="nil"/>
                  </w:tcBorders>
                  <w:vAlign w:val="center"/>
                </w:tcPr>
                <w:p>
                  <w:pPr>
                    <w:adjustRightInd w:val="0"/>
                    <w:snapToGrid w:val="0"/>
                    <w:jc w:val="center"/>
                    <w:rPr>
                      <w:sz w:val="18"/>
                      <w:szCs w:val="18"/>
                    </w:rPr>
                  </w:pPr>
                </w:p>
              </w:tc>
              <w:tc>
                <w:tcPr>
                  <w:tcW w:w="1126" w:type="dxa"/>
                  <w:vMerge w:val="continue"/>
                  <w:tcBorders>
                    <w:tl2br w:val="nil"/>
                    <w:tr2bl w:val="nil"/>
                  </w:tcBorders>
                  <w:vAlign w:val="center"/>
                </w:tcPr>
                <w:p>
                  <w:pPr>
                    <w:adjustRightInd w:val="0"/>
                    <w:snapToGrid w:val="0"/>
                    <w:jc w:val="center"/>
                    <w:rPr>
                      <w:sz w:val="18"/>
                      <w:szCs w:val="18"/>
                    </w:rPr>
                  </w:pPr>
                </w:p>
              </w:tc>
              <w:tc>
                <w:tcPr>
                  <w:tcW w:w="1288" w:type="dxa"/>
                  <w:tcBorders>
                    <w:tl2br w:val="nil"/>
                    <w:tr2bl w:val="nil"/>
                  </w:tcBorders>
                  <w:vAlign w:val="center"/>
                </w:tcPr>
                <w:p>
                  <w:pPr>
                    <w:adjustRightInd w:val="0"/>
                    <w:snapToGrid w:val="0"/>
                    <w:jc w:val="center"/>
                    <w:rPr>
                      <w:sz w:val="18"/>
                      <w:szCs w:val="18"/>
                    </w:rPr>
                  </w:pPr>
                  <w:r>
                    <w:rPr>
                      <w:sz w:val="18"/>
                      <w:szCs w:val="18"/>
                    </w:rPr>
                    <w:t>一统河入口</w:t>
                  </w:r>
                </w:p>
              </w:tc>
              <w:tc>
                <w:tcPr>
                  <w:tcW w:w="739" w:type="dxa"/>
                  <w:tcBorders>
                    <w:tl2br w:val="nil"/>
                    <w:tr2bl w:val="nil"/>
                  </w:tcBorders>
                  <w:vAlign w:val="center"/>
                </w:tcPr>
                <w:p>
                  <w:pPr>
                    <w:adjustRightInd w:val="0"/>
                    <w:snapToGrid w:val="0"/>
                    <w:jc w:val="center"/>
                    <w:rPr>
                      <w:sz w:val="18"/>
                      <w:szCs w:val="18"/>
                    </w:rPr>
                  </w:pPr>
                  <w:r>
                    <w:rPr>
                      <w:sz w:val="18"/>
                      <w:szCs w:val="18"/>
                    </w:rPr>
                    <w:t>Ⅱ</w:t>
                  </w:r>
                </w:p>
              </w:tc>
              <w:tc>
                <w:tcPr>
                  <w:tcW w:w="739" w:type="dxa"/>
                  <w:tcBorders>
                    <w:tl2br w:val="nil"/>
                    <w:tr2bl w:val="nil"/>
                  </w:tcBorders>
                  <w:vAlign w:val="center"/>
                </w:tcPr>
                <w:p>
                  <w:pPr>
                    <w:adjustRightInd w:val="0"/>
                    <w:snapToGrid w:val="0"/>
                    <w:jc w:val="center"/>
                    <w:rPr>
                      <w:sz w:val="18"/>
                      <w:szCs w:val="18"/>
                    </w:rPr>
                  </w:pPr>
                  <w:r>
                    <w:rPr>
                      <w:sz w:val="18"/>
                      <w:szCs w:val="18"/>
                    </w:rPr>
                    <w:t>Ⅱ</w:t>
                  </w:r>
                </w:p>
              </w:tc>
              <w:tc>
                <w:tcPr>
                  <w:tcW w:w="1105" w:type="dxa"/>
                  <w:tcBorders>
                    <w:tl2br w:val="nil"/>
                    <w:tr2bl w:val="nil"/>
                  </w:tcBorders>
                  <w:vAlign w:val="center"/>
                </w:tcPr>
                <w:p>
                  <w:pPr>
                    <w:adjustRightInd w:val="0"/>
                    <w:snapToGrid w:val="0"/>
                    <w:jc w:val="center"/>
                    <w:rPr>
                      <w:sz w:val="18"/>
                      <w:szCs w:val="18"/>
                    </w:rPr>
                  </w:pPr>
                  <w:r>
                    <w:rPr>
                      <w:sz w:val="18"/>
                      <w:szCs w:val="18"/>
                    </w:rPr>
                    <w:t>Ⅲ</w:t>
                  </w:r>
                </w:p>
              </w:tc>
              <w:tc>
                <w:tcPr>
                  <w:tcW w:w="739" w:type="dxa"/>
                  <w:tcBorders>
                    <w:tl2br w:val="nil"/>
                    <w:tr2bl w:val="nil"/>
                  </w:tcBorders>
                  <w:vAlign w:val="center"/>
                </w:tcPr>
                <w:p>
                  <w:pPr>
                    <w:adjustRightInd w:val="0"/>
                    <w:snapToGrid w:val="0"/>
                    <w:jc w:val="center"/>
                    <w:rPr>
                      <w:sz w:val="18"/>
                      <w:szCs w:val="18"/>
                    </w:rPr>
                  </w:pPr>
                  <w:r>
                    <w:rPr>
                      <w:sz w:val="18"/>
                      <w:szCs w:val="18"/>
                    </w:rPr>
                    <w:t>→</w:t>
                  </w:r>
                </w:p>
              </w:tc>
              <w:tc>
                <w:tcPr>
                  <w:tcW w:w="739" w:type="dxa"/>
                  <w:tcBorders>
                    <w:tl2br w:val="nil"/>
                    <w:tr2bl w:val="nil"/>
                  </w:tcBorders>
                  <w:vAlign w:val="center"/>
                </w:tcPr>
                <w:p>
                  <w:pPr>
                    <w:adjustRightInd w:val="0"/>
                    <w:snapToGrid w:val="0"/>
                    <w:jc w:val="center"/>
                    <w:rPr>
                      <w:sz w:val="18"/>
                      <w:szCs w:val="18"/>
                    </w:rPr>
                  </w:pPr>
                  <w:r>
                    <w:rPr>
                      <w:sz w:val="18"/>
                      <w:szCs w:val="18"/>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923" w:type="dxa"/>
                  <w:vMerge w:val="continue"/>
                  <w:tcBorders>
                    <w:tl2br w:val="nil"/>
                    <w:tr2bl w:val="nil"/>
                  </w:tcBorders>
                  <w:vAlign w:val="center"/>
                </w:tcPr>
                <w:p>
                  <w:pPr>
                    <w:adjustRightInd w:val="0"/>
                    <w:snapToGrid w:val="0"/>
                    <w:jc w:val="center"/>
                    <w:rPr>
                      <w:sz w:val="18"/>
                      <w:szCs w:val="18"/>
                    </w:rPr>
                  </w:pPr>
                </w:p>
              </w:tc>
              <w:tc>
                <w:tcPr>
                  <w:tcW w:w="1106" w:type="dxa"/>
                  <w:vMerge w:val="continue"/>
                  <w:tcBorders>
                    <w:tl2br w:val="nil"/>
                    <w:tr2bl w:val="nil"/>
                  </w:tcBorders>
                  <w:vAlign w:val="center"/>
                </w:tcPr>
                <w:p>
                  <w:pPr>
                    <w:adjustRightInd w:val="0"/>
                    <w:snapToGrid w:val="0"/>
                    <w:jc w:val="center"/>
                    <w:rPr>
                      <w:sz w:val="18"/>
                      <w:szCs w:val="18"/>
                    </w:rPr>
                  </w:pPr>
                </w:p>
              </w:tc>
              <w:tc>
                <w:tcPr>
                  <w:tcW w:w="1126" w:type="dxa"/>
                  <w:vMerge w:val="restart"/>
                  <w:tcBorders>
                    <w:tl2br w:val="nil"/>
                    <w:tr2bl w:val="nil"/>
                  </w:tcBorders>
                  <w:vAlign w:val="center"/>
                </w:tcPr>
                <w:p>
                  <w:pPr>
                    <w:adjustRightInd w:val="0"/>
                    <w:snapToGrid w:val="0"/>
                    <w:jc w:val="center"/>
                    <w:rPr>
                      <w:sz w:val="18"/>
                      <w:szCs w:val="18"/>
                    </w:rPr>
                  </w:pPr>
                  <w:r>
                    <w:rPr>
                      <w:sz w:val="18"/>
                      <w:szCs w:val="18"/>
                    </w:rPr>
                    <w:t>2025.9</w:t>
                  </w:r>
                </w:p>
              </w:tc>
              <w:tc>
                <w:tcPr>
                  <w:tcW w:w="1288" w:type="dxa"/>
                  <w:tcBorders>
                    <w:tl2br w:val="nil"/>
                    <w:tr2bl w:val="nil"/>
                  </w:tcBorders>
                  <w:vAlign w:val="center"/>
                </w:tcPr>
                <w:p>
                  <w:pPr>
                    <w:adjustRightInd w:val="0"/>
                    <w:snapToGrid w:val="0"/>
                    <w:jc w:val="center"/>
                    <w:rPr>
                      <w:sz w:val="18"/>
                      <w:szCs w:val="18"/>
                    </w:rPr>
                  </w:pPr>
                  <w:r>
                    <w:rPr>
                      <w:sz w:val="18"/>
                      <w:szCs w:val="18"/>
                    </w:rPr>
                    <w:t>大迫子</w:t>
                  </w:r>
                </w:p>
              </w:tc>
              <w:tc>
                <w:tcPr>
                  <w:tcW w:w="739" w:type="dxa"/>
                  <w:tcBorders>
                    <w:tl2br w:val="nil"/>
                    <w:tr2bl w:val="nil"/>
                  </w:tcBorders>
                  <w:vAlign w:val="center"/>
                </w:tcPr>
                <w:p>
                  <w:pPr>
                    <w:adjustRightInd w:val="0"/>
                    <w:snapToGrid w:val="0"/>
                    <w:jc w:val="center"/>
                    <w:rPr>
                      <w:sz w:val="18"/>
                      <w:szCs w:val="18"/>
                    </w:rPr>
                  </w:pPr>
                  <w:r>
                    <w:rPr>
                      <w:sz w:val="18"/>
                      <w:szCs w:val="18"/>
                    </w:rPr>
                    <w:t>Ⅲ</w:t>
                  </w:r>
                </w:p>
              </w:tc>
              <w:tc>
                <w:tcPr>
                  <w:tcW w:w="739" w:type="dxa"/>
                  <w:tcBorders>
                    <w:tl2br w:val="nil"/>
                    <w:tr2bl w:val="nil"/>
                  </w:tcBorders>
                  <w:vAlign w:val="center"/>
                </w:tcPr>
                <w:p>
                  <w:pPr>
                    <w:adjustRightInd w:val="0"/>
                    <w:snapToGrid w:val="0"/>
                    <w:jc w:val="center"/>
                    <w:rPr>
                      <w:sz w:val="18"/>
                      <w:szCs w:val="18"/>
                    </w:rPr>
                  </w:pPr>
                  <w:r>
                    <w:rPr>
                      <w:sz w:val="18"/>
                      <w:szCs w:val="18"/>
                    </w:rPr>
                    <w:t>Ⅲ</w:t>
                  </w:r>
                </w:p>
              </w:tc>
              <w:tc>
                <w:tcPr>
                  <w:tcW w:w="1105" w:type="dxa"/>
                  <w:tcBorders>
                    <w:tl2br w:val="nil"/>
                    <w:tr2bl w:val="nil"/>
                  </w:tcBorders>
                  <w:vAlign w:val="center"/>
                </w:tcPr>
                <w:p>
                  <w:pPr>
                    <w:adjustRightInd w:val="0"/>
                    <w:snapToGrid w:val="0"/>
                    <w:jc w:val="center"/>
                    <w:rPr>
                      <w:sz w:val="18"/>
                      <w:szCs w:val="18"/>
                    </w:rPr>
                  </w:pPr>
                  <w:r>
                    <w:rPr>
                      <w:sz w:val="18"/>
                      <w:szCs w:val="18"/>
                    </w:rPr>
                    <w:t>Ⅲ</w:t>
                  </w:r>
                </w:p>
              </w:tc>
              <w:tc>
                <w:tcPr>
                  <w:tcW w:w="739" w:type="dxa"/>
                  <w:tcBorders>
                    <w:tl2br w:val="nil"/>
                    <w:tr2bl w:val="nil"/>
                  </w:tcBorders>
                  <w:vAlign w:val="center"/>
                </w:tcPr>
                <w:p>
                  <w:pPr>
                    <w:adjustRightInd w:val="0"/>
                    <w:snapToGrid w:val="0"/>
                    <w:jc w:val="center"/>
                    <w:rPr>
                      <w:sz w:val="18"/>
                      <w:szCs w:val="18"/>
                    </w:rPr>
                  </w:pPr>
                  <w:r>
                    <w:rPr>
                      <w:sz w:val="18"/>
                      <w:szCs w:val="18"/>
                    </w:rPr>
                    <w:t>→</w:t>
                  </w:r>
                </w:p>
              </w:tc>
              <w:tc>
                <w:tcPr>
                  <w:tcW w:w="739" w:type="dxa"/>
                  <w:tcBorders>
                    <w:tl2br w:val="nil"/>
                    <w:tr2bl w:val="nil"/>
                  </w:tcBorders>
                  <w:vAlign w:val="center"/>
                </w:tcPr>
                <w:p>
                  <w:pPr>
                    <w:adjustRightInd w:val="0"/>
                    <w:snapToGrid w:val="0"/>
                    <w:jc w:val="center"/>
                    <w:rPr>
                      <w:sz w:val="18"/>
                      <w:szCs w:val="18"/>
                    </w:rPr>
                  </w:pPr>
                  <w:r>
                    <w:rPr>
                      <w:sz w:val="18"/>
                      <w:szCs w:val="18"/>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923" w:type="dxa"/>
                  <w:vMerge w:val="continue"/>
                  <w:tcBorders>
                    <w:tl2br w:val="nil"/>
                    <w:tr2bl w:val="nil"/>
                  </w:tcBorders>
                  <w:vAlign w:val="center"/>
                </w:tcPr>
                <w:p>
                  <w:pPr>
                    <w:adjustRightInd w:val="0"/>
                    <w:snapToGrid w:val="0"/>
                    <w:jc w:val="center"/>
                    <w:rPr>
                      <w:sz w:val="18"/>
                      <w:szCs w:val="18"/>
                    </w:rPr>
                  </w:pPr>
                </w:p>
              </w:tc>
              <w:tc>
                <w:tcPr>
                  <w:tcW w:w="1106" w:type="dxa"/>
                  <w:vMerge w:val="continue"/>
                  <w:tcBorders>
                    <w:tl2br w:val="nil"/>
                    <w:tr2bl w:val="nil"/>
                  </w:tcBorders>
                  <w:vAlign w:val="center"/>
                </w:tcPr>
                <w:p>
                  <w:pPr>
                    <w:adjustRightInd w:val="0"/>
                    <w:snapToGrid w:val="0"/>
                    <w:jc w:val="center"/>
                    <w:rPr>
                      <w:sz w:val="18"/>
                      <w:szCs w:val="18"/>
                    </w:rPr>
                  </w:pPr>
                </w:p>
              </w:tc>
              <w:tc>
                <w:tcPr>
                  <w:tcW w:w="1126" w:type="dxa"/>
                  <w:vMerge w:val="continue"/>
                  <w:tcBorders>
                    <w:tl2br w:val="nil"/>
                    <w:tr2bl w:val="nil"/>
                  </w:tcBorders>
                  <w:vAlign w:val="center"/>
                </w:tcPr>
                <w:p>
                  <w:pPr>
                    <w:adjustRightInd w:val="0"/>
                    <w:snapToGrid w:val="0"/>
                    <w:jc w:val="center"/>
                    <w:rPr>
                      <w:sz w:val="18"/>
                      <w:szCs w:val="18"/>
                    </w:rPr>
                  </w:pPr>
                </w:p>
              </w:tc>
              <w:tc>
                <w:tcPr>
                  <w:tcW w:w="1288" w:type="dxa"/>
                  <w:tcBorders>
                    <w:tl2br w:val="nil"/>
                    <w:tr2bl w:val="nil"/>
                  </w:tcBorders>
                  <w:vAlign w:val="center"/>
                </w:tcPr>
                <w:p>
                  <w:pPr>
                    <w:adjustRightInd w:val="0"/>
                    <w:snapToGrid w:val="0"/>
                    <w:jc w:val="center"/>
                    <w:rPr>
                      <w:sz w:val="18"/>
                      <w:szCs w:val="18"/>
                    </w:rPr>
                  </w:pPr>
                  <w:r>
                    <w:rPr>
                      <w:sz w:val="18"/>
                      <w:szCs w:val="18"/>
                    </w:rPr>
                    <w:t>一统河入口</w:t>
                  </w:r>
                </w:p>
              </w:tc>
              <w:tc>
                <w:tcPr>
                  <w:tcW w:w="739" w:type="dxa"/>
                  <w:tcBorders>
                    <w:tl2br w:val="nil"/>
                    <w:tr2bl w:val="nil"/>
                  </w:tcBorders>
                  <w:vAlign w:val="center"/>
                </w:tcPr>
                <w:p>
                  <w:pPr>
                    <w:adjustRightInd w:val="0"/>
                    <w:snapToGrid w:val="0"/>
                    <w:jc w:val="center"/>
                    <w:rPr>
                      <w:sz w:val="18"/>
                      <w:szCs w:val="18"/>
                    </w:rPr>
                  </w:pPr>
                  <w:r>
                    <w:rPr>
                      <w:sz w:val="18"/>
                      <w:szCs w:val="18"/>
                    </w:rPr>
                    <w:t>Ⅱ</w:t>
                  </w:r>
                </w:p>
              </w:tc>
              <w:tc>
                <w:tcPr>
                  <w:tcW w:w="739" w:type="dxa"/>
                  <w:tcBorders>
                    <w:tl2br w:val="nil"/>
                    <w:tr2bl w:val="nil"/>
                  </w:tcBorders>
                  <w:vAlign w:val="center"/>
                </w:tcPr>
                <w:p>
                  <w:pPr>
                    <w:adjustRightInd w:val="0"/>
                    <w:snapToGrid w:val="0"/>
                    <w:jc w:val="center"/>
                    <w:rPr>
                      <w:sz w:val="18"/>
                      <w:szCs w:val="18"/>
                    </w:rPr>
                  </w:pPr>
                  <w:r>
                    <w:rPr>
                      <w:sz w:val="18"/>
                      <w:szCs w:val="18"/>
                    </w:rPr>
                    <w:t>Ⅲ</w:t>
                  </w:r>
                </w:p>
              </w:tc>
              <w:tc>
                <w:tcPr>
                  <w:tcW w:w="1105" w:type="dxa"/>
                  <w:tcBorders>
                    <w:tl2br w:val="nil"/>
                    <w:tr2bl w:val="nil"/>
                  </w:tcBorders>
                  <w:vAlign w:val="center"/>
                </w:tcPr>
                <w:p>
                  <w:pPr>
                    <w:adjustRightInd w:val="0"/>
                    <w:snapToGrid w:val="0"/>
                    <w:jc w:val="center"/>
                    <w:rPr>
                      <w:sz w:val="18"/>
                      <w:szCs w:val="18"/>
                    </w:rPr>
                  </w:pPr>
                  <w:r>
                    <w:rPr>
                      <w:sz w:val="18"/>
                      <w:szCs w:val="18"/>
                    </w:rPr>
                    <w:t>Ⅱ</w:t>
                  </w:r>
                </w:p>
              </w:tc>
              <w:tc>
                <w:tcPr>
                  <w:tcW w:w="739" w:type="dxa"/>
                  <w:tcBorders>
                    <w:tl2br w:val="nil"/>
                    <w:tr2bl w:val="nil"/>
                  </w:tcBorders>
                  <w:vAlign w:val="center"/>
                </w:tcPr>
                <w:p>
                  <w:pPr>
                    <w:adjustRightInd w:val="0"/>
                    <w:snapToGrid w:val="0"/>
                    <w:jc w:val="center"/>
                    <w:rPr>
                      <w:sz w:val="18"/>
                      <w:szCs w:val="18"/>
                    </w:rPr>
                  </w:pPr>
                  <w:r>
                    <w:rPr>
                      <w:sz w:val="18"/>
                      <w:szCs w:val="18"/>
                    </w:rPr>
                    <w:t>↑</w:t>
                  </w:r>
                </w:p>
              </w:tc>
              <w:tc>
                <w:tcPr>
                  <w:tcW w:w="739" w:type="dxa"/>
                  <w:tcBorders>
                    <w:tl2br w:val="nil"/>
                    <w:tr2bl w:val="nil"/>
                  </w:tcBorders>
                  <w:vAlign w:val="center"/>
                </w:tcPr>
                <w:p>
                  <w:pPr>
                    <w:adjustRightInd w:val="0"/>
                    <w:snapToGrid w:val="0"/>
                    <w:jc w:val="center"/>
                    <w:rPr>
                      <w:sz w:val="18"/>
                      <w:szCs w:val="18"/>
                    </w:rPr>
                  </w:pPr>
                  <w:r>
                    <w:rPr>
                      <w:sz w:val="18"/>
                      <w:szCs w:val="18"/>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923" w:type="dxa"/>
                  <w:vMerge w:val="continue"/>
                  <w:tcBorders>
                    <w:tl2br w:val="nil"/>
                    <w:tr2bl w:val="nil"/>
                  </w:tcBorders>
                  <w:vAlign w:val="center"/>
                </w:tcPr>
                <w:p>
                  <w:pPr>
                    <w:adjustRightInd w:val="0"/>
                    <w:snapToGrid w:val="0"/>
                    <w:jc w:val="center"/>
                    <w:rPr>
                      <w:sz w:val="18"/>
                      <w:szCs w:val="18"/>
                    </w:rPr>
                  </w:pPr>
                </w:p>
              </w:tc>
              <w:tc>
                <w:tcPr>
                  <w:tcW w:w="1106" w:type="dxa"/>
                  <w:vMerge w:val="continue"/>
                  <w:tcBorders>
                    <w:tl2br w:val="nil"/>
                    <w:tr2bl w:val="nil"/>
                  </w:tcBorders>
                  <w:vAlign w:val="center"/>
                </w:tcPr>
                <w:p>
                  <w:pPr>
                    <w:adjustRightInd w:val="0"/>
                    <w:snapToGrid w:val="0"/>
                    <w:jc w:val="center"/>
                    <w:rPr>
                      <w:sz w:val="18"/>
                      <w:szCs w:val="18"/>
                    </w:rPr>
                  </w:pPr>
                </w:p>
              </w:tc>
              <w:tc>
                <w:tcPr>
                  <w:tcW w:w="1126" w:type="dxa"/>
                  <w:vMerge w:val="restart"/>
                  <w:tcBorders>
                    <w:tl2br w:val="nil"/>
                    <w:tr2bl w:val="nil"/>
                  </w:tcBorders>
                  <w:vAlign w:val="center"/>
                </w:tcPr>
                <w:p>
                  <w:pPr>
                    <w:adjustRightInd w:val="0"/>
                    <w:snapToGrid w:val="0"/>
                    <w:jc w:val="center"/>
                    <w:rPr>
                      <w:sz w:val="18"/>
                      <w:szCs w:val="18"/>
                    </w:rPr>
                  </w:pPr>
                  <w:r>
                    <w:rPr>
                      <w:sz w:val="18"/>
                      <w:szCs w:val="18"/>
                    </w:rPr>
                    <w:t>2025.8</w:t>
                  </w:r>
                </w:p>
              </w:tc>
              <w:tc>
                <w:tcPr>
                  <w:tcW w:w="1288" w:type="dxa"/>
                  <w:tcBorders>
                    <w:tl2br w:val="nil"/>
                    <w:tr2bl w:val="nil"/>
                  </w:tcBorders>
                  <w:vAlign w:val="center"/>
                </w:tcPr>
                <w:p>
                  <w:pPr>
                    <w:adjustRightInd w:val="0"/>
                    <w:snapToGrid w:val="0"/>
                    <w:jc w:val="center"/>
                    <w:rPr>
                      <w:sz w:val="18"/>
                      <w:szCs w:val="18"/>
                    </w:rPr>
                  </w:pPr>
                  <w:r>
                    <w:rPr>
                      <w:sz w:val="18"/>
                      <w:szCs w:val="18"/>
                    </w:rPr>
                    <w:t>大迫子</w:t>
                  </w:r>
                </w:p>
              </w:tc>
              <w:tc>
                <w:tcPr>
                  <w:tcW w:w="739" w:type="dxa"/>
                  <w:tcBorders>
                    <w:tl2br w:val="nil"/>
                    <w:tr2bl w:val="nil"/>
                  </w:tcBorders>
                  <w:vAlign w:val="center"/>
                </w:tcPr>
                <w:p>
                  <w:pPr>
                    <w:adjustRightInd w:val="0"/>
                    <w:snapToGrid w:val="0"/>
                    <w:jc w:val="center"/>
                    <w:rPr>
                      <w:sz w:val="18"/>
                      <w:szCs w:val="18"/>
                    </w:rPr>
                  </w:pPr>
                  <w:r>
                    <w:rPr>
                      <w:sz w:val="18"/>
                      <w:szCs w:val="18"/>
                    </w:rPr>
                    <w:t>Ⅲ</w:t>
                  </w:r>
                </w:p>
              </w:tc>
              <w:tc>
                <w:tcPr>
                  <w:tcW w:w="739" w:type="dxa"/>
                  <w:tcBorders>
                    <w:tl2br w:val="nil"/>
                    <w:tr2bl w:val="nil"/>
                  </w:tcBorders>
                  <w:vAlign w:val="center"/>
                </w:tcPr>
                <w:p>
                  <w:pPr>
                    <w:adjustRightInd w:val="0"/>
                    <w:snapToGrid w:val="0"/>
                    <w:jc w:val="center"/>
                    <w:rPr>
                      <w:sz w:val="18"/>
                      <w:szCs w:val="18"/>
                    </w:rPr>
                  </w:pPr>
                  <w:r>
                    <w:rPr>
                      <w:sz w:val="18"/>
                      <w:szCs w:val="18"/>
                    </w:rPr>
                    <w:t>Ⅲ</w:t>
                  </w:r>
                </w:p>
              </w:tc>
              <w:tc>
                <w:tcPr>
                  <w:tcW w:w="1105" w:type="dxa"/>
                  <w:tcBorders>
                    <w:tl2br w:val="nil"/>
                    <w:tr2bl w:val="nil"/>
                  </w:tcBorders>
                  <w:vAlign w:val="center"/>
                </w:tcPr>
                <w:p>
                  <w:pPr>
                    <w:adjustRightInd w:val="0"/>
                    <w:snapToGrid w:val="0"/>
                    <w:jc w:val="center"/>
                    <w:rPr>
                      <w:sz w:val="18"/>
                      <w:szCs w:val="18"/>
                    </w:rPr>
                  </w:pPr>
                  <w:r>
                    <w:rPr>
                      <w:sz w:val="18"/>
                      <w:szCs w:val="18"/>
                    </w:rPr>
                    <w:t>Ⅲ</w:t>
                  </w:r>
                </w:p>
              </w:tc>
              <w:tc>
                <w:tcPr>
                  <w:tcW w:w="739" w:type="dxa"/>
                  <w:tcBorders>
                    <w:tl2br w:val="nil"/>
                    <w:tr2bl w:val="nil"/>
                  </w:tcBorders>
                  <w:vAlign w:val="center"/>
                </w:tcPr>
                <w:p>
                  <w:pPr>
                    <w:adjustRightInd w:val="0"/>
                    <w:snapToGrid w:val="0"/>
                    <w:jc w:val="center"/>
                    <w:rPr>
                      <w:sz w:val="18"/>
                      <w:szCs w:val="18"/>
                    </w:rPr>
                  </w:pPr>
                  <w:r>
                    <w:rPr>
                      <w:sz w:val="18"/>
                      <w:szCs w:val="18"/>
                    </w:rPr>
                    <w:t>→</w:t>
                  </w:r>
                </w:p>
              </w:tc>
              <w:tc>
                <w:tcPr>
                  <w:tcW w:w="739" w:type="dxa"/>
                  <w:tcBorders>
                    <w:tl2br w:val="nil"/>
                    <w:tr2bl w:val="nil"/>
                  </w:tcBorders>
                  <w:vAlign w:val="center"/>
                </w:tcPr>
                <w:p>
                  <w:pPr>
                    <w:adjustRightInd w:val="0"/>
                    <w:snapToGrid w:val="0"/>
                    <w:jc w:val="center"/>
                    <w:rPr>
                      <w:sz w:val="18"/>
                      <w:szCs w:val="18"/>
                    </w:rPr>
                  </w:pPr>
                  <w:r>
                    <w:rPr>
                      <w:sz w:val="18"/>
                      <w:szCs w:val="18"/>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923" w:type="dxa"/>
                  <w:vMerge w:val="continue"/>
                  <w:tcBorders>
                    <w:tl2br w:val="nil"/>
                    <w:tr2bl w:val="nil"/>
                  </w:tcBorders>
                  <w:vAlign w:val="center"/>
                </w:tcPr>
                <w:p>
                  <w:pPr>
                    <w:adjustRightInd w:val="0"/>
                    <w:snapToGrid w:val="0"/>
                    <w:jc w:val="center"/>
                    <w:rPr>
                      <w:sz w:val="18"/>
                      <w:szCs w:val="18"/>
                    </w:rPr>
                  </w:pPr>
                </w:p>
              </w:tc>
              <w:tc>
                <w:tcPr>
                  <w:tcW w:w="1106" w:type="dxa"/>
                  <w:vMerge w:val="continue"/>
                  <w:tcBorders>
                    <w:tl2br w:val="nil"/>
                    <w:tr2bl w:val="nil"/>
                  </w:tcBorders>
                  <w:vAlign w:val="center"/>
                </w:tcPr>
                <w:p>
                  <w:pPr>
                    <w:adjustRightInd w:val="0"/>
                    <w:snapToGrid w:val="0"/>
                    <w:jc w:val="center"/>
                    <w:rPr>
                      <w:sz w:val="18"/>
                      <w:szCs w:val="18"/>
                    </w:rPr>
                  </w:pPr>
                </w:p>
              </w:tc>
              <w:tc>
                <w:tcPr>
                  <w:tcW w:w="1126" w:type="dxa"/>
                  <w:vMerge w:val="continue"/>
                  <w:tcBorders>
                    <w:tl2br w:val="nil"/>
                    <w:tr2bl w:val="nil"/>
                  </w:tcBorders>
                  <w:vAlign w:val="center"/>
                </w:tcPr>
                <w:p>
                  <w:pPr>
                    <w:adjustRightInd w:val="0"/>
                    <w:snapToGrid w:val="0"/>
                    <w:jc w:val="center"/>
                    <w:rPr>
                      <w:sz w:val="18"/>
                      <w:szCs w:val="18"/>
                    </w:rPr>
                  </w:pPr>
                </w:p>
              </w:tc>
              <w:tc>
                <w:tcPr>
                  <w:tcW w:w="1288" w:type="dxa"/>
                  <w:tcBorders>
                    <w:tl2br w:val="nil"/>
                    <w:tr2bl w:val="nil"/>
                  </w:tcBorders>
                  <w:vAlign w:val="center"/>
                </w:tcPr>
                <w:p>
                  <w:pPr>
                    <w:adjustRightInd w:val="0"/>
                    <w:snapToGrid w:val="0"/>
                    <w:jc w:val="center"/>
                    <w:rPr>
                      <w:sz w:val="18"/>
                      <w:szCs w:val="18"/>
                    </w:rPr>
                  </w:pPr>
                  <w:r>
                    <w:rPr>
                      <w:sz w:val="18"/>
                      <w:szCs w:val="18"/>
                    </w:rPr>
                    <w:t>一统河入口</w:t>
                  </w:r>
                </w:p>
              </w:tc>
              <w:tc>
                <w:tcPr>
                  <w:tcW w:w="739" w:type="dxa"/>
                  <w:tcBorders>
                    <w:tl2br w:val="nil"/>
                    <w:tr2bl w:val="nil"/>
                  </w:tcBorders>
                  <w:vAlign w:val="center"/>
                </w:tcPr>
                <w:p>
                  <w:pPr>
                    <w:adjustRightInd w:val="0"/>
                    <w:snapToGrid w:val="0"/>
                    <w:jc w:val="center"/>
                    <w:rPr>
                      <w:sz w:val="18"/>
                      <w:szCs w:val="18"/>
                    </w:rPr>
                  </w:pPr>
                  <w:r>
                    <w:rPr>
                      <w:sz w:val="18"/>
                      <w:szCs w:val="18"/>
                    </w:rPr>
                    <w:t>Ⅲ</w:t>
                  </w:r>
                </w:p>
              </w:tc>
              <w:tc>
                <w:tcPr>
                  <w:tcW w:w="739" w:type="dxa"/>
                  <w:tcBorders>
                    <w:tl2br w:val="nil"/>
                    <w:tr2bl w:val="nil"/>
                  </w:tcBorders>
                  <w:vAlign w:val="center"/>
                </w:tcPr>
                <w:p>
                  <w:pPr>
                    <w:adjustRightInd w:val="0"/>
                    <w:snapToGrid w:val="0"/>
                    <w:jc w:val="center"/>
                    <w:rPr>
                      <w:sz w:val="18"/>
                      <w:szCs w:val="18"/>
                    </w:rPr>
                  </w:pPr>
                  <w:r>
                    <w:rPr>
                      <w:sz w:val="18"/>
                      <w:szCs w:val="18"/>
                    </w:rPr>
                    <w:t>Ⅲ</w:t>
                  </w:r>
                </w:p>
              </w:tc>
              <w:tc>
                <w:tcPr>
                  <w:tcW w:w="1105" w:type="dxa"/>
                  <w:tcBorders>
                    <w:tl2br w:val="nil"/>
                    <w:tr2bl w:val="nil"/>
                  </w:tcBorders>
                  <w:vAlign w:val="center"/>
                </w:tcPr>
                <w:p>
                  <w:pPr>
                    <w:adjustRightInd w:val="0"/>
                    <w:snapToGrid w:val="0"/>
                    <w:jc w:val="center"/>
                    <w:rPr>
                      <w:sz w:val="18"/>
                      <w:szCs w:val="18"/>
                    </w:rPr>
                  </w:pPr>
                  <w:r>
                    <w:rPr>
                      <w:sz w:val="18"/>
                      <w:szCs w:val="18"/>
                    </w:rPr>
                    <w:t>Ⅱ</w:t>
                  </w:r>
                </w:p>
              </w:tc>
              <w:tc>
                <w:tcPr>
                  <w:tcW w:w="739" w:type="dxa"/>
                  <w:tcBorders>
                    <w:tl2br w:val="nil"/>
                    <w:tr2bl w:val="nil"/>
                  </w:tcBorders>
                  <w:vAlign w:val="center"/>
                </w:tcPr>
                <w:p>
                  <w:pPr>
                    <w:adjustRightInd w:val="0"/>
                    <w:snapToGrid w:val="0"/>
                    <w:jc w:val="center"/>
                    <w:rPr>
                      <w:sz w:val="18"/>
                      <w:szCs w:val="18"/>
                    </w:rPr>
                  </w:pPr>
                  <w:r>
                    <w:rPr>
                      <w:sz w:val="18"/>
                      <w:szCs w:val="18"/>
                    </w:rPr>
                    <w:t>→</w:t>
                  </w:r>
                </w:p>
              </w:tc>
              <w:tc>
                <w:tcPr>
                  <w:tcW w:w="739" w:type="dxa"/>
                  <w:tcBorders>
                    <w:tl2br w:val="nil"/>
                    <w:tr2bl w:val="nil"/>
                  </w:tcBorders>
                  <w:vAlign w:val="center"/>
                </w:tcPr>
                <w:p>
                  <w:pPr>
                    <w:adjustRightInd w:val="0"/>
                    <w:snapToGrid w:val="0"/>
                    <w:jc w:val="center"/>
                    <w:rPr>
                      <w:sz w:val="18"/>
                      <w:szCs w:val="18"/>
                    </w:rPr>
                  </w:pPr>
                  <w:r>
                    <w:rPr>
                      <w:sz w:val="18"/>
                      <w:szCs w:val="18"/>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923" w:type="dxa"/>
                  <w:vMerge w:val="continue"/>
                  <w:tcBorders>
                    <w:tl2br w:val="nil"/>
                    <w:tr2bl w:val="nil"/>
                  </w:tcBorders>
                  <w:vAlign w:val="center"/>
                </w:tcPr>
                <w:p>
                  <w:pPr>
                    <w:adjustRightInd w:val="0"/>
                    <w:snapToGrid w:val="0"/>
                    <w:jc w:val="center"/>
                    <w:rPr>
                      <w:sz w:val="18"/>
                      <w:szCs w:val="18"/>
                    </w:rPr>
                  </w:pPr>
                </w:p>
              </w:tc>
              <w:tc>
                <w:tcPr>
                  <w:tcW w:w="1106" w:type="dxa"/>
                  <w:vMerge w:val="continue"/>
                  <w:tcBorders>
                    <w:tl2br w:val="nil"/>
                    <w:tr2bl w:val="nil"/>
                  </w:tcBorders>
                  <w:vAlign w:val="center"/>
                </w:tcPr>
                <w:p>
                  <w:pPr>
                    <w:adjustRightInd w:val="0"/>
                    <w:snapToGrid w:val="0"/>
                    <w:jc w:val="center"/>
                    <w:rPr>
                      <w:sz w:val="18"/>
                      <w:szCs w:val="18"/>
                    </w:rPr>
                  </w:pPr>
                </w:p>
              </w:tc>
              <w:tc>
                <w:tcPr>
                  <w:tcW w:w="1126" w:type="dxa"/>
                  <w:vMerge w:val="restart"/>
                  <w:tcBorders>
                    <w:tl2br w:val="nil"/>
                    <w:tr2bl w:val="nil"/>
                  </w:tcBorders>
                  <w:vAlign w:val="center"/>
                </w:tcPr>
                <w:p>
                  <w:pPr>
                    <w:adjustRightInd w:val="0"/>
                    <w:snapToGrid w:val="0"/>
                    <w:jc w:val="center"/>
                    <w:rPr>
                      <w:sz w:val="18"/>
                      <w:szCs w:val="18"/>
                    </w:rPr>
                  </w:pPr>
                  <w:r>
                    <w:rPr>
                      <w:sz w:val="18"/>
                      <w:szCs w:val="18"/>
                    </w:rPr>
                    <w:t>2025.7</w:t>
                  </w:r>
                </w:p>
              </w:tc>
              <w:tc>
                <w:tcPr>
                  <w:tcW w:w="1288" w:type="dxa"/>
                  <w:tcBorders>
                    <w:tl2br w:val="nil"/>
                    <w:tr2bl w:val="nil"/>
                  </w:tcBorders>
                  <w:vAlign w:val="center"/>
                </w:tcPr>
                <w:p>
                  <w:pPr>
                    <w:adjustRightInd w:val="0"/>
                    <w:snapToGrid w:val="0"/>
                    <w:jc w:val="center"/>
                    <w:rPr>
                      <w:sz w:val="18"/>
                      <w:szCs w:val="18"/>
                    </w:rPr>
                  </w:pPr>
                  <w:r>
                    <w:rPr>
                      <w:sz w:val="18"/>
                      <w:szCs w:val="18"/>
                    </w:rPr>
                    <w:t>大迫子</w:t>
                  </w:r>
                </w:p>
              </w:tc>
              <w:tc>
                <w:tcPr>
                  <w:tcW w:w="739" w:type="dxa"/>
                  <w:tcBorders>
                    <w:tl2br w:val="nil"/>
                    <w:tr2bl w:val="nil"/>
                  </w:tcBorders>
                  <w:vAlign w:val="center"/>
                </w:tcPr>
                <w:p>
                  <w:pPr>
                    <w:adjustRightInd w:val="0"/>
                    <w:snapToGrid w:val="0"/>
                    <w:jc w:val="center"/>
                    <w:rPr>
                      <w:sz w:val="18"/>
                      <w:szCs w:val="18"/>
                    </w:rPr>
                  </w:pPr>
                  <w:r>
                    <w:rPr>
                      <w:sz w:val="18"/>
                      <w:szCs w:val="18"/>
                    </w:rPr>
                    <w:t>Ⅲ</w:t>
                  </w:r>
                </w:p>
              </w:tc>
              <w:tc>
                <w:tcPr>
                  <w:tcW w:w="739" w:type="dxa"/>
                  <w:tcBorders>
                    <w:tl2br w:val="nil"/>
                    <w:tr2bl w:val="nil"/>
                  </w:tcBorders>
                  <w:vAlign w:val="center"/>
                </w:tcPr>
                <w:p>
                  <w:pPr>
                    <w:adjustRightInd w:val="0"/>
                    <w:snapToGrid w:val="0"/>
                    <w:jc w:val="center"/>
                    <w:rPr>
                      <w:sz w:val="18"/>
                      <w:szCs w:val="18"/>
                    </w:rPr>
                  </w:pPr>
                  <w:r>
                    <w:rPr>
                      <w:sz w:val="18"/>
                      <w:szCs w:val="18"/>
                    </w:rPr>
                    <w:t>Ⅱ</w:t>
                  </w:r>
                </w:p>
              </w:tc>
              <w:tc>
                <w:tcPr>
                  <w:tcW w:w="1105" w:type="dxa"/>
                  <w:tcBorders>
                    <w:tl2br w:val="nil"/>
                    <w:tr2bl w:val="nil"/>
                  </w:tcBorders>
                  <w:vAlign w:val="center"/>
                </w:tcPr>
                <w:p>
                  <w:pPr>
                    <w:adjustRightInd w:val="0"/>
                    <w:snapToGrid w:val="0"/>
                    <w:jc w:val="center"/>
                    <w:rPr>
                      <w:sz w:val="18"/>
                      <w:szCs w:val="18"/>
                    </w:rPr>
                  </w:pPr>
                  <w:r>
                    <w:rPr>
                      <w:sz w:val="18"/>
                      <w:szCs w:val="18"/>
                    </w:rPr>
                    <w:t>Ⅲ</w:t>
                  </w:r>
                </w:p>
              </w:tc>
              <w:tc>
                <w:tcPr>
                  <w:tcW w:w="739" w:type="dxa"/>
                  <w:tcBorders>
                    <w:tl2br w:val="nil"/>
                    <w:tr2bl w:val="nil"/>
                  </w:tcBorders>
                  <w:vAlign w:val="center"/>
                </w:tcPr>
                <w:p>
                  <w:pPr>
                    <w:adjustRightInd w:val="0"/>
                    <w:snapToGrid w:val="0"/>
                    <w:jc w:val="center"/>
                    <w:rPr>
                      <w:sz w:val="18"/>
                      <w:szCs w:val="18"/>
                    </w:rPr>
                  </w:pPr>
                  <w:r>
                    <w:rPr>
                      <w:sz w:val="18"/>
                      <w:szCs w:val="18"/>
                    </w:rPr>
                    <w:t>↓</w:t>
                  </w:r>
                </w:p>
              </w:tc>
              <w:tc>
                <w:tcPr>
                  <w:tcW w:w="739" w:type="dxa"/>
                  <w:tcBorders>
                    <w:tl2br w:val="nil"/>
                    <w:tr2bl w:val="nil"/>
                  </w:tcBorders>
                  <w:vAlign w:val="center"/>
                </w:tcPr>
                <w:p>
                  <w:pPr>
                    <w:adjustRightInd w:val="0"/>
                    <w:snapToGrid w:val="0"/>
                    <w:jc w:val="center"/>
                    <w:rPr>
                      <w:sz w:val="18"/>
                      <w:szCs w:val="18"/>
                    </w:rPr>
                  </w:pPr>
                  <w:r>
                    <w:rPr>
                      <w:sz w:val="18"/>
                      <w:szCs w:val="18"/>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923" w:type="dxa"/>
                  <w:vMerge w:val="continue"/>
                  <w:tcBorders>
                    <w:tl2br w:val="nil"/>
                    <w:tr2bl w:val="nil"/>
                  </w:tcBorders>
                  <w:vAlign w:val="center"/>
                </w:tcPr>
                <w:p>
                  <w:pPr>
                    <w:adjustRightInd w:val="0"/>
                    <w:snapToGrid w:val="0"/>
                    <w:jc w:val="center"/>
                    <w:rPr>
                      <w:sz w:val="18"/>
                      <w:szCs w:val="18"/>
                    </w:rPr>
                  </w:pPr>
                </w:p>
              </w:tc>
              <w:tc>
                <w:tcPr>
                  <w:tcW w:w="1106" w:type="dxa"/>
                  <w:vMerge w:val="continue"/>
                  <w:tcBorders>
                    <w:tl2br w:val="nil"/>
                    <w:tr2bl w:val="nil"/>
                  </w:tcBorders>
                  <w:vAlign w:val="center"/>
                </w:tcPr>
                <w:p>
                  <w:pPr>
                    <w:adjustRightInd w:val="0"/>
                    <w:snapToGrid w:val="0"/>
                    <w:jc w:val="center"/>
                    <w:rPr>
                      <w:sz w:val="18"/>
                      <w:szCs w:val="18"/>
                    </w:rPr>
                  </w:pPr>
                </w:p>
              </w:tc>
              <w:tc>
                <w:tcPr>
                  <w:tcW w:w="1126" w:type="dxa"/>
                  <w:vMerge w:val="continue"/>
                  <w:tcBorders>
                    <w:tl2br w:val="nil"/>
                    <w:tr2bl w:val="nil"/>
                  </w:tcBorders>
                  <w:vAlign w:val="center"/>
                </w:tcPr>
                <w:p>
                  <w:pPr>
                    <w:adjustRightInd w:val="0"/>
                    <w:snapToGrid w:val="0"/>
                    <w:jc w:val="center"/>
                    <w:rPr>
                      <w:sz w:val="18"/>
                      <w:szCs w:val="18"/>
                    </w:rPr>
                  </w:pPr>
                </w:p>
              </w:tc>
              <w:tc>
                <w:tcPr>
                  <w:tcW w:w="1288" w:type="dxa"/>
                  <w:tcBorders>
                    <w:tl2br w:val="nil"/>
                    <w:tr2bl w:val="nil"/>
                  </w:tcBorders>
                  <w:vAlign w:val="center"/>
                </w:tcPr>
                <w:p>
                  <w:pPr>
                    <w:adjustRightInd w:val="0"/>
                    <w:snapToGrid w:val="0"/>
                    <w:jc w:val="center"/>
                    <w:rPr>
                      <w:sz w:val="18"/>
                      <w:szCs w:val="18"/>
                    </w:rPr>
                  </w:pPr>
                  <w:r>
                    <w:rPr>
                      <w:sz w:val="18"/>
                      <w:szCs w:val="18"/>
                    </w:rPr>
                    <w:t>一统河入口</w:t>
                  </w:r>
                </w:p>
              </w:tc>
              <w:tc>
                <w:tcPr>
                  <w:tcW w:w="739" w:type="dxa"/>
                  <w:tcBorders>
                    <w:tl2br w:val="nil"/>
                    <w:tr2bl w:val="nil"/>
                  </w:tcBorders>
                  <w:vAlign w:val="center"/>
                </w:tcPr>
                <w:p>
                  <w:pPr>
                    <w:adjustRightInd w:val="0"/>
                    <w:snapToGrid w:val="0"/>
                    <w:jc w:val="center"/>
                    <w:rPr>
                      <w:sz w:val="18"/>
                      <w:szCs w:val="18"/>
                    </w:rPr>
                  </w:pPr>
                  <w:r>
                    <w:rPr>
                      <w:sz w:val="18"/>
                      <w:szCs w:val="18"/>
                    </w:rPr>
                    <w:t>Ⅲ</w:t>
                  </w:r>
                </w:p>
              </w:tc>
              <w:tc>
                <w:tcPr>
                  <w:tcW w:w="739" w:type="dxa"/>
                  <w:tcBorders>
                    <w:tl2br w:val="nil"/>
                    <w:tr2bl w:val="nil"/>
                  </w:tcBorders>
                  <w:vAlign w:val="center"/>
                </w:tcPr>
                <w:p>
                  <w:pPr>
                    <w:adjustRightInd w:val="0"/>
                    <w:snapToGrid w:val="0"/>
                    <w:jc w:val="center"/>
                    <w:rPr>
                      <w:sz w:val="18"/>
                      <w:szCs w:val="18"/>
                    </w:rPr>
                  </w:pPr>
                  <w:r>
                    <w:rPr>
                      <w:sz w:val="18"/>
                      <w:szCs w:val="18"/>
                    </w:rPr>
                    <w:t>Ⅲ</w:t>
                  </w:r>
                </w:p>
              </w:tc>
              <w:tc>
                <w:tcPr>
                  <w:tcW w:w="1105" w:type="dxa"/>
                  <w:tcBorders>
                    <w:tl2br w:val="nil"/>
                    <w:tr2bl w:val="nil"/>
                  </w:tcBorders>
                  <w:vAlign w:val="center"/>
                </w:tcPr>
                <w:p>
                  <w:pPr>
                    <w:adjustRightInd w:val="0"/>
                    <w:snapToGrid w:val="0"/>
                    <w:jc w:val="center"/>
                    <w:rPr>
                      <w:sz w:val="18"/>
                      <w:szCs w:val="18"/>
                    </w:rPr>
                  </w:pPr>
                  <w:r>
                    <w:rPr>
                      <w:sz w:val="18"/>
                      <w:szCs w:val="18"/>
                    </w:rPr>
                    <w:t>Ⅲ</w:t>
                  </w:r>
                </w:p>
              </w:tc>
              <w:tc>
                <w:tcPr>
                  <w:tcW w:w="739" w:type="dxa"/>
                  <w:tcBorders>
                    <w:tl2br w:val="nil"/>
                    <w:tr2bl w:val="nil"/>
                  </w:tcBorders>
                  <w:vAlign w:val="center"/>
                </w:tcPr>
                <w:p>
                  <w:pPr>
                    <w:adjustRightInd w:val="0"/>
                    <w:snapToGrid w:val="0"/>
                    <w:jc w:val="center"/>
                    <w:rPr>
                      <w:sz w:val="18"/>
                      <w:szCs w:val="18"/>
                    </w:rPr>
                  </w:pPr>
                  <w:r>
                    <w:rPr>
                      <w:sz w:val="18"/>
                      <w:szCs w:val="18"/>
                    </w:rPr>
                    <w:t>→</w:t>
                  </w:r>
                </w:p>
              </w:tc>
              <w:tc>
                <w:tcPr>
                  <w:tcW w:w="739" w:type="dxa"/>
                  <w:tcBorders>
                    <w:tl2br w:val="nil"/>
                    <w:tr2bl w:val="nil"/>
                  </w:tcBorders>
                  <w:vAlign w:val="center"/>
                </w:tcPr>
                <w:p>
                  <w:pPr>
                    <w:adjustRightInd w:val="0"/>
                    <w:snapToGrid w:val="0"/>
                    <w:jc w:val="center"/>
                    <w:rPr>
                      <w:sz w:val="18"/>
                      <w:szCs w:val="18"/>
                    </w:rPr>
                  </w:pPr>
                  <w:r>
                    <w:rPr>
                      <w:sz w:val="18"/>
                      <w:szCs w:val="18"/>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923" w:type="dxa"/>
                  <w:vMerge w:val="continue"/>
                  <w:tcBorders>
                    <w:tl2br w:val="nil"/>
                    <w:tr2bl w:val="nil"/>
                  </w:tcBorders>
                  <w:vAlign w:val="center"/>
                </w:tcPr>
                <w:p>
                  <w:pPr>
                    <w:adjustRightInd w:val="0"/>
                    <w:snapToGrid w:val="0"/>
                    <w:jc w:val="center"/>
                    <w:rPr>
                      <w:sz w:val="18"/>
                      <w:szCs w:val="18"/>
                    </w:rPr>
                  </w:pPr>
                </w:p>
              </w:tc>
              <w:tc>
                <w:tcPr>
                  <w:tcW w:w="1106" w:type="dxa"/>
                  <w:vMerge w:val="continue"/>
                  <w:tcBorders>
                    <w:tl2br w:val="nil"/>
                    <w:tr2bl w:val="nil"/>
                  </w:tcBorders>
                  <w:vAlign w:val="center"/>
                </w:tcPr>
                <w:p>
                  <w:pPr>
                    <w:adjustRightInd w:val="0"/>
                    <w:snapToGrid w:val="0"/>
                    <w:jc w:val="center"/>
                    <w:rPr>
                      <w:sz w:val="18"/>
                      <w:szCs w:val="18"/>
                    </w:rPr>
                  </w:pPr>
                </w:p>
              </w:tc>
              <w:tc>
                <w:tcPr>
                  <w:tcW w:w="1126" w:type="dxa"/>
                  <w:vMerge w:val="restart"/>
                  <w:tcBorders>
                    <w:tl2br w:val="nil"/>
                    <w:tr2bl w:val="nil"/>
                  </w:tcBorders>
                  <w:vAlign w:val="center"/>
                </w:tcPr>
                <w:p>
                  <w:pPr>
                    <w:adjustRightInd w:val="0"/>
                    <w:snapToGrid w:val="0"/>
                    <w:jc w:val="center"/>
                    <w:rPr>
                      <w:sz w:val="18"/>
                      <w:szCs w:val="18"/>
                    </w:rPr>
                  </w:pPr>
                  <w:r>
                    <w:rPr>
                      <w:sz w:val="18"/>
                      <w:szCs w:val="18"/>
                    </w:rPr>
                    <w:t>2025.6</w:t>
                  </w:r>
                </w:p>
              </w:tc>
              <w:tc>
                <w:tcPr>
                  <w:tcW w:w="1288" w:type="dxa"/>
                  <w:tcBorders>
                    <w:tl2br w:val="nil"/>
                    <w:tr2bl w:val="nil"/>
                  </w:tcBorders>
                  <w:vAlign w:val="center"/>
                </w:tcPr>
                <w:p>
                  <w:pPr>
                    <w:adjustRightInd w:val="0"/>
                    <w:snapToGrid w:val="0"/>
                    <w:jc w:val="center"/>
                    <w:rPr>
                      <w:sz w:val="18"/>
                      <w:szCs w:val="18"/>
                    </w:rPr>
                  </w:pPr>
                  <w:r>
                    <w:rPr>
                      <w:sz w:val="18"/>
                      <w:szCs w:val="18"/>
                    </w:rPr>
                    <w:t>大迫子</w:t>
                  </w:r>
                </w:p>
              </w:tc>
              <w:tc>
                <w:tcPr>
                  <w:tcW w:w="739" w:type="dxa"/>
                  <w:tcBorders>
                    <w:tl2br w:val="nil"/>
                    <w:tr2bl w:val="nil"/>
                  </w:tcBorders>
                  <w:vAlign w:val="center"/>
                </w:tcPr>
                <w:p>
                  <w:pPr>
                    <w:adjustRightInd w:val="0"/>
                    <w:snapToGrid w:val="0"/>
                    <w:jc w:val="center"/>
                    <w:rPr>
                      <w:sz w:val="18"/>
                      <w:szCs w:val="18"/>
                    </w:rPr>
                  </w:pPr>
                  <w:r>
                    <w:rPr>
                      <w:sz w:val="18"/>
                      <w:szCs w:val="18"/>
                    </w:rPr>
                    <w:t>Ⅱ</w:t>
                  </w:r>
                </w:p>
              </w:tc>
              <w:tc>
                <w:tcPr>
                  <w:tcW w:w="739" w:type="dxa"/>
                  <w:tcBorders>
                    <w:tl2br w:val="nil"/>
                    <w:tr2bl w:val="nil"/>
                  </w:tcBorders>
                  <w:vAlign w:val="center"/>
                </w:tcPr>
                <w:p>
                  <w:pPr>
                    <w:adjustRightInd w:val="0"/>
                    <w:snapToGrid w:val="0"/>
                    <w:jc w:val="center"/>
                    <w:rPr>
                      <w:sz w:val="18"/>
                      <w:szCs w:val="18"/>
                    </w:rPr>
                  </w:pPr>
                  <w:r>
                    <w:rPr>
                      <w:sz w:val="18"/>
                      <w:szCs w:val="18"/>
                    </w:rPr>
                    <w:t>Ⅱ</w:t>
                  </w:r>
                </w:p>
              </w:tc>
              <w:tc>
                <w:tcPr>
                  <w:tcW w:w="1105" w:type="dxa"/>
                  <w:tcBorders>
                    <w:tl2br w:val="nil"/>
                    <w:tr2bl w:val="nil"/>
                  </w:tcBorders>
                  <w:vAlign w:val="center"/>
                </w:tcPr>
                <w:p>
                  <w:pPr>
                    <w:adjustRightInd w:val="0"/>
                    <w:snapToGrid w:val="0"/>
                    <w:jc w:val="center"/>
                    <w:rPr>
                      <w:sz w:val="18"/>
                      <w:szCs w:val="18"/>
                    </w:rPr>
                  </w:pPr>
                  <w:r>
                    <w:rPr>
                      <w:sz w:val="18"/>
                      <w:szCs w:val="18"/>
                    </w:rPr>
                    <w:t>Ⅲ</w:t>
                  </w:r>
                </w:p>
              </w:tc>
              <w:tc>
                <w:tcPr>
                  <w:tcW w:w="739" w:type="dxa"/>
                  <w:tcBorders>
                    <w:tl2br w:val="nil"/>
                    <w:tr2bl w:val="nil"/>
                  </w:tcBorders>
                  <w:vAlign w:val="center"/>
                </w:tcPr>
                <w:p>
                  <w:pPr>
                    <w:adjustRightInd w:val="0"/>
                    <w:snapToGrid w:val="0"/>
                    <w:jc w:val="center"/>
                    <w:rPr>
                      <w:sz w:val="18"/>
                      <w:szCs w:val="18"/>
                    </w:rPr>
                  </w:pPr>
                  <w:r>
                    <w:rPr>
                      <w:sz w:val="18"/>
                      <w:szCs w:val="18"/>
                    </w:rPr>
                    <w:t>→</w:t>
                  </w:r>
                </w:p>
              </w:tc>
              <w:tc>
                <w:tcPr>
                  <w:tcW w:w="739" w:type="dxa"/>
                  <w:tcBorders>
                    <w:tl2br w:val="nil"/>
                    <w:tr2bl w:val="nil"/>
                  </w:tcBorders>
                  <w:vAlign w:val="center"/>
                </w:tcPr>
                <w:p>
                  <w:pPr>
                    <w:adjustRightInd w:val="0"/>
                    <w:snapToGrid w:val="0"/>
                    <w:jc w:val="center"/>
                    <w:rPr>
                      <w:sz w:val="18"/>
                      <w:szCs w:val="18"/>
                    </w:rPr>
                  </w:pPr>
                  <w:r>
                    <w:rPr>
                      <w:sz w:val="18"/>
                      <w:szCs w:val="18"/>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923" w:type="dxa"/>
                  <w:vMerge w:val="continue"/>
                  <w:tcBorders>
                    <w:tl2br w:val="nil"/>
                    <w:tr2bl w:val="nil"/>
                  </w:tcBorders>
                  <w:vAlign w:val="center"/>
                </w:tcPr>
                <w:p>
                  <w:pPr>
                    <w:adjustRightInd w:val="0"/>
                    <w:snapToGrid w:val="0"/>
                    <w:jc w:val="center"/>
                    <w:rPr>
                      <w:sz w:val="18"/>
                      <w:szCs w:val="18"/>
                    </w:rPr>
                  </w:pPr>
                </w:p>
              </w:tc>
              <w:tc>
                <w:tcPr>
                  <w:tcW w:w="1106" w:type="dxa"/>
                  <w:vMerge w:val="continue"/>
                  <w:tcBorders>
                    <w:tl2br w:val="nil"/>
                    <w:tr2bl w:val="nil"/>
                  </w:tcBorders>
                  <w:vAlign w:val="center"/>
                </w:tcPr>
                <w:p>
                  <w:pPr>
                    <w:adjustRightInd w:val="0"/>
                    <w:snapToGrid w:val="0"/>
                    <w:jc w:val="center"/>
                    <w:rPr>
                      <w:sz w:val="18"/>
                      <w:szCs w:val="18"/>
                    </w:rPr>
                  </w:pPr>
                </w:p>
              </w:tc>
              <w:tc>
                <w:tcPr>
                  <w:tcW w:w="1126" w:type="dxa"/>
                  <w:vMerge w:val="continue"/>
                  <w:tcBorders>
                    <w:tl2br w:val="nil"/>
                    <w:tr2bl w:val="nil"/>
                  </w:tcBorders>
                  <w:vAlign w:val="center"/>
                </w:tcPr>
                <w:p>
                  <w:pPr>
                    <w:adjustRightInd w:val="0"/>
                    <w:snapToGrid w:val="0"/>
                    <w:jc w:val="center"/>
                    <w:rPr>
                      <w:sz w:val="18"/>
                      <w:szCs w:val="18"/>
                    </w:rPr>
                  </w:pPr>
                </w:p>
              </w:tc>
              <w:tc>
                <w:tcPr>
                  <w:tcW w:w="1288" w:type="dxa"/>
                  <w:tcBorders>
                    <w:tl2br w:val="nil"/>
                    <w:tr2bl w:val="nil"/>
                  </w:tcBorders>
                  <w:vAlign w:val="center"/>
                </w:tcPr>
                <w:p>
                  <w:pPr>
                    <w:adjustRightInd w:val="0"/>
                    <w:snapToGrid w:val="0"/>
                    <w:jc w:val="center"/>
                    <w:rPr>
                      <w:sz w:val="18"/>
                      <w:szCs w:val="18"/>
                    </w:rPr>
                  </w:pPr>
                  <w:r>
                    <w:rPr>
                      <w:sz w:val="18"/>
                      <w:szCs w:val="18"/>
                    </w:rPr>
                    <w:t>一统河入口</w:t>
                  </w:r>
                </w:p>
              </w:tc>
              <w:tc>
                <w:tcPr>
                  <w:tcW w:w="739" w:type="dxa"/>
                  <w:tcBorders>
                    <w:tl2br w:val="nil"/>
                    <w:tr2bl w:val="nil"/>
                  </w:tcBorders>
                  <w:vAlign w:val="center"/>
                </w:tcPr>
                <w:p>
                  <w:pPr>
                    <w:adjustRightInd w:val="0"/>
                    <w:snapToGrid w:val="0"/>
                    <w:jc w:val="center"/>
                    <w:rPr>
                      <w:sz w:val="18"/>
                      <w:szCs w:val="18"/>
                    </w:rPr>
                  </w:pPr>
                  <w:r>
                    <w:rPr>
                      <w:sz w:val="18"/>
                      <w:szCs w:val="18"/>
                    </w:rPr>
                    <w:t>Ⅲ</w:t>
                  </w:r>
                </w:p>
              </w:tc>
              <w:tc>
                <w:tcPr>
                  <w:tcW w:w="739" w:type="dxa"/>
                  <w:tcBorders>
                    <w:tl2br w:val="nil"/>
                    <w:tr2bl w:val="nil"/>
                  </w:tcBorders>
                  <w:vAlign w:val="center"/>
                </w:tcPr>
                <w:p>
                  <w:pPr>
                    <w:adjustRightInd w:val="0"/>
                    <w:snapToGrid w:val="0"/>
                    <w:jc w:val="center"/>
                    <w:rPr>
                      <w:sz w:val="18"/>
                      <w:szCs w:val="18"/>
                    </w:rPr>
                  </w:pPr>
                  <w:r>
                    <w:rPr>
                      <w:sz w:val="18"/>
                      <w:szCs w:val="18"/>
                    </w:rPr>
                    <w:t>Ⅱ</w:t>
                  </w:r>
                </w:p>
              </w:tc>
              <w:tc>
                <w:tcPr>
                  <w:tcW w:w="1105" w:type="dxa"/>
                  <w:tcBorders>
                    <w:tl2br w:val="nil"/>
                    <w:tr2bl w:val="nil"/>
                  </w:tcBorders>
                  <w:vAlign w:val="center"/>
                </w:tcPr>
                <w:p>
                  <w:pPr>
                    <w:adjustRightInd w:val="0"/>
                    <w:snapToGrid w:val="0"/>
                    <w:jc w:val="center"/>
                    <w:rPr>
                      <w:sz w:val="18"/>
                      <w:szCs w:val="18"/>
                    </w:rPr>
                  </w:pPr>
                  <w:r>
                    <w:rPr>
                      <w:sz w:val="18"/>
                      <w:szCs w:val="18"/>
                    </w:rPr>
                    <w:t>Ⅲ</w:t>
                  </w:r>
                </w:p>
              </w:tc>
              <w:tc>
                <w:tcPr>
                  <w:tcW w:w="739" w:type="dxa"/>
                  <w:tcBorders>
                    <w:tl2br w:val="nil"/>
                    <w:tr2bl w:val="nil"/>
                  </w:tcBorders>
                  <w:vAlign w:val="center"/>
                </w:tcPr>
                <w:p>
                  <w:pPr>
                    <w:adjustRightInd w:val="0"/>
                    <w:snapToGrid w:val="0"/>
                    <w:jc w:val="center"/>
                    <w:rPr>
                      <w:sz w:val="18"/>
                      <w:szCs w:val="18"/>
                    </w:rPr>
                  </w:pPr>
                  <w:r>
                    <w:rPr>
                      <w:sz w:val="18"/>
                      <w:szCs w:val="18"/>
                    </w:rPr>
                    <w:t>↓</w:t>
                  </w:r>
                </w:p>
              </w:tc>
              <w:tc>
                <w:tcPr>
                  <w:tcW w:w="739" w:type="dxa"/>
                  <w:tcBorders>
                    <w:tl2br w:val="nil"/>
                    <w:tr2bl w:val="nil"/>
                  </w:tcBorders>
                  <w:vAlign w:val="center"/>
                </w:tcPr>
                <w:p>
                  <w:pPr>
                    <w:adjustRightInd w:val="0"/>
                    <w:snapToGrid w:val="0"/>
                    <w:jc w:val="center"/>
                    <w:rPr>
                      <w:sz w:val="18"/>
                      <w:szCs w:val="18"/>
                    </w:rPr>
                  </w:pPr>
                  <w:r>
                    <w:rPr>
                      <w:sz w:val="18"/>
                      <w:szCs w:val="18"/>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923" w:type="dxa"/>
                  <w:vMerge w:val="continue"/>
                  <w:tcBorders>
                    <w:tl2br w:val="nil"/>
                    <w:tr2bl w:val="nil"/>
                  </w:tcBorders>
                  <w:vAlign w:val="center"/>
                </w:tcPr>
                <w:p>
                  <w:pPr>
                    <w:adjustRightInd w:val="0"/>
                    <w:snapToGrid w:val="0"/>
                    <w:jc w:val="center"/>
                    <w:rPr>
                      <w:sz w:val="18"/>
                      <w:szCs w:val="18"/>
                    </w:rPr>
                  </w:pPr>
                </w:p>
              </w:tc>
              <w:tc>
                <w:tcPr>
                  <w:tcW w:w="1106" w:type="dxa"/>
                  <w:vMerge w:val="continue"/>
                  <w:tcBorders>
                    <w:tl2br w:val="nil"/>
                    <w:tr2bl w:val="nil"/>
                  </w:tcBorders>
                  <w:vAlign w:val="center"/>
                </w:tcPr>
                <w:p>
                  <w:pPr>
                    <w:adjustRightInd w:val="0"/>
                    <w:snapToGrid w:val="0"/>
                    <w:jc w:val="center"/>
                    <w:rPr>
                      <w:sz w:val="18"/>
                      <w:szCs w:val="18"/>
                    </w:rPr>
                  </w:pPr>
                </w:p>
              </w:tc>
              <w:tc>
                <w:tcPr>
                  <w:tcW w:w="1126" w:type="dxa"/>
                  <w:vMerge w:val="restart"/>
                  <w:tcBorders>
                    <w:tl2br w:val="nil"/>
                    <w:tr2bl w:val="nil"/>
                  </w:tcBorders>
                  <w:vAlign w:val="center"/>
                </w:tcPr>
                <w:p>
                  <w:pPr>
                    <w:adjustRightInd w:val="0"/>
                    <w:snapToGrid w:val="0"/>
                    <w:jc w:val="center"/>
                    <w:rPr>
                      <w:sz w:val="18"/>
                      <w:szCs w:val="18"/>
                    </w:rPr>
                  </w:pPr>
                  <w:r>
                    <w:rPr>
                      <w:sz w:val="18"/>
                      <w:szCs w:val="18"/>
                    </w:rPr>
                    <w:t>2025.5</w:t>
                  </w:r>
                </w:p>
              </w:tc>
              <w:tc>
                <w:tcPr>
                  <w:tcW w:w="1288" w:type="dxa"/>
                  <w:tcBorders>
                    <w:tl2br w:val="nil"/>
                    <w:tr2bl w:val="nil"/>
                  </w:tcBorders>
                  <w:vAlign w:val="center"/>
                </w:tcPr>
                <w:p>
                  <w:pPr>
                    <w:adjustRightInd w:val="0"/>
                    <w:snapToGrid w:val="0"/>
                    <w:jc w:val="center"/>
                    <w:rPr>
                      <w:sz w:val="18"/>
                      <w:szCs w:val="18"/>
                    </w:rPr>
                  </w:pPr>
                  <w:r>
                    <w:rPr>
                      <w:sz w:val="18"/>
                      <w:szCs w:val="18"/>
                    </w:rPr>
                    <w:t>大迫子</w:t>
                  </w:r>
                </w:p>
              </w:tc>
              <w:tc>
                <w:tcPr>
                  <w:tcW w:w="739" w:type="dxa"/>
                  <w:tcBorders>
                    <w:tl2br w:val="nil"/>
                    <w:tr2bl w:val="nil"/>
                  </w:tcBorders>
                  <w:vAlign w:val="center"/>
                </w:tcPr>
                <w:p>
                  <w:pPr>
                    <w:adjustRightInd w:val="0"/>
                    <w:snapToGrid w:val="0"/>
                    <w:jc w:val="center"/>
                    <w:rPr>
                      <w:sz w:val="18"/>
                      <w:szCs w:val="18"/>
                    </w:rPr>
                  </w:pPr>
                  <w:r>
                    <w:rPr>
                      <w:sz w:val="18"/>
                      <w:szCs w:val="18"/>
                    </w:rPr>
                    <w:t>Ⅱ</w:t>
                  </w:r>
                </w:p>
              </w:tc>
              <w:tc>
                <w:tcPr>
                  <w:tcW w:w="739" w:type="dxa"/>
                  <w:tcBorders>
                    <w:tl2br w:val="nil"/>
                    <w:tr2bl w:val="nil"/>
                  </w:tcBorders>
                  <w:vAlign w:val="center"/>
                </w:tcPr>
                <w:p>
                  <w:pPr>
                    <w:adjustRightInd w:val="0"/>
                    <w:snapToGrid w:val="0"/>
                    <w:jc w:val="center"/>
                    <w:rPr>
                      <w:sz w:val="18"/>
                      <w:szCs w:val="18"/>
                    </w:rPr>
                  </w:pPr>
                  <w:r>
                    <w:rPr>
                      <w:sz w:val="18"/>
                      <w:szCs w:val="18"/>
                    </w:rPr>
                    <w:t>Ⅱ</w:t>
                  </w:r>
                </w:p>
              </w:tc>
              <w:tc>
                <w:tcPr>
                  <w:tcW w:w="1105" w:type="dxa"/>
                  <w:tcBorders>
                    <w:tl2br w:val="nil"/>
                    <w:tr2bl w:val="nil"/>
                  </w:tcBorders>
                  <w:vAlign w:val="center"/>
                </w:tcPr>
                <w:p>
                  <w:pPr>
                    <w:adjustRightInd w:val="0"/>
                    <w:snapToGrid w:val="0"/>
                    <w:jc w:val="center"/>
                    <w:rPr>
                      <w:sz w:val="18"/>
                      <w:szCs w:val="18"/>
                    </w:rPr>
                  </w:pPr>
                  <w:r>
                    <w:rPr>
                      <w:sz w:val="18"/>
                      <w:szCs w:val="18"/>
                    </w:rPr>
                    <w:t>Ⅲ</w:t>
                  </w:r>
                </w:p>
              </w:tc>
              <w:tc>
                <w:tcPr>
                  <w:tcW w:w="739" w:type="dxa"/>
                  <w:tcBorders>
                    <w:tl2br w:val="nil"/>
                    <w:tr2bl w:val="nil"/>
                  </w:tcBorders>
                  <w:vAlign w:val="center"/>
                </w:tcPr>
                <w:p>
                  <w:pPr>
                    <w:adjustRightInd w:val="0"/>
                    <w:snapToGrid w:val="0"/>
                    <w:jc w:val="center"/>
                    <w:rPr>
                      <w:sz w:val="18"/>
                      <w:szCs w:val="18"/>
                    </w:rPr>
                  </w:pPr>
                  <w:r>
                    <w:rPr>
                      <w:sz w:val="18"/>
                      <w:szCs w:val="18"/>
                    </w:rPr>
                    <w:t>→</w:t>
                  </w:r>
                </w:p>
              </w:tc>
              <w:tc>
                <w:tcPr>
                  <w:tcW w:w="739" w:type="dxa"/>
                  <w:tcBorders>
                    <w:tl2br w:val="nil"/>
                    <w:tr2bl w:val="nil"/>
                  </w:tcBorders>
                  <w:vAlign w:val="center"/>
                </w:tcPr>
                <w:p>
                  <w:pPr>
                    <w:adjustRightInd w:val="0"/>
                    <w:snapToGrid w:val="0"/>
                    <w:jc w:val="center"/>
                    <w:rPr>
                      <w:sz w:val="18"/>
                      <w:szCs w:val="18"/>
                    </w:rPr>
                  </w:pPr>
                  <w:r>
                    <w:rPr>
                      <w:sz w:val="18"/>
                      <w:szCs w:val="18"/>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923" w:type="dxa"/>
                  <w:vMerge w:val="continue"/>
                  <w:tcBorders>
                    <w:tl2br w:val="nil"/>
                    <w:tr2bl w:val="nil"/>
                  </w:tcBorders>
                  <w:vAlign w:val="center"/>
                </w:tcPr>
                <w:p>
                  <w:pPr>
                    <w:adjustRightInd w:val="0"/>
                    <w:snapToGrid w:val="0"/>
                    <w:jc w:val="center"/>
                    <w:rPr>
                      <w:sz w:val="18"/>
                      <w:szCs w:val="18"/>
                    </w:rPr>
                  </w:pPr>
                </w:p>
              </w:tc>
              <w:tc>
                <w:tcPr>
                  <w:tcW w:w="1106" w:type="dxa"/>
                  <w:vMerge w:val="continue"/>
                  <w:tcBorders>
                    <w:tl2br w:val="nil"/>
                    <w:tr2bl w:val="nil"/>
                  </w:tcBorders>
                  <w:vAlign w:val="center"/>
                </w:tcPr>
                <w:p>
                  <w:pPr>
                    <w:adjustRightInd w:val="0"/>
                    <w:snapToGrid w:val="0"/>
                    <w:jc w:val="center"/>
                    <w:rPr>
                      <w:sz w:val="18"/>
                      <w:szCs w:val="18"/>
                    </w:rPr>
                  </w:pPr>
                </w:p>
              </w:tc>
              <w:tc>
                <w:tcPr>
                  <w:tcW w:w="1126" w:type="dxa"/>
                  <w:vMerge w:val="continue"/>
                  <w:tcBorders>
                    <w:tl2br w:val="nil"/>
                    <w:tr2bl w:val="nil"/>
                  </w:tcBorders>
                  <w:vAlign w:val="center"/>
                </w:tcPr>
                <w:p>
                  <w:pPr>
                    <w:adjustRightInd w:val="0"/>
                    <w:snapToGrid w:val="0"/>
                    <w:jc w:val="center"/>
                    <w:rPr>
                      <w:sz w:val="18"/>
                      <w:szCs w:val="18"/>
                    </w:rPr>
                  </w:pPr>
                </w:p>
              </w:tc>
              <w:tc>
                <w:tcPr>
                  <w:tcW w:w="1288" w:type="dxa"/>
                  <w:tcBorders>
                    <w:tl2br w:val="nil"/>
                    <w:tr2bl w:val="nil"/>
                  </w:tcBorders>
                  <w:vAlign w:val="center"/>
                </w:tcPr>
                <w:p>
                  <w:pPr>
                    <w:adjustRightInd w:val="0"/>
                    <w:snapToGrid w:val="0"/>
                    <w:jc w:val="center"/>
                    <w:rPr>
                      <w:sz w:val="18"/>
                      <w:szCs w:val="18"/>
                    </w:rPr>
                  </w:pPr>
                  <w:r>
                    <w:rPr>
                      <w:sz w:val="18"/>
                      <w:szCs w:val="18"/>
                    </w:rPr>
                    <w:t>一统河入口</w:t>
                  </w:r>
                </w:p>
              </w:tc>
              <w:tc>
                <w:tcPr>
                  <w:tcW w:w="739" w:type="dxa"/>
                  <w:tcBorders>
                    <w:tl2br w:val="nil"/>
                    <w:tr2bl w:val="nil"/>
                  </w:tcBorders>
                  <w:vAlign w:val="center"/>
                </w:tcPr>
                <w:p>
                  <w:pPr>
                    <w:adjustRightInd w:val="0"/>
                    <w:snapToGrid w:val="0"/>
                    <w:jc w:val="center"/>
                    <w:rPr>
                      <w:sz w:val="18"/>
                      <w:szCs w:val="18"/>
                    </w:rPr>
                  </w:pPr>
                  <w:r>
                    <w:rPr>
                      <w:sz w:val="18"/>
                      <w:szCs w:val="18"/>
                    </w:rPr>
                    <w:t>Ⅱ</w:t>
                  </w:r>
                </w:p>
              </w:tc>
              <w:tc>
                <w:tcPr>
                  <w:tcW w:w="739" w:type="dxa"/>
                  <w:tcBorders>
                    <w:tl2br w:val="nil"/>
                    <w:tr2bl w:val="nil"/>
                  </w:tcBorders>
                  <w:vAlign w:val="center"/>
                </w:tcPr>
                <w:p>
                  <w:pPr>
                    <w:adjustRightInd w:val="0"/>
                    <w:snapToGrid w:val="0"/>
                    <w:jc w:val="center"/>
                    <w:rPr>
                      <w:sz w:val="18"/>
                      <w:szCs w:val="18"/>
                    </w:rPr>
                  </w:pPr>
                  <w:r>
                    <w:rPr>
                      <w:sz w:val="18"/>
                      <w:szCs w:val="18"/>
                    </w:rPr>
                    <w:t>Ⅱ</w:t>
                  </w:r>
                </w:p>
              </w:tc>
              <w:tc>
                <w:tcPr>
                  <w:tcW w:w="1105" w:type="dxa"/>
                  <w:tcBorders>
                    <w:tl2br w:val="nil"/>
                    <w:tr2bl w:val="nil"/>
                  </w:tcBorders>
                  <w:vAlign w:val="center"/>
                </w:tcPr>
                <w:p>
                  <w:pPr>
                    <w:adjustRightInd w:val="0"/>
                    <w:snapToGrid w:val="0"/>
                    <w:jc w:val="center"/>
                    <w:rPr>
                      <w:sz w:val="18"/>
                      <w:szCs w:val="18"/>
                    </w:rPr>
                  </w:pPr>
                  <w:r>
                    <w:rPr>
                      <w:sz w:val="18"/>
                      <w:szCs w:val="18"/>
                    </w:rPr>
                    <w:t>Ⅲ</w:t>
                  </w:r>
                </w:p>
              </w:tc>
              <w:tc>
                <w:tcPr>
                  <w:tcW w:w="739" w:type="dxa"/>
                  <w:tcBorders>
                    <w:tl2br w:val="nil"/>
                    <w:tr2bl w:val="nil"/>
                  </w:tcBorders>
                  <w:vAlign w:val="center"/>
                </w:tcPr>
                <w:p>
                  <w:pPr>
                    <w:adjustRightInd w:val="0"/>
                    <w:snapToGrid w:val="0"/>
                    <w:jc w:val="center"/>
                    <w:rPr>
                      <w:sz w:val="18"/>
                      <w:szCs w:val="18"/>
                    </w:rPr>
                  </w:pPr>
                  <w:r>
                    <w:rPr>
                      <w:sz w:val="18"/>
                      <w:szCs w:val="18"/>
                    </w:rPr>
                    <w:t>→</w:t>
                  </w:r>
                </w:p>
              </w:tc>
              <w:tc>
                <w:tcPr>
                  <w:tcW w:w="739" w:type="dxa"/>
                  <w:tcBorders>
                    <w:tl2br w:val="nil"/>
                    <w:tr2bl w:val="nil"/>
                  </w:tcBorders>
                  <w:vAlign w:val="center"/>
                </w:tcPr>
                <w:p>
                  <w:pPr>
                    <w:adjustRightInd w:val="0"/>
                    <w:snapToGrid w:val="0"/>
                    <w:jc w:val="center"/>
                    <w:rPr>
                      <w:sz w:val="18"/>
                      <w:szCs w:val="18"/>
                    </w:rPr>
                  </w:pPr>
                  <w:r>
                    <w:rPr>
                      <w:sz w:val="18"/>
                      <w:szCs w:val="18"/>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923" w:type="dxa"/>
                  <w:vMerge w:val="continue"/>
                  <w:tcBorders>
                    <w:tl2br w:val="nil"/>
                    <w:tr2bl w:val="nil"/>
                  </w:tcBorders>
                  <w:vAlign w:val="center"/>
                </w:tcPr>
                <w:p>
                  <w:pPr>
                    <w:adjustRightInd w:val="0"/>
                    <w:snapToGrid w:val="0"/>
                    <w:jc w:val="center"/>
                    <w:rPr>
                      <w:sz w:val="18"/>
                      <w:szCs w:val="18"/>
                    </w:rPr>
                  </w:pPr>
                </w:p>
              </w:tc>
              <w:tc>
                <w:tcPr>
                  <w:tcW w:w="1106" w:type="dxa"/>
                  <w:vMerge w:val="continue"/>
                  <w:tcBorders>
                    <w:tl2br w:val="nil"/>
                    <w:tr2bl w:val="nil"/>
                  </w:tcBorders>
                  <w:vAlign w:val="center"/>
                </w:tcPr>
                <w:p>
                  <w:pPr>
                    <w:adjustRightInd w:val="0"/>
                    <w:snapToGrid w:val="0"/>
                    <w:jc w:val="center"/>
                    <w:rPr>
                      <w:sz w:val="18"/>
                      <w:szCs w:val="18"/>
                    </w:rPr>
                  </w:pPr>
                </w:p>
              </w:tc>
              <w:tc>
                <w:tcPr>
                  <w:tcW w:w="1126" w:type="dxa"/>
                  <w:vMerge w:val="restart"/>
                  <w:tcBorders>
                    <w:tl2br w:val="nil"/>
                    <w:tr2bl w:val="nil"/>
                  </w:tcBorders>
                  <w:vAlign w:val="center"/>
                </w:tcPr>
                <w:p>
                  <w:pPr>
                    <w:adjustRightInd w:val="0"/>
                    <w:snapToGrid w:val="0"/>
                    <w:jc w:val="center"/>
                    <w:rPr>
                      <w:sz w:val="18"/>
                      <w:szCs w:val="18"/>
                    </w:rPr>
                  </w:pPr>
                  <w:r>
                    <w:rPr>
                      <w:sz w:val="18"/>
                      <w:szCs w:val="18"/>
                    </w:rPr>
                    <w:t>2025.4</w:t>
                  </w:r>
                </w:p>
              </w:tc>
              <w:tc>
                <w:tcPr>
                  <w:tcW w:w="1288" w:type="dxa"/>
                  <w:tcBorders>
                    <w:tl2br w:val="nil"/>
                    <w:tr2bl w:val="nil"/>
                  </w:tcBorders>
                  <w:vAlign w:val="center"/>
                </w:tcPr>
                <w:p>
                  <w:pPr>
                    <w:adjustRightInd w:val="0"/>
                    <w:snapToGrid w:val="0"/>
                    <w:jc w:val="center"/>
                    <w:rPr>
                      <w:sz w:val="18"/>
                      <w:szCs w:val="18"/>
                    </w:rPr>
                  </w:pPr>
                  <w:r>
                    <w:rPr>
                      <w:sz w:val="18"/>
                      <w:szCs w:val="18"/>
                    </w:rPr>
                    <w:t>大迫子</w:t>
                  </w:r>
                </w:p>
              </w:tc>
              <w:tc>
                <w:tcPr>
                  <w:tcW w:w="739" w:type="dxa"/>
                  <w:tcBorders>
                    <w:tl2br w:val="nil"/>
                    <w:tr2bl w:val="nil"/>
                  </w:tcBorders>
                  <w:vAlign w:val="center"/>
                </w:tcPr>
                <w:p>
                  <w:pPr>
                    <w:adjustRightInd w:val="0"/>
                    <w:snapToGrid w:val="0"/>
                    <w:jc w:val="center"/>
                    <w:rPr>
                      <w:sz w:val="18"/>
                      <w:szCs w:val="18"/>
                    </w:rPr>
                  </w:pPr>
                  <w:r>
                    <w:rPr>
                      <w:sz w:val="18"/>
                      <w:szCs w:val="18"/>
                    </w:rPr>
                    <w:t>Ⅱ</w:t>
                  </w:r>
                </w:p>
              </w:tc>
              <w:tc>
                <w:tcPr>
                  <w:tcW w:w="739" w:type="dxa"/>
                  <w:tcBorders>
                    <w:tl2br w:val="nil"/>
                    <w:tr2bl w:val="nil"/>
                  </w:tcBorders>
                  <w:vAlign w:val="center"/>
                </w:tcPr>
                <w:p>
                  <w:pPr>
                    <w:adjustRightInd w:val="0"/>
                    <w:snapToGrid w:val="0"/>
                    <w:jc w:val="center"/>
                    <w:rPr>
                      <w:sz w:val="18"/>
                      <w:szCs w:val="18"/>
                    </w:rPr>
                  </w:pPr>
                  <w:r>
                    <w:rPr>
                      <w:sz w:val="18"/>
                      <w:szCs w:val="18"/>
                    </w:rPr>
                    <w:t>Ⅱ</w:t>
                  </w:r>
                </w:p>
              </w:tc>
              <w:tc>
                <w:tcPr>
                  <w:tcW w:w="1105" w:type="dxa"/>
                  <w:tcBorders>
                    <w:tl2br w:val="nil"/>
                    <w:tr2bl w:val="nil"/>
                  </w:tcBorders>
                  <w:vAlign w:val="center"/>
                </w:tcPr>
                <w:p>
                  <w:pPr>
                    <w:adjustRightInd w:val="0"/>
                    <w:snapToGrid w:val="0"/>
                    <w:jc w:val="center"/>
                    <w:rPr>
                      <w:sz w:val="18"/>
                      <w:szCs w:val="18"/>
                    </w:rPr>
                  </w:pPr>
                  <w:r>
                    <w:rPr>
                      <w:sz w:val="18"/>
                      <w:szCs w:val="18"/>
                    </w:rPr>
                    <w:t>Ⅲ</w:t>
                  </w:r>
                </w:p>
              </w:tc>
              <w:tc>
                <w:tcPr>
                  <w:tcW w:w="739" w:type="dxa"/>
                  <w:tcBorders>
                    <w:tl2br w:val="nil"/>
                    <w:tr2bl w:val="nil"/>
                  </w:tcBorders>
                  <w:vAlign w:val="center"/>
                </w:tcPr>
                <w:p>
                  <w:pPr>
                    <w:adjustRightInd w:val="0"/>
                    <w:snapToGrid w:val="0"/>
                    <w:jc w:val="center"/>
                    <w:rPr>
                      <w:sz w:val="18"/>
                      <w:szCs w:val="18"/>
                    </w:rPr>
                  </w:pPr>
                  <w:r>
                    <w:rPr>
                      <w:sz w:val="18"/>
                      <w:szCs w:val="18"/>
                    </w:rPr>
                    <w:t>→</w:t>
                  </w:r>
                </w:p>
              </w:tc>
              <w:tc>
                <w:tcPr>
                  <w:tcW w:w="739" w:type="dxa"/>
                  <w:tcBorders>
                    <w:tl2br w:val="nil"/>
                    <w:tr2bl w:val="nil"/>
                  </w:tcBorders>
                  <w:vAlign w:val="center"/>
                </w:tcPr>
                <w:p>
                  <w:pPr>
                    <w:adjustRightInd w:val="0"/>
                    <w:snapToGrid w:val="0"/>
                    <w:jc w:val="center"/>
                    <w:rPr>
                      <w:sz w:val="18"/>
                      <w:szCs w:val="18"/>
                    </w:rPr>
                  </w:pPr>
                  <w:r>
                    <w:rPr>
                      <w:sz w:val="18"/>
                      <w:szCs w:val="18"/>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923" w:type="dxa"/>
                  <w:vMerge w:val="continue"/>
                  <w:tcBorders>
                    <w:tl2br w:val="nil"/>
                    <w:tr2bl w:val="nil"/>
                  </w:tcBorders>
                  <w:vAlign w:val="center"/>
                </w:tcPr>
                <w:p>
                  <w:pPr>
                    <w:adjustRightInd w:val="0"/>
                    <w:snapToGrid w:val="0"/>
                    <w:jc w:val="center"/>
                    <w:rPr>
                      <w:sz w:val="18"/>
                      <w:szCs w:val="18"/>
                    </w:rPr>
                  </w:pPr>
                </w:p>
              </w:tc>
              <w:tc>
                <w:tcPr>
                  <w:tcW w:w="1106" w:type="dxa"/>
                  <w:vMerge w:val="continue"/>
                  <w:tcBorders>
                    <w:tl2br w:val="nil"/>
                    <w:tr2bl w:val="nil"/>
                  </w:tcBorders>
                  <w:vAlign w:val="center"/>
                </w:tcPr>
                <w:p>
                  <w:pPr>
                    <w:adjustRightInd w:val="0"/>
                    <w:snapToGrid w:val="0"/>
                    <w:jc w:val="center"/>
                    <w:rPr>
                      <w:sz w:val="18"/>
                      <w:szCs w:val="18"/>
                    </w:rPr>
                  </w:pPr>
                </w:p>
              </w:tc>
              <w:tc>
                <w:tcPr>
                  <w:tcW w:w="1126" w:type="dxa"/>
                  <w:vMerge w:val="continue"/>
                  <w:tcBorders>
                    <w:tl2br w:val="nil"/>
                    <w:tr2bl w:val="nil"/>
                  </w:tcBorders>
                  <w:vAlign w:val="center"/>
                </w:tcPr>
                <w:p>
                  <w:pPr>
                    <w:adjustRightInd w:val="0"/>
                    <w:snapToGrid w:val="0"/>
                    <w:jc w:val="center"/>
                    <w:rPr>
                      <w:sz w:val="18"/>
                      <w:szCs w:val="18"/>
                    </w:rPr>
                  </w:pPr>
                </w:p>
              </w:tc>
              <w:tc>
                <w:tcPr>
                  <w:tcW w:w="1288" w:type="dxa"/>
                  <w:tcBorders>
                    <w:tl2br w:val="nil"/>
                    <w:tr2bl w:val="nil"/>
                  </w:tcBorders>
                  <w:vAlign w:val="center"/>
                </w:tcPr>
                <w:p>
                  <w:pPr>
                    <w:adjustRightInd w:val="0"/>
                    <w:snapToGrid w:val="0"/>
                    <w:jc w:val="center"/>
                    <w:rPr>
                      <w:sz w:val="18"/>
                      <w:szCs w:val="18"/>
                    </w:rPr>
                  </w:pPr>
                  <w:r>
                    <w:rPr>
                      <w:sz w:val="18"/>
                      <w:szCs w:val="18"/>
                    </w:rPr>
                    <w:t>一统河入口</w:t>
                  </w:r>
                </w:p>
              </w:tc>
              <w:tc>
                <w:tcPr>
                  <w:tcW w:w="739" w:type="dxa"/>
                  <w:tcBorders>
                    <w:tl2br w:val="nil"/>
                    <w:tr2bl w:val="nil"/>
                  </w:tcBorders>
                  <w:vAlign w:val="center"/>
                </w:tcPr>
                <w:p>
                  <w:pPr>
                    <w:adjustRightInd w:val="0"/>
                    <w:snapToGrid w:val="0"/>
                    <w:jc w:val="center"/>
                    <w:rPr>
                      <w:sz w:val="18"/>
                      <w:szCs w:val="18"/>
                    </w:rPr>
                  </w:pPr>
                  <w:r>
                    <w:rPr>
                      <w:sz w:val="18"/>
                      <w:szCs w:val="18"/>
                    </w:rPr>
                    <w:t>Ⅱ</w:t>
                  </w:r>
                </w:p>
              </w:tc>
              <w:tc>
                <w:tcPr>
                  <w:tcW w:w="739" w:type="dxa"/>
                  <w:tcBorders>
                    <w:tl2br w:val="nil"/>
                    <w:tr2bl w:val="nil"/>
                  </w:tcBorders>
                  <w:vAlign w:val="center"/>
                </w:tcPr>
                <w:p>
                  <w:pPr>
                    <w:adjustRightInd w:val="0"/>
                    <w:snapToGrid w:val="0"/>
                    <w:jc w:val="center"/>
                    <w:rPr>
                      <w:sz w:val="18"/>
                      <w:szCs w:val="18"/>
                    </w:rPr>
                  </w:pPr>
                  <w:r>
                    <w:rPr>
                      <w:sz w:val="18"/>
                      <w:szCs w:val="18"/>
                    </w:rPr>
                    <w:t>Ⅲ</w:t>
                  </w:r>
                </w:p>
              </w:tc>
              <w:tc>
                <w:tcPr>
                  <w:tcW w:w="1105" w:type="dxa"/>
                  <w:tcBorders>
                    <w:tl2br w:val="nil"/>
                    <w:tr2bl w:val="nil"/>
                  </w:tcBorders>
                  <w:vAlign w:val="center"/>
                </w:tcPr>
                <w:p>
                  <w:pPr>
                    <w:adjustRightInd w:val="0"/>
                    <w:snapToGrid w:val="0"/>
                    <w:jc w:val="center"/>
                    <w:rPr>
                      <w:sz w:val="18"/>
                      <w:szCs w:val="18"/>
                    </w:rPr>
                  </w:pPr>
                  <w:r>
                    <w:rPr>
                      <w:sz w:val="18"/>
                      <w:szCs w:val="18"/>
                    </w:rPr>
                    <w:t>Ⅱ</w:t>
                  </w:r>
                </w:p>
              </w:tc>
              <w:tc>
                <w:tcPr>
                  <w:tcW w:w="739" w:type="dxa"/>
                  <w:tcBorders>
                    <w:tl2br w:val="nil"/>
                    <w:tr2bl w:val="nil"/>
                  </w:tcBorders>
                  <w:vAlign w:val="center"/>
                </w:tcPr>
                <w:p>
                  <w:pPr>
                    <w:adjustRightInd w:val="0"/>
                    <w:snapToGrid w:val="0"/>
                    <w:jc w:val="center"/>
                    <w:rPr>
                      <w:sz w:val="18"/>
                      <w:szCs w:val="18"/>
                    </w:rPr>
                  </w:pPr>
                  <w:r>
                    <w:rPr>
                      <w:sz w:val="18"/>
                      <w:szCs w:val="18"/>
                    </w:rPr>
                    <w:t>↑</w:t>
                  </w:r>
                </w:p>
              </w:tc>
              <w:tc>
                <w:tcPr>
                  <w:tcW w:w="739" w:type="dxa"/>
                  <w:tcBorders>
                    <w:tl2br w:val="nil"/>
                    <w:tr2bl w:val="nil"/>
                  </w:tcBorders>
                  <w:vAlign w:val="center"/>
                </w:tcPr>
                <w:p>
                  <w:pPr>
                    <w:adjustRightInd w:val="0"/>
                    <w:snapToGrid w:val="0"/>
                    <w:jc w:val="center"/>
                    <w:rPr>
                      <w:sz w:val="18"/>
                      <w:szCs w:val="18"/>
                    </w:rPr>
                  </w:pPr>
                  <w:r>
                    <w:rPr>
                      <w:sz w:val="18"/>
                      <w:szCs w:val="18"/>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923" w:type="dxa"/>
                  <w:vMerge w:val="continue"/>
                  <w:tcBorders>
                    <w:tl2br w:val="nil"/>
                    <w:tr2bl w:val="nil"/>
                  </w:tcBorders>
                  <w:vAlign w:val="center"/>
                </w:tcPr>
                <w:p>
                  <w:pPr>
                    <w:adjustRightInd w:val="0"/>
                    <w:snapToGrid w:val="0"/>
                    <w:jc w:val="center"/>
                    <w:rPr>
                      <w:sz w:val="18"/>
                      <w:szCs w:val="18"/>
                    </w:rPr>
                  </w:pPr>
                </w:p>
              </w:tc>
              <w:tc>
                <w:tcPr>
                  <w:tcW w:w="1106" w:type="dxa"/>
                  <w:vMerge w:val="continue"/>
                  <w:tcBorders>
                    <w:tl2br w:val="nil"/>
                    <w:tr2bl w:val="nil"/>
                  </w:tcBorders>
                  <w:vAlign w:val="center"/>
                </w:tcPr>
                <w:p>
                  <w:pPr>
                    <w:adjustRightInd w:val="0"/>
                    <w:snapToGrid w:val="0"/>
                    <w:jc w:val="center"/>
                    <w:rPr>
                      <w:sz w:val="18"/>
                      <w:szCs w:val="18"/>
                    </w:rPr>
                  </w:pPr>
                </w:p>
              </w:tc>
              <w:tc>
                <w:tcPr>
                  <w:tcW w:w="1126" w:type="dxa"/>
                  <w:vMerge w:val="restart"/>
                  <w:tcBorders>
                    <w:tl2br w:val="nil"/>
                    <w:tr2bl w:val="nil"/>
                  </w:tcBorders>
                  <w:vAlign w:val="center"/>
                </w:tcPr>
                <w:p>
                  <w:pPr>
                    <w:adjustRightInd w:val="0"/>
                    <w:snapToGrid w:val="0"/>
                    <w:jc w:val="center"/>
                    <w:rPr>
                      <w:sz w:val="18"/>
                      <w:szCs w:val="18"/>
                    </w:rPr>
                  </w:pPr>
                  <w:r>
                    <w:rPr>
                      <w:sz w:val="18"/>
                      <w:szCs w:val="18"/>
                    </w:rPr>
                    <w:t>2025.3</w:t>
                  </w:r>
                </w:p>
              </w:tc>
              <w:tc>
                <w:tcPr>
                  <w:tcW w:w="1288" w:type="dxa"/>
                  <w:tcBorders>
                    <w:tl2br w:val="nil"/>
                    <w:tr2bl w:val="nil"/>
                  </w:tcBorders>
                  <w:vAlign w:val="center"/>
                </w:tcPr>
                <w:p>
                  <w:pPr>
                    <w:adjustRightInd w:val="0"/>
                    <w:snapToGrid w:val="0"/>
                    <w:jc w:val="center"/>
                    <w:rPr>
                      <w:sz w:val="18"/>
                      <w:szCs w:val="18"/>
                    </w:rPr>
                  </w:pPr>
                  <w:r>
                    <w:rPr>
                      <w:sz w:val="18"/>
                      <w:szCs w:val="18"/>
                    </w:rPr>
                    <w:t>大迫子</w:t>
                  </w:r>
                </w:p>
              </w:tc>
              <w:tc>
                <w:tcPr>
                  <w:tcW w:w="739" w:type="dxa"/>
                  <w:tcBorders>
                    <w:tl2br w:val="nil"/>
                    <w:tr2bl w:val="nil"/>
                  </w:tcBorders>
                  <w:vAlign w:val="center"/>
                </w:tcPr>
                <w:p>
                  <w:pPr>
                    <w:adjustRightInd w:val="0"/>
                    <w:snapToGrid w:val="0"/>
                    <w:jc w:val="center"/>
                    <w:rPr>
                      <w:sz w:val="18"/>
                      <w:szCs w:val="18"/>
                    </w:rPr>
                  </w:pPr>
                  <w:r>
                    <w:rPr>
                      <w:sz w:val="18"/>
                      <w:szCs w:val="18"/>
                    </w:rPr>
                    <w:t>Ⅱ</w:t>
                  </w:r>
                </w:p>
              </w:tc>
              <w:tc>
                <w:tcPr>
                  <w:tcW w:w="739" w:type="dxa"/>
                  <w:tcBorders>
                    <w:tl2br w:val="nil"/>
                    <w:tr2bl w:val="nil"/>
                  </w:tcBorders>
                  <w:vAlign w:val="center"/>
                </w:tcPr>
                <w:p>
                  <w:pPr>
                    <w:adjustRightInd w:val="0"/>
                    <w:snapToGrid w:val="0"/>
                    <w:jc w:val="center"/>
                    <w:rPr>
                      <w:sz w:val="18"/>
                      <w:szCs w:val="18"/>
                    </w:rPr>
                  </w:pPr>
                  <w:r>
                    <w:rPr>
                      <w:sz w:val="18"/>
                      <w:szCs w:val="18"/>
                    </w:rPr>
                    <w:t>Ⅱ</w:t>
                  </w:r>
                </w:p>
              </w:tc>
              <w:tc>
                <w:tcPr>
                  <w:tcW w:w="1105" w:type="dxa"/>
                  <w:tcBorders>
                    <w:tl2br w:val="nil"/>
                    <w:tr2bl w:val="nil"/>
                  </w:tcBorders>
                  <w:vAlign w:val="center"/>
                </w:tcPr>
                <w:p>
                  <w:pPr>
                    <w:adjustRightInd w:val="0"/>
                    <w:snapToGrid w:val="0"/>
                    <w:jc w:val="center"/>
                    <w:rPr>
                      <w:sz w:val="18"/>
                      <w:szCs w:val="18"/>
                    </w:rPr>
                  </w:pPr>
                  <w:r>
                    <w:rPr>
                      <w:sz w:val="18"/>
                      <w:szCs w:val="18"/>
                    </w:rPr>
                    <w:t>Ⅲ</w:t>
                  </w:r>
                </w:p>
              </w:tc>
              <w:tc>
                <w:tcPr>
                  <w:tcW w:w="739" w:type="dxa"/>
                  <w:tcBorders>
                    <w:tl2br w:val="nil"/>
                    <w:tr2bl w:val="nil"/>
                  </w:tcBorders>
                  <w:vAlign w:val="center"/>
                </w:tcPr>
                <w:p>
                  <w:pPr>
                    <w:adjustRightInd w:val="0"/>
                    <w:snapToGrid w:val="0"/>
                    <w:jc w:val="center"/>
                    <w:rPr>
                      <w:sz w:val="18"/>
                      <w:szCs w:val="18"/>
                    </w:rPr>
                  </w:pPr>
                  <w:r>
                    <w:rPr>
                      <w:sz w:val="18"/>
                      <w:szCs w:val="18"/>
                    </w:rPr>
                    <w:t>→</w:t>
                  </w:r>
                </w:p>
              </w:tc>
              <w:tc>
                <w:tcPr>
                  <w:tcW w:w="739" w:type="dxa"/>
                  <w:tcBorders>
                    <w:tl2br w:val="nil"/>
                    <w:tr2bl w:val="nil"/>
                  </w:tcBorders>
                  <w:vAlign w:val="center"/>
                </w:tcPr>
                <w:p>
                  <w:pPr>
                    <w:adjustRightInd w:val="0"/>
                    <w:snapToGrid w:val="0"/>
                    <w:jc w:val="center"/>
                    <w:rPr>
                      <w:sz w:val="18"/>
                      <w:szCs w:val="18"/>
                    </w:rPr>
                  </w:pPr>
                  <w:r>
                    <w:rPr>
                      <w:sz w:val="18"/>
                      <w:szCs w:val="18"/>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923" w:type="dxa"/>
                  <w:vMerge w:val="continue"/>
                  <w:tcBorders>
                    <w:tl2br w:val="nil"/>
                    <w:tr2bl w:val="nil"/>
                  </w:tcBorders>
                  <w:vAlign w:val="center"/>
                </w:tcPr>
                <w:p>
                  <w:pPr>
                    <w:adjustRightInd w:val="0"/>
                    <w:snapToGrid w:val="0"/>
                    <w:jc w:val="center"/>
                    <w:rPr>
                      <w:sz w:val="18"/>
                      <w:szCs w:val="18"/>
                    </w:rPr>
                  </w:pPr>
                </w:p>
              </w:tc>
              <w:tc>
                <w:tcPr>
                  <w:tcW w:w="1106" w:type="dxa"/>
                  <w:vMerge w:val="continue"/>
                  <w:tcBorders>
                    <w:tl2br w:val="nil"/>
                    <w:tr2bl w:val="nil"/>
                  </w:tcBorders>
                  <w:vAlign w:val="center"/>
                </w:tcPr>
                <w:p>
                  <w:pPr>
                    <w:adjustRightInd w:val="0"/>
                    <w:snapToGrid w:val="0"/>
                    <w:jc w:val="center"/>
                    <w:rPr>
                      <w:sz w:val="18"/>
                      <w:szCs w:val="18"/>
                    </w:rPr>
                  </w:pPr>
                </w:p>
              </w:tc>
              <w:tc>
                <w:tcPr>
                  <w:tcW w:w="1126" w:type="dxa"/>
                  <w:vMerge w:val="continue"/>
                  <w:tcBorders>
                    <w:tl2br w:val="nil"/>
                    <w:tr2bl w:val="nil"/>
                  </w:tcBorders>
                  <w:vAlign w:val="center"/>
                </w:tcPr>
                <w:p>
                  <w:pPr>
                    <w:adjustRightInd w:val="0"/>
                    <w:snapToGrid w:val="0"/>
                    <w:jc w:val="center"/>
                    <w:rPr>
                      <w:sz w:val="18"/>
                      <w:szCs w:val="18"/>
                    </w:rPr>
                  </w:pPr>
                </w:p>
              </w:tc>
              <w:tc>
                <w:tcPr>
                  <w:tcW w:w="1288" w:type="dxa"/>
                  <w:tcBorders>
                    <w:tl2br w:val="nil"/>
                    <w:tr2bl w:val="nil"/>
                  </w:tcBorders>
                  <w:vAlign w:val="center"/>
                </w:tcPr>
                <w:p>
                  <w:pPr>
                    <w:adjustRightInd w:val="0"/>
                    <w:snapToGrid w:val="0"/>
                    <w:jc w:val="center"/>
                    <w:rPr>
                      <w:sz w:val="18"/>
                      <w:szCs w:val="18"/>
                    </w:rPr>
                  </w:pPr>
                  <w:r>
                    <w:rPr>
                      <w:sz w:val="18"/>
                      <w:szCs w:val="18"/>
                    </w:rPr>
                    <w:t>一统河入口</w:t>
                  </w:r>
                </w:p>
              </w:tc>
              <w:tc>
                <w:tcPr>
                  <w:tcW w:w="739" w:type="dxa"/>
                  <w:tcBorders>
                    <w:tl2br w:val="nil"/>
                    <w:tr2bl w:val="nil"/>
                  </w:tcBorders>
                  <w:vAlign w:val="center"/>
                </w:tcPr>
                <w:p>
                  <w:pPr>
                    <w:adjustRightInd w:val="0"/>
                    <w:snapToGrid w:val="0"/>
                    <w:jc w:val="center"/>
                    <w:rPr>
                      <w:sz w:val="18"/>
                      <w:szCs w:val="18"/>
                    </w:rPr>
                  </w:pPr>
                  <w:r>
                    <w:rPr>
                      <w:sz w:val="18"/>
                      <w:szCs w:val="18"/>
                    </w:rPr>
                    <w:t>Ⅲ</w:t>
                  </w:r>
                </w:p>
              </w:tc>
              <w:tc>
                <w:tcPr>
                  <w:tcW w:w="739" w:type="dxa"/>
                  <w:tcBorders>
                    <w:tl2br w:val="nil"/>
                    <w:tr2bl w:val="nil"/>
                  </w:tcBorders>
                  <w:vAlign w:val="center"/>
                </w:tcPr>
                <w:p>
                  <w:pPr>
                    <w:adjustRightInd w:val="0"/>
                    <w:snapToGrid w:val="0"/>
                    <w:jc w:val="center"/>
                    <w:rPr>
                      <w:sz w:val="18"/>
                      <w:szCs w:val="18"/>
                    </w:rPr>
                  </w:pPr>
                  <w:r>
                    <w:rPr>
                      <w:sz w:val="18"/>
                      <w:szCs w:val="18"/>
                    </w:rPr>
                    <w:t>/</w:t>
                  </w:r>
                </w:p>
              </w:tc>
              <w:tc>
                <w:tcPr>
                  <w:tcW w:w="1105" w:type="dxa"/>
                  <w:tcBorders>
                    <w:tl2br w:val="nil"/>
                    <w:tr2bl w:val="nil"/>
                  </w:tcBorders>
                  <w:vAlign w:val="center"/>
                </w:tcPr>
                <w:p>
                  <w:pPr>
                    <w:adjustRightInd w:val="0"/>
                    <w:snapToGrid w:val="0"/>
                    <w:jc w:val="center"/>
                    <w:rPr>
                      <w:sz w:val="18"/>
                      <w:szCs w:val="18"/>
                    </w:rPr>
                  </w:pPr>
                  <w:r>
                    <w:rPr>
                      <w:sz w:val="18"/>
                      <w:szCs w:val="18"/>
                    </w:rPr>
                    <w:t>Ⅱ</w:t>
                  </w:r>
                </w:p>
              </w:tc>
              <w:tc>
                <w:tcPr>
                  <w:tcW w:w="739" w:type="dxa"/>
                  <w:tcBorders>
                    <w:tl2br w:val="nil"/>
                    <w:tr2bl w:val="nil"/>
                  </w:tcBorders>
                  <w:vAlign w:val="center"/>
                </w:tcPr>
                <w:p>
                  <w:pPr>
                    <w:adjustRightInd w:val="0"/>
                    <w:snapToGrid w:val="0"/>
                    <w:jc w:val="center"/>
                    <w:rPr>
                      <w:sz w:val="18"/>
                      <w:szCs w:val="18"/>
                    </w:rPr>
                  </w:pPr>
                  <w:r>
                    <w:rPr>
                      <w:sz w:val="18"/>
                      <w:szCs w:val="18"/>
                    </w:rPr>
                    <w:t>○</w:t>
                  </w:r>
                </w:p>
              </w:tc>
              <w:tc>
                <w:tcPr>
                  <w:tcW w:w="739" w:type="dxa"/>
                  <w:tcBorders>
                    <w:tl2br w:val="nil"/>
                    <w:tr2bl w:val="nil"/>
                  </w:tcBorders>
                  <w:vAlign w:val="center"/>
                </w:tcPr>
                <w:p>
                  <w:pPr>
                    <w:adjustRightInd w:val="0"/>
                    <w:snapToGrid w:val="0"/>
                    <w:jc w:val="center"/>
                    <w:rPr>
                      <w:sz w:val="18"/>
                      <w:szCs w:val="18"/>
                    </w:rPr>
                  </w:pPr>
                  <w:r>
                    <w:rPr>
                      <w:sz w:val="18"/>
                      <w:szCs w:val="18"/>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923" w:type="dxa"/>
                  <w:vMerge w:val="continue"/>
                  <w:tcBorders>
                    <w:tl2br w:val="nil"/>
                    <w:tr2bl w:val="nil"/>
                  </w:tcBorders>
                  <w:vAlign w:val="center"/>
                </w:tcPr>
                <w:p>
                  <w:pPr>
                    <w:adjustRightInd w:val="0"/>
                    <w:snapToGrid w:val="0"/>
                    <w:jc w:val="center"/>
                    <w:rPr>
                      <w:sz w:val="18"/>
                      <w:szCs w:val="18"/>
                    </w:rPr>
                  </w:pPr>
                </w:p>
              </w:tc>
              <w:tc>
                <w:tcPr>
                  <w:tcW w:w="1106" w:type="dxa"/>
                  <w:vMerge w:val="continue"/>
                  <w:tcBorders>
                    <w:tl2br w:val="nil"/>
                    <w:tr2bl w:val="nil"/>
                  </w:tcBorders>
                  <w:vAlign w:val="center"/>
                </w:tcPr>
                <w:p>
                  <w:pPr>
                    <w:adjustRightInd w:val="0"/>
                    <w:snapToGrid w:val="0"/>
                    <w:jc w:val="center"/>
                    <w:rPr>
                      <w:sz w:val="18"/>
                      <w:szCs w:val="18"/>
                    </w:rPr>
                  </w:pPr>
                </w:p>
              </w:tc>
              <w:tc>
                <w:tcPr>
                  <w:tcW w:w="1126" w:type="dxa"/>
                  <w:vMerge w:val="restart"/>
                  <w:tcBorders>
                    <w:tl2br w:val="nil"/>
                    <w:tr2bl w:val="nil"/>
                  </w:tcBorders>
                  <w:vAlign w:val="center"/>
                </w:tcPr>
                <w:p>
                  <w:pPr>
                    <w:adjustRightInd w:val="0"/>
                    <w:snapToGrid w:val="0"/>
                    <w:jc w:val="center"/>
                    <w:rPr>
                      <w:sz w:val="18"/>
                      <w:szCs w:val="18"/>
                    </w:rPr>
                  </w:pPr>
                  <w:r>
                    <w:rPr>
                      <w:sz w:val="18"/>
                      <w:szCs w:val="18"/>
                    </w:rPr>
                    <w:t>2025.2</w:t>
                  </w:r>
                </w:p>
              </w:tc>
              <w:tc>
                <w:tcPr>
                  <w:tcW w:w="1288" w:type="dxa"/>
                  <w:tcBorders>
                    <w:tl2br w:val="nil"/>
                    <w:tr2bl w:val="nil"/>
                  </w:tcBorders>
                  <w:vAlign w:val="center"/>
                </w:tcPr>
                <w:p>
                  <w:pPr>
                    <w:adjustRightInd w:val="0"/>
                    <w:snapToGrid w:val="0"/>
                    <w:jc w:val="center"/>
                    <w:rPr>
                      <w:sz w:val="18"/>
                      <w:szCs w:val="18"/>
                    </w:rPr>
                  </w:pPr>
                  <w:r>
                    <w:rPr>
                      <w:sz w:val="18"/>
                      <w:szCs w:val="18"/>
                    </w:rPr>
                    <w:t>大迫子</w:t>
                  </w:r>
                </w:p>
              </w:tc>
              <w:tc>
                <w:tcPr>
                  <w:tcW w:w="739" w:type="dxa"/>
                  <w:tcBorders>
                    <w:tl2br w:val="nil"/>
                    <w:tr2bl w:val="nil"/>
                  </w:tcBorders>
                  <w:vAlign w:val="center"/>
                </w:tcPr>
                <w:p>
                  <w:pPr>
                    <w:adjustRightInd w:val="0"/>
                    <w:snapToGrid w:val="0"/>
                    <w:jc w:val="center"/>
                    <w:rPr>
                      <w:sz w:val="18"/>
                      <w:szCs w:val="18"/>
                    </w:rPr>
                  </w:pPr>
                  <w:r>
                    <w:rPr>
                      <w:sz w:val="18"/>
                      <w:szCs w:val="18"/>
                    </w:rPr>
                    <w:t>Ⅱ</w:t>
                  </w:r>
                </w:p>
              </w:tc>
              <w:tc>
                <w:tcPr>
                  <w:tcW w:w="739" w:type="dxa"/>
                  <w:tcBorders>
                    <w:tl2br w:val="nil"/>
                    <w:tr2bl w:val="nil"/>
                  </w:tcBorders>
                  <w:vAlign w:val="center"/>
                </w:tcPr>
                <w:p>
                  <w:pPr>
                    <w:adjustRightInd w:val="0"/>
                    <w:snapToGrid w:val="0"/>
                    <w:jc w:val="center"/>
                    <w:rPr>
                      <w:sz w:val="18"/>
                      <w:szCs w:val="18"/>
                    </w:rPr>
                  </w:pPr>
                  <w:r>
                    <w:rPr>
                      <w:sz w:val="18"/>
                      <w:szCs w:val="18"/>
                    </w:rPr>
                    <w:t>Ⅱ</w:t>
                  </w:r>
                </w:p>
              </w:tc>
              <w:tc>
                <w:tcPr>
                  <w:tcW w:w="1105" w:type="dxa"/>
                  <w:tcBorders>
                    <w:tl2br w:val="nil"/>
                    <w:tr2bl w:val="nil"/>
                  </w:tcBorders>
                  <w:vAlign w:val="center"/>
                </w:tcPr>
                <w:p>
                  <w:pPr>
                    <w:adjustRightInd w:val="0"/>
                    <w:snapToGrid w:val="0"/>
                    <w:jc w:val="center"/>
                    <w:rPr>
                      <w:sz w:val="18"/>
                      <w:szCs w:val="18"/>
                    </w:rPr>
                  </w:pPr>
                  <w:r>
                    <w:rPr>
                      <w:sz w:val="18"/>
                      <w:szCs w:val="18"/>
                    </w:rPr>
                    <w:t>Ⅰ</w:t>
                  </w:r>
                </w:p>
              </w:tc>
              <w:tc>
                <w:tcPr>
                  <w:tcW w:w="739" w:type="dxa"/>
                  <w:tcBorders>
                    <w:tl2br w:val="nil"/>
                    <w:tr2bl w:val="nil"/>
                  </w:tcBorders>
                  <w:vAlign w:val="center"/>
                </w:tcPr>
                <w:p>
                  <w:pPr>
                    <w:adjustRightInd w:val="0"/>
                    <w:snapToGrid w:val="0"/>
                    <w:jc w:val="center"/>
                    <w:rPr>
                      <w:sz w:val="18"/>
                      <w:szCs w:val="18"/>
                    </w:rPr>
                  </w:pPr>
                  <w:r>
                    <w:rPr>
                      <w:sz w:val="18"/>
                      <w:szCs w:val="18"/>
                    </w:rPr>
                    <w:t>→</w:t>
                  </w:r>
                </w:p>
              </w:tc>
              <w:tc>
                <w:tcPr>
                  <w:tcW w:w="739" w:type="dxa"/>
                  <w:tcBorders>
                    <w:tl2br w:val="nil"/>
                    <w:tr2bl w:val="nil"/>
                  </w:tcBorders>
                  <w:vAlign w:val="center"/>
                </w:tcPr>
                <w:p>
                  <w:pPr>
                    <w:adjustRightInd w:val="0"/>
                    <w:snapToGrid w:val="0"/>
                    <w:jc w:val="center"/>
                    <w:rPr>
                      <w:sz w:val="18"/>
                      <w:szCs w:val="18"/>
                    </w:rPr>
                  </w:pPr>
                  <w:r>
                    <w:rPr>
                      <w:sz w:val="18"/>
                      <w:szCs w:val="18"/>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923" w:type="dxa"/>
                  <w:vMerge w:val="continue"/>
                  <w:tcBorders>
                    <w:tl2br w:val="nil"/>
                    <w:tr2bl w:val="nil"/>
                  </w:tcBorders>
                  <w:vAlign w:val="center"/>
                </w:tcPr>
                <w:p>
                  <w:pPr>
                    <w:adjustRightInd w:val="0"/>
                    <w:snapToGrid w:val="0"/>
                    <w:jc w:val="center"/>
                    <w:rPr>
                      <w:sz w:val="18"/>
                      <w:szCs w:val="18"/>
                    </w:rPr>
                  </w:pPr>
                </w:p>
              </w:tc>
              <w:tc>
                <w:tcPr>
                  <w:tcW w:w="1106" w:type="dxa"/>
                  <w:vMerge w:val="continue"/>
                  <w:tcBorders>
                    <w:tl2br w:val="nil"/>
                    <w:tr2bl w:val="nil"/>
                  </w:tcBorders>
                  <w:vAlign w:val="center"/>
                </w:tcPr>
                <w:p>
                  <w:pPr>
                    <w:adjustRightInd w:val="0"/>
                    <w:snapToGrid w:val="0"/>
                    <w:jc w:val="center"/>
                    <w:rPr>
                      <w:sz w:val="18"/>
                      <w:szCs w:val="18"/>
                    </w:rPr>
                  </w:pPr>
                </w:p>
              </w:tc>
              <w:tc>
                <w:tcPr>
                  <w:tcW w:w="1126" w:type="dxa"/>
                  <w:vMerge w:val="continue"/>
                  <w:tcBorders>
                    <w:tl2br w:val="nil"/>
                    <w:tr2bl w:val="nil"/>
                  </w:tcBorders>
                  <w:vAlign w:val="center"/>
                </w:tcPr>
                <w:p>
                  <w:pPr>
                    <w:adjustRightInd w:val="0"/>
                    <w:snapToGrid w:val="0"/>
                    <w:jc w:val="center"/>
                    <w:rPr>
                      <w:sz w:val="18"/>
                      <w:szCs w:val="18"/>
                    </w:rPr>
                  </w:pPr>
                </w:p>
              </w:tc>
              <w:tc>
                <w:tcPr>
                  <w:tcW w:w="1288" w:type="dxa"/>
                  <w:tcBorders>
                    <w:tl2br w:val="nil"/>
                    <w:tr2bl w:val="nil"/>
                  </w:tcBorders>
                  <w:vAlign w:val="center"/>
                </w:tcPr>
                <w:p>
                  <w:pPr>
                    <w:adjustRightInd w:val="0"/>
                    <w:snapToGrid w:val="0"/>
                    <w:jc w:val="center"/>
                    <w:rPr>
                      <w:sz w:val="18"/>
                      <w:szCs w:val="18"/>
                    </w:rPr>
                  </w:pPr>
                  <w:r>
                    <w:rPr>
                      <w:sz w:val="18"/>
                      <w:szCs w:val="18"/>
                    </w:rPr>
                    <w:t>一统河入口</w:t>
                  </w:r>
                </w:p>
              </w:tc>
              <w:tc>
                <w:tcPr>
                  <w:tcW w:w="739" w:type="dxa"/>
                  <w:tcBorders>
                    <w:tl2br w:val="nil"/>
                    <w:tr2bl w:val="nil"/>
                  </w:tcBorders>
                  <w:vAlign w:val="center"/>
                </w:tcPr>
                <w:p>
                  <w:pPr>
                    <w:adjustRightInd w:val="0"/>
                    <w:snapToGrid w:val="0"/>
                    <w:jc w:val="center"/>
                    <w:rPr>
                      <w:sz w:val="18"/>
                      <w:szCs w:val="18"/>
                    </w:rPr>
                  </w:pPr>
                  <w:r>
                    <w:rPr>
                      <w:sz w:val="18"/>
                      <w:szCs w:val="18"/>
                    </w:rPr>
                    <w:t>/</w:t>
                  </w:r>
                </w:p>
              </w:tc>
              <w:tc>
                <w:tcPr>
                  <w:tcW w:w="739" w:type="dxa"/>
                  <w:tcBorders>
                    <w:tl2br w:val="nil"/>
                    <w:tr2bl w:val="nil"/>
                  </w:tcBorders>
                  <w:vAlign w:val="center"/>
                </w:tcPr>
                <w:p>
                  <w:pPr>
                    <w:adjustRightInd w:val="0"/>
                    <w:snapToGrid w:val="0"/>
                    <w:jc w:val="center"/>
                    <w:rPr>
                      <w:sz w:val="18"/>
                      <w:szCs w:val="18"/>
                    </w:rPr>
                  </w:pPr>
                  <w:r>
                    <w:rPr>
                      <w:sz w:val="18"/>
                      <w:szCs w:val="18"/>
                    </w:rPr>
                    <w:t>Ⅳ</w:t>
                  </w:r>
                </w:p>
              </w:tc>
              <w:tc>
                <w:tcPr>
                  <w:tcW w:w="1105" w:type="dxa"/>
                  <w:tcBorders>
                    <w:tl2br w:val="nil"/>
                    <w:tr2bl w:val="nil"/>
                  </w:tcBorders>
                  <w:vAlign w:val="center"/>
                </w:tcPr>
                <w:p>
                  <w:pPr>
                    <w:adjustRightInd w:val="0"/>
                    <w:snapToGrid w:val="0"/>
                    <w:jc w:val="center"/>
                    <w:rPr>
                      <w:sz w:val="18"/>
                      <w:szCs w:val="18"/>
                    </w:rPr>
                  </w:pPr>
                  <w:r>
                    <w:rPr>
                      <w:sz w:val="18"/>
                      <w:szCs w:val="18"/>
                    </w:rPr>
                    <w:t>Ⅲ</w:t>
                  </w:r>
                </w:p>
              </w:tc>
              <w:tc>
                <w:tcPr>
                  <w:tcW w:w="739" w:type="dxa"/>
                  <w:tcBorders>
                    <w:tl2br w:val="nil"/>
                    <w:tr2bl w:val="nil"/>
                  </w:tcBorders>
                  <w:vAlign w:val="center"/>
                </w:tcPr>
                <w:p>
                  <w:pPr>
                    <w:adjustRightInd w:val="0"/>
                    <w:snapToGrid w:val="0"/>
                    <w:jc w:val="center"/>
                    <w:rPr>
                      <w:sz w:val="18"/>
                      <w:szCs w:val="18"/>
                    </w:rPr>
                  </w:pPr>
                  <w:r>
                    <w:rPr>
                      <w:sz w:val="18"/>
                      <w:szCs w:val="18"/>
                    </w:rPr>
                    <w:t>○</w:t>
                  </w:r>
                </w:p>
              </w:tc>
              <w:tc>
                <w:tcPr>
                  <w:tcW w:w="739" w:type="dxa"/>
                  <w:tcBorders>
                    <w:tl2br w:val="nil"/>
                    <w:tr2bl w:val="nil"/>
                  </w:tcBorders>
                  <w:vAlign w:val="center"/>
                </w:tcPr>
                <w:p>
                  <w:pPr>
                    <w:adjustRightInd w:val="0"/>
                    <w:snapToGrid w:val="0"/>
                    <w:jc w:val="center"/>
                    <w:rPr>
                      <w:sz w:val="18"/>
                      <w:szCs w:val="18"/>
                    </w:rPr>
                  </w:pPr>
                  <w:r>
                    <w:rPr>
                      <w:sz w:val="18"/>
                      <w:szCs w:val="18"/>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923" w:type="dxa"/>
                  <w:vMerge w:val="continue"/>
                  <w:tcBorders>
                    <w:tl2br w:val="nil"/>
                    <w:tr2bl w:val="nil"/>
                  </w:tcBorders>
                  <w:vAlign w:val="center"/>
                </w:tcPr>
                <w:p>
                  <w:pPr>
                    <w:adjustRightInd w:val="0"/>
                    <w:snapToGrid w:val="0"/>
                    <w:jc w:val="center"/>
                    <w:rPr>
                      <w:sz w:val="18"/>
                      <w:szCs w:val="18"/>
                    </w:rPr>
                  </w:pPr>
                </w:p>
              </w:tc>
              <w:tc>
                <w:tcPr>
                  <w:tcW w:w="1106" w:type="dxa"/>
                  <w:vMerge w:val="continue"/>
                  <w:tcBorders>
                    <w:tl2br w:val="nil"/>
                    <w:tr2bl w:val="nil"/>
                  </w:tcBorders>
                  <w:vAlign w:val="center"/>
                </w:tcPr>
                <w:p>
                  <w:pPr>
                    <w:adjustRightInd w:val="0"/>
                    <w:snapToGrid w:val="0"/>
                    <w:jc w:val="center"/>
                    <w:rPr>
                      <w:sz w:val="18"/>
                      <w:szCs w:val="18"/>
                    </w:rPr>
                  </w:pPr>
                </w:p>
              </w:tc>
              <w:tc>
                <w:tcPr>
                  <w:tcW w:w="1126" w:type="dxa"/>
                  <w:vMerge w:val="restart"/>
                  <w:tcBorders>
                    <w:tl2br w:val="nil"/>
                    <w:tr2bl w:val="nil"/>
                  </w:tcBorders>
                  <w:vAlign w:val="center"/>
                </w:tcPr>
                <w:p>
                  <w:pPr>
                    <w:adjustRightInd w:val="0"/>
                    <w:snapToGrid w:val="0"/>
                    <w:jc w:val="center"/>
                    <w:rPr>
                      <w:sz w:val="18"/>
                      <w:szCs w:val="18"/>
                    </w:rPr>
                  </w:pPr>
                  <w:r>
                    <w:rPr>
                      <w:sz w:val="18"/>
                      <w:szCs w:val="18"/>
                    </w:rPr>
                    <w:t>2025.1</w:t>
                  </w:r>
                </w:p>
              </w:tc>
              <w:tc>
                <w:tcPr>
                  <w:tcW w:w="1288" w:type="dxa"/>
                  <w:tcBorders>
                    <w:tl2br w:val="nil"/>
                    <w:tr2bl w:val="nil"/>
                  </w:tcBorders>
                  <w:vAlign w:val="center"/>
                </w:tcPr>
                <w:p>
                  <w:pPr>
                    <w:adjustRightInd w:val="0"/>
                    <w:snapToGrid w:val="0"/>
                    <w:jc w:val="center"/>
                    <w:rPr>
                      <w:sz w:val="18"/>
                      <w:szCs w:val="18"/>
                    </w:rPr>
                  </w:pPr>
                  <w:r>
                    <w:rPr>
                      <w:sz w:val="18"/>
                      <w:szCs w:val="18"/>
                    </w:rPr>
                    <w:t>大迫子</w:t>
                  </w:r>
                </w:p>
              </w:tc>
              <w:tc>
                <w:tcPr>
                  <w:tcW w:w="739" w:type="dxa"/>
                  <w:tcBorders>
                    <w:tl2br w:val="nil"/>
                    <w:tr2bl w:val="nil"/>
                  </w:tcBorders>
                  <w:vAlign w:val="center"/>
                </w:tcPr>
                <w:p>
                  <w:pPr>
                    <w:adjustRightInd w:val="0"/>
                    <w:snapToGrid w:val="0"/>
                    <w:jc w:val="center"/>
                    <w:rPr>
                      <w:sz w:val="18"/>
                      <w:szCs w:val="18"/>
                    </w:rPr>
                  </w:pPr>
                  <w:r>
                    <w:rPr>
                      <w:sz w:val="18"/>
                      <w:szCs w:val="18"/>
                    </w:rPr>
                    <w:t>Ⅱ</w:t>
                  </w:r>
                </w:p>
              </w:tc>
              <w:tc>
                <w:tcPr>
                  <w:tcW w:w="739" w:type="dxa"/>
                  <w:tcBorders>
                    <w:tl2br w:val="nil"/>
                    <w:tr2bl w:val="nil"/>
                  </w:tcBorders>
                  <w:vAlign w:val="center"/>
                </w:tcPr>
                <w:p>
                  <w:pPr>
                    <w:adjustRightInd w:val="0"/>
                    <w:snapToGrid w:val="0"/>
                    <w:jc w:val="center"/>
                    <w:rPr>
                      <w:sz w:val="18"/>
                      <w:szCs w:val="18"/>
                    </w:rPr>
                  </w:pPr>
                  <w:r>
                    <w:rPr>
                      <w:sz w:val="18"/>
                      <w:szCs w:val="18"/>
                    </w:rPr>
                    <w:t>Ⅱ</w:t>
                  </w:r>
                </w:p>
              </w:tc>
              <w:tc>
                <w:tcPr>
                  <w:tcW w:w="1105" w:type="dxa"/>
                  <w:tcBorders>
                    <w:tl2br w:val="nil"/>
                    <w:tr2bl w:val="nil"/>
                  </w:tcBorders>
                  <w:vAlign w:val="center"/>
                </w:tcPr>
                <w:p>
                  <w:pPr>
                    <w:adjustRightInd w:val="0"/>
                    <w:snapToGrid w:val="0"/>
                    <w:jc w:val="center"/>
                    <w:rPr>
                      <w:sz w:val="18"/>
                      <w:szCs w:val="18"/>
                    </w:rPr>
                  </w:pPr>
                  <w:r>
                    <w:rPr>
                      <w:sz w:val="18"/>
                      <w:szCs w:val="18"/>
                    </w:rPr>
                    <w:t>Ⅰ</w:t>
                  </w:r>
                </w:p>
              </w:tc>
              <w:tc>
                <w:tcPr>
                  <w:tcW w:w="739" w:type="dxa"/>
                  <w:tcBorders>
                    <w:tl2br w:val="nil"/>
                    <w:tr2bl w:val="nil"/>
                  </w:tcBorders>
                  <w:vAlign w:val="center"/>
                </w:tcPr>
                <w:p>
                  <w:pPr>
                    <w:adjustRightInd w:val="0"/>
                    <w:snapToGrid w:val="0"/>
                    <w:jc w:val="center"/>
                    <w:rPr>
                      <w:sz w:val="18"/>
                      <w:szCs w:val="18"/>
                    </w:rPr>
                  </w:pPr>
                  <w:r>
                    <w:rPr>
                      <w:sz w:val="18"/>
                      <w:szCs w:val="18"/>
                    </w:rPr>
                    <w:t>→</w:t>
                  </w:r>
                </w:p>
              </w:tc>
              <w:tc>
                <w:tcPr>
                  <w:tcW w:w="739" w:type="dxa"/>
                  <w:tcBorders>
                    <w:tl2br w:val="nil"/>
                    <w:tr2bl w:val="nil"/>
                  </w:tcBorders>
                  <w:vAlign w:val="center"/>
                </w:tcPr>
                <w:p>
                  <w:pPr>
                    <w:adjustRightInd w:val="0"/>
                    <w:snapToGrid w:val="0"/>
                    <w:jc w:val="center"/>
                    <w:rPr>
                      <w:sz w:val="18"/>
                      <w:szCs w:val="18"/>
                    </w:rPr>
                  </w:pPr>
                  <w:r>
                    <w:rPr>
                      <w:sz w:val="18"/>
                      <w:szCs w:val="18"/>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923" w:type="dxa"/>
                  <w:vMerge w:val="continue"/>
                  <w:tcBorders>
                    <w:tl2br w:val="nil"/>
                    <w:tr2bl w:val="nil"/>
                  </w:tcBorders>
                  <w:vAlign w:val="center"/>
                </w:tcPr>
                <w:p>
                  <w:pPr>
                    <w:adjustRightInd w:val="0"/>
                    <w:snapToGrid w:val="0"/>
                    <w:jc w:val="center"/>
                    <w:rPr>
                      <w:sz w:val="18"/>
                      <w:szCs w:val="18"/>
                    </w:rPr>
                  </w:pPr>
                </w:p>
              </w:tc>
              <w:tc>
                <w:tcPr>
                  <w:tcW w:w="1106" w:type="dxa"/>
                  <w:vMerge w:val="continue"/>
                  <w:tcBorders>
                    <w:tl2br w:val="nil"/>
                    <w:tr2bl w:val="nil"/>
                  </w:tcBorders>
                  <w:vAlign w:val="center"/>
                </w:tcPr>
                <w:p>
                  <w:pPr>
                    <w:adjustRightInd w:val="0"/>
                    <w:snapToGrid w:val="0"/>
                    <w:jc w:val="center"/>
                    <w:rPr>
                      <w:sz w:val="18"/>
                      <w:szCs w:val="18"/>
                    </w:rPr>
                  </w:pPr>
                </w:p>
              </w:tc>
              <w:tc>
                <w:tcPr>
                  <w:tcW w:w="1126" w:type="dxa"/>
                  <w:vMerge w:val="continue"/>
                  <w:tcBorders>
                    <w:tl2br w:val="nil"/>
                    <w:tr2bl w:val="nil"/>
                  </w:tcBorders>
                  <w:vAlign w:val="center"/>
                </w:tcPr>
                <w:p>
                  <w:pPr>
                    <w:adjustRightInd w:val="0"/>
                    <w:snapToGrid w:val="0"/>
                    <w:jc w:val="center"/>
                    <w:rPr>
                      <w:sz w:val="18"/>
                      <w:szCs w:val="18"/>
                    </w:rPr>
                  </w:pPr>
                </w:p>
              </w:tc>
              <w:tc>
                <w:tcPr>
                  <w:tcW w:w="1288" w:type="dxa"/>
                  <w:tcBorders>
                    <w:tl2br w:val="nil"/>
                    <w:tr2bl w:val="nil"/>
                  </w:tcBorders>
                  <w:vAlign w:val="center"/>
                </w:tcPr>
                <w:p>
                  <w:pPr>
                    <w:adjustRightInd w:val="0"/>
                    <w:snapToGrid w:val="0"/>
                    <w:jc w:val="center"/>
                    <w:rPr>
                      <w:sz w:val="18"/>
                      <w:szCs w:val="18"/>
                    </w:rPr>
                  </w:pPr>
                  <w:r>
                    <w:rPr>
                      <w:sz w:val="18"/>
                      <w:szCs w:val="18"/>
                    </w:rPr>
                    <w:t>一统河入口</w:t>
                  </w:r>
                </w:p>
              </w:tc>
              <w:tc>
                <w:tcPr>
                  <w:tcW w:w="739" w:type="dxa"/>
                  <w:tcBorders>
                    <w:tl2br w:val="nil"/>
                    <w:tr2bl w:val="nil"/>
                  </w:tcBorders>
                  <w:vAlign w:val="center"/>
                </w:tcPr>
                <w:p>
                  <w:pPr>
                    <w:adjustRightInd w:val="0"/>
                    <w:snapToGrid w:val="0"/>
                    <w:jc w:val="center"/>
                    <w:rPr>
                      <w:sz w:val="18"/>
                      <w:szCs w:val="18"/>
                    </w:rPr>
                  </w:pPr>
                  <w:r>
                    <w:rPr>
                      <w:sz w:val="18"/>
                      <w:szCs w:val="18"/>
                    </w:rPr>
                    <w:t>Ⅳ</w:t>
                  </w:r>
                </w:p>
              </w:tc>
              <w:tc>
                <w:tcPr>
                  <w:tcW w:w="739" w:type="dxa"/>
                  <w:tcBorders>
                    <w:tl2br w:val="nil"/>
                    <w:tr2bl w:val="nil"/>
                  </w:tcBorders>
                  <w:vAlign w:val="center"/>
                </w:tcPr>
                <w:p>
                  <w:pPr>
                    <w:adjustRightInd w:val="0"/>
                    <w:snapToGrid w:val="0"/>
                    <w:jc w:val="center"/>
                    <w:rPr>
                      <w:sz w:val="18"/>
                      <w:szCs w:val="18"/>
                    </w:rPr>
                  </w:pPr>
                  <w:r>
                    <w:rPr>
                      <w:sz w:val="18"/>
                      <w:szCs w:val="18"/>
                    </w:rPr>
                    <w:t>/</w:t>
                  </w:r>
                </w:p>
              </w:tc>
              <w:tc>
                <w:tcPr>
                  <w:tcW w:w="1105" w:type="dxa"/>
                  <w:tcBorders>
                    <w:tl2br w:val="nil"/>
                    <w:tr2bl w:val="nil"/>
                  </w:tcBorders>
                  <w:vAlign w:val="center"/>
                </w:tcPr>
                <w:p>
                  <w:pPr>
                    <w:adjustRightInd w:val="0"/>
                    <w:snapToGrid w:val="0"/>
                    <w:jc w:val="center"/>
                    <w:rPr>
                      <w:sz w:val="18"/>
                      <w:szCs w:val="18"/>
                    </w:rPr>
                  </w:pPr>
                  <w:r>
                    <w:rPr>
                      <w:sz w:val="18"/>
                      <w:szCs w:val="18"/>
                    </w:rPr>
                    <w:t>Ⅲ</w:t>
                  </w:r>
                </w:p>
              </w:tc>
              <w:tc>
                <w:tcPr>
                  <w:tcW w:w="739" w:type="dxa"/>
                  <w:tcBorders>
                    <w:tl2br w:val="nil"/>
                    <w:tr2bl w:val="nil"/>
                  </w:tcBorders>
                  <w:vAlign w:val="center"/>
                </w:tcPr>
                <w:p>
                  <w:pPr>
                    <w:adjustRightInd w:val="0"/>
                    <w:snapToGrid w:val="0"/>
                    <w:jc w:val="center"/>
                    <w:rPr>
                      <w:sz w:val="18"/>
                      <w:szCs w:val="18"/>
                    </w:rPr>
                  </w:pPr>
                  <w:r>
                    <w:rPr>
                      <w:sz w:val="18"/>
                      <w:szCs w:val="18"/>
                    </w:rPr>
                    <w:t>○</w:t>
                  </w:r>
                </w:p>
              </w:tc>
              <w:tc>
                <w:tcPr>
                  <w:tcW w:w="739" w:type="dxa"/>
                  <w:tcBorders>
                    <w:tl2br w:val="nil"/>
                    <w:tr2bl w:val="nil"/>
                  </w:tcBorders>
                  <w:vAlign w:val="center"/>
                </w:tcPr>
                <w:p>
                  <w:pPr>
                    <w:adjustRightInd w:val="0"/>
                    <w:snapToGrid w:val="0"/>
                    <w:jc w:val="center"/>
                    <w:rPr>
                      <w:sz w:val="18"/>
                      <w:szCs w:val="18"/>
                    </w:rPr>
                  </w:pPr>
                  <w:r>
                    <w:rPr>
                      <w:sz w:val="18"/>
                      <w:szCs w:val="18"/>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8504" w:type="dxa"/>
                  <w:gridSpan w:val="9"/>
                  <w:tcBorders>
                    <w:tl2br w:val="nil"/>
                    <w:tr2bl w:val="nil"/>
                  </w:tcBorders>
                  <w:vAlign w:val="center"/>
                </w:tcPr>
                <w:p>
                  <w:pPr>
                    <w:adjustRightInd w:val="0"/>
                    <w:snapToGrid w:val="0"/>
                    <w:rPr>
                      <w:sz w:val="18"/>
                      <w:szCs w:val="18"/>
                    </w:rPr>
                  </w:pPr>
                  <w:r>
                    <w:rPr>
                      <w:sz w:val="18"/>
                      <w:szCs w:val="18"/>
                    </w:rPr>
                    <w:t>注：“/”未监测，“↑”水质有所好转，</w:t>
                  </w:r>
                  <w:bookmarkStart w:id="11" w:name="_Hlk65885556"/>
                  <w:r>
                    <w:rPr>
                      <w:sz w:val="18"/>
                      <w:szCs w:val="18"/>
                    </w:rPr>
                    <w:fldChar w:fldCharType="begin"/>
                  </w:r>
                  <w:r>
                    <w:rPr>
                      <w:sz w:val="18"/>
                      <w:szCs w:val="18"/>
                    </w:rPr>
                    <w:instrText xml:space="preserve"> HYPERLINK "javascript:void(0)" \o "\“↑↑\”水质明显好转，\“→\”水质无明显变化，" </w:instrText>
                  </w:r>
                  <w:r>
                    <w:rPr>
                      <w:sz w:val="18"/>
                      <w:szCs w:val="18"/>
                    </w:rPr>
                    <w:fldChar w:fldCharType="separate"/>
                  </w:r>
                  <w:r>
                    <w:rPr>
                      <w:sz w:val="18"/>
                      <w:szCs w:val="18"/>
                    </w:rPr>
                    <w:t>“↑↑”水质明显好转，“→”水质无明显变化，</w:t>
                  </w:r>
                  <w:bookmarkEnd w:id="11"/>
                  <w:r>
                    <w:rPr>
                      <w:sz w:val="18"/>
                      <w:szCs w:val="18"/>
                    </w:rPr>
                    <w:fldChar w:fldCharType="end"/>
                  </w:r>
                  <w:r>
                    <w:rPr>
                      <w:sz w:val="18"/>
                      <w:szCs w:val="18"/>
                    </w:rPr>
                    <w:t>“↓”水质有所下降，“↓↓”水质明显下降，“○”没有数据无法比较。</w:t>
                  </w:r>
                </w:p>
              </w:tc>
            </w:tr>
          </w:tbl>
          <w:p>
            <w:pPr>
              <w:spacing w:line="360" w:lineRule="auto"/>
              <w:ind w:firstLine="420" w:firstLineChars="200"/>
              <w:jc w:val="left"/>
            </w:pPr>
            <w:r>
              <w:t>二、大气环境</w:t>
            </w:r>
          </w:p>
          <w:p>
            <w:pPr>
              <w:spacing w:line="360" w:lineRule="auto"/>
              <w:ind w:firstLine="420" w:firstLineChars="200"/>
              <w:jc w:val="left"/>
            </w:pPr>
            <w:r>
              <w:t>1、常规污染物</w:t>
            </w:r>
          </w:p>
          <w:p>
            <w:pPr>
              <w:spacing w:line="360" w:lineRule="auto"/>
              <w:ind w:firstLine="420" w:firstLineChars="200"/>
              <w:jc w:val="left"/>
              <w:rPr>
                <w:kern w:val="0"/>
                <w:szCs w:val="21"/>
              </w:rPr>
            </w:pPr>
            <w:r>
              <w:rPr>
                <w:kern w:val="0"/>
                <w:szCs w:val="21"/>
              </w:rPr>
              <w:t>根据《建设项目环境影响报告表编制技术指南（污染影响类）》（试行）的有关规定，项目所在地大气环境质量现状常规污染物引用于建设项目距离近的有效数据，包括近3年的规划环境影响评价的监测数据，国家、地方环境空气质量监测网络或生态环境主管部门公开发布的质量数据等。</w:t>
            </w:r>
          </w:p>
          <w:p>
            <w:pPr>
              <w:spacing w:line="360" w:lineRule="auto"/>
              <w:ind w:firstLine="420" w:firstLineChars="200"/>
              <w:jc w:val="left"/>
              <w:rPr>
                <w:kern w:val="0"/>
                <w:szCs w:val="21"/>
              </w:rPr>
            </w:pPr>
            <w:r>
              <w:rPr>
                <w:kern w:val="0"/>
                <w:szCs w:val="21"/>
              </w:rPr>
              <w:t>根据《2025年吉林省生态环境状况公报》可知，全省9个地级及以上城市环境空气质量平均优良天数比例为92.8%，同比下降0.1个百分点；平均重度及以上污染天数比例为0.6%，同比上升0.1个百分点。年平均浓度均达到国家二级标准，其中可吸入颗粒物（PM</w:t>
            </w:r>
            <w:r>
              <w:rPr>
                <w:kern w:val="0"/>
                <w:szCs w:val="21"/>
                <w:vertAlign w:val="subscript"/>
              </w:rPr>
              <w:t>10</w:t>
            </w:r>
            <w:r>
              <w:rPr>
                <w:kern w:val="0"/>
                <w:szCs w:val="21"/>
              </w:rPr>
              <w:t>）年平均浓度为46微克/立方米；细颗粒物（PM</w:t>
            </w:r>
            <w:r>
              <w:rPr>
                <w:kern w:val="0"/>
                <w:szCs w:val="21"/>
                <w:vertAlign w:val="subscript"/>
              </w:rPr>
              <w:t>2.5</w:t>
            </w:r>
            <w:r>
              <w:rPr>
                <w:kern w:val="0"/>
                <w:szCs w:val="21"/>
              </w:rPr>
              <w:t>）年平均浓度为28.5微克/立方米；二氧化硫（SO</w:t>
            </w:r>
            <w:r>
              <w:rPr>
                <w:kern w:val="0"/>
                <w:szCs w:val="21"/>
                <w:vertAlign w:val="subscript"/>
              </w:rPr>
              <w:t>2</w:t>
            </w:r>
            <w:r>
              <w:rPr>
                <w:kern w:val="0"/>
                <w:szCs w:val="21"/>
              </w:rPr>
              <w:t>）年平均浓度为8微克/立方米；二氧化氮（NO</w:t>
            </w:r>
            <w:r>
              <w:rPr>
                <w:kern w:val="0"/>
                <w:szCs w:val="21"/>
                <w:vertAlign w:val="subscript"/>
              </w:rPr>
              <w:t>2</w:t>
            </w:r>
            <w:r>
              <w:rPr>
                <w:kern w:val="0"/>
                <w:szCs w:val="21"/>
              </w:rPr>
              <w:t>）年平均浓度为20微克/立方米；一氧化碳（CO）年平均浓度为1.0毫克/立方米；臭氧（O</w:t>
            </w:r>
            <w:r>
              <w:rPr>
                <w:kern w:val="0"/>
                <w:szCs w:val="21"/>
                <w:vertAlign w:val="subscript"/>
              </w:rPr>
              <w:t>3</w:t>
            </w:r>
            <w:r>
              <w:rPr>
                <w:kern w:val="0"/>
                <w:szCs w:val="21"/>
              </w:rPr>
              <w:t>）年平均浓度为125微克/立方米。</w:t>
            </w:r>
          </w:p>
          <w:p>
            <w:pPr>
              <w:spacing w:line="360" w:lineRule="auto"/>
              <w:jc w:val="left"/>
              <w:rPr>
                <w:kern w:val="0"/>
                <w:szCs w:val="21"/>
              </w:rPr>
            </w:pPr>
            <w:r>
              <w:rPr>
                <w:rFonts w:ascii="Times New Roman" w:hAnsi="Times New Roman" w:eastAsia="宋体" w:cs="Times New Roman"/>
                <w:kern w:val="2"/>
                <w:sz w:val="21"/>
                <w:szCs w:val="22"/>
                <w:lang w:val="en-US" w:eastAsia="zh-CN" w:bidi="ar-SA"/>
              </w:rPr>
              <w:pict>
                <v:shape id="_x0000_i1025" o:spt="75" type="#_x0000_t75" style="height:267.15pt;width:424.85pt;" fillcolor="#FFFFFF" filled="f" o:preferrelative="t" stroked="t" coordsize="21600,21600">
                  <v:path/>
                  <v:fill on="f" color2="#FFFFFF" focussize="0,0"/>
                  <v:stroke weight="0.5pt" color="#000000" color2="#FFFFFF" opacity="65536f" miterlimit="2"/>
                  <v:imagedata r:id="rId6" gain="65536f" blacklevel="0f" gamma="0" o:title=""/>
                  <o:lock v:ext="edit" position="f" selection="f" grouping="f" rotation="f" cropping="f" text="f" aspectratio="t"/>
                  <w10:wrap type="none"/>
                  <w10:anchorlock/>
                </v:shape>
              </w:pict>
            </w:r>
          </w:p>
          <w:p>
            <w:pPr>
              <w:spacing w:line="360" w:lineRule="auto"/>
              <w:ind w:firstLine="420" w:firstLineChars="200"/>
              <w:jc w:val="left"/>
              <w:rPr>
                <w:kern w:val="0"/>
                <w:szCs w:val="21"/>
              </w:rPr>
            </w:pPr>
            <w:r>
              <w:rPr>
                <w:kern w:val="0"/>
                <w:szCs w:val="21"/>
              </w:rPr>
              <w:t>区域环境空气质量现状评价详见表12。</w:t>
            </w:r>
          </w:p>
          <w:p>
            <w:pPr>
              <w:jc w:val="center"/>
              <w:rPr>
                <w:b/>
                <w:bCs/>
              </w:rPr>
            </w:pPr>
          </w:p>
          <w:p>
            <w:pPr>
              <w:jc w:val="center"/>
              <w:rPr>
                <w:b/>
                <w:bCs/>
              </w:rPr>
            </w:pPr>
          </w:p>
          <w:p>
            <w:pPr>
              <w:jc w:val="center"/>
              <w:rPr>
                <w:b/>
                <w:bCs/>
              </w:rPr>
            </w:pPr>
          </w:p>
          <w:p>
            <w:pPr>
              <w:jc w:val="center"/>
              <w:rPr>
                <w:b/>
                <w:bCs/>
              </w:rPr>
            </w:pPr>
            <w:r>
              <w:rPr>
                <w:b/>
                <w:bCs/>
              </w:rPr>
              <w:t>表12  区域环境空气质量现状评价表</w:t>
            </w:r>
          </w:p>
          <w:tbl>
            <w:tblPr>
              <w:tblStyle w:val="26"/>
              <w:tblW w:w="8499" w:type="dxa"/>
              <w:tblInd w:w="0" w:type="dxa"/>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Layout w:type="fixed"/>
              <w:tblCellMar>
                <w:top w:w="0" w:type="dxa"/>
                <w:left w:w="0" w:type="dxa"/>
                <w:bottom w:w="0" w:type="dxa"/>
                <w:right w:w="0" w:type="dxa"/>
              </w:tblCellMar>
            </w:tblPr>
            <w:tblGrid>
              <w:gridCol w:w="917"/>
              <w:gridCol w:w="2440"/>
              <w:gridCol w:w="822"/>
              <w:gridCol w:w="1228"/>
              <w:gridCol w:w="925"/>
              <w:gridCol w:w="948"/>
              <w:gridCol w:w="1219"/>
            </w:tblGrid>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c>
                <w:tcPr>
                  <w:tcW w:w="917" w:type="dxa"/>
                  <w:tcBorders>
                    <w:tl2br w:val="nil"/>
                    <w:tr2bl w:val="nil"/>
                  </w:tcBorders>
                  <w:vAlign w:val="center"/>
                </w:tcPr>
                <w:p>
                  <w:pPr>
                    <w:adjustRightInd w:val="0"/>
                    <w:snapToGrid w:val="0"/>
                    <w:jc w:val="center"/>
                    <w:rPr>
                      <w:sz w:val="18"/>
                      <w:szCs w:val="18"/>
                      <w:lang w:val="zh-CN"/>
                    </w:rPr>
                  </w:pPr>
                  <w:r>
                    <w:rPr>
                      <w:sz w:val="18"/>
                      <w:szCs w:val="18"/>
                      <w:lang w:val="zh-CN"/>
                    </w:rPr>
                    <w:t>污染物</w:t>
                  </w:r>
                </w:p>
              </w:tc>
              <w:tc>
                <w:tcPr>
                  <w:tcW w:w="2440" w:type="dxa"/>
                  <w:tcBorders>
                    <w:tl2br w:val="nil"/>
                    <w:tr2bl w:val="nil"/>
                  </w:tcBorders>
                  <w:vAlign w:val="center"/>
                </w:tcPr>
                <w:p>
                  <w:pPr>
                    <w:adjustRightInd w:val="0"/>
                    <w:snapToGrid w:val="0"/>
                    <w:jc w:val="center"/>
                    <w:rPr>
                      <w:sz w:val="18"/>
                      <w:szCs w:val="18"/>
                      <w:lang w:val="zh-CN"/>
                    </w:rPr>
                  </w:pPr>
                  <w:r>
                    <w:rPr>
                      <w:sz w:val="18"/>
                      <w:szCs w:val="18"/>
                      <w:lang w:val="zh-CN"/>
                    </w:rPr>
                    <w:t>年评价指标</w:t>
                  </w:r>
                </w:p>
              </w:tc>
              <w:tc>
                <w:tcPr>
                  <w:tcW w:w="822" w:type="dxa"/>
                  <w:tcBorders>
                    <w:tl2br w:val="nil"/>
                    <w:tr2bl w:val="nil"/>
                  </w:tcBorders>
                  <w:vAlign w:val="center"/>
                </w:tcPr>
                <w:p>
                  <w:pPr>
                    <w:adjustRightInd w:val="0"/>
                    <w:snapToGrid w:val="0"/>
                    <w:jc w:val="center"/>
                    <w:rPr>
                      <w:sz w:val="18"/>
                      <w:szCs w:val="18"/>
                    </w:rPr>
                  </w:pPr>
                  <w:r>
                    <w:rPr>
                      <w:sz w:val="18"/>
                      <w:szCs w:val="18"/>
                    </w:rPr>
                    <w:t>单位</w:t>
                  </w:r>
                </w:p>
              </w:tc>
              <w:tc>
                <w:tcPr>
                  <w:tcW w:w="1228" w:type="dxa"/>
                  <w:tcBorders>
                    <w:tl2br w:val="nil"/>
                    <w:tr2bl w:val="nil"/>
                  </w:tcBorders>
                  <w:vAlign w:val="center"/>
                </w:tcPr>
                <w:p>
                  <w:pPr>
                    <w:adjustRightInd w:val="0"/>
                    <w:snapToGrid w:val="0"/>
                    <w:jc w:val="center"/>
                    <w:rPr>
                      <w:sz w:val="18"/>
                      <w:szCs w:val="18"/>
                      <w:lang w:val="zh-CN"/>
                    </w:rPr>
                  </w:pPr>
                  <w:r>
                    <w:rPr>
                      <w:sz w:val="18"/>
                      <w:szCs w:val="18"/>
                      <w:lang w:val="zh-CN"/>
                    </w:rPr>
                    <w:t>现状浓度</w:t>
                  </w:r>
                </w:p>
              </w:tc>
              <w:tc>
                <w:tcPr>
                  <w:tcW w:w="925" w:type="dxa"/>
                  <w:tcBorders>
                    <w:tl2br w:val="nil"/>
                    <w:tr2bl w:val="nil"/>
                  </w:tcBorders>
                  <w:vAlign w:val="center"/>
                </w:tcPr>
                <w:p>
                  <w:pPr>
                    <w:adjustRightInd w:val="0"/>
                    <w:snapToGrid w:val="0"/>
                    <w:jc w:val="center"/>
                    <w:rPr>
                      <w:sz w:val="18"/>
                      <w:szCs w:val="18"/>
                      <w:lang w:val="zh-CN"/>
                    </w:rPr>
                  </w:pPr>
                  <w:r>
                    <w:rPr>
                      <w:sz w:val="18"/>
                      <w:szCs w:val="18"/>
                      <w:lang w:val="zh-CN"/>
                    </w:rPr>
                    <w:t>标准值</w:t>
                  </w:r>
                </w:p>
              </w:tc>
              <w:tc>
                <w:tcPr>
                  <w:tcW w:w="948" w:type="dxa"/>
                  <w:tcBorders>
                    <w:tl2br w:val="nil"/>
                    <w:tr2bl w:val="nil"/>
                  </w:tcBorders>
                  <w:vAlign w:val="center"/>
                </w:tcPr>
                <w:p>
                  <w:pPr>
                    <w:adjustRightInd w:val="0"/>
                    <w:snapToGrid w:val="0"/>
                    <w:jc w:val="center"/>
                    <w:rPr>
                      <w:sz w:val="18"/>
                      <w:szCs w:val="18"/>
                      <w:lang w:val="zh-CN"/>
                    </w:rPr>
                  </w:pPr>
                  <w:r>
                    <w:rPr>
                      <w:sz w:val="18"/>
                      <w:szCs w:val="18"/>
                      <w:lang w:val="zh-CN"/>
                    </w:rPr>
                    <w:t>占标率</w:t>
                  </w:r>
                </w:p>
              </w:tc>
              <w:tc>
                <w:tcPr>
                  <w:tcW w:w="1219" w:type="dxa"/>
                  <w:tcBorders>
                    <w:tl2br w:val="nil"/>
                    <w:tr2bl w:val="nil"/>
                  </w:tcBorders>
                  <w:vAlign w:val="center"/>
                </w:tcPr>
                <w:p>
                  <w:pPr>
                    <w:adjustRightInd w:val="0"/>
                    <w:snapToGrid w:val="0"/>
                    <w:jc w:val="center"/>
                    <w:rPr>
                      <w:sz w:val="18"/>
                      <w:szCs w:val="18"/>
                      <w:lang w:val="zh-CN"/>
                    </w:rPr>
                  </w:pPr>
                  <w:r>
                    <w:rPr>
                      <w:sz w:val="18"/>
                      <w:szCs w:val="18"/>
                      <w:lang w:val="zh-CN"/>
                    </w:rPr>
                    <w:t>达标情况</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PrEx>
              <w:tc>
                <w:tcPr>
                  <w:tcW w:w="917" w:type="dxa"/>
                  <w:tcBorders>
                    <w:tl2br w:val="nil"/>
                    <w:tr2bl w:val="nil"/>
                  </w:tcBorders>
                  <w:vAlign w:val="center"/>
                </w:tcPr>
                <w:p>
                  <w:pPr>
                    <w:adjustRightInd w:val="0"/>
                    <w:snapToGrid w:val="0"/>
                    <w:jc w:val="center"/>
                    <w:rPr>
                      <w:sz w:val="18"/>
                      <w:szCs w:val="18"/>
                      <w:lang w:val="zh-CN"/>
                    </w:rPr>
                  </w:pPr>
                  <w:r>
                    <w:rPr>
                      <w:sz w:val="18"/>
                      <w:szCs w:val="18"/>
                      <w:lang w:val="zh-CN"/>
                    </w:rPr>
                    <w:t>SO</w:t>
                  </w:r>
                  <w:r>
                    <w:rPr>
                      <w:sz w:val="18"/>
                      <w:szCs w:val="18"/>
                      <w:vertAlign w:val="subscript"/>
                      <w:lang w:val="zh-CN"/>
                    </w:rPr>
                    <w:t>2</w:t>
                  </w:r>
                </w:p>
              </w:tc>
              <w:tc>
                <w:tcPr>
                  <w:tcW w:w="2440" w:type="dxa"/>
                  <w:tcBorders>
                    <w:tl2br w:val="nil"/>
                    <w:tr2bl w:val="nil"/>
                  </w:tcBorders>
                  <w:vAlign w:val="center"/>
                </w:tcPr>
                <w:p>
                  <w:pPr>
                    <w:adjustRightInd w:val="0"/>
                    <w:snapToGrid w:val="0"/>
                    <w:jc w:val="center"/>
                    <w:rPr>
                      <w:sz w:val="18"/>
                      <w:szCs w:val="18"/>
                      <w:lang w:val="zh-CN"/>
                    </w:rPr>
                  </w:pPr>
                  <w:r>
                    <w:rPr>
                      <w:sz w:val="18"/>
                      <w:szCs w:val="18"/>
                      <w:lang w:val="zh-CN"/>
                    </w:rPr>
                    <w:t>年平均质量浓度</w:t>
                  </w:r>
                </w:p>
              </w:tc>
              <w:tc>
                <w:tcPr>
                  <w:tcW w:w="822" w:type="dxa"/>
                  <w:tcBorders>
                    <w:tl2br w:val="nil"/>
                    <w:tr2bl w:val="nil"/>
                  </w:tcBorders>
                  <w:vAlign w:val="center"/>
                </w:tcPr>
                <w:p>
                  <w:pPr>
                    <w:adjustRightInd w:val="0"/>
                    <w:snapToGrid w:val="0"/>
                    <w:jc w:val="center"/>
                    <w:rPr>
                      <w:sz w:val="18"/>
                      <w:szCs w:val="18"/>
                    </w:rPr>
                  </w:pPr>
                  <w:r>
                    <w:rPr>
                      <w:sz w:val="18"/>
                      <w:szCs w:val="18"/>
                      <w:lang w:val="zh-CN"/>
                    </w:rPr>
                    <w:t>µg/m</w:t>
                  </w:r>
                  <w:r>
                    <w:rPr>
                      <w:sz w:val="18"/>
                      <w:szCs w:val="18"/>
                      <w:vertAlign w:val="superscript"/>
                      <w:lang w:val="zh-CN"/>
                    </w:rPr>
                    <w:t>3</w:t>
                  </w:r>
                </w:p>
              </w:tc>
              <w:tc>
                <w:tcPr>
                  <w:tcW w:w="1228" w:type="dxa"/>
                  <w:tcBorders>
                    <w:tl2br w:val="nil"/>
                    <w:tr2bl w:val="nil"/>
                  </w:tcBorders>
                  <w:vAlign w:val="center"/>
                </w:tcPr>
                <w:p>
                  <w:pPr>
                    <w:adjustRightInd w:val="0"/>
                    <w:snapToGrid w:val="0"/>
                    <w:jc w:val="center"/>
                    <w:rPr>
                      <w:sz w:val="18"/>
                      <w:szCs w:val="18"/>
                    </w:rPr>
                  </w:pPr>
                  <w:r>
                    <w:rPr>
                      <w:sz w:val="18"/>
                      <w:szCs w:val="18"/>
                    </w:rPr>
                    <w:t>12</w:t>
                  </w:r>
                </w:p>
              </w:tc>
              <w:tc>
                <w:tcPr>
                  <w:tcW w:w="925" w:type="dxa"/>
                  <w:tcBorders>
                    <w:tl2br w:val="nil"/>
                    <w:tr2bl w:val="nil"/>
                  </w:tcBorders>
                  <w:vAlign w:val="center"/>
                </w:tcPr>
                <w:p>
                  <w:pPr>
                    <w:adjustRightInd w:val="0"/>
                    <w:snapToGrid w:val="0"/>
                    <w:jc w:val="center"/>
                    <w:rPr>
                      <w:sz w:val="18"/>
                      <w:szCs w:val="18"/>
                    </w:rPr>
                  </w:pPr>
                  <w:r>
                    <w:rPr>
                      <w:sz w:val="18"/>
                      <w:szCs w:val="18"/>
                    </w:rPr>
                    <w:t>60</w:t>
                  </w:r>
                </w:p>
              </w:tc>
              <w:tc>
                <w:tcPr>
                  <w:tcW w:w="948" w:type="dxa"/>
                  <w:tcBorders>
                    <w:tl2br w:val="nil"/>
                    <w:tr2bl w:val="nil"/>
                  </w:tcBorders>
                  <w:vAlign w:val="center"/>
                </w:tcPr>
                <w:p>
                  <w:pPr>
                    <w:adjustRightInd w:val="0"/>
                    <w:snapToGrid w:val="0"/>
                    <w:jc w:val="center"/>
                    <w:rPr>
                      <w:sz w:val="18"/>
                      <w:szCs w:val="18"/>
                      <w:lang w:val="zh-CN"/>
                    </w:rPr>
                  </w:pPr>
                  <w:r>
                    <w:rPr>
                      <w:sz w:val="18"/>
                      <w:szCs w:val="18"/>
                    </w:rPr>
                    <w:t>20.00%</w:t>
                  </w:r>
                </w:p>
              </w:tc>
              <w:tc>
                <w:tcPr>
                  <w:tcW w:w="1219" w:type="dxa"/>
                  <w:tcBorders>
                    <w:tl2br w:val="nil"/>
                    <w:tr2bl w:val="nil"/>
                  </w:tcBorders>
                  <w:vAlign w:val="center"/>
                </w:tcPr>
                <w:p>
                  <w:pPr>
                    <w:adjustRightInd w:val="0"/>
                    <w:snapToGrid w:val="0"/>
                    <w:jc w:val="center"/>
                    <w:rPr>
                      <w:sz w:val="18"/>
                      <w:szCs w:val="18"/>
                      <w:lang w:val="zh-CN"/>
                    </w:rPr>
                  </w:pPr>
                  <w:r>
                    <w:rPr>
                      <w:sz w:val="18"/>
                      <w:szCs w:val="18"/>
                      <w:lang w:val="zh-CN"/>
                    </w:rPr>
                    <w:t>达标</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c>
                <w:tcPr>
                  <w:tcW w:w="917" w:type="dxa"/>
                  <w:tcBorders>
                    <w:tl2br w:val="nil"/>
                    <w:tr2bl w:val="nil"/>
                  </w:tcBorders>
                  <w:vAlign w:val="center"/>
                </w:tcPr>
                <w:p>
                  <w:pPr>
                    <w:adjustRightInd w:val="0"/>
                    <w:snapToGrid w:val="0"/>
                    <w:jc w:val="center"/>
                    <w:rPr>
                      <w:sz w:val="18"/>
                      <w:szCs w:val="18"/>
                      <w:lang w:val="zh-CN"/>
                    </w:rPr>
                  </w:pPr>
                  <w:r>
                    <w:rPr>
                      <w:sz w:val="18"/>
                      <w:szCs w:val="18"/>
                      <w:lang w:val="zh-CN"/>
                    </w:rPr>
                    <w:t>NO</w:t>
                  </w:r>
                  <w:r>
                    <w:rPr>
                      <w:sz w:val="18"/>
                      <w:szCs w:val="18"/>
                      <w:vertAlign w:val="subscript"/>
                      <w:lang w:val="zh-CN"/>
                    </w:rPr>
                    <w:t>2</w:t>
                  </w:r>
                </w:p>
              </w:tc>
              <w:tc>
                <w:tcPr>
                  <w:tcW w:w="2440" w:type="dxa"/>
                  <w:tcBorders>
                    <w:tl2br w:val="nil"/>
                    <w:tr2bl w:val="nil"/>
                  </w:tcBorders>
                  <w:vAlign w:val="center"/>
                </w:tcPr>
                <w:p>
                  <w:pPr>
                    <w:adjustRightInd w:val="0"/>
                    <w:snapToGrid w:val="0"/>
                    <w:jc w:val="center"/>
                    <w:rPr>
                      <w:sz w:val="18"/>
                      <w:szCs w:val="18"/>
                      <w:lang w:val="zh-CN"/>
                    </w:rPr>
                  </w:pPr>
                  <w:r>
                    <w:rPr>
                      <w:sz w:val="18"/>
                      <w:szCs w:val="18"/>
                      <w:lang w:val="zh-CN"/>
                    </w:rPr>
                    <w:t>年平均质量浓度</w:t>
                  </w:r>
                </w:p>
              </w:tc>
              <w:tc>
                <w:tcPr>
                  <w:tcW w:w="822" w:type="dxa"/>
                  <w:tcBorders>
                    <w:tl2br w:val="nil"/>
                    <w:tr2bl w:val="nil"/>
                  </w:tcBorders>
                  <w:vAlign w:val="center"/>
                </w:tcPr>
                <w:p>
                  <w:pPr>
                    <w:adjustRightInd w:val="0"/>
                    <w:snapToGrid w:val="0"/>
                    <w:jc w:val="center"/>
                    <w:rPr>
                      <w:sz w:val="18"/>
                      <w:szCs w:val="18"/>
                    </w:rPr>
                  </w:pPr>
                  <w:r>
                    <w:rPr>
                      <w:sz w:val="18"/>
                      <w:szCs w:val="18"/>
                      <w:lang w:val="zh-CN"/>
                    </w:rPr>
                    <w:t>µg/m</w:t>
                  </w:r>
                  <w:r>
                    <w:rPr>
                      <w:sz w:val="18"/>
                      <w:szCs w:val="18"/>
                      <w:vertAlign w:val="superscript"/>
                      <w:lang w:val="zh-CN"/>
                    </w:rPr>
                    <w:t>3</w:t>
                  </w:r>
                </w:p>
              </w:tc>
              <w:tc>
                <w:tcPr>
                  <w:tcW w:w="1228" w:type="dxa"/>
                  <w:tcBorders>
                    <w:tl2br w:val="nil"/>
                    <w:tr2bl w:val="nil"/>
                  </w:tcBorders>
                  <w:vAlign w:val="center"/>
                </w:tcPr>
                <w:p>
                  <w:pPr>
                    <w:adjustRightInd w:val="0"/>
                    <w:snapToGrid w:val="0"/>
                    <w:jc w:val="center"/>
                    <w:rPr>
                      <w:sz w:val="18"/>
                      <w:szCs w:val="18"/>
                    </w:rPr>
                  </w:pPr>
                  <w:r>
                    <w:rPr>
                      <w:sz w:val="18"/>
                      <w:szCs w:val="18"/>
                    </w:rPr>
                    <w:t>21</w:t>
                  </w:r>
                </w:p>
              </w:tc>
              <w:tc>
                <w:tcPr>
                  <w:tcW w:w="925" w:type="dxa"/>
                  <w:tcBorders>
                    <w:tl2br w:val="nil"/>
                    <w:tr2bl w:val="nil"/>
                  </w:tcBorders>
                  <w:vAlign w:val="center"/>
                </w:tcPr>
                <w:p>
                  <w:pPr>
                    <w:adjustRightInd w:val="0"/>
                    <w:snapToGrid w:val="0"/>
                    <w:jc w:val="center"/>
                    <w:rPr>
                      <w:sz w:val="18"/>
                      <w:szCs w:val="18"/>
                    </w:rPr>
                  </w:pPr>
                  <w:r>
                    <w:rPr>
                      <w:sz w:val="18"/>
                      <w:szCs w:val="18"/>
                    </w:rPr>
                    <w:t>40</w:t>
                  </w:r>
                </w:p>
              </w:tc>
              <w:tc>
                <w:tcPr>
                  <w:tcW w:w="948" w:type="dxa"/>
                  <w:tcBorders>
                    <w:tl2br w:val="nil"/>
                    <w:tr2bl w:val="nil"/>
                  </w:tcBorders>
                  <w:vAlign w:val="center"/>
                </w:tcPr>
                <w:p>
                  <w:pPr>
                    <w:adjustRightInd w:val="0"/>
                    <w:snapToGrid w:val="0"/>
                    <w:jc w:val="center"/>
                    <w:rPr>
                      <w:sz w:val="18"/>
                      <w:szCs w:val="18"/>
                      <w:lang w:val="zh-CN"/>
                    </w:rPr>
                  </w:pPr>
                  <w:r>
                    <w:rPr>
                      <w:sz w:val="18"/>
                      <w:szCs w:val="18"/>
                    </w:rPr>
                    <w:t>52.50%</w:t>
                  </w:r>
                </w:p>
              </w:tc>
              <w:tc>
                <w:tcPr>
                  <w:tcW w:w="1219" w:type="dxa"/>
                  <w:tcBorders>
                    <w:tl2br w:val="nil"/>
                    <w:tr2bl w:val="nil"/>
                  </w:tcBorders>
                  <w:vAlign w:val="center"/>
                </w:tcPr>
                <w:p>
                  <w:pPr>
                    <w:adjustRightInd w:val="0"/>
                    <w:snapToGrid w:val="0"/>
                    <w:jc w:val="center"/>
                    <w:rPr>
                      <w:sz w:val="18"/>
                      <w:szCs w:val="18"/>
                      <w:lang w:val="zh-CN"/>
                    </w:rPr>
                  </w:pPr>
                  <w:r>
                    <w:rPr>
                      <w:sz w:val="18"/>
                      <w:szCs w:val="18"/>
                      <w:lang w:val="zh-CN"/>
                    </w:rPr>
                    <w:t>达标</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c>
                <w:tcPr>
                  <w:tcW w:w="917" w:type="dxa"/>
                  <w:tcBorders>
                    <w:tl2br w:val="nil"/>
                    <w:tr2bl w:val="nil"/>
                  </w:tcBorders>
                  <w:vAlign w:val="center"/>
                </w:tcPr>
                <w:p>
                  <w:pPr>
                    <w:adjustRightInd w:val="0"/>
                    <w:snapToGrid w:val="0"/>
                    <w:jc w:val="center"/>
                    <w:rPr>
                      <w:sz w:val="18"/>
                      <w:szCs w:val="18"/>
                      <w:lang w:val="zh-CN"/>
                    </w:rPr>
                  </w:pPr>
                  <w:r>
                    <w:rPr>
                      <w:sz w:val="18"/>
                      <w:szCs w:val="18"/>
                      <w:lang w:val="zh-CN"/>
                    </w:rPr>
                    <w:t>CO</w:t>
                  </w:r>
                </w:p>
              </w:tc>
              <w:tc>
                <w:tcPr>
                  <w:tcW w:w="2440" w:type="dxa"/>
                  <w:tcBorders>
                    <w:tl2br w:val="nil"/>
                    <w:tr2bl w:val="nil"/>
                  </w:tcBorders>
                  <w:vAlign w:val="center"/>
                </w:tcPr>
                <w:p>
                  <w:pPr>
                    <w:adjustRightInd w:val="0"/>
                    <w:snapToGrid w:val="0"/>
                    <w:jc w:val="center"/>
                    <w:rPr>
                      <w:sz w:val="18"/>
                      <w:szCs w:val="18"/>
                      <w:lang w:val="zh-CN"/>
                    </w:rPr>
                  </w:pPr>
                  <w:r>
                    <w:rPr>
                      <w:sz w:val="18"/>
                      <w:szCs w:val="18"/>
                      <w:lang w:val="zh-CN"/>
                    </w:rPr>
                    <w:t>百分位数日平均</w:t>
                  </w:r>
                </w:p>
              </w:tc>
              <w:tc>
                <w:tcPr>
                  <w:tcW w:w="822" w:type="dxa"/>
                  <w:tcBorders>
                    <w:tl2br w:val="nil"/>
                    <w:tr2bl w:val="nil"/>
                  </w:tcBorders>
                  <w:vAlign w:val="center"/>
                </w:tcPr>
                <w:p>
                  <w:pPr>
                    <w:adjustRightInd w:val="0"/>
                    <w:snapToGrid w:val="0"/>
                    <w:jc w:val="center"/>
                    <w:rPr>
                      <w:sz w:val="18"/>
                      <w:szCs w:val="18"/>
                      <w:lang w:val="zh-CN"/>
                    </w:rPr>
                  </w:pPr>
                  <w:r>
                    <w:rPr>
                      <w:sz w:val="18"/>
                      <w:szCs w:val="18"/>
                    </w:rPr>
                    <w:t>m</w:t>
                  </w:r>
                  <w:r>
                    <w:rPr>
                      <w:sz w:val="18"/>
                      <w:szCs w:val="18"/>
                      <w:lang w:val="zh-CN"/>
                    </w:rPr>
                    <w:t>g/m</w:t>
                  </w:r>
                  <w:r>
                    <w:rPr>
                      <w:sz w:val="18"/>
                      <w:szCs w:val="18"/>
                      <w:vertAlign w:val="superscript"/>
                      <w:lang w:val="zh-CN"/>
                    </w:rPr>
                    <w:t>3</w:t>
                  </w:r>
                </w:p>
              </w:tc>
              <w:tc>
                <w:tcPr>
                  <w:tcW w:w="1228" w:type="dxa"/>
                  <w:tcBorders>
                    <w:tl2br w:val="nil"/>
                    <w:tr2bl w:val="nil"/>
                  </w:tcBorders>
                  <w:vAlign w:val="center"/>
                </w:tcPr>
                <w:p>
                  <w:pPr>
                    <w:adjustRightInd w:val="0"/>
                    <w:snapToGrid w:val="0"/>
                    <w:jc w:val="center"/>
                    <w:rPr>
                      <w:sz w:val="18"/>
                      <w:szCs w:val="18"/>
                    </w:rPr>
                  </w:pPr>
                  <w:r>
                    <w:rPr>
                      <w:sz w:val="18"/>
                      <w:szCs w:val="18"/>
                    </w:rPr>
                    <w:t>1.2</w:t>
                  </w:r>
                </w:p>
              </w:tc>
              <w:tc>
                <w:tcPr>
                  <w:tcW w:w="925" w:type="dxa"/>
                  <w:tcBorders>
                    <w:tl2br w:val="nil"/>
                    <w:tr2bl w:val="nil"/>
                  </w:tcBorders>
                  <w:vAlign w:val="center"/>
                </w:tcPr>
                <w:p>
                  <w:pPr>
                    <w:adjustRightInd w:val="0"/>
                    <w:snapToGrid w:val="0"/>
                    <w:jc w:val="center"/>
                    <w:rPr>
                      <w:sz w:val="18"/>
                      <w:szCs w:val="18"/>
                    </w:rPr>
                  </w:pPr>
                  <w:r>
                    <w:rPr>
                      <w:sz w:val="18"/>
                      <w:szCs w:val="18"/>
                    </w:rPr>
                    <w:t>4.0</w:t>
                  </w:r>
                </w:p>
              </w:tc>
              <w:tc>
                <w:tcPr>
                  <w:tcW w:w="948" w:type="dxa"/>
                  <w:tcBorders>
                    <w:tl2br w:val="nil"/>
                    <w:tr2bl w:val="nil"/>
                  </w:tcBorders>
                  <w:vAlign w:val="center"/>
                </w:tcPr>
                <w:p>
                  <w:pPr>
                    <w:adjustRightInd w:val="0"/>
                    <w:snapToGrid w:val="0"/>
                    <w:jc w:val="center"/>
                    <w:rPr>
                      <w:sz w:val="18"/>
                      <w:szCs w:val="18"/>
                    </w:rPr>
                  </w:pPr>
                  <w:r>
                    <w:rPr>
                      <w:sz w:val="18"/>
                      <w:szCs w:val="18"/>
                    </w:rPr>
                    <w:t>30.00%</w:t>
                  </w:r>
                </w:p>
              </w:tc>
              <w:tc>
                <w:tcPr>
                  <w:tcW w:w="1219" w:type="dxa"/>
                  <w:tcBorders>
                    <w:tl2br w:val="nil"/>
                    <w:tr2bl w:val="nil"/>
                  </w:tcBorders>
                  <w:vAlign w:val="center"/>
                </w:tcPr>
                <w:p>
                  <w:pPr>
                    <w:adjustRightInd w:val="0"/>
                    <w:snapToGrid w:val="0"/>
                    <w:jc w:val="center"/>
                    <w:rPr>
                      <w:sz w:val="18"/>
                      <w:szCs w:val="18"/>
                      <w:lang w:val="zh-CN"/>
                    </w:rPr>
                  </w:pPr>
                  <w:r>
                    <w:rPr>
                      <w:sz w:val="18"/>
                      <w:szCs w:val="18"/>
                      <w:lang w:val="zh-CN"/>
                    </w:rPr>
                    <w:t>达标</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c>
                <w:tcPr>
                  <w:tcW w:w="917" w:type="dxa"/>
                  <w:tcBorders>
                    <w:tl2br w:val="nil"/>
                    <w:tr2bl w:val="nil"/>
                  </w:tcBorders>
                  <w:vAlign w:val="center"/>
                </w:tcPr>
                <w:p>
                  <w:pPr>
                    <w:adjustRightInd w:val="0"/>
                    <w:snapToGrid w:val="0"/>
                    <w:jc w:val="center"/>
                    <w:rPr>
                      <w:sz w:val="18"/>
                      <w:szCs w:val="18"/>
                      <w:lang w:val="zh-CN"/>
                    </w:rPr>
                  </w:pPr>
                  <w:r>
                    <w:rPr>
                      <w:sz w:val="18"/>
                      <w:szCs w:val="18"/>
                      <w:lang w:val="zh-CN"/>
                    </w:rPr>
                    <w:t>O</w:t>
                  </w:r>
                  <w:r>
                    <w:rPr>
                      <w:sz w:val="18"/>
                      <w:szCs w:val="18"/>
                      <w:vertAlign w:val="subscript"/>
                      <w:lang w:val="zh-CN"/>
                    </w:rPr>
                    <w:t>3</w:t>
                  </w:r>
                </w:p>
              </w:tc>
              <w:tc>
                <w:tcPr>
                  <w:tcW w:w="2440" w:type="dxa"/>
                  <w:tcBorders>
                    <w:tl2br w:val="nil"/>
                    <w:tr2bl w:val="nil"/>
                  </w:tcBorders>
                  <w:vAlign w:val="center"/>
                </w:tcPr>
                <w:p>
                  <w:pPr>
                    <w:adjustRightInd w:val="0"/>
                    <w:snapToGrid w:val="0"/>
                    <w:jc w:val="center"/>
                    <w:rPr>
                      <w:sz w:val="18"/>
                      <w:szCs w:val="18"/>
                      <w:lang w:val="zh-CN"/>
                    </w:rPr>
                  </w:pPr>
                  <w:r>
                    <w:rPr>
                      <w:sz w:val="18"/>
                      <w:szCs w:val="18"/>
                      <w:lang w:val="zh-CN"/>
                    </w:rPr>
                    <w:t>日最大8小时平均</w:t>
                  </w:r>
                </w:p>
              </w:tc>
              <w:tc>
                <w:tcPr>
                  <w:tcW w:w="822" w:type="dxa"/>
                  <w:tcBorders>
                    <w:tl2br w:val="nil"/>
                    <w:tr2bl w:val="nil"/>
                  </w:tcBorders>
                  <w:vAlign w:val="center"/>
                </w:tcPr>
                <w:p>
                  <w:pPr>
                    <w:adjustRightInd w:val="0"/>
                    <w:snapToGrid w:val="0"/>
                    <w:jc w:val="center"/>
                    <w:rPr>
                      <w:sz w:val="18"/>
                      <w:szCs w:val="18"/>
                    </w:rPr>
                  </w:pPr>
                  <w:r>
                    <w:rPr>
                      <w:sz w:val="18"/>
                      <w:szCs w:val="18"/>
                      <w:lang w:val="zh-CN"/>
                    </w:rPr>
                    <w:t>µg/m</w:t>
                  </w:r>
                  <w:r>
                    <w:rPr>
                      <w:sz w:val="18"/>
                      <w:szCs w:val="18"/>
                      <w:vertAlign w:val="superscript"/>
                      <w:lang w:val="zh-CN"/>
                    </w:rPr>
                    <w:t>3</w:t>
                  </w:r>
                </w:p>
              </w:tc>
              <w:tc>
                <w:tcPr>
                  <w:tcW w:w="1228" w:type="dxa"/>
                  <w:tcBorders>
                    <w:tl2br w:val="nil"/>
                    <w:tr2bl w:val="nil"/>
                  </w:tcBorders>
                  <w:vAlign w:val="center"/>
                </w:tcPr>
                <w:p>
                  <w:pPr>
                    <w:adjustRightInd w:val="0"/>
                    <w:snapToGrid w:val="0"/>
                    <w:jc w:val="center"/>
                    <w:rPr>
                      <w:sz w:val="18"/>
                      <w:szCs w:val="18"/>
                    </w:rPr>
                  </w:pPr>
                  <w:r>
                    <w:rPr>
                      <w:sz w:val="18"/>
                      <w:szCs w:val="18"/>
                    </w:rPr>
                    <w:t>125</w:t>
                  </w:r>
                </w:p>
              </w:tc>
              <w:tc>
                <w:tcPr>
                  <w:tcW w:w="925" w:type="dxa"/>
                  <w:tcBorders>
                    <w:tl2br w:val="nil"/>
                    <w:tr2bl w:val="nil"/>
                  </w:tcBorders>
                  <w:vAlign w:val="center"/>
                </w:tcPr>
                <w:p>
                  <w:pPr>
                    <w:adjustRightInd w:val="0"/>
                    <w:snapToGrid w:val="0"/>
                    <w:jc w:val="center"/>
                    <w:rPr>
                      <w:sz w:val="18"/>
                      <w:szCs w:val="18"/>
                    </w:rPr>
                  </w:pPr>
                  <w:r>
                    <w:rPr>
                      <w:sz w:val="18"/>
                      <w:szCs w:val="18"/>
                    </w:rPr>
                    <w:t>160</w:t>
                  </w:r>
                </w:p>
              </w:tc>
              <w:tc>
                <w:tcPr>
                  <w:tcW w:w="948" w:type="dxa"/>
                  <w:tcBorders>
                    <w:tl2br w:val="nil"/>
                    <w:tr2bl w:val="nil"/>
                  </w:tcBorders>
                  <w:vAlign w:val="center"/>
                </w:tcPr>
                <w:p>
                  <w:pPr>
                    <w:adjustRightInd w:val="0"/>
                    <w:snapToGrid w:val="0"/>
                    <w:jc w:val="center"/>
                    <w:rPr>
                      <w:sz w:val="18"/>
                      <w:szCs w:val="18"/>
                    </w:rPr>
                  </w:pPr>
                  <w:r>
                    <w:rPr>
                      <w:sz w:val="18"/>
                      <w:szCs w:val="18"/>
                    </w:rPr>
                    <w:t>78.13%</w:t>
                  </w:r>
                </w:p>
              </w:tc>
              <w:tc>
                <w:tcPr>
                  <w:tcW w:w="1219" w:type="dxa"/>
                  <w:tcBorders>
                    <w:tl2br w:val="nil"/>
                    <w:tr2bl w:val="nil"/>
                  </w:tcBorders>
                  <w:vAlign w:val="center"/>
                </w:tcPr>
                <w:p>
                  <w:pPr>
                    <w:adjustRightInd w:val="0"/>
                    <w:snapToGrid w:val="0"/>
                    <w:jc w:val="center"/>
                    <w:rPr>
                      <w:sz w:val="18"/>
                      <w:szCs w:val="18"/>
                      <w:lang w:val="zh-CN"/>
                    </w:rPr>
                  </w:pPr>
                  <w:r>
                    <w:rPr>
                      <w:sz w:val="18"/>
                      <w:szCs w:val="18"/>
                      <w:lang w:val="zh-CN"/>
                    </w:rPr>
                    <w:t>达标</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c>
                <w:tcPr>
                  <w:tcW w:w="917" w:type="dxa"/>
                  <w:tcBorders>
                    <w:tl2br w:val="nil"/>
                    <w:tr2bl w:val="nil"/>
                  </w:tcBorders>
                  <w:vAlign w:val="center"/>
                </w:tcPr>
                <w:p>
                  <w:pPr>
                    <w:adjustRightInd w:val="0"/>
                    <w:snapToGrid w:val="0"/>
                    <w:jc w:val="center"/>
                    <w:rPr>
                      <w:sz w:val="18"/>
                      <w:szCs w:val="18"/>
                      <w:lang w:val="zh-CN"/>
                    </w:rPr>
                  </w:pPr>
                  <w:r>
                    <w:rPr>
                      <w:sz w:val="18"/>
                      <w:szCs w:val="18"/>
                      <w:lang w:val="zh-CN"/>
                    </w:rPr>
                    <w:t>PM</w:t>
                  </w:r>
                  <w:r>
                    <w:rPr>
                      <w:sz w:val="18"/>
                      <w:szCs w:val="18"/>
                      <w:vertAlign w:val="subscript"/>
                      <w:lang w:val="zh-CN"/>
                    </w:rPr>
                    <w:t>10</w:t>
                  </w:r>
                </w:p>
              </w:tc>
              <w:tc>
                <w:tcPr>
                  <w:tcW w:w="2440" w:type="dxa"/>
                  <w:tcBorders>
                    <w:tl2br w:val="nil"/>
                    <w:tr2bl w:val="nil"/>
                  </w:tcBorders>
                  <w:vAlign w:val="center"/>
                </w:tcPr>
                <w:p>
                  <w:pPr>
                    <w:adjustRightInd w:val="0"/>
                    <w:snapToGrid w:val="0"/>
                    <w:jc w:val="center"/>
                    <w:rPr>
                      <w:sz w:val="18"/>
                      <w:szCs w:val="18"/>
                      <w:lang w:val="zh-CN"/>
                    </w:rPr>
                  </w:pPr>
                  <w:r>
                    <w:rPr>
                      <w:sz w:val="18"/>
                      <w:szCs w:val="18"/>
                      <w:lang w:val="zh-CN"/>
                    </w:rPr>
                    <w:t>年平均质量浓度</w:t>
                  </w:r>
                </w:p>
              </w:tc>
              <w:tc>
                <w:tcPr>
                  <w:tcW w:w="822" w:type="dxa"/>
                  <w:tcBorders>
                    <w:tl2br w:val="nil"/>
                    <w:tr2bl w:val="nil"/>
                  </w:tcBorders>
                  <w:vAlign w:val="center"/>
                </w:tcPr>
                <w:p>
                  <w:pPr>
                    <w:adjustRightInd w:val="0"/>
                    <w:snapToGrid w:val="0"/>
                    <w:jc w:val="center"/>
                    <w:rPr>
                      <w:sz w:val="18"/>
                      <w:szCs w:val="18"/>
                    </w:rPr>
                  </w:pPr>
                  <w:r>
                    <w:rPr>
                      <w:sz w:val="18"/>
                      <w:szCs w:val="18"/>
                      <w:lang w:val="zh-CN"/>
                    </w:rPr>
                    <w:t>µg/m</w:t>
                  </w:r>
                  <w:r>
                    <w:rPr>
                      <w:sz w:val="18"/>
                      <w:szCs w:val="18"/>
                      <w:vertAlign w:val="superscript"/>
                      <w:lang w:val="zh-CN"/>
                    </w:rPr>
                    <w:t>3</w:t>
                  </w:r>
                </w:p>
              </w:tc>
              <w:tc>
                <w:tcPr>
                  <w:tcW w:w="1228" w:type="dxa"/>
                  <w:tcBorders>
                    <w:tl2br w:val="nil"/>
                    <w:tr2bl w:val="nil"/>
                  </w:tcBorders>
                  <w:vAlign w:val="center"/>
                </w:tcPr>
                <w:p>
                  <w:pPr>
                    <w:adjustRightInd w:val="0"/>
                    <w:snapToGrid w:val="0"/>
                    <w:jc w:val="center"/>
                    <w:rPr>
                      <w:sz w:val="18"/>
                      <w:szCs w:val="18"/>
                    </w:rPr>
                  </w:pPr>
                  <w:r>
                    <w:rPr>
                      <w:sz w:val="18"/>
                      <w:szCs w:val="18"/>
                    </w:rPr>
                    <w:t>38</w:t>
                  </w:r>
                </w:p>
              </w:tc>
              <w:tc>
                <w:tcPr>
                  <w:tcW w:w="925" w:type="dxa"/>
                  <w:tcBorders>
                    <w:tl2br w:val="nil"/>
                    <w:tr2bl w:val="nil"/>
                  </w:tcBorders>
                  <w:vAlign w:val="center"/>
                </w:tcPr>
                <w:p>
                  <w:pPr>
                    <w:adjustRightInd w:val="0"/>
                    <w:snapToGrid w:val="0"/>
                    <w:jc w:val="center"/>
                    <w:rPr>
                      <w:sz w:val="18"/>
                      <w:szCs w:val="18"/>
                    </w:rPr>
                  </w:pPr>
                  <w:r>
                    <w:rPr>
                      <w:sz w:val="18"/>
                      <w:szCs w:val="18"/>
                    </w:rPr>
                    <w:t>60</w:t>
                  </w:r>
                </w:p>
              </w:tc>
              <w:tc>
                <w:tcPr>
                  <w:tcW w:w="948" w:type="dxa"/>
                  <w:tcBorders>
                    <w:tl2br w:val="nil"/>
                    <w:tr2bl w:val="nil"/>
                  </w:tcBorders>
                  <w:vAlign w:val="center"/>
                </w:tcPr>
                <w:p>
                  <w:pPr>
                    <w:adjustRightInd w:val="0"/>
                    <w:snapToGrid w:val="0"/>
                    <w:jc w:val="center"/>
                    <w:rPr>
                      <w:sz w:val="18"/>
                      <w:szCs w:val="18"/>
                      <w:lang w:val="zh-CN"/>
                    </w:rPr>
                  </w:pPr>
                  <w:r>
                    <w:rPr>
                      <w:sz w:val="18"/>
                      <w:szCs w:val="18"/>
                    </w:rPr>
                    <w:t>63.33%</w:t>
                  </w:r>
                </w:p>
              </w:tc>
              <w:tc>
                <w:tcPr>
                  <w:tcW w:w="1219" w:type="dxa"/>
                  <w:tcBorders>
                    <w:tl2br w:val="nil"/>
                    <w:tr2bl w:val="nil"/>
                  </w:tcBorders>
                  <w:vAlign w:val="center"/>
                </w:tcPr>
                <w:p>
                  <w:pPr>
                    <w:adjustRightInd w:val="0"/>
                    <w:snapToGrid w:val="0"/>
                    <w:jc w:val="center"/>
                    <w:rPr>
                      <w:sz w:val="18"/>
                      <w:szCs w:val="18"/>
                      <w:lang w:val="zh-CN"/>
                    </w:rPr>
                  </w:pPr>
                  <w:r>
                    <w:rPr>
                      <w:sz w:val="18"/>
                      <w:szCs w:val="18"/>
                      <w:lang w:val="zh-CN"/>
                    </w:rPr>
                    <w:t>达标</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PrEx>
              <w:trPr>
                <w:trHeight w:val="187" w:hRule="atLeast"/>
              </w:trPr>
              <w:tc>
                <w:tcPr>
                  <w:tcW w:w="917" w:type="dxa"/>
                  <w:tcBorders>
                    <w:tl2br w:val="nil"/>
                    <w:tr2bl w:val="nil"/>
                  </w:tcBorders>
                  <w:vAlign w:val="center"/>
                </w:tcPr>
                <w:p>
                  <w:pPr>
                    <w:adjustRightInd w:val="0"/>
                    <w:snapToGrid w:val="0"/>
                    <w:jc w:val="center"/>
                    <w:rPr>
                      <w:sz w:val="18"/>
                      <w:szCs w:val="18"/>
                      <w:lang w:val="zh-CN"/>
                    </w:rPr>
                  </w:pPr>
                  <w:r>
                    <w:rPr>
                      <w:sz w:val="18"/>
                      <w:szCs w:val="18"/>
                      <w:lang w:val="zh-CN"/>
                    </w:rPr>
                    <w:t>PM</w:t>
                  </w:r>
                  <w:r>
                    <w:rPr>
                      <w:sz w:val="18"/>
                      <w:szCs w:val="18"/>
                      <w:vertAlign w:val="subscript"/>
                      <w:lang w:val="zh-CN"/>
                    </w:rPr>
                    <w:t>2.5</w:t>
                  </w:r>
                </w:p>
              </w:tc>
              <w:tc>
                <w:tcPr>
                  <w:tcW w:w="2440" w:type="dxa"/>
                  <w:tcBorders>
                    <w:tl2br w:val="nil"/>
                    <w:tr2bl w:val="nil"/>
                  </w:tcBorders>
                  <w:vAlign w:val="center"/>
                </w:tcPr>
                <w:p>
                  <w:pPr>
                    <w:adjustRightInd w:val="0"/>
                    <w:snapToGrid w:val="0"/>
                    <w:jc w:val="center"/>
                    <w:rPr>
                      <w:sz w:val="18"/>
                      <w:szCs w:val="18"/>
                      <w:lang w:val="zh-CN"/>
                    </w:rPr>
                  </w:pPr>
                  <w:r>
                    <w:rPr>
                      <w:sz w:val="18"/>
                      <w:szCs w:val="18"/>
                      <w:lang w:val="zh-CN"/>
                    </w:rPr>
                    <w:t>年平均质量浓度</w:t>
                  </w:r>
                </w:p>
              </w:tc>
              <w:tc>
                <w:tcPr>
                  <w:tcW w:w="822" w:type="dxa"/>
                  <w:tcBorders>
                    <w:tl2br w:val="nil"/>
                    <w:tr2bl w:val="nil"/>
                  </w:tcBorders>
                  <w:vAlign w:val="center"/>
                </w:tcPr>
                <w:p>
                  <w:pPr>
                    <w:adjustRightInd w:val="0"/>
                    <w:snapToGrid w:val="0"/>
                    <w:jc w:val="center"/>
                    <w:rPr>
                      <w:sz w:val="18"/>
                      <w:szCs w:val="18"/>
                    </w:rPr>
                  </w:pPr>
                  <w:r>
                    <w:rPr>
                      <w:sz w:val="18"/>
                      <w:szCs w:val="18"/>
                      <w:lang w:val="zh-CN"/>
                    </w:rPr>
                    <w:t>µg/m</w:t>
                  </w:r>
                  <w:r>
                    <w:rPr>
                      <w:sz w:val="18"/>
                      <w:szCs w:val="18"/>
                      <w:vertAlign w:val="superscript"/>
                      <w:lang w:val="zh-CN"/>
                    </w:rPr>
                    <w:t>3</w:t>
                  </w:r>
                </w:p>
              </w:tc>
              <w:tc>
                <w:tcPr>
                  <w:tcW w:w="1228" w:type="dxa"/>
                  <w:tcBorders>
                    <w:tl2br w:val="nil"/>
                    <w:tr2bl w:val="nil"/>
                  </w:tcBorders>
                  <w:vAlign w:val="center"/>
                </w:tcPr>
                <w:p>
                  <w:pPr>
                    <w:adjustRightInd w:val="0"/>
                    <w:snapToGrid w:val="0"/>
                    <w:jc w:val="center"/>
                    <w:rPr>
                      <w:sz w:val="18"/>
                      <w:szCs w:val="18"/>
                    </w:rPr>
                  </w:pPr>
                  <w:r>
                    <w:rPr>
                      <w:sz w:val="18"/>
                      <w:szCs w:val="18"/>
                    </w:rPr>
                    <w:t>21.8</w:t>
                  </w:r>
                </w:p>
              </w:tc>
              <w:tc>
                <w:tcPr>
                  <w:tcW w:w="925" w:type="dxa"/>
                  <w:tcBorders>
                    <w:tl2br w:val="nil"/>
                    <w:tr2bl w:val="nil"/>
                  </w:tcBorders>
                  <w:vAlign w:val="center"/>
                </w:tcPr>
                <w:p>
                  <w:pPr>
                    <w:adjustRightInd w:val="0"/>
                    <w:snapToGrid w:val="0"/>
                    <w:jc w:val="center"/>
                    <w:rPr>
                      <w:sz w:val="18"/>
                      <w:szCs w:val="18"/>
                    </w:rPr>
                  </w:pPr>
                  <w:r>
                    <w:rPr>
                      <w:sz w:val="18"/>
                      <w:szCs w:val="18"/>
                    </w:rPr>
                    <w:t>30</w:t>
                  </w:r>
                </w:p>
              </w:tc>
              <w:tc>
                <w:tcPr>
                  <w:tcW w:w="948" w:type="dxa"/>
                  <w:tcBorders>
                    <w:tl2br w:val="nil"/>
                    <w:tr2bl w:val="nil"/>
                  </w:tcBorders>
                  <w:vAlign w:val="center"/>
                </w:tcPr>
                <w:p>
                  <w:pPr>
                    <w:adjustRightInd w:val="0"/>
                    <w:snapToGrid w:val="0"/>
                    <w:jc w:val="center"/>
                    <w:rPr>
                      <w:sz w:val="18"/>
                      <w:szCs w:val="18"/>
                      <w:lang w:val="zh-CN"/>
                    </w:rPr>
                  </w:pPr>
                  <w:r>
                    <w:rPr>
                      <w:sz w:val="18"/>
                      <w:szCs w:val="18"/>
                    </w:rPr>
                    <w:t>72.67%</w:t>
                  </w:r>
                </w:p>
              </w:tc>
              <w:tc>
                <w:tcPr>
                  <w:tcW w:w="1219" w:type="dxa"/>
                  <w:tcBorders>
                    <w:tl2br w:val="nil"/>
                    <w:tr2bl w:val="nil"/>
                  </w:tcBorders>
                  <w:vAlign w:val="center"/>
                </w:tcPr>
                <w:p>
                  <w:pPr>
                    <w:adjustRightInd w:val="0"/>
                    <w:snapToGrid w:val="0"/>
                    <w:jc w:val="center"/>
                    <w:rPr>
                      <w:sz w:val="18"/>
                      <w:szCs w:val="18"/>
                      <w:lang w:val="zh-CN"/>
                    </w:rPr>
                  </w:pPr>
                  <w:r>
                    <w:rPr>
                      <w:sz w:val="18"/>
                      <w:szCs w:val="18"/>
                      <w:lang w:val="zh-CN"/>
                    </w:rPr>
                    <w:t>达标</w:t>
                  </w:r>
                </w:p>
              </w:tc>
            </w:tr>
          </w:tbl>
          <w:p>
            <w:pPr>
              <w:spacing w:line="360" w:lineRule="auto"/>
              <w:ind w:firstLine="420" w:firstLineChars="200"/>
              <w:jc w:val="left"/>
            </w:pPr>
            <w:r>
              <w:rPr>
                <w:kern w:val="0"/>
                <w:szCs w:val="21"/>
              </w:rPr>
              <w:t>根据上表可知，监测因子浓度值均满足《环境空气质量标准》（GB3095-2026）中二级标准（过渡阶段）浓度限值要求，通化市柳河县为环境空气质量达标区域。</w:t>
            </w:r>
          </w:p>
          <w:p>
            <w:pPr>
              <w:spacing w:line="360" w:lineRule="auto"/>
              <w:ind w:firstLine="420" w:firstLineChars="200"/>
              <w:jc w:val="left"/>
            </w:pPr>
            <w:r>
              <w:t>2、特征污染物</w:t>
            </w:r>
          </w:p>
          <w:p>
            <w:pPr>
              <w:spacing w:line="360" w:lineRule="auto"/>
              <w:ind w:firstLine="420" w:firstLineChars="200"/>
              <w:jc w:val="left"/>
            </w:pPr>
            <w:r>
              <w:t>根据《建设项目环境影响报告表编制技术指南（污染影响类）（试行）》，排放国家、地方环境空气质量标准中有标准限值要求的特征污染物时，引用建设项目周边5千米范围内近3年的现有监测数据，无相关数据的选择当季主导风向下风向1个点位补充不少于3天的监测数据。</w:t>
            </w:r>
          </w:p>
          <w:p>
            <w:pPr>
              <w:spacing w:line="360" w:lineRule="auto"/>
              <w:ind w:firstLine="420" w:firstLineChars="200"/>
              <w:jc w:val="left"/>
            </w:pPr>
            <w:r>
              <w:t>本项目引用《吉林源泰饮品有限公司锅炉改造项目》中环境空气监测数据，该项目所在位置与本项目所在位置均位于柳河县，该项目位于本项目北侧约2.60km，距离在5km范围内。《吉林源泰饮品有限公司锅炉改造项目》环境空气监测日期为2026年6月16日-2026年6月18日，自监测日期以来，区域内未建设影响环境空气质量的建设项目，区域环境空气质量未发生变化，引用数据合理。</w:t>
            </w:r>
          </w:p>
          <w:p>
            <w:pPr>
              <w:spacing w:line="360" w:lineRule="auto"/>
              <w:ind w:firstLine="420" w:firstLineChars="200"/>
              <w:jc w:val="left"/>
            </w:pPr>
            <w:r>
              <w:t>（1）监测点位及监测项目</w:t>
            </w:r>
          </w:p>
          <w:p>
            <w:pPr>
              <w:spacing w:line="360" w:lineRule="auto"/>
              <w:ind w:firstLine="420" w:firstLineChars="200"/>
              <w:jc w:val="left"/>
            </w:pPr>
            <w:r>
              <w:t>本次评价共选择1个监测点，监测点位布设情况详见表13及</w:t>
            </w:r>
            <w:r>
              <w:rPr>
                <w:color w:val="FF0000"/>
              </w:rPr>
              <w:t>附图7</w:t>
            </w:r>
            <w:r>
              <w:t>。</w:t>
            </w:r>
          </w:p>
          <w:p>
            <w:pPr>
              <w:jc w:val="center"/>
              <w:rPr>
                <w:b/>
                <w:bCs/>
              </w:rPr>
            </w:pPr>
            <w:r>
              <w:rPr>
                <w:b/>
                <w:bCs/>
              </w:rPr>
              <w:t>表13  环境空气监测点位布设表</w:t>
            </w:r>
          </w:p>
          <w:tbl>
            <w:tblPr>
              <w:tblStyle w:val="26"/>
              <w:tblW w:w="8501" w:type="dxa"/>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997"/>
              <w:gridCol w:w="3875"/>
              <w:gridCol w:w="2629"/>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997" w:type="dxa"/>
                  <w:vAlign w:val="center"/>
                </w:tcPr>
                <w:p>
                  <w:pPr>
                    <w:adjustRightInd w:val="0"/>
                    <w:snapToGrid w:val="0"/>
                    <w:jc w:val="center"/>
                    <w:rPr>
                      <w:sz w:val="18"/>
                      <w:szCs w:val="18"/>
                    </w:rPr>
                  </w:pPr>
                  <w:r>
                    <w:rPr>
                      <w:sz w:val="18"/>
                      <w:szCs w:val="18"/>
                    </w:rPr>
                    <w:t>序号</w:t>
                  </w:r>
                </w:p>
              </w:tc>
              <w:tc>
                <w:tcPr>
                  <w:tcW w:w="3875" w:type="dxa"/>
                  <w:vAlign w:val="center"/>
                </w:tcPr>
                <w:p>
                  <w:pPr>
                    <w:adjustRightInd w:val="0"/>
                    <w:snapToGrid w:val="0"/>
                    <w:jc w:val="center"/>
                    <w:rPr>
                      <w:sz w:val="18"/>
                      <w:szCs w:val="18"/>
                    </w:rPr>
                  </w:pPr>
                  <w:r>
                    <w:rPr>
                      <w:sz w:val="18"/>
                      <w:szCs w:val="18"/>
                    </w:rPr>
                    <w:t>监测点名称</w:t>
                  </w:r>
                </w:p>
              </w:tc>
              <w:tc>
                <w:tcPr>
                  <w:tcW w:w="2629" w:type="dxa"/>
                  <w:vAlign w:val="center"/>
                </w:tcPr>
                <w:p>
                  <w:pPr>
                    <w:adjustRightInd w:val="0"/>
                    <w:snapToGrid w:val="0"/>
                    <w:jc w:val="center"/>
                    <w:rPr>
                      <w:sz w:val="18"/>
                      <w:szCs w:val="18"/>
                    </w:rPr>
                  </w:pPr>
                  <w:r>
                    <w:rPr>
                      <w:sz w:val="18"/>
                      <w:szCs w:val="18"/>
                    </w:rPr>
                    <w:t>位置</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997" w:type="dxa"/>
                  <w:vAlign w:val="center"/>
                </w:tcPr>
                <w:p>
                  <w:pPr>
                    <w:adjustRightInd w:val="0"/>
                    <w:snapToGrid w:val="0"/>
                    <w:jc w:val="center"/>
                    <w:rPr>
                      <w:sz w:val="18"/>
                      <w:szCs w:val="18"/>
                    </w:rPr>
                  </w:pPr>
                  <w:r>
                    <w:rPr>
                      <w:sz w:val="18"/>
                      <w:szCs w:val="18"/>
                    </w:rPr>
                    <w:t>1#</w:t>
                  </w:r>
                </w:p>
              </w:tc>
              <w:tc>
                <w:tcPr>
                  <w:tcW w:w="3875" w:type="dxa"/>
                  <w:vAlign w:val="center"/>
                </w:tcPr>
                <w:p>
                  <w:pPr>
                    <w:adjustRightInd w:val="0"/>
                    <w:snapToGrid w:val="0"/>
                    <w:jc w:val="center"/>
                    <w:rPr>
                      <w:sz w:val="18"/>
                      <w:szCs w:val="18"/>
                    </w:rPr>
                  </w:pPr>
                  <w:r>
                    <w:rPr>
                      <w:sz w:val="18"/>
                      <w:szCs w:val="18"/>
                    </w:rPr>
                    <w:t>监测点位1</w:t>
                  </w:r>
                </w:p>
              </w:tc>
              <w:tc>
                <w:tcPr>
                  <w:tcW w:w="2629" w:type="dxa"/>
                  <w:vAlign w:val="center"/>
                </w:tcPr>
                <w:p>
                  <w:pPr>
                    <w:adjustRightInd w:val="0"/>
                    <w:snapToGrid w:val="0"/>
                    <w:jc w:val="center"/>
                    <w:rPr>
                      <w:sz w:val="18"/>
                      <w:szCs w:val="18"/>
                    </w:rPr>
                  </w:pPr>
                  <w:r>
                    <w:rPr>
                      <w:sz w:val="18"/>
                      <w:szCs w:val="18"/>
                    </w:rPr>
                    <w:t>永明村</w:t>
                  </w:r>
                  <w:r>
                    <w:rPr>
                      <w:rFonts w:eastAsia="仿宋"/>
                      <w:sz w:val="18"/>
                      <w:szCs w:val="18"/>
                      <w:vertAlign w:val="superscript"/>
                    </w:rPr>
                    <w:t>①</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8501" w:type="dxa"/>
                  <w:gridSpan w:val="3"/>
                  <w:vAlign w:val="center"/>
                </w:tcPr>
                <w:p>
                  <w:pPr>
                    <w:adjustRightInd w:val="0"/>
                    <w:snapToGrid w:val="0"/>
                    <w:rPr>
                      <w:sz w:val="18"/>
                      <w:szCs w:val="18"/>
                    </w:rPr>
                  </w:pPr>
                  <w:r>
                    <w:rPr>
                      <w:sz w:val="18"/>
                      <w:szCs w:val="18"/>
                    </w:rPr>
                    <w:t>注①：根据吉林省及通化市的气候公报、风玫瑰图统计以及中国气象数据网的历史资料，通化市</w:t>
                  </w:r>
                  <w:r>
                    <w:rPr>
                      <w:color w:val="0F1115"/>
                      <w:sz w:val="18"/>
                      <w:szCs w:val="18"/>
                      <w:shd w:val="clear" w:color="auto" w:fill="FFFFFF"/>
                    </w:rPr>
                    <w:t>当季</w:t>
                  </w:r>
                  <w:r>
                    <w:rPr>
                      <w:rStyle w:val="28"/>
                      <w:rFonts w:eastAsia="Segoe UI"/>
                      <w:b w:val="0"/>
                      <w:color w:val="0F1115"/>
                      <w:sz w:val="18"/>
                      <w:szCs w:val="18"/>
                      <w:shd w:val="clear" w:color="auto" w:fill="FFFFFF"/>
                    </w:rPr>
                    <w:t>主导风向为</w:t>
                  </w:r>
                  <w:r>
                    <w:rPr>
                      <w:rStyle w:val="28"/>
                      <w:b w:val="0"/>
                      <w:color w:val="0F1115"/>
                      <w:sz w:val="18"/>
                      <w:szCs w:val="18"/>
                      <w:shd w:val="clear" w:color="auto" w:fill="FFFFFF"/>
                    </w:rPr>
                    <w:t>西南</w:t>
                  </w:r>
                  <w:r>
                    <w:rPr>
                      <w:rStyle w:val="28"/>
                      <w:rFonts w:eastAsia="Segoe UI"/>
                      <w:b w:val="0"/>
                      <w:color w:val="0F1115"/>
                      <w:sz w:val="18"/>
                      <w:szCs w:val="18"/>
                      <w:shd w:val="clear" w:color="auto" w:fill="FFFFFF"/>
                    </w:rPr>
                    <w:t>风</w:t>
                  </w:r>
                  <w:r>
                    <w:rPr>
                      <w:rFonts w:eastAsia="Segoe UI"/>
                      <w:color w:val="0F1115"/>
                      <w:sz w:val="18"/>
                      <w:szCs w:val="18"/>
                      <w:shd w:val="clear" w:color="auto" w:fill="FFFFFF"/>
                    </w:rPr>
                    <w:t>，环境空气监测点</w:t>
                  </w:r>
                  <w:r>
                    <w:rPr>
                      <w:color w:val="0F1115"/>
                      <w:sz w:val="18"/>
                      <w:szCs w:val="18"/>
                      <w:shd w:val="clear" w:color="auto" w:fill="FFFFFF"/>
                    </w:rPr>
                    <w:t>（</w:t>
                  </w:r>
                  <w:r>
                    <w:rPr>
                      <w:sz w:val="18"/>
                      <w:szCs w:val="18"/>
                    </w:rPr>
                    <w:t>永明村</w:t>
                  </w:r>
                  <w:r>
                    <w:rPr>
                      <w:color w:val="0F1115"/>
                      <w:sz w:val="18"/>
                      <w:szCs w:val="18"/>
                      <w:shd w:val="clear" w:color="auto" w:fill="FFFFFF"/>
                    </w:rPr>
                    <w:t>）</w:t>
                  </w:r>
                  <w:r>
                    <w:rPr>
                      <w:sz w:val="18"/>
                      <w:szCs w:val="18"/>
                    </w:rPr>
                    <w:t>位于本项目所在地东北侧约3.60km，属于本项目所在地下风向。</w:t>
                  </w:r>
                </w:p>
              </w:tc>
            </w:tr>
          </w:tbl>
          <w:p>
            <w:pPr>
              <w:spacing w:line="360" w:lineRule="auto"/>
              <w:ind w:firstLine="420" w:firstLineChars="200"/>
              <w:jc w:val="left"/>
            </w:pPr>
            <w:r>
              <w:t>（2）监测项目及频次</w:t>
            </w:r>
          </w:p>
          <w:p>
            <w:pPr>
              <w:spacing w:line="360" w:lineRule="auto"/>
              <w:ind w:firstLine="420" w:firstLineChars="200"/>
              <w:jc w:val="left"/>
            </w:pPr>
            <w:r>
              <w:t>TSP、NOx。TSP日均值，NOx小时值与日均值。</w:t>
            </w:r>
          </w:p>
          <w:p>
            <w:pPr>
              <w:spacing w:line="360" w:lineRule="auto"/>
              <w:ind w:firstLine="420" w:firstLineChars="200"/>
              <w:jc w:val="left"/>
            </w:pPr>
            <w:r>
              <w:t>（3）监测单位及监测时间</w:t>
            </w:r>
          </w:p>
          <w:p>
            <w:pPr>
              <w:spacing w:line="360" w:lineRule="auto"/>
              <w:ind w:firstLine="420" w:firstLineChars="200"/>
              <w:jc w:val="left"/>
              <w:rPr>
                <w:highlight w:val="red"/>
              </w:rPr>
            </w:pPr>
            <w:r>
              <w:t>吉林永源环保科技有限公司于2026年06月16日-06月18日连续3天进行采样监测。</w:t>
            </w:r>
          </w:p>
          <w:p>
            <w:pPr>
              <w:spacing w:line="360" w:lineRule="auto"/>
              <w:ind w:firstLine="420" w:firstLineChars="200"/>
              <w:jc w:val="left"/>
            </w:pPr>
            <w:r>
              <w:t>（4）评价标准</w:t>
            </w:r>
          </w:p>
          <w:p>
            <w:pPr>
              <w:spacing w:line="360" w:lineRule="auto"/>
              <w:ind w:firstLine="420" w:firstLineChars="200"/>
              <w:jc w:val="left"/>
            </w:pPr>
            <w:r>
              <w:t>采用《环境空气质量标准》（GB3095-2026）中的二级标准。</w:t>
            </w:r>
          </w:p>
          <w:p>
            <w:pPr>
              <w:spacing w:line="360" w:lineRule="auto"/>
              <w:ind w:firstLine="420" w:firstLineChars="200"/>
              <w:jc w:val="left"/>
            </w:pPr>
            <w:r>
              <w:t>（5）评价方法</w:t>
            </w:r>
          </w:p>
          <w:p>
            <w:pPr>
              <w:spacing w:line="360" w:lineRule="auto"/>
              <w:ind w:firstLine="420" w:firstLineChars="200"/>
              <w:jc w:val="left"/>
            </w:pPr>
            <w:r>
              <w:t>采用占标率对环境空气质量现状进行评价。</w:t>
            </w:r>
          </w:p>
          <w:p>
            <w:pPr>
              <w:spacing w:line="360" w:lineRule="auto"/>
              <w:ind w:firstLine="420" w:firstLineChars="200"/>
              <w:jc w:val="left"/>
            </w:pPr>
            <w:r>
              <w:t>（6）监测结果</w:t>
            </w:r>
          </w:p>
          <w:p>
            <w:pPr>
              <w:spacing w:line="360" w:lineRule="auto"/>
              <w:ind w:firstLine="420" w:firstLineChars="200"/>
              <w:jc w:val="left"/>
            </w:pPr>
            <w:r>
              <w:t>评价区环境空气监测数据结果详见表14。</w:t>
            </w:r>
          </w:p>
          <w:p>
            <w:pPr>
              <w:jc w:val="center"/>
              <w:rPr>
                <w:b/>
                <w:bCs/>
              </w:rPr>
            </w:pPr>
            <w:r>
              <w:rPr>
                <w:b/>
                <w:bCs/>
              </w:rPr>
              <w:t>表14  环境空气质量监测结果</w:t>
            </w:r>
          </w:p>
          <w:tbl>
            <w:tblPr>
              <w:tblStyle w:val="26"/>
              <w:tblW w:w="8499"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0" w:type="dxa"/>
                <w:bottom w:w="0" w:type="dxa"/>
                <w:right w:w="0" w:type="dxa"/>
              </w:tblCellMar>
            </w:tblPr>
            <w:tblGrid>
              <w:gridCol w:w="1470"/>
              <w:gridCol w:w="1965"/>
              <w:gridCol w:w="1316"/>
              <w:gridCol w:w="1642"/>
              <w:gridCol w:w="801"/>
              <w:gridCol w:w="1305"/>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blHeader/>
                <w:jc w:val="center"/>
              </w:trPr>
              <w:tc>
                <w:tcPr>
                  <w:tcW w:w="1470" w:type="dxa"/>
                  <w:tcBorders>
                    <w:tl2br w:val="nil"/>
                    <w:tr2bl w:val="nil"/>
                  </w:tcBorders>
                  <w:vAlign w:val="center"/>
                </w:tcPr>
                <w:p>
                  <w:pPr>
                    <w:adjustRightInd w:val="0"/>
                    <w:snapToGrid w:val="0"/>
                    <w:jc w:val="center"/>
                    <w:rPr>
                      <w:sz w:val="18"/>
                      <w:szCs w:val="18"/>
                    </w:rPr>
                  </w:pPr>
                  <w:r>
                    <w:rPr>
                      <w:sz w:val="18"/>
                      <w:szCs w:val="18"/>
                    </w:rPr>
                    <w:t>采样日期</w:t>
                  </w:r>
                </w:p>
              </w:tc>
              <w:tc>
                <w:tcPr>
                  <w:tcW w:w="1965" w:type="dxa"/>
                  <w:tcBorders>
                    <w:tl2br w:val="nil"/>
                    <w:tr2bl w:val="nil"/>
                  </w:tcBorders>
                  <w:vAlign w:val="center"/>
                </w:tcPr>
                <w:p>
                  <w:pPr>
                    <w:adjustRightInd w:val="0"/>
                    <w:snapToGrid w:val="0"/>
                    <w:jc w:val="center"/>
                    <w:rPr>
                      <w:sz w:val="18"/>
                      <w:szCs w:val="18"/>
                    </w:rPr>
                  </w:pPr>
                  <w:r>
                    <w:rPr>
                      <w:sz w:val="18"/>
                      <w:szCs w:val="18"/>
                    </w:rPr>
                    <w:t>监测项目</w:t>
                  </w:r>
                </w:p>
              </w:tc>
              <w:tc>
                <w:tcPr>
                  <w:tcW w:w="1316" w:type="dxa"/>
                  <w:tcBorders>
                    <w:tl2br w:val="nil"/>
                    <w:tr2bl w:val="nil"/>
                  </w:tcBorders>
                  <w:vAlign w:val="center"/>
                </w:tcPr>
                <w:p>
                  <w:pPr>
                    <w:adjustRightInd w:val="0"/>
                    <w:snapToGrid w:val="0"/>
                    <w:jc w:val="center"/>
                    <w:rPr>
                      <w:sz w:val="18"/>
                      <w:szCs w:val="18"/>
                    </w:rPr>
                  </w:pPr>
                  <w:r>
                    <w:rPr>
                      <w:sz w:val="18"/>
                      <w:szCs w:val="18"/>
                    </w:rPr>
                    <w:t>监测频次</w:t>
                  </w:r>
                </w:p>
              </w:tc>
              <w:tc>
                <w:tcPr>
                  <w:tcW w:w="1642" w:type="dxa"/>
                  <w:tcBorders>
                    <w:tl2br w:val="nil"/>
                    <w:tr2bl w:val="nil"/>
                  </w:tcBorders>
                  <w:vAlign w:val="center"/>
                </w:tcPr>
                <w:p>
                  <w:pPr>
                    <w:adjustRightInd w:val="0"/>
                    <w:snapToGrid w:val="0"/>
                    <w:jc w:val="center"/>
                    <w:rPr>
                      <w:sz w:val="18"/>
                      <w:szCs w:val="18"/>
                    </w:rPr>
                  </w:pPr>
                  <w:r>
                    <w:rPr>
                      <w:sz w:val="18"/>
                      <w:szCs w:val="18"/>
                    </w:rPr>
                    <w:t>监测点名称</w:t>
                  </w:r>
                </w:p>
              </w:tc>
              <w:tc>
                <w:tcPr>
                  <w:tcW w:w="801" w:type="dxa"/>
                  <w:tcBorders>
                    <w:tl2br w:val="nil"/>
                    <w:tr2bl w:val="nil"/>
                  </w:tcBorders>
                  <w:vAlign w:val="center"/>
                </w:tcPr>
                <w:p>
                  <w:pPr>
                    <w:adjustRightInd w:val="0"/>
                    <w:snapToGrid w:val="0"/>
                    <w:jc w:val="center"/>
                    <w:rPr>
                      <w:sz w:val="18"/>
                      <w:szCs w:val="18"/>
                    </w:rPr>
                  </w:pPr>
                  <w:r>
                    <w:rPr>
                      <w:sz w:val="18"/>
                      <w:szCs w:val="18"/>
                    </w:rPr>
                    <w:t>单位</w:t>
                  </w:r>
                </w:p>
              </w:tc>
              <w:tc>
                <w:tcPr>
                  <w:tcW w:w="1305" w:type="dxa"/>
                  <w:tcBorders>
                    <w:tl2br w:val="nil"/>
                    <w:tr2bl w:val="nil"/>
                  </w:tcBorders>
                  <w:vAlign w:val="center"/>
                </w:tcPr>
                <w:p>
                  <w:pPr>
                    <w:adjustRightInd w:val="0"/>
                    <w:snapToGrid w:val="0"/>
                    <w:jc w:val="center"/>
                    <w:rPr>
                      <w:sz w:val="18"/>
                      <w:szCs w:val="18"/>
                    </w:rPr>
                  </w:pPr>
                  <w:r>
                    <w:rPr>
                      <w:sz w:val="18"/>
                      <w:szCs w:val="18"/>
                    </w:rPr>
                    <w:t>检测结果</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blHeader/>
                <w:jc w:val="center"/>
              </w:trPr>
              <w:tc>
                <w:tcPr>
                  <w:tcW w:w="1470" w:type="dxa"/>
                  <w:vMerge w:val="restart"/>
                  <w:tcBorders>
                    <w:tl2br w:val="nil"/>
                    <w:tr2bl w:val="nil"/>
                  </w:tcBorders>
                  <w:vAlign w:val="center"/>
                </w:tcPr>
                <w:p>
                  <w:pPr>
                    <w:adjustRightInd w:val="0"/>
                    <w:snapToGrid w:val="0"/>
                    <w:jc w:val="center"/>
                    <w:rPr>
                      <w:sz w:val="18"/>
                      <w:szCs w:val="18"/>
                    </w:rPr>
                  </w:pPr>
                  <w:r>
                    <w:rPr>
                      <w:sz w:val="18"/>
                      <w:szCs w:val="18"/>
                    </w:rPr>
                    <w:t>2026.06.16</w:t>
                  </w:r>
                </w:p>
              </w:tc>
              <w:tc>
                <w:tcPr>
                  <w:tcW w:w="1965" w:type="dxa"/>
                  <w:tcBorders>
                    <w:tl2br w:val="nil"/>
                    <w:tr2bl w:val="nil"/>
                  </w:tcBorders>
                  <w:vAlign w:val="center"/>
                </w:tcPr>
                <w:p>
                  <w:pPr>
                    <w:adjustRightInd w:val="0"/>
                    <w:snapToGrid w:val="0"/>
                    <w:jc w:val="center"/>
                    <w:rPr>
                      <w:sz w:val="18"/>
                      <w:szCs w:val="18"/>
                    </w:rPr>
                  </w:pPr>
                  <w:r>
                    <w:rPr>
                      <w:sz w:val="18"/>
                      <w:szCs w:val="18"/>
                    </w:rPr>
                    <w:t>总悬浮颗粒物</w:t>
                  </w:r>
                </w:p>
              </w:tc>
              <w:tc>
                <w:tcPr>
                  <w:tcW w:w="1316" w:type="dxa"/>
                  <w:tcBorders>
                    <w:tl2br w:val="nil"/>
                    <w:tr2bl w:val="nil"/>
                  </w:tcBorders>
                  <w:vAlign w:val="center"/>
                </w:tcPr>
                <w:p>
                  <w:pPr>
                    <w:adjustRightInd w:val="0"/>
                    <w:snapToGrid w:val="0"/>
                    <w:jc w:val="center"/>
                    <w:rPr>
                      <w:sz w:val="18"/>
                      <w:szCs w:val="18"/>
                    </w:rPr>
                  </w:pPr>
                  <w:r>
                    <w:rPr>
                      <w:sz w:val="18"/>
                      <w:szCs w:val="18"/>
                    </w:rPr>
                    <w:t>日均值</w:t>
                  </w:r>
                </w:p>
              </w:tc>
              <w:tc>
                <w:tcPr>
                  <w:tcW w:w="1642" w:type="dxa"/>
                  <w:vMerge w:val="restart"/>
                  <w:tcBorders>
                    <w:tl2br w:val="nil"/>
                    <w:tr2bl w:val="nil"/>
                  </w:tcBorders>
                  <w:vAlign w:val="center"/>
                </w:tcPr>
                <w:p>
                  <w:pPr>
                    <w:adjustRightInd w:val="0"/>
                    <w:snapToGrid w:val="0"/>
                    <w:jc w:val="center"/>
                    <w:rPr>
                      <w:sz w:val="18"/>
                      <w:szCs w:val="18"/>
                    </w:rPr>
                  </w:pPr>
                  <w:r>
                    <w:rPr>
                      <w:sz w:val="18"/>
                      <w:szCs w:val="18"/>
                    </w:rPr>
                    <w:t>永明村</w:t>
                  </w:r>
                </w:p>
              </w:tc>
              <w:tc>
                <w:tcPr>
                  <w:tcW w:w="801" w:type="dxa"/>
                  <w:tcBorders>
                    <w:tl2br w:val="nil"/>
                    <w:tr2bl w:val="nil"/>
                  </w:tcBorders>
                  <w:vAlign w:val="center"/>
                </w:tcPr>
                <w:p>
                  <w:pPr>
                    <w:adjustRightInd w:val="0"/>
                    <w:snapToGrid w:val="0"/>
                    <w:jc w:val="center"/>
                    <w:rPr>
                      <w:sz w:val="18"/>
                      <w:szCs w:val="18"/>
                    </w:rPr>
                  </w:pPr>
                  <w:r>
                    <w:rPr>
                      <w:sz w:val="18"/>
                      <w:szCs w:val="18"/>
                    </w:rPr>
                    <w:t>μg/m</w:t>
                  </w:r>
                  <w:r>
                    <w:rPr>
                      <w:sz w:val="18"/>
                      <w:szCs w:val="18"/>
                      <w:vertAlign w:val="superscript"/>
                    </w:rPr>
                    <w:t>3</w:t>
                  </w:r>
                </w:p>
              </w:tc>
              <w:tc>
                <w:tcPr>
                  <w:tcW w:w="1305" w:type="dxa"/>
                  <w:tcBorders>
                    <w:tl2br w:val="nil"/>
                    <w:tr2bl w:val="nil"/>
                  </w:tcBorders>
                  <w:vAlign w:val="center"/>
                </w:tcPr>
                <w:p>
                  <w:pPr>
                    <w:adjustRightInd w:val="0"/>
                    <w:snapToGrid w:val="0"/>
                    <w:jc w:val="center"/>
                    <w:rPr>
                      <w:sz w:val="18"/>
                      <w:szCs w:val="18"/>
                    </w:rPr>
                  </w:pPr>
                  <w:r>
                    <w:rPr>
                      <w:sz w:val="18"/>
                      <w:szCs w:val="18"/>
                    </w:rPr>
                    <w:t>80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blHeader/>
                <w:jc w:val="center"/>
              </w:trPr>
              <w:tc>
                <w:tcPr>
                  <w:tcW w:w="1470" w:type="dxa"/>
                  <w:vMerge w:val="continue"/>
                  <w:tcBorders>
                    <w:tl2br w:val="nil"/>
                    <w:tr2bl w:val="nil"/>
                  </w:tcBorders>
                  <w:vAlign w:val="center"/>
                </w:tcPr>
                <w:p>
                  <w:pPr>
                    <w:adjustRightInd w:val="0"/>
                    <w:snapToGrid w:val="0"/>
                    <w:jc w:val="center"/>
                    <w:rPr>
                      <w:sz w:val="18"/>
                      <w:szCs w:val="18"/>
                    </w:rPr>
                  </w:pPr>
                </w:p>
              </w:tc>
              <w:tc>
                <w:tcPr>
                  <w:tcW w:w="1965" w:type="dxa"/>
                  <w:vMerge w:val="restart"/>
                  <w:tcBorders>
                    <w:tl2br w:val="nil"/>
                    <w:tr2bl w:val="nil"/>
                  </w:tcBorders>
                  <w:vAlign w:val="center"/>
                </w:tcPr>
                <w:p>
                  <w:pPr>
                    <w:adjustRightInd w:val="0"/>
                    <w:snapToGrid w:val="0"/>
                    <w:jc w:val="center"/>
                    <w:rPr>
                      <w:sz w:val="18"/>
                      <w:szCs w:val="18"/>
                    </w:rPr>
                  </w:pPr>
                  <w:r>
                    <w:rPr>
                      <w:sz w:val="18"/>
                      <w:szCs w:val="18"/>
                    </w:rPr>
                    <w:t>氮氧化物</w:t>
                  </w:r>
                </w:p>
              </w:tc>
              <w:tc>
                <w:tcPr>
                  <w:tcW w:w="1316" w:type="dxa"/>
                  <w:tcBorders>
                    <w:tl2br w:val="nil"/>
                    <w:tr2bl w:val="nil"/>
                  </w:tcBorders>
                  <w:vAlign w:val="center"/>
                </w:tcPr>
                <w:p>
                  <w:pPr>
                    <w:adjustRightInd w:val="0"/>
                    <w:snapToGrid w:val="0"/>
                    <w:jc w:val="center"/>
                    <w:rPr>
                      <w:sz w:val="18"/>
                      <w:szCs w:val="18"/>
                    </w:rPr>
                  </w:pPr>
                  <w:r>
                    <w:rPr>
                      <w:sz w:val="18"/>
                      <w:szCs w:val="18"/>
                    </w:rPr>
                    <w:t>02时</w:t>
                  </w:r>
                </w:p>
              </w:tc>
              <w:tc>
                <w:tcPr>
                  <w:tcW w:w="1642" w:type="dxa"/>
                  <w:vMerge w:val="continue"/>
                  <w:tcBorders>
                    <w:tl2br w:val="nil"/>
                    <w:tr2bl w:val="nil"/>
                  </w:tcBorders>
                  <w:vAlign w:val="center"/>
                </w:tcPr>
                <w:p>
                  <w:pPr>
                    <w:adjustRightInd w:val="0"/>
                    <w:snapToGrid w:val="0"/>
                    <w:jc w:val="center"/>
                    <w:rPr>
                      <w:sz w:val="18"/>
                      <w:szCs w:val="18"/>
                    </w:rPr>
                  </w:pPr>
                </w:p>
              </w:tc>
              <w:tc>
                <w:tcPr>
                  <w:tcW w:w="801" w:type="dxa"/>
                  <w:tcBorders>
                    <w:tl2br w:val="nil"/>
                    <w:tr2bl w:val="nil"/>
                  </w:tcBorders>
                  <w:vAlign w:val="center"/>
                </w:tcPr>
                <w:p>
                  <w:pPr>
                    <w:adjustRightInd w:val="0"/>
                    <w:snapToGrid w:val="0"/>
                    <w:jc w:val="center"/>
                    <w:rPr>
                      <w:sz w:val="18"/>
                      <w:szCs w:val="18"/>
                    </w:rPr>
                  </w:pPr>
                  <w:r>
                    <w:rPr>
                      <w:sz w:val="18"/>
                      <w:szCs w:val="18"/>
                    </w:rPr>
                    <w:t>μg/m</w:t>
                  </w:r>
                  <w:r>
                    <w:rPr>
                      <w:sz w:val="18"/>
                      <w:szCs w:val="18"/>
                      <w:vertAlign w:val="superscript"/>
                    </w:rPr>
                    <w:t>3</w:t>
                  </w:r>
                </w:p>
              </w:tc>
              <w:tc>
                <w:tcPr>
                  <w:tcW w:w="1305" w:type="dxa"/>
                  <w:tcBorders>
                    <w:tl2br w:val="nil"/>
                    <w:tr2bl w:val="nil"/>
                  </w:tcBorders>
                  <w:vAlign w:val="center"/>
                </w:tcPr>
                <w:p>
                  <w:pPr>
                    <w:adjustRightInd w:val="0"/>
                    <w:snapToGrid w:val="0"/>
                    <w:jc w:val="center"/>
                    <w:rPr>
                      <w:sz w:val="18"/>
                      <w:szCs w:val="18"/>
                    </w:rPr>
                  </w:pPr>
                  <w:r>
                    <w:rPr>
                      <w:sz w:val="18"/>
                      <w:szCs w:val="18"/>
                    </w:rPr>
                    <w:t>16</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blHeader/>
                <w:jc w:val="center"/>
              </w:trPr>
              <w:tc>
                <w:tcPr>
                  <w:tcW w:w="1470" w:type="dxa"/>
                  <w:vMerge w:val="continue"/>
                  <w:tcBorders>
                    <w:tl2br w:val="nil"/>
                    <w:tr2bl w:val="nil"/>
                  </w:tcBorders>
                  <w:vAlign w:val="center"/>
                </w:tcPr>
                <w:p>
                  <w:pPr>
                    <w:adjustRightInd w:val="0"/>
                    <w:snapToGrid w:val="0"/>
                    <w:jc w:val="center"/>
                    <w:rPr>
                      <w:sz w:val="18"/>
                      <w:szCs w:val="18"/>
                    </w:rPr>
                  </w:pPr>
                </w:p>
              </w:tc>
              <w:tc>
                <w:tcPr>
                  <w:tcW w:w="1965" w:type="dxa"/>
                  <w:vMerge w:val="continue"/>
                  <w:tcBorders>
                    <w:tl2br w:val="nil"/>
                    <w:tr2bl w:val="nil"/>
                  </w:tcBorders>
                  <w:vAlign w:val="center"/>
                </w:tcPr>
                <w:p>
                  <w:pPr>
                    <w:adjustRightInd w:val="0"/>
                    <w:snapToGrid w:val="0"/>
                    <w:jc w:val="center"/>
                    <w:rPr>
                      <w:sz w:val="18"/>
                      <w:szCs w:val="18"/>
                    </w:rPr>
                  </w:pPr>
                </w:p>
              </w:tc>
              <w:tc>
                <w:tcPr>
                  <w:tcW w:w="1316" w:type="dxa"/>
                  <w:tcBorders>
                    <w:tl2br w:val="nil"/>
                    <w:tr2bl w:val="nil"/>
                  </w:tcBorders>
                  <w:vAlign w:val="center"/>
                </w:tcPr>
                <w:p>
                  <w:pPr>
                    <w:adjustRightInd w:val="0"/>
                    <w:snapToGrid w:val="0"/>
                    <w:jc w:val="center"/>
                    <w:rPr>
                      <w:sz w:val="18"/>
                      <w:szCs w:val="18"/>
                    </w:rPr>
                  </w:pPr>
                  <w:r>
                    <w:rPr>
                      <w:sz w:val="18"/>
                      <w:szCs w:val="18"/>
                    </w:rPr>
                    <w:t>08时</w:t>
                  </w:r>
                </w:p>
              </w:tc>
              <w:tc>
                <w:tcPr>
                  <w:tcW w:w="1642" w:type="dxa"/>
                  <w:vMerge w:val="continue"/>
                  <w:tcBorders>
                    <w:tl2br w:val="nil"/>
                    <w:tr2bl w:val="nil"/>
                  </w:tcBorders>
                  <w:vAlign w:val="center"/>
                </w:tcPr>
                <w:p>
                  <w:pPr>
                    <w:adjustRightInd w:val="0"/>
                    <w:snapToGrid w:val="0"/>
                    <w:jc w:val="center"/>
                    <w:rPr>
                      <w:sz w:val="18"/>
                      <w:szCs w:val="18"/>
                    </w:rPr>
                  </w:pPr>
                </w:p>
              </w:tc>
              <w:tc>
                <w:tcPr>
                  <w:tcW w:w="801" w:type="dxa"/>
                  <w:tcBorders>
                    <w:tl2br w:val="nil"/>
                    <w:tr2bl w:val="nil"/>
                  </w:tcBorders>
                  <w:vAlign w:val="center"/>
                </w:tcPr>
                <w:p>
                  <w:pPr>
                    <w:adjustRightInd w:val="0"/>
                    <w:snapToGrid w:val="0"/>
                    <w:jc w:val="center"/>
                    <w:rPr>
                      <w:sz w:val="18"/>
                      <w:szCs w:val="18"/>
                    </w:rPr>
                  </w:pPr>
                  <w:r>
                    <w:rPr>
                      <w:sz w:val="18"/>
                      <w:szCs w:val="18"/>
                    </w:rPr>
                    <w:t>μg/m</w:t>
                  </w:r>
                  <w:r>
                    <w:rPr>
                      <w:sz w:val="18"/>
                      <w:szCs w:val="18"/>
                      <w:vertAlign w:val="superscript"/>
                    </w:rPr>
                    <w:t>3</w:t>
                  </w:r>
                </w:p>
              </w:tc>
              <w:tc>
                <w:tcPr>
                  <w:tcW w:w="1305" w:type="dxa"/>
                  <w:tcBorders>
                    <w:tl2br w:val="nil"/>
                    <w:tr2bl w:val="nil"/>
                  </w:tcBorders>
                  <w:vAlign w:val="center"/>
                </w:tcPr>
                <w:p>
                  <w:pPr>
                    <w:adjustRightInd w:val="0"/>
                    <w:snapToGrid w:val="0"/>
                    <w:jc w:val="center"/>
                    <w:rPr>
                      <w:sz w:val="18"/>
                      <w:szCs w:val="18"/>
                    </w:rPr>
                  </w:pPr>
                  <w:r>
                    <w:rPr>
                      <w:sz w:val="18"/>
                      <w:szCs w:val="18"/>
                    </w:rPr>
                    <w:t>18</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blHeader/>
                <w:jc w:val="center"/>
              </w:trPr>
              <w:tc>
                <w:tcPr>
                  <w:tcW w:w="1470" w:type="dxa"/>
                  <w:vMerge w:val="continue"/>
                  <w:tcBorders>
                    <w:tl2br w:val="nil"/>
                    <w:tr2bl w:val="nil"/>
                  </w:tcBorders>
                  <w:vAlign w:val="center"/>
                </w:tcPr>
                <w:p>
                  <w:pPr>
                    <w:adjustRightInd w:val="0"/>
                    <w:snapToGrid w:val="0"/>
                    <w:jc w:val="center"/>
                    <w:rPr>
                      <w:sz w:val="18"/>
                      <w:szCs w:val="18"/>
                    </w:rPr>
                  </w:pPr>
                </w:p>
              </w:tc>
              <w:tc>
                <w:tcPr>
                  <w:tcW w:w="1965" w:type="dxa"/>
                  <w:vMerge w:val="continue"/>
                  <w:tcBorders>
                    <w:tl2br w:val="nil"/>
                    <w:tr2bl w:val="nil"/>
                  </w:tcBorders>
                  <w:vAlign w:val="center"/>
                </w:tcPr>
                <w:p>
                  <w:pPr>
                    <w:adjustRightInd w:val="0"/>
                    <w:snapToGrid w:val="0"/>
                    <w:jc w:val="center"/>
                    <w:rPr>
                      <w:sz w:val="18"/>
                      <w:szCs w:val="18"/>
                    </w:rPr>
                  </w:pPr>
                </w:p>
              </w:tc>
              <w:tc>
                <w:tcPr>
                  <w:tcW w:w="1316" w:type="dxa"/>
                  <w:tcBorders>
                    <w:tl2br w:val="nil"/>
                    <w:tr2bl w:val="nil"/>
                  </w:tcBorders>
                  <w:vAlign w:val="center"/>
                </w:tcPr>
                <w:p>
                  <w:pPr>
                    <w:adjustRightInd w:val="0"/>
                    <w:snapToGrid w:val="0"/>
                    <w:jc w:val="center"/>
                    <w:rPr>
                      <w:sz w:val="18"/>
                      <w:szCs w:val="18"/>
                    </w:rPr>
                  </w:pPr>
                  <w:r>
                    <w:rPr>
                      <w:sz w:val="18"/>
                      <w:szCs w:val="18"/>
                    </w:rPr>
                    <w:t>14时</w:t>
                  </w:r>
                </w:p>
              </w:tc>
              <w:tc>
                <w:tcPr>
                  <w:tcW w:w="1642" w:type="dxa"/>
                  <w:vMerge w:val="continue"/>
                  <w:tcBorders>
                    <w:tl2br w:val="nil"/>
                    <w:tr2bl w:val="nil"/>
                  </w:tcBorders>
                  <w:vAlign w:val="center"/>
                </w:tcPr>
                <w:p>
                  <w:pPr>
                    <w:adjustRightInd w:val="0"/>
                    <w:snapToGrid w:val="0"/>
                    <w:jc w:val="center"/>
                    <w:rPr>
                      <w:sz w:val="18"/>
                      <w:szCs w:val="18"/>
                    </w:rPr>
                  </w:pPr>
                </w:p>
              </w:tc>
              <w:tc>
                <w:tcPr>
                  <w:tcW w:w="801" w:type="dxa"/>
                  <w:tcBorders>
                    <w:tl2br w:val="nil"/>
                    <w:tr2bl w:val="nil"/>
                  </w:tcBorders>
                  <w:vAlign w:val="center"/>
                </w:tcPr>
                <w:p>
                  <w:pPr>
                    <w:adjustRightInd w:val="0"/>
                    <w:snapToGrid w:val="0"/>
                    <w:jc w:val="center"/>
                    <w:rPr>
                      <w:sz w:val="18"/>
                      <w:szCs w:val="18"/>
                    </w:rPr>
                  </w:pPr>
                  <w:r>
                    <w:rPr>
                      <w:sz w:val="18"/>
                      <w:szCs w:val="18"/>
                    </w:rPr>
                    <w:t>μg/m</w:t>
                  </w:r>
                  <w:r>
                    <w:rPr>
                      <w:sz w:val="18"/>
                      <w:szCs w:val="18"/>
                      <w:vertAlign w:val="superscript"/>
                    </w:rPr>
                    <w:t>3</w:t>
                  </w:r>
                </w:p>
              </w:tc>
              <w:tc>
                <w:tcPr>
                  <w:tcW w:w="1305" w:type="dxa"/>
                  <w:tcBorders>
                    <w:tl2br w:val="nil"/>
                    <w:tr2bl w:val="nil"/>
                  </w:tcBorders>
                  <w:vAlign w:val="center"/>
                </w:tcPr>
                <w:p>
                  <w:pPr>
                    <w:adjustRightInd w:val="0"/>
                    <w:snapToGrid w:val="0"/>
                    <w:jc w:val="center"/>
                    <w:rPr>
                      <w:sz w:val="18"/>
                      <w:szCs w:val="18"/>
                    </w:rPr>
                  </w:pPr>
                  <w:r>
                    <w:rPr>
                      <w:sz w:val="18"/>
                      <w:szCs w:val="18"/>
                    </w:rPr>
                    <w:t>17</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blHeader/>
                <w:jc w:val="center"/>
              </w:trPr>
              <w:tc>
                <w:tcPr>
                  <w:tcW w:w="1470" w:type="dxa"/>
                  <w:vMerge w:val="continue"/>
                  <w:tcBorders>
                    <w:tl2br w:val="nil"/>
                    <w:tr2bl w:val="nil"/>
                  </w:tcBorders>
                  <w:vAlign w:val="center"/>
                </w:tcPr>
                <w:p>
                  <w:pPr>
                    <w:adjustRightInd w:val="0"/>
                    <w:snapToGrid w:val="0"/>
                    <w:jc w:val="center"/>
                    <w:rPr>
                      <w:sz w:val="18"/>
                      <w:szCs w:val="18"/>
                    </w:rPr>
                  </w:pPr>
                </w:p>
              </w:tc>
              <w:tc>
                <w:tcPr>
                  <w:tcW w:w="1965" w:type="dxa"/>
                  <w:vMerge w:val="continue"/>
                  <w:tcBorders>
                    <w:tl2br w:val="nil"/>
                    <w:tr2bl w:val="nil"/>
                  </w:tcBorders>
                  <w:vAlign w:val="center"/>
                </w:tcPr>
                <w:p>
                  <w:pPr>
                    <w:adjustRightInd w:val="0"/>
                    <w:snapToGrid w:val="0"/>
                    <w:jc w:val="center"/>
                    <w:rPr>
                      <w:sz w:val="18"/>
                      <w:szCs w:val="18"/>
                    </w:rPr>
                  </w:pPr>
                </w:p>
              </w:tc>
              <w:tc>
                <w:tcPr>
                  <w:tcW w:w="1316" w:type="dxa"/>
                  <w:tcBorders>
                    <w:tl2br w:val="nil"/>
                    <w:tr2bl w:val="nil"/>
                  </w:tcBorders>
                  <w:vAlign w:val="center"/>
                </w:tcPr>
                <w:p>
                  <w:pPr>
                    <w:adjustRightInd w:val="0"/>
                    <w:snapToGrid w:val="0"/>
                    <w:jc w:val="center"/>
                    <w:rPr>
                      <w:sz w:val="18"/>
                      <w:szCs w:val="18"/>
                    </w:rPr>
                  </w:pPr>
                  <w:r>
                    <w:rPr>
                      <w:sz w:val="18"/>
                      <w:szCs w:val="18"/>
                    </w:rPr>
                    <w:t>20时</w:t>
                  </w:r>
                </w:p>
              </w:tc>
              <w:tc>
                <w:tcPr>
                  <w:tcW w:w="1642" w:type="dxa"/>
                  <w:vMerge w:val="continue"/>
                  <w:tcBorders>
                    <w:tl2br w:val="nil"/>
                    <w:tr2bl w:val="nil"/>
                  </w:tcBorders>
                  <w:vAlign w:val="center"/>
                </w:tcPr>
                <w:p>
                  <w:pPr>
                    <w:adjustRightInd w:val="0"/>
                    <w:snapToGrid w:val="0"/>
                    <w:jc w:val="center"/>
                    <w:rPr>
                      <w:sz w:val="18"/>
                      <w:szCs w:val="18"/>
                    </w:rPr>
                  </w:pPr>
                </w:p>
              </w:tc>
              <w:tc>
                <w:tcPr>
                  <w:tcW w:w="801" w:type="dxa"/>
                  <w:tcBorders>
                    <w:tl2br w:val="nil"/>
                    <w:tr2bl w:val="nil"/>
                  </w:tcBorders>
                  <w:vAlign w:val="center"/>
                </w:tcPr>
                <w:p>
                  <w:pPr>
                    <w:adjustRightInd w:val="0"/>
                    <w:snapToGrid w:val="0"/>
                    <w:jc w:val="center"/>
                    <w:rPr>
                      <w:sz w:val="18"/>
                      <w:szCs w:val="18"/>
                    </w:rPr>
                  </w:pPr>
                  <w:r>
                    <w:rPr>
                      <w:sz w:val="18"/>
                      <w:szCs w:val="18"/>
                    </w:rPr>
                    <w:t>μg/m</w:t>
                  </w:r>
                  <w:r>
                    <w:rPr>
                      <w:sz w:val="18"/>
                      <w:szCs w:val="18"/>
                      <w:vertAlign w:val="superscript"/>
                    </w:rPr>
                    <w:t>3</w:t>
                  </w:r>
                </w:p>
              </w:tc>
              <w:tc>
                <w:tcPr>
                  <w:tcW w:w="1305" w:type="dxa"/>
                  <w:tcBorders>
                    <w:tl2br w:val="nil"/>
                    <w:tr2bl w:val="nil"/>
                  </w:tcBorders>
                  <w:vAlign w:val="center"/>
                </w:tcPr>
                <w:p>
                  <w:pPr>
                    <w:adjustRightInd w:val="0"/>
                    <w:snapToGrid w:val="0"/>
                    <w:jc w:val="center"/>
                    <w:rPr>
                      <w:sz w:val="18"/>
                      <w:szCs w:val="18"/>
                    </w:rPr>
                  </w:pPr>
                  <w:r>
                    <w:rPr>
                      <w:sz w:val="18"/>
                      <w:szCs w:val="18"/>
                    </w:rPr>
                    <w:t>18</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blHeader/>
                <w:jc w:val="center"/>
              </w:trPr>
              <w:tc>
                <w:tcPr>
                  <w:tcW w:w="1470" w:type="dxa"/>
                  <w:vMerge w:val="continue"/>
                  <w:tcBorders>
                    <w:tl2br w:val="nil"/>
                    <w:tr2bl w:val="nil"/>
                  </w:tcBorders>
                  <w:vAlign w:val="center"/>
                </w:tcPr>
                <w:p>
                  <w:pPr>
                    <w:adjustRightInd w:val="0"/>
                    <w:snapToGrid w:val="0"/>
                    <w:jc w:val="center"/>
                    <w:rPr>
                      <w:sz w:val="18"/>
                      <w:szCs w:val="18"/>
                    </w:rPr>
                  </w:pPr>
                </w:p>
              </w:tc>
              <w:tc>
                <w:tcPr>
                  <w:tcW w:w="1965" w:type="dxa"/>
                  <w:vMerge w:val="continue"/>
                  <w:tcBorders>
                    <w:tl2br w:val="nil"/>
                    <w:tr2bl w:val="nil"/>
                  </w:tcBorders>
                  <w:vAlign w:val="center"/>
                </w:tcPr>
                <w:p>
                  <w:pPr>
                    <w:adjustRightInd w:val="0"/>
                    <w:snapToGrid w:val="0"/>
                    <w:jc w:val="center"/>
                    <w:rPr>
                      <w:sz w:val="18"/>
                      <w:szCs w:val="18"/>
                    </w:rPr>
                  </w:pPr>
                </w:p>
              </w:tc>
              <w:tc>
                <w:tcPr>
                  <w:tcW w:w="1316" w:type="dxa"/>
                  <w:tcBorders>
                    <w:tl2br w:val="nil"/>
                    <w:tr2bl w:val="nil"/>
                  </w:tcBorders>
                  <w:vAlign w:val="center"/>
                </w:tcPr>
                <w:p>
                  <w:pPr>
                    <w:adjustRightInd w:val="0"/>
                    <w:snapToGrid w:val="0"/>
                    <w:jc w:val="center"/>
                    <w:rPr>
                      <w:sz w:val="18"/>
                      <w:szCs w:val="18"/>
                    </w:rPr>
                  </w:pPr>
                  <w:r>
                    <w:rPr>
                      <w:sz w:val="18"/>
                      <w:szCs w:val="18"/>
                    </w:rPr>
                    <w:t>日均值</w:t>
                  </w:r>
                </w:p>
              </w:tc>
              <w:tc>
                <w:tcPr>
                  <w:tcW w:w="1642" w:type="dxa"/>
                  <w:vMerge w:val="continue"/>
                  <w:tcBorders>
                    <w:tl2br w:val="nil"/>
                    <w:tr2bl w:val="nil"/>
                  </w:tcBorders>
                  <w:vAlign w:val="center"/>
                </w:tcPr>
                <w:p>
                  <w:pPr>
                    <w:adjustRightInd w:val="0"/>
                    <w:snapToGrid w:val="0"/>
                    <w:jc w:val="center"/>
                    <w:rPr>
                      <w:sz w:val="18"/>
                      <w:szCs w:val="18"/>
                    </w:rPr>
                  </w:pPr>
                </w:p>
              </w:tc>
              <w:tc>
                <w:tcPr>
                  <w:tcW w:w="801" w:type="dxa"/>
                  <w:tcBorders>
                    <w:tl2br w:val="nil"/>
                    <w:tr2bl w:val="nil"/>
                  </w:tcBorders>
                  <w:vAlign w:val="center"/>
                </w:tcPr>
                <w:p>
                  <w:pPr>
                    <w:adjustRightInd w:val="0"/>
                    <w:snapToGrid w:val="0"/>
                    <w:jc w:val="center"/>
                    <w:rPr>
                      <w:sz w:val="18"/>
                      <w:szCs w:val="18"/>
                    </w:rPr>
                  </w:pPr>
                  <w:r>
                    <w:rPr>
                      <w:sz w:val="18"/>
                      <w:szCs w:val="18"/>
                    </w:rPr>
                    <w:t>μg/m</w:t>
                  </w:r>
                  <w:r>
                    <w:rPr>
                      <w:sz w:val="18"/>
                      <w:szCs w:val="18"/>
                      <w:vertAlign w:val="superscript"/>
                    </w:rPr>
                    <w:t>3</w:t>
                  </w:r>
                </w:p>
              </w:tc>
              <w:tc>
                <w:tcPr>
                  <w:tcW w:w="1305" w:type="dxa"/>
                  <w:tcBorders>
                    <w:tl2br w:val="nil"/>
                    <w:tr2bl w:val="nil"/>
                  </w:tcBorders>
                  <w:vAlign w:val="center"/>
                </w:tcPr>
                <w:p>
                  <w:pPr>
                    <w:adjustRightInd w:val="0"/>
                    <w:snapToGrid w:val="0"/>
                    <w:jc w:val="center"/>
                    <w:rPr>
                      <w:sz w:val="18"/>
                      <w:szCs w:val="18"/>
                    </w:rPr>
                  </w:pPr>
                  <w:r>
                    <w:rPr>
                      <w:sz w:val="18"/>
                      <w:szCs w:val="18"/>
                    </w:rPr>
                    <w:t>18</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blHeader/>
                <w:jc w:val="center"/>
              </w:trPr>
              <w:tc>
                <w:tcPr>
                  <w:tcW w:w="1470" w:type="dxa"/>
                  <w:vMerge w:val="restart"/>
                  <w:tcBorders>
                    <w:tl2br w:val="nil"/>
                    <w:tr2bl w:val="nil"/>
                  </w:tcBorders>
                  <w:vAlign w:val="center"/>
                </w:tcPr>
                <w:p>
                  <w:pPr>
                    <w:adjustRightInd w:val="0"/>
                    <w:snapToGrid w:val="0"/>
                    <w:jc w:val="center"/>
                    <w:rPr>
                      <w:sz w:val="18"/>
                      <w:szCs w:val="18"/>
                    </w:rPr>
                  </w:pPr>
                  <w:r>
                    <w:rPr>
                      <w:sz w:val="18"/>
                      <w:szCs w:val="18"/>
                    </w:rPr>
                    <w:t>2026.06.17</w:t>
                  </w:r>
                </w:p>
              </w:tc>
              <w:tc>
                <w:tcPr>
                  <w:tcW w:w="1965" w:type="dxa"/>
                  <w:tcBorders>
                    <w:tl2br w:val="nil"/>
                    <w:tr2bl w:val="nil"/>
                  </w:tcBorders>
                  <w:vAlign w:val="center"/>
                </w:tcPr>
                <w:p>
                  <w:pPr>
                    <w:adjustRightInd w:val="0"/>
                    <w:snapToGrid w:val="0"/>
                    <w:jc w:val="center"/>
                    <w:rPr>
                      <w:sz w:val="18"/>
                      <w:szCs w:val="18"/>
                    </w:rPr>
                  </w:pPr>
                  <w:r>
                    <w:rPr>
                      <w:sz w:val="18"/>
                      <w:szCs w:val="18"/>
                    </w:rPr>
                    <w:t>总悬浮颗粒物</w:t>
                  </w:r>
                </w:p>
              </w:tc>
              <w:tc>
                <w:tcPr>
                  <w:tcW w:w="1316" w:type="dxa"/>
                  <w:tcBorders>
                    <w:tl2br w:val="nil"/>
                    <w:tr2bl w:val="nil"/>
                  </w:tcBorders>
                  <w:vAlign w:val="center"/>
                </w:tcPr>
                <w:p>
                  <w:pPr>
                    <w:adjustRightInd w:val="0"/>
                    <w:snapToGrid w:val="0"/>
                    <w:jc w:val="center"/>
                    <w:rPr>
                      <w:sz w:val="18"/>
                      <w:szCs w:val="18"/>
                    </w:rPr>
                  </w:pPr>
                  <w:r>
                    <w:rPr>
                      <w:sz w:val="18"/>
                      <w:szCs w:val="18"/>
                    </w:rPr>
                    <w:t>日均值</w:t>
                  </w:r>
                </w:p>
              </w:tc>
              <w:tc>
                <w:tcPr>
                  <w:tcW w:w="1642" w:type="dxa"/>
                  <w:vMerge w:val="restart"/>
                  <w:tcBorders>
                    <w:tl2br w:val="nil"/>
                    <w:tr2bl w:val="nil"/>
                  </w:tcBorders>
                  <w:vAlign w:val="center"/>
                </w:tcPr>
                <w:p>
                  <w:pPr>
                    <w:adjustRightInd w:val="0"/>
                    <w:snapToGrid w:val="0"/>
                    <w:jc w:val="center"/>
                    <w:rPr>
                      <w:sz w:val="18"/>
                      <w:szCs w:val="18"/>
                    </w:rPr>
                  </w:pPr>
                  <w:r>
                    <w:rPr>
                      <w:sz w:val="18"/>
                      <w:szCs w:val="18"/>
                    </w:rPr>
                    <w:t>永明村</w:t>
                  </w:r>
                </w:p>
              </w:tc>
              <w:tc>
                <w:tcPr>
                  <w:tcW w:w="801" w:type="dxa"/>
                  <w:tcBorders>
                    <w:tl2br w:val="nil"/>
                    <w:tr2bl w:val="nil"/>
                  </w:tcBorders>
                  <w:vAlign w:val="center"/>
                </w:tcPr>
                <w:p>
                  <w:pPr>
                    <w:adjustRightInd w:val="0"/>
                    <w:snapToGrid w:val="0"/>
                    <w:jc w:val="center"/>
                    <w:rPr>
                      <w:sz w:val="18"/>
                      <w:szCs w:val="18"/>
                    </w:rPr>
                  </w:pPr>
                  <w:r>
                    <w:rPr>
                      <w:sz w:val="18"/>
                      <w:szCs w:val="18"/>
                    </w:rPr>
                    <w:t>μg/m</w:t>
                  </w:r>
                  <w:r>
                    <w:rPr>
                      <w:sz w:val="18"/>
                      <w:szCs w:val="18"/>
                      <w:vertAlign w:val="superscript"/>
                    </w:rPr>
                    <w:t>3</w:t>
                  </w:r>
                </w:p>
              </w:tc>
              <w:tc>
                <w:tcPr>
                  <w:tcW w:w="1305" w:type="dxa"/>
                  <w:tcBorders>
                    <w:tl2br w:val="nil"/>
                    <w:tr2bl w:val="nil"/>
                  </w:tcBorders>
                  <w:vAlign w:val="center"/>
                </w:tcPr>
                <w:p>
                  <w:pPr>
                    <w:adjustRightInd w:val="0"/>
                    <w:snapToGrid w:val="0"/>
                    <w:jc w:val="center"/>
                    <w:rPr>
                      <w:sz w:val="18"/>
                      <w:szCs w:val="18"/>
                    </w:rPr>
                  </w:pPr>
                  <w:r>
                    <w:rPr>
                      <w:sz w:val="18"/>
                      <w:szCs w:val="18"/>
                    </w:rPr>
                    <w:t>85</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blHeader/>
                <w:jc w:val="center"/>
              </w:trPr>
              <w:tc>
                <w:tcPr>
                  <w:tcW w:w="1470" w:type="dxa"/>
                  <w:vMerge w:val="continue"/>
                  <w:tcBorders>
                    <w:tl2br w:val="nil"/>
                    <w:tr2bl w:val="nil"/>
                  </w:tcBorders>
                  <w:vAlign w:val="center"/>
                </w:tcPr>
                <w:p>
                  <w:pPr>
                    <w:adjustRightInd w:val="0"/>
                    <w:snapToGrid w:val="0"/>
                    <w:jc w:val="center"/>
                    <w:rPr>
                      <w:sz w:val="18"/>
                      <w:szCs w:val="18"/>
                    </w:rPr>
                  </w:pPr>
                </w:p>
              </w:tc>
              <w:tc>
                <w:tcPr>
                  <w:tcW w:w="1965" w:type="dxa"/>
                  <w:vMerge w:val="restart"/>
                  <w:tcBorders>
                    <w:tl2br w:val="nil"/>
                    <w:tr2bl w:val="nil"/>
                  </w:tcBorders>
                  <w:vAlign w:val="center"/>
                </w:tcPr>
                <w:p>
                  <w:pPr>
                    <w:adjustRightInd w:val="0"/>
                    <w:snapToGrid w:val="0"/>
                    <w:jc w:val="center"/>
                    <w:rPr>
                      <w:sz w:val="18"/>
                      <w:szCs w:val="18"/>
                    </w:rPr>
                  </w:pPr>
                  <w:r>
                    <w:rPr>
                      <w:sz w:val="18"/>
                      <w:szCs w:val="18"/>
                    </w:rPr>
                    <w:t>氮氧化物</w:t>
                  </w:r>
                </w:p>
              </w:tc>
              <w:tc>
                <w:tcPr>
                  <w:tcW w:w="1316" w:type="dxa"/>
                  <w:tcBorders>
                    <w:tl2br w:val="nil"/>
                    <w:tr2bl w:val="nil"/>
                  </w:tcBorders>
                  <w:vAlign w:val="center"/>
                </w:tcPr>
                <w:p>
                  <w:pPr>
                    <w:adjustRightInd w:val="0"/>
                    <w:snapToGrid w:val="0"/>
                    <w:jc w:val="center"/>
                    <w:rPr>
                      <w:sz w:val="18"/>
                      <w:szCs w:val="18"/>
                    </w:rPr>
                  </w:pPr>
                  <w:r>
                    <w:rPr>
                      <w:sz w:val="18"/>
                      <w:szCs w:val="18"/>
                    </w:rPr>
                    <w:t>02时</w:t>
                  </w:r>
                </w:p>
              </w:tc>
              <w:tc>
                <w:tcPr>
                  <w:tcW w:w="1642" w:type="dxa"/>
                  <w:vMerge w:val="continue"/>
                  <w:tcBorders>
                    <w:tl2br w:val="nil"/>
                    <w:tr2bl w:val="nil"/>
                  </w:tcBorders>
                  <w:vAlign w:val="center"/>
                </w:tcPr>
                <w:p>
                  <w:pPr>
                    <w:adjustRightInd w:val="0"/>
                    <w:snapToGrid w:val="0"/>
                    <w:jc w:val="center"/>
                    <w:rPr>
                      <w:sz w:val="18"/>
                      <w:szCs w:val="18"/>
                    </w:rPr>
                  </w:pPr>
                </w:p>
              </w:tc>
              <w:tc>
                <w:tcPr>
                  <w:tcW w:w="801" w:type="dxa"/>
                  <w:tcBorders>
                    <w:tl2br w:val="nil"/>
                    <w:tr2bl w:val="nil"/>
                  </w:tcBorders>
                  <w:vAlign w:val="center"/>
                </w:tcPr>
                <w:p>
                  <w:pPr>
                    <w:adjustRightInd w:val="0"/>
                    <w:snapToGrid w:val="0"/>
                    <w:jc w:val="center"/>
                    <w:rPr>
                      <w:sz w:val="18"/>
                      <w:szCs w:val="18"/>
                    </w:rPr>
                  </w:pPr>
                  <w:r>
                    <w:rPr>
                      <w:sz w:val="18"/>
                      <w:szCs w:val="18"/>
                    </w:rPr>
                    <w:t>μg/m</w:t>
                  </w:r>
                  <w:r>
                    <w:rPr>
                      <w:sz w:val="18"/>
                      <w:szCs w:val="18"/>
                      <w:vertAlign w:val="superscript"/>
                    </w:rPr>
                    <w:t>3</w:t>
                  </w:r>
                </w:p>
              </w:tc>
              <w:tc>
                <w:tcPr>
                  <w:tcW w:w="1305" w:type="dxa"/>
                  <w:tcBorders>
                    <w:tl2br w:val="nil"/>
                    <w:tr2bl w:val="nil"/>
                  </w:tcBorders>
                  <w:vAlign w:val="center"/>
                </w:tcPr>
                <w:p>
                  <w:pPr>
                    <w:adjustRightInd w:val="0"/>
                    <w:snapToGrid w:val="0"/>
                    <w:jc w:val="center"/>
                    <w:rPr>
                      <w:sz w:val="18"/>
                      <w:szCs w:val="18"/>
                    </w:rPr>
                  </w:pPr>
                  <w:r>
                    <w:rPr>
                      <w:sz w:val="18"/>
                      <w:szCs w:val="18"/>
                    </w:rPr>
                    <w:t>18</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blHeader/>
                <w:jc w:val="center"/>
              </w:trPr>
              <w:tc>
                <w:tcPr>
                  <w:tcW w:w="1470" w:type="dxa"/>
                  <w:vMerge w:val="continue"/>
                  <w:tcBorders>
                    <w:tl2br w:val="nil"/>
                    <w:tr2bl w:val="nil"/>
                  </w:tcBorders>
                  <w:vAlign w:val="center"/>
                </w:tcPr>
                <w:p>
                  <w:pPr>
                    <w:adjustRightInd w:val="0"/>
                    <w:snapToGrid w:val="0"/>
                    <w:jc w:val="center"/>
                    <w:rPr>
                      <w:sz w:val="18"/>
                      <w:szCs w:val="18"/>
                    </w:rPr>
                  </w:pPr>
                </w:p>
              </w:tc>
              <w:tc>
                <w:tcPr>
                  <w:tcW w:w="1965" w:type="dxa"/>
                  <w:vMerge w:val="continue"/>
                  <w:tcBorders>
                    <w:tl2br w:val="nil"/>
                    <w:tr2bl w:val="nil"/>
                  </w:tcBorders>
                  <w:vAlign w:val="center"/>
                </w:tcPr>
                <w:p>
                  <w:pPr>
                    <w:adjustRightInd w:val="0"/>
                    <w:snapToGrid w:val="0"/>
                    <w:jc w:val="center"/>
                    <w:rPr>
                      <w:sz w:val="18"/>
                      <w:szCs w:val="18"/>
                    </w:rPr>
                  </w:pPr>
                </w:p>
              </w:tc>
              <w:tc>
                <w:tcPr>
                  <w:tcW w:w="1316" w:type="dxa"/>
                  <w:tcBorders>
                    <w:tl2br w:val="nil"/>
                    <w:tr2bl w:val="nil"/>
                  </w:tcBorders>
                  <w:vAlign w:val="center"/>
                </w:tcPr>
                <w:p>
                  <w:pPr>
                    <w:adjustRightInd w:val="0"/>
                    <w:snapToGrid w:val="0"/>
                    <w:jc w:val="center"/>
                    <w:rPr>
                      <w:sz w:val="18"/>
                      <w:szCs w:val="18"/>
                    </w:rPr>
                  </w:pPr>
                  <w:r>
                    <w:rPr>
                      <w:sz w:val="18"/>
                      <w:szCs w:val="18"/>
                    </w:rPr>
                    <w:t>08时</w:t>
                  </w:r>
                </w:p>
              </w:tc>
              <w:tc>
                <w:tcPr>
                  <w:tcW w:w="1642" w:type="dxa"/>
                  <w:vMerge w:val="continue"/>
                  <w:tcBorders>
                    <w:tl2br w:val="nil"/>
                    <w:tr2bl w:val="nil"/>
                  </w:tcBorders>
                  <w:vAlign w:val="center"/>
                </w:tcPr>
                <w:p>
                  <w:pPr>
                    <w:adjustRightInd w:val="0"/>
                    <w:snapToGrid w:val="0"/>
                    <w:jc w:val="center"/>
                    <w:rPr>
                      <w:sz w:val="18"/>
                      <w:szCs w:val="18"/>
                    </w:rPr>
                  </w:pPr>
                </w:p>
              </w:tc>
              <w:tc>
                <w:tcPr>
                  <w:tcW w:w="801" w:type="dxa"/>
                  <w:tcBorders>
                    <w:tl2br w:val="nil"/>
                    <w:tr2bl w:val="nil"/>
                  </w:tcBorders>
                  <w:vAlign w:val="center"/>
                </w:tcPr>
                <w:p>
                  <w:pPr>
                    <w:adjustRightInd w:val="0"/>
                    <w:snapToGrid w:val="0"/>
                    <w:jc w:val="center"/>
                    <w:rPr>
                      <w:sz w:val="18"/>
                      <w:szCs w:val="18"/>
                    </w:rPr>
                  </w:pPr>
                  <w:r>
                    <w:rPr>
                      <w:sz w:val="18"/>
                      <w:szCs w:val="18"/>
                    </w:rPr>
                    <w:t>μg/m</w:t>
                  </w:r>
                  <w:r>
                    <w:rPr>
                      <w:sz w:val="18"/>
                      <w:szCs w:val="18"/>
                      <w:vertAlign w:val="superscript"/>
                    </w:rPr>
                    <w:t>3</w:t>
                  </w:r>
                </w:p>
              </w:tc>
              <w:tc>
                <w:tcPr>
                  <w:tcW w:w="1305" w:type="dxa"/>
                  <w:tcBorders>
                    <w:tl2br w:val="nil"/>
                    <w:tr2bl w:val="nil"/>
                  </w:tcBorders>
                  <w:vAlign w:val="center"/>
                </w:tcPr>
                <w:p>
                  <w:pPr>
                    <w:adjustRightInd w:val="0"/>
                    <w:snapToGrid w:val="0"/>
                    <w:jc w:val="center"/>
                    <w:rPr>
                      <w:sz w:val="18"/>
                      <w:szCs w:val="18"/>
                    </w:rPr>
                  </w:pPr>
                  <w:r>
                    <w:rPr>
                      <w:sz w:val="18"/>
                      <w:szCs w:val="18"/>
                    </w:rPr>
                    <w:t>18</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blHeader/>
                <w:jc w:val="center"/>
              </w:trPr>
              <w:tc>
                <w:tcPr>
                  <w:tcW w:w="1470" w:type="dxa"/>
                  <w:vMerge w:val="continue"/>
                  <w:tcBorders>
                    <w:tl2br w:val="nil"/>
                    <w:tr2bl w:val="nil"/>
                  </w:tcBorders>
                  <w:vAlign w:val="center"/>
                </w:tcPr>
                <w:p>
                  <w:pPr>
                    <w:adjustRightInd w:val="0"/>
                    <w:snapToGrid w:val="0"/>
                    <w:jc w:val="center"/>
                    <w:rPr>
                      <w:sz w:val="18"/>
                      <w:szCs w:val="18"/>
                    </w:rPr>
                  </w:pPr>
                </w:p>
              </w:tc>
              <w:tc>
                <w:tcPr>
                  <w:tcW w:w="1965" w:type="dxa"/>
                  <w:vMerge w:val="continue"/>
                  <w:tcBorders>
                    <w:tl2br w:val="nil"/>
                    <w:tr2bl w:val="nil"/>
                  </w:tcBorders>
                  <w:vAlign w:val="center"/>
                </w:tcPr>
                <w:p>
                  <w:pPr>
                    <w:adjustRightInd w:val="0"/>
                    <w:snapToGrid w:val="0"/>
                    <w:jc w:val="center"/>
                    <w:rPr>
                      <w:sz w:val="18"/>
                      <w:szCs w:val="18"/>
                    </w:rPr>
                  </w:pPr>
                </w:p>
              </w:tc>
              <w:tc>
                <w:tcPr>
                  <w:tcW w:w="1316" w:type="dxa"/>
                  <w:tcBorders>
                    <w:tl2br w:val="nil"/>
                    <w:tr2bl w:val="nil"/>
                  </w:tcBorders>
                  <w:vAlign w:val="center"/>
                </w:tcPr>
                <w:p>
                  <w:pPr>
                    <w:adjustRightInd w:val="0"/>
                    <w:snapToGrid w:val="0"/>
                    <w:jc w:val="center"/>
                    <w:rPr>
                      <w:sz w:val="18"/>
                      <w:szCs w:val="18"/>
                    </w:rPr>
                  </w:pPr>
                  <w:r>
                    <w:rPr>
                      <w:sz w:val="18"/>
                      <w:szCs w:val="18"/>
                    </w:rPr>
                    <w:t>14时</w:t>
                  </w:r>
                </w:p>
              </w:tc>
              <w:tc>
                <w:tcPr>
                  <w:tcW w:w="1642" w:type="dxa"/>
                  <w:vMerge w:val="continue"/>
                  <w:tcBorders>
                    <w:tl2br w:val="nil"/>
                    <w:tr2bl w:val="nil"/>
                  </w:tcBorders>
                  <w:vAlign w:val="center"/>
                </w:tcPr>
                <w:p>
                  <w:pPr>
                    <w:adjustRightInd w:val="0"/>
                    <w:snapToGrid w:val="0"/>
                    <w:jc w:val="center"/>
                    <w:rPr>
                      <w:sz w:val="18"/>
                      <w:szCs w:val="18"/>
                    </w:rPr>
                  </w:pPr>
                </w:p>
              </w:tc>
              <w:tc>
                <w:tcPr>
                  <w:tcW w:w="801" w:type="dxa"/>
                  <w:tcBorders>
                    <w:tl2br w:val="nil"/>
                    <w:tr2bl w:val="nil"/>
                  </w:tcBorders>
                  <w:vAlign w:val="center"/>
                </w:tcPr>
                <w:p>
                  <w:pPr>
                    <w:adjustRightInd w:val="0"/>
                    <w:snapToGrid w:val="0"/>
                    <w:jc w:val="center"/>
                    <w:rPr>
                      <w:sz w:val="18"/>
                      <w:szCs w:val="18"/>
                    </w:rPr>
                  </w:pPr>
                  <w:r>
                    <w:rPr>
                      <w:sz w:val="18"/>
                      <w:szCs w:val="18"/>
                    </w:rPr>
                    <w:t>μg/m</w:t>
                  </w:r>
                  <w:r>
                    <w:rPr>
                      <w:sz w:val="18"/>
                      <w:szCs w:val="18"/>
                      <w:vertAlign w:val="superscript"/>
                    </w:rPr>
                    <w:t>3</w:t>
                  </w:r>
                </w:p>
              </w:tc>
              <w:tc>
                <w:tcPr>
                  <w:tcW w:w="1305" w:type="dxa"/>
                  <w:tcBorders>
                    <w:tl2br w:val="nil"/>
                    <w:tr2bl w:val="nil"/>
                  </w:tcBorders>
                  <w:vAlign w:val="center"/>
                </w:tcPr>
                <w:p>
                  <w:pPr>
                    <w:adjustRightInd w:val="0"/>
                    <w:snapToGrid w:val="0"/>
                    <w:jc w:val="center"/>
                    <w:rPr>
                      <w:sz w:val="18"/>
                      <w:szCs w:val="18"/>
                    </w:rPr>
                  </w:pPr>
                  <w:r>
                    <w:rPr>
                      <w:sz w:val="18"/>
                      <w:szCs w:val="18"/>
                    </w:rPr>
                    <w:t>20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blHeader/>
                <w:jc w:val="center"/>
              </w:trPr>
              <w:tc>
                <w:tcPr>
                  <w:tcW w:w="1470" w:type="dxa"/>
                  <w:vMerge w:val="continue"/>
                  <w:tcBorders>
                    <w:tl2br w:val="nil"/>
                    <w:tr2bl w:val="nil"/>
                  </w:tcBorders>
                  <w:vAlign w:val="center"/>
                </w:tcPr>
                <w:p>
                  <w:pPr>
                    <w:adjustRightInd w:val="0"/>
                    <w:snapToGrid w:val="0"/>
                    <w:jc w:val="center"/>
                    <w:rPr>
                      <w:sz w:val="18"/>
                      <w:szCs w:val="18"/>
                    </w:rPr>
                  </w:pPr>
                </w:p>
              </w:tc>
              <w:tc>
                <w:tcPr>
                  <w:tcW w:w="1965" w:type="dxa"/>
                  <w:vMerge w:val="continue"/>
                  <w:tcBorders>
                    <w:tl2br w:val="nil"/>
                    <w:tr2bl w:val="nil"/>
                  </w:tcBorders>
                  <w:vAlign w:val="center"/>
                </w:tcPr>
                <w:p>
                  <w:pPr>
                    <w:adjustRightInd w:val="0"/>
                    <w:snapToGrid w:val="0"/>
                    <w:jc w:val="center"/>
                    <w:rPr>
                      <w:sz w:val="18"/>
                      <w:szCs w:val="18"/>
                    </w:rPr>
                  </w:pPr>
                </w:p>
              </w:tc>
              <w:tc>
                <w:tcPr>
                  <w:tcW w:w="1316" w:type="dxa"/>
                  <w:tcBorders>
                    <w:tl2br w:val="nil"/>
                    <w:tr2bl w:val="nil"/>
                  </w:tcBorders>
                  <w:vAlign w:val="center"/>
                </w:tcPr>
                <w:p>
                  <w:pPr>
                    <w:adjustRightInd w:val="0"/>
                    <w:snapToGrid w:val="0"/>
                    <w:jc w:val="center"/>
                    <w:rPr>
                      <w:sz w:val="18"/>
                      <w:szCs w:val="18"/>
                    </w:rPr>
                  </w:pPr>
                  <w:r>
                    <w:rPr>
                      <w:sz w:val="18"/>
                      <w:szCs w:val="18"/>
                    </w:rPr>
                    <w:t>20时</w:t>
                  </w:r>
                </w:p>
              </w:tc>
              <w:tc>
                <w:tcPr>
                  <w:tcW w:w="1642" w:type="dxa"/>
                  <w:vMerge w:val="continue"/>
                  <w:tcBorders>
                    <w:tl2br w:val="nil"/>
                    <w:tr2bl w:val="nil"/>
                  </w:tcBorders>
                  <w:vAlign w:val="center"/>
                </w:tcPr>
                <w:p>
                  <w:pPr>
                    <w:adjustRightInd w:val="0"/>
                    <w:snapToGrid w:val="0"/>
                    <w:jc w:val="center"/>
                    <w:rPr>
                      <w:sz w:val="18"/>
                      <w:szCs w:val="18"/>
                    </w:rPr>
                  </w:pPr>
                </w:p>
              </w:tc>
              <w:tc>
                <w:tcPr>
                  <w:tcW w:w="801" w:type="dxa"/>
                  <w:tcBorders>
                    <w:tl2br w:val="nil"/>
                    <w:tr2bl w:val="nil"/>
                  </w:tcBorders>
                  <w:vAlign w:val="center"/>
                </w:tcPr>
                <w:p>
                  <w:pPr>
                    <w:adjustRightInd w:val="0"/>
                    <w:snapToGrid w:val="0"/>
                    <w:jc w:val="center"/>
                    <w:rPr>
                      <w:sz w:val="18"/>
                      <w:szCs w:val="18"/>
                    </w:rPr>
                  </w:pPr>
                  <w:r>
                    <w:rPr>
                      <w:sz w:val="18"/>
                      <w:szCs w:val="18"/>
                    </w:rPr>
                    <w:t>μg/m</w:t>
                  </w:r>
                  <w:r>
                    <w:rPr>
                      <w:sz w:val="18"/>
                      <w:szCs w:val="18"/>
                      <w:vertAlign w:val="superscript"/>
                    </w:rPr>
                    <w:t>3</w:t>
                  </w:r>
                </w:p>
              </w:tc>
              <w:tc>
                <w:tcPr>
                  <w:tcW w:w="1305" w:type="dxa"/>
                  <w:tcBorders>
                    <w:tl2br w:val="nil"/>
                    <w:tr2bl w:val="nil"/>
                  </w:tcBorders>
                  <w:vAlign w:val="center"/>
                </w:tcPr>
                <w:p>
                  <w:pPr>
                    <w:adjustRightInd w:val="0"/>
                    <w:snapToGrid w:val="0"/>
                    <w:jc w:val="center"/>
                    <w:rPr>
                      <w:sz w:val="18"/>
                      <w:szCs w:val="18"/>
                    </w:rPr>
                  </w:pPr>
                  <w:r>
                    <w:rPr>
                      <w:sz w:val="18"/>
                      <w:szCs w:val="18"/>
                    </w:rPr>
                    <w:t>18</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blHeader/>
                <w:jc w:val="center"/>
              </w:trPr>
              <w:tc>
                <w:tcPr>
                  <w:tcW w:w="1470" w:type="dxa"/>
                  <w:vMerge w:val="continue"/>
                  <w:tcBorders>
                    <w:tl2br w:val="nil"/>
                    <w:tr2bl w:val="nil"/>
                  </w:tcBorders>
                  <w:vAlign w:val="center"/>
                </w:tcPr>
                <w:p>
                  <w:pPr>
                    <w:adjustRightInd w:val="0"/>
                    <w:snapToGrid w:val="0"/>
                    <w:jc w:val="center"/>
                    <w:rPr>
                      <w:sz w:val="18"/>
                      <w:szCs w:val="18"/>
                    </w:rPr>
                  </w:pPr>
                </w:p>
              </w:tc>
              <w:tc>
                <w:tcPr>
                  <w:tcW w:w="1965" w:type="dxa"/>
                  <w:vMerge w:val="continue"/>
                  <w:tcBorders>
                    <w:tl2br w:val="nil"/>
                    <w:tr2bl w:val="nil"/>
                  </w:tcBorders>
                  <w:vAlign w:val="center"/>
                </w:tcPr>
                <w:p>
                  <w:pPr>
                    <w:adjustRightInd w:val="0"/>
                    <w:snapToGrid w:val="0"/>
                    <w:jc w:val="center"/>
                    <w:rPr>
                      <w:sz w:val="18"/>
                      <w:szCs w:val="18"/>
                    </w:rPr>
                  </w:pPr>
                </w:p>
              </w:tc>
              <w:tc>
                <w:tcPr>
                  <w:tcW w:w="1316" w:type="dxa"/>
                  <w:tcBorders>
                    <w:tl2br w:val="nil"/>
                    <w:tr2bl w:val="nil"/>
                  </w:tcBorders>
                  <w:vAlign w:val="center"/>
                </w:tcPr>
                <w:p>
                  <w:pPr>
                    <w:adjustRightInd w:val="0"/>
                    <w:snapToGrid w:val="0"/>
                    <w:jc w:val="center"/>
                    <w:rPr>
                      <w:sz w:val="18"/>
                      <w:szCs w:val="18"/>
                    </w:rPr>
                  </w:pPr>
                  <w:r>
                    <w:rPr>
                      <w:sz w:val="18"/>
                      <w:szCs w:val="18"/>
                    </w:rPr>
                    <w:t>日均值</w:t>
                  </w:r>
                </w:p>
              </w:tc>
              <w:tc>
                <w:tcPr>
                  <w:tcW w:w="1642" w:type="dxa"/>
                  <w:vMerge w:val="continue"/>
                  <w:tcBorders>
                    <w:tl2br w:val="nil"/>
                    <w:tr2bl w:val="nil"/>
                  </w:tcBorders>
                  <w:vAlign w:val="center"/>
                </w:tcPr>
                <w:p>
                  <w:pPr>
                    <w:adjustRightInd w:val="0"/>
                    <w:snapToGrid w:val="0"/>
                    <w:jc w:val="center"/>
                    <w:rPr>
                      <w:sz w:val="18"/>
                      <w:szCs w:val="18"/>
                    </w:rPr>
                  </w:pPr>
                </w:p>
              </w:tc>
              <w:tc>
                <w:tcPr>
                  <w:tcW w:w="801" w:type="dxa"/>
                  <w:tcBorders>
                    <w:tl2br w:val="nil"/>
                    <w:tr2bl w:val="nil"/>
                  </w:tcBorders>
                  <w:vAlign w:val="center"/>
                </w:tcPr>
                <w:p>
                  <w:pPr>
                    <w:adjustRightInd w:val="0"/>
                    <w:snapToGrid w:val="0"/>
                    <w:jc w:val="center"/>
                    <w:rPr>
                      <w:sz w:val="18"/>
                      <w:szCs w:val="18"/>
                    </w:rPr>
                  </w:pPr>
                  <w:r>
                    <w:rPr>
                      <w:sz w:val="18"/>
                      <w:szCs w:val="18"/>
                    </w:rPr>
                    <w:t>μg/m</w:t>
                  </w:r>
                  <w:r>
                    <w:rPr>
                      <w:sz w:val="18"/>
                      <w:szCs w:val="18"/>
                      <w:vertAlign w:val="superscript"/>
                    </w:rPr>
                    <w:t>3</w:t>
                  </w:r>
                </w:p>
              </w:tc>
              <w:tc>
                <w:tcPr>
                  <w:tcW w:w="1305" w:type="dxa"/>
                  <w:tcBorders>
                    <w:tl2br w:val="nil"/>
                    <w:tr2bl w:val="nil"/>
                  </w:tcBorders>
                  <w:vAlign w:val="center"/>
                </w:tcPr>
                <w:p>
                  <w:pPr>
                    <w:adjustRightInd w:val="0"/>
                    <w:snapToGrid w:val="0"/>
                    <w:jc w:val="center"/>
                    <w:rPr>
                      <w:sz w:val="18"/>
                      <w:szCs w:val="18"/>
                    </w:rPr>
                  </w:pPr>
                  <w:r>
                    <w:rPr>
                      <w:sz w:val="18"/>
                      <w:szCs w:val="18"/>
                    </w:rPr>
                    <w:t>19</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blHeader/>
                <w:jc w:val="center"/>
              </w:trPr>
              <w:tc>
                <w:tcPr>
                  <w:tcW w:w="1470" w:type="dxa"/>
                  <w:vMerge w:val="restart"/>
                  <w:tcBorders>
                    <w:tl2br w:val="nil"/>
                    <w:tr2bl w:val="nil"/>
                  </w:tcBorders>
                  <w:vAlign w:val="center"/>
                </w:tcPr>
                <w:p>
                  <w:pPr>
                    <w:adjustRightInd w:val="0"/>
                    <w:snapToGrid w:val="0"/>
                    <w:jc w:val="center"/>
                    <w:rPr>
                      <w:sz w:val="18"/>
                      <w:szCs w:val="18"/>
                    </w:rPr>
                  </w:pPr>
                  <w:r>
                    <w:rPr>
                      <w:sz w:val="18"/>
                      <w:szCs w:val="18"/>
                    </w:rPr>
                    <w:t>2026.06.18</w:t>
                  </w:r>
                </w:p>
              </w:tc>
              <w:tc>
                <w:tcPr>
                  <w:tcW w:w="1965" w:type="dxa"/>
                  <w:tcBorders>
                    <w:tl2br w:val="nil"/>
                    <w:tr2bl w:val="nil"/>
                  </w:tcBorders>
                  <w:vAlign w:val="center"/>
                </w:tcPr>
                <w:p>
                  <w:pPr>
                    <w:adjustRightInd w:val="0"/>
                    <w:snapToGrid w:val="0"/>
                    <w:jc w:val="center"/>
                    <w:rPr>
                      <w:sz w:val="18"/>
                      <w:szCs w:val="18"/>
                    </w:rPr>
                  </w:pPr>
                  <w:r>
                    <w:rPr>
                      <w:sz w:val="18"/>
                      <w:szCs w:val="18"/>
                    </w:rPr>
                    <w:t>总悬浮颗粒物</w:t>
                  </w:r>
                </w:p>
              </w:tc>
              <w:tc>
                <w:tcPr>
                  <w:tcW w:w="1316" w:type="dxa"/>
                  <w:tcBorders>
                    <w:tl2br w:val="nil"/>
                    <w:tr2bl w:val="nil"/>
                  </w:tcBorders>
                  <w:vAlign w:val="center"/>
                </w:tcPr>
                <w:p>
                  <w:pPr>
                    <w:adjustRightInd w:val="0"/>
                    <w:snapToGrid w:val="0"/>
                    <w:jc w:val="center"/>
                    <w:rPr>
                      <w:sz w:val="18"/>
                      <w:szCs w:val="18"/>
                    </w:rPr>
                  </w:pPr>
                  <w:r>
                    <w:rPr>
                      <w:sz w:val="18"/>
                      <w:szCs w:val="18"/>
                    </w:rPr>
                    <w:t>日均值</w:t>
                  </w:r>
                </w:p>
              </w:tc>
              <w:tc>
                <w:tcPr>
                  <w:tcW w:w="1642" w:type="dxa"/>
                  <w:vMerge w:val="restart"/>
                  <w:tcBorders>
                    <w:tl2br w:val="nil"/>
                    <w:tr2bl w:val="nil"/>
                  </w:tcBorders>
                  <w:vAlign w:val="center"/>
                </w:tcPr>
                <w:p>
                  <w:pPr>
                    <w:adjustRightInd w:val="0"/>
                    <w:snapToGrid w:val="0"/>
                    <w:jc w:val="center"/>
                    <w:rPr>
                      <w:sz w:val="18"/>
                      <w:szCs w:val="18"/>
                    </w:rPr>
                  </w:pPr>
                  <w:r>
                    <w:rPr>
                      <w:sz w:val="18"/>
                      <w:szCs w:val="18"/>
                    </w:rPr>
                    <w:t>永明村</w:t>
                  </w:r>
                </w:p>
              </w:tc>
              <w:tc>
                <w:tcPr>
                  <w:tcW w:w="801" w:type="dxa"/>
                  <w:tcBorders>
                    <w:tl2br w:val="nil"/>
                    <w:tr2bl w:val="nil"/>
                  </w:tcBorders>
                  <w:vAlign w:val="center"/>
                </w:tcPr>
                <w:p>
                  <w:pPr>
                    <w:adjustRightInd w:val="0"/>
                    <w:snapToGrid w:val="0"/>
                    <w:jc w:val="center"/>
                    <w:rPr>
                      <w:sz w:val="18"/>
                      <w:szCs w:val="18"/>
                    </w:rPr>
                  </w:pPr>
                  <w:r>
                    <w:rPr>
                      <w:sz w:val="18"/>
                      <w:szCs w:val="18"/>
                    </w:rPr>
                    <w:t>μg/m</w:t>
                  </w:r>
                  <w:r>
                    <w:rPr>
                      <w:sz w:val="18"/>
                      <w:szCs w:val="18"/>
                      <w:vertAlign w:val="superscript"/>
                    </w:rPr>
                    <w:t>3</w:t>
                  </w:r>
                </w:p>
              </w:tc>
              <w:tc>
                <w:tcPr>
                  <w:tcW w:w="1305" w:type="dxa"/>
                  <w:tcBorders>
                    <w:tl2br w:val="nil"/>
                    <w:tr2bl w:val="nil"/>
                  </w:tcBorders>
                  <w:vAlign w:val="center"/>
                </w:tcPr>
                <w:p>
                  <w:pPr>
                    <w:adjustRightInd w:val="0"/>
                    <w:snapToGrid w:val="0"/>
                    <w:jc w:val="center"/>
                    <w:rPr>
                      <w:sz w:val="18"/>
                      <w:szCs w:val="18"/>
                    </w:rPr>
                  </w:pPr>
                  <w:r>
                    <w:rPr>
                      <w:sz w:val="18"/>
                      <w:szCs w:val="18"/>
                    </w:rPr>
                    <w:t>78</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blHeader/>
                <w:jc w:val="center"/>
              </w:trPr>
              <w:tc>
                <w:tcPr>
                  <w:tcW w:w="1470" w:type="dxa"/>
                  <w:vMerge w:val="continue"/>
                  <w:tcBorders>
                    <w:tl2br w:val="nil"/>
                    <w:tr2bl w:val="nil"/>
                  </w:tcBorders>
                  <w:vAlign w:val="center"/>
                </w:tcPr>
                <w:p>
                  <w:pPr>
                    <w:adjustRightInd w:val="0"/>
                    <w:snapToGrid w:val="0"/>
                    <w:jc w:val="center"/>
                    <w:rPr>
                      <w:sz w:val="18"/>
                      <w:szCs w:val="18"/>
                    </w:rPr>
                  </w:pPr>
                </w:p>
              </w:tc>
              <w:tc>
                <w:tcPr>
                  <w:tcW w:w="1965" w:type="dxa"/>
                  <w:vMerge w:val="restart"/>
                  <w:tcBorders>
                    <w:tl2br w:val="nil"/>
                    <w:tr2bl w:val="nil"/>
                  </w:tcBorders>
                  <w:vAlign w:val="center"/>
                </w:tcPr>
                <w:p>
                  <w:pPr>
                    <w:adjustRightInd w:val="0"/>
                    <w:snapToGrid w:val="0"/>
                    <w:jc w:val="center"/>
                    <w:rPr>
                      <w:sz w:val="18"/>
                      <w:szCs w:val="18"/>
                    </w:rPr>
                  </w:pPr>
                  <w:r>
                    <w:rPr>
                      <w:sz w:val="18"/>
                      <w:szCs w:val="18"/>
                    </w:rPr>
                    <w:t>氮氧化物</w:t>
                  </w:r>
                </w:p>
              </w:tc>
              <w:tc>
                <w:tcPr>
                  <w:tcW w:w="1316" w:type="dxa"/>
                  <w:tcBorders>
                    <w:tl2br w:val="nil"/>
                    <w:tr2bl w:val="nil"/>
                  </w:tcBorders>
                  <w:vAlign w:val="center"/>
                </w:tcPr>
                <w:p>
                  <w:pPr>
                    <w:adjustRightInd w:val="0"/>
                    <w:snapToGrid w:val="0"/>
                    <w:jc w:val="center"/>
                    <w:rPr>
                      <w:sz w:val="18"/>
                      <w:szCs w:val="18"/>
                    </w:rPr>
                  </w:pPr>
                  <w:r>
                    <w:rPr>
                      <w:sz w:val="18"/>
                      <w:szCs w:val="18"/>
                    </w:rPr>
                    <w:t>02时</w:t>
                  </w:r>
                </w:p>
              </w:tc>
              <w:tc>
                <w:tcPr>
                  <w:tcW w:w="1642" w:type="dxa"/>
                  <w:vMerge w:val="continue"/>
                  <w:tcBorders>
                    <w:tl2br w:val="nil"/>
                    <w:tr2bl w:val="nil"/>
                  </w:tcBorders>
                  <w:vAlign w:val="center"/>
                </w:tcPr>
                <w:p>
                  <w:pPr>
                    <w:adjustRightInd w:val="0"/>
                    <w:snapToGrid w:val="0"/>
                    <w:jc w:val="center"/>
                    <w:rPr>
                      <w:sz w:val="18"/>
                      <w:szCs w:val="18"/>
                    </w:rPr>
                  </w:pPr>
                </w:p>
              </w:tc>
              <w:tc>
                <w:tcPr>
                  <w:tcW w:w="801" w:type="dxa"/>
                  <w:tcBorders>
                    <w:tl2br w:val="nil"/>
                    <w:tr2bl w:val="nil"/>
                  </w:tcBorders>
                  <w:vAlign w:val="center"/>
                </w:tcPr>
                <w:p>
                  <w:pPr>
                    <w:adjustRightInd w:val="0"/>
                    <w:snapToGrid w:val="0"/>
                    <w:jc w:val="center"/>
                    <w:rPr>
                      <w:sz w:val="18"/>
                      <w:szCs w:val="18"/>
                    </w:rPr>
                  </w:pPr>
                  <w:r>
                    <w:rPr>
                      <w:sz w:val="18"/>
                      <w:szCs w:val="18"/>
                    </w:rPr>
                    <w:t>μg/m</w:t>
                  </w:r>
                  <w:r>
                    <w:rPr>
                      <w:sz w:val="18"/>
                      <w:szCs w:val="18"/>
                      <w:vertAlign w:val="superscript"/>
                    </w:rPr>
                    <w:t>3</w:t>
                  </w:r>
                </w:p>
              </w:tc>
              <w:tc>
                <w:tcPr>
                  <w:tcW w:w="1305" w:type="dxa"/>
                  <w:tcBorders>
                    <w:tl2br w:val="nil"/>
                    <w:tr2bl w:val="nil"/>
                  </w:tcBorders>
                  <w:vAlign w:val="center"/>
                </w:tcPr>
                <w:p>
                  <w:pPr>
                    <w:adjustRightInd w:val="0"/>
                    <w:snapToGrid w:val="0"/>
                    <w:jc w:val="center"/>
                    <w:rPr>
                      <w:sz w:val="18"/>
                      <w:szCs w:val="18"/>
                    </w:rPr>
                  </w:pPr>
                  <w:r>
                    <w:rPr>
                      <w:sz w:val="18"/>
                      <w:szCs w:val="18"/>
                    </w:rPr>
                    <w:t>19</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blHeader/>
                <w:jc w:val="center"/>
              </w:trPr>
              <w:tc>
                <w:tcPr>
                  <w:tcW w:w="1470" w:type="dxa"/>
                  <w:vMerge w:val="continue"/>
                  <w:tcBorders>
                    <w:tl2br w:val="nil"/>
                    <w:tr2bl w:val="nil"/>
                  </w:tcBorders>
                  <w:vAlign w:val="center"/>
                </w:tcPr>
                <w:p>
                  <w:pPr>
                    <w:adjustRightInd w:val="0"/>
                    <w:snapToGrid w:val="0"/>
                    <w:jc w:val="center"/>
                    <w:rPr>
                      <w:sz w:val="18"/>
                      <w:szCs w:val="18"/>
                    </w:rPr>
                  </w:pPr>
                </w:p>
              </w:tc>
              <w:tc>
                <w:tcPr>
                  <w:tcW w:w="1965" w:type="dxa"/>
                  <w:vMerge w:val="continue"/>
                  <w:tcBorders>
                    <w:tl2br w:val="nil"/>
                    <w:tr2bl w:val="nil"/>
                  </w:tcBorders>
                  <w:vAlign w:val="center"/>
                </w:tcPr>
                <w:p>
                  <w:pPr>
                    <w:adjustRightInd w:val="0"/>
                    <w:snapToGrid w:val="0"/>
                    <w:jc w:val="center"/>
                    <w:rPr>
                      <w:sz w:val="18"/>
                      <w:szCs w:val="18"/>
                    </w:rPr>
                  </w:pPr>
                </w:p>
              </w:tc>
              <w:tc>
                <w:tcPr>
                  <w:tcW w:w="1316" w:type="dxa"/>
                  <w:tcBorders>
                    <w:tl2br w:val="nil"/>
                    <w:tr2bl w:val="nil"/>
                  </w:tcBorders>
                  <w:vAlign w:val="center"/>
                </w:tcPr>
                <w:p>
                  <w:pPr>
                    <w:adjustRightInd w:val="0"/>
                    <w:snapToGrid w:val="0"/>
                    <w:jc w:val="center"/>
                    <w:rPr>
                      <w:sz w:val="18"/>
                      <w:szCs w:val="18"/>
                    </w:rPr>
                  </w:pPr>
                  <w:r>
                    <w:rPr>
                      <w:sz w:val="18"/>
                      <w:szCs w:val="18"/>
                    </w:rPr>
                    <w:t>08时</w:t>
                  </w:r>
                </w:p>
              </w:tc>
              <w:tc>
                <w:tcPr>
                  <w:tcW w:w="1642" w:type="dxa"/>
                  <w:vMerge w:val="continue"/>
                  <w:tcBorders>
                    <w:tl2br w:val="nil"/>
                    <w:tr2bl w:val="nil"/>
                  </w:tcBorders>
                  <w:vAlign w:val="center"/>
                </w:tcPr>
                <w:p>
                  <w:pPr>
                    <w:adjustRightInd w:val="0"/>
                    <w:snapToGrid w:val="0"/>
                    <w:jc w:val="center"/>
                    <w:rPr>
                      <w:sz w:val="18"/>
                      <w:szCs w:val="18"/>
                    </w:rPr>
                  </w:pPr>
                </w:p>
              </w:tc>
              <w:tc>
                <w:tcPr>
                  <w:tcW w:w="801" w:type="dxa"/>
                  <w:tcBorders>
                    <w:tl2br w:val="nil"/>
                    <w:tr2bl w:val="nil"/>
                  </w:tcBorders>
                  <w:vAlign w:val="center"/>
                </w:tcPr>
                <w:p>
                  <w:pPr>
                    <w:adjustRightInd w:val="0"/>
                    <w:snapToGrid w:val="0"/>
                    <w:jc w:val="center"/>
                    <w:rPr>
                      <w:sz w:val="18"/>
                      <w:szCs w:val="18"/>
                    </w:rPr>
                  </w:pPr>
                  <w:r>
                    <w:rPr>
                      <w:sz w:val="18"/>
                      <w:szCs w:val="18"/>
                    </w:rPr>
                    <w:t>μg/m</w:t>
                  </w:r>
                  <w:r>
                    <w:rPr>
                      <w:sz w:val="18"/>
                      <w:szCs w:val="18"/>
                      <w:vertAlign w:val="superscript"/>
                    </w:rPr>
                    <w:t>3</w:t>
                  </w:r>
                </w:p>
              </w:tc>
              <w:tc>
                <w:tcPr>
                  <w:tcW w:w="1305" w:type="dxa"/>
                  <w:tcBorders>
                    <w:tl2br w:val="nil"/>
                    <w:tr2bl w:val="nil"/>
                  </w:tcBorders>
                  <w:vAlign w:val="center"/>
                </w:tcPr>
                <w:p>
                  <w:pPr>
                    <w:adjustRightInd w:val="0"/>
                    <w:snapToGrid w:val="0"/>
                    <w:jc w:val="center"/>
                    <w:rPr>
                      <w:sz w:val="18"/>
                      <w:szCs w:val="18"/>
                    </w:rPr>
                  </w:pPr>
                  <w:r>
                    <w:rPr>
                      <w:sz w:val="18"/>
                      <w:szCs w:val="18"/>
                    </w:rPr>
                    <w:t>18</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blHeader/>
                <w:jc w:val="center"/>
              </w:trPr>
              <w:tc>
                <w:tcPr>
                  <w:tcW w:w="1470" w:type="dxa"/>
                  <w:vMerge w:val="continue"/>
                  <w:tcBorders>
                    <w:tl2br w:val="nil"/>
                    <w:tr2bl w:val="nil"/>
                  </w:tcBorders>
                  <w:vAlign w:val="center"/>
                </w:tcPr>
                <w:p>
                  <w:pPr>
                    <w:adjustRightInd w:val="0"/>
                    <w:snapToGrid w:val="0"/>
                    <w:jc w:val="center"/>
                    <w:rPr>
                      <w:sz w:val="18"/>
                      <w:szCs w:val="18"/>
                    </w:rPr>
                  </w:pPr>
                </w:p>
              </w:tc>
              <w:tc>
                <w:tcPr>
                  <w:tcW w:w="1965" w:type="dxa"/>
                  <w:vMerge w:val="continue"/>
                  <w:tcBorders>
                    <w:tl2br w:val="nil"/>
                    <w:tr2bl w:val="nil"/>
                  </w:tcBorders>
                  <w:vAlign w:val="center"/>
                </w:tcPr>
                <w:p>
                  <w:pPr>
                    <w:adjustRightInd w:val="0"/>
                    <w:snapToGrid w:val="0"/>
                    <w:jc w:val="center"/>
                    <w:rPr>
                      <w:sz w:val="18"/>
                      <w:szCs w:val="18"/>
                    </w:rPr>
                  </w:pPr>
                </w:p>
              </w:tc>
              <w:tc>
                <w:tcPr>
                  <w:tcW w:w="1316" w:type="dxa"/>
                  <w:tcBorders>
                    <w:tl2br w:val="nil"/>
                    <w:tr2bl w:val="nil"/>
                  </w:tcBorders>
                  <w:vAlign w:val="center"/>
                </w:tcPr>
                <w:p>
                  <w:pPr>
                    <w:adjustRightInd w:val="0"/>
                    <w:snapToGrid w:val="0"/>
                    <w:jc w:val="center"/>
                    <w:rPr>
                      <w:sz w:val="18"/>
                      <w:szCs w:val="18"/>
                    </w:rPr>
                  </w:pPr>
                  <w:r>
                    <w:rPr>
                      <w:sz w:val="18"/>
                      <w:szCs w:val="18"/>
                    </w:rPr>
                    <w:t>14时</w:t>
                  </w:r>
                </w:p>
              </w:tc>
              <w:tc>
                <w:tcPr>
                  <w:tcW w:w="1642" w:type="dxa"/>
                  <w:vMerge w:val="continue"/>
                  <w:tcBorders>
                    <w:tl2br w:val="nil"/>
                    <w:tr2bl w:val="nil"/>
                  </w:tcBorders>
                  <w:vAlign w:val="center"/>
                </w:tcPr>
                <w:p>
                  <w:pPr>
                    <w:adjustRightInd w:val="0"/>
                    <w:snapToGrid w:val="0"/>
                    <w:jc w:val="center"/>
                    <w:rPr>
                      <w:sz w:val="18"/>
                      <w:szCs w:val="18"/>
                    </w:rPr>
                  </w:pPr>
                </w:p>
              </w:tc>
              <w:tc>
                <w:tcPr>
                  <w:tcW w:w="801" w:type="dxa"/>
                  <w:tcBorders>
                    <w:tl2br w:val="nil"/>
                    <w:tr2bl w:val="nil"/>
                  </w:tcBorders>
                  <w:vAlign w:val="center"/>
                </w:tcPr>
                <w:p>
                  <w:pPr>
                    <w:adjustRightInd w:val="0"/>
                    <w:snapToGrid w:val="0"/>
                    <w:jc w:val="center"/>
                    <w:rPr>
                      <w:sz w:val="18"/>
                      <w:szCs w:val="18"/>
                    </w:rPr>
                  </w:pPr>
                  <w:r>
                    <w:rPr>
                      <w:sz w:val="18"/>
                      <w:szCs w:val="18"/>
                    </w:rPr>
                    <w:t>μg/m</w:t>
                  </w:r>
                  <w:r>
                    <w:rPr>
                      <w:sz w:val="18"/>
                      <w:szCs w:val="18"/>
                      <w:vertAlign w:val="superscript"/>
                    </w:rPr>
                    <w:t>3</w:t>
                  </w:r>
                </w:p>
              </w:tc>
              <w:tc>
                <w:tcPr>
                  <w:tcW w:w="1305" w:type="dxa"/>
                  <w:tcBorders>
                    <w:tl2br w:val="nil"/>
                    <w:tr2bl w:val="nil"/>
                  </w:tcBorders>
                  <w:vAlign w:val="center"/>
                </w:tcPr>
                <w:p>
                  <w:pPr>
                    <w:adjustRightInd w:val="0"/>
                    <w:snapToGrid w:val="0"/>
                    <w:jc w:val="center"/>
                    <w:rPr>
                      <w:sz w:val="18"/>
                      <w:szCs w:val="18"/>
                    </w:rPr>
                  </w:pPr>
                  <w:r>
                    <w:rPr>
                      <w:sz w:val="18"/>
                      <w:szCs w:val="18"/>
                    </w:rPr>
                    <w:t>18</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blHeader/>
                <w:jc w:val="center"/>
              </w:trPr>
              <w:tc>
                <w:tcPr>
                  <w:tcW w:w="1470" w:type="dxa"/>
                  <w:vMerge w:val="continue"/>
                  <w:tcBorders>
                    <w:tl2br w:val="nil"/>
                    <w:tr2bl w:val="nil"/>
                  </w:tcBorders>
                  <w:vAlign w:val="center"/>
                </w:tcPr>
                <w:p>
                  <w:pPr>
                    <w:adjustRightInd w:val="0"/>
                    <w:snapToGrid w:val="0"/>
                    <w:jc w:val="center"/>
                    <w:rPr>
                      <w:sz w:val="18"/>
                      <w:szCs w:val="18"/>
                    </w:rPr>
                  </w:pPr>
                </w:p>
              </w:tc>
              <w:tc>
                <w:tcPr>
                  <w:tcW w:w="1965" w:type="dxa"/>
                  <w:vMerge w:val="continue"/>
                  <w:tcBorders>
                    <w:tl2br w:val="nil"/>
                    <w:tr2bl w:val="nil"/>
                  </w:tcBorders>
                  <w:vAlign w:val="center"/>
                </w:tcPr>
                <w:p>
                  <w:pPr>
                    <w:adjustRightInd w:val="0"/>
                    <w:snapToGrid w:val="0"/>
                    <w:jc w:val="center"/>
                    <w:rPr>
                      <w:sz w:val="18"/>
                      <w:szCs w:val="18"/>
                    </w:rPr>
                  </w:pPr>
                </w:p>
              </w:tc>
              <w:tc>
                <w:tcPr>
                  <w:tcW w:w="1316" w:type="dxa"/>
                  <w:tcBorders>
                    <w:tl2br w:val="nil"/>
                    <w:tr2bl w:val="nil"/>
                  </w:tcBorders>
                  <w:vAlign w:val="center"/>
                </w:tcPr>
                <w:p>
                  <w:pPr>
                    <w:adjustRightInd w:val="0"/>
                    <w:snapToGrid w:val="0"/>
                    <w:jc w:val="center"/>
                    <w:rPr>
                      <w:sz w:val="18"/>
                      <w:szCs w:val="18"/>
                    </w:rPr>
                  </w:pPr>
                  <w:r>
                    <w:rPr>
                      <w:sz w:val="18"/>
                      <w:szCs w:val="18"/>
                    </w:rPr>
                    <w:t>20时</w:t>
                  </w:r>
                </w:p>
              </w:tc>
              <w:tc>
                <w:tcPr>
                  <w:tcW w:w="1642" w:type="dxa"/>
                  <w:vMerge w:val="continue"/>
                  <w:tcBorders>
                    <w:tl2br w:val="nil"/>
                    <w:tr2bl w:val="nil"/>
                  </w:tcBorders>
                  <w:vAlign w:val="center"/>
                </w:tcPr>
                <w:p>
                  <w:pPr>
                    <w:adjustRightInd w:val="0"/>
                    <w:snapToGrid w:val="0"/>
                    <w:jc w:val="center"/>
                    <w:rPr>
                      <w:sz w:val="18"/>
                      <w:szCs w:val="18"/>
                    </w:rPr>
                  </w:pPr>
                </w:p>
              </w:tc>
              <w:tc>
                <w:tcPr>
                  <w:tcW w:w="801" w:type="dxa"/>
                  <w:tcBorders>
                    <w:tl2br w:val="nil"/>
                    <w:tr2bl w:val="nil"/>
                  </w:tcBorders>
                  <w:vAlign w:val="center"/>
                </w:tcPr>
                <w:p>
                  <w:pPr>
                    <w:adjustRightInd w:val="0"/>
                    <w:snapToGrid w:val="0"/>
                    <w:jc w:val="center"/>
                    <w:rPr>
                      <w:sz w:val="18"/>
                      <w:szCs w:val="18"/>
                    </w:rPr>
                  </w:pPr>
                  <w:r>
                    <w:rPr>
                      <w:sz w:val="18"/>
                      <w:szCs w:val="18"/>
                    </w:rPr>
                    <w:t>μg/m</w:t>
                  </w:r>
                  <w:r>
                    <w:rPr>
                      <w:sz w:val="18"/>
                      <w:szCs w:val="18"/>
                      <w:vertAlign w:val="superscript"/>
                    </w:rPr>
                    <w:t>3</w:t>
                  </w:r>
                </w:p>
              </w:tc>
              <w:tc>
                <w:tcPr>
                  <w:tcW w:w="1305" w:type="dxa"/>
                  <w:tcBorders>
                    <w:tl2br w:val="nil"/>
                    <w:tr2bl w:val="nil"/>
                  </w:tcBorders>
                  <w:vAlign w:val="center"/>
                </w:tcPr>
                <w:p>
                  <w:pPr>
                    <w:adjustRightInd w:val="0"/>
                    <w:snapToGrid w:val="0"/>
                    <w:jc w:val="center"/>
                    <w:rPr>
                      <w:sz w:val="18"/>
                      <w:szCs w:val="18"/>
                    </w:rPr>
                  </w:pPr>
                  <w:r>
                    <w:rPr>
                      <w:sz w:val="18"/>
                      <w:szCs w:val="18"/>
                    </w:rPr>
                    <w:t>17</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blHeader/>
                <w:jc w:val="center"/>
              </w:trPr>
              <w:tc>
                <w:tcPr>
                  <w:tcW w:w="1470" w:type="dxa"/>
                  <w:vMerge w:val="continue"/>
                  <w:tcBorders>
                    <w:tl2br w:val="nil"/>
                    <w:tr2bl w:val="nil"/>
                  </w:tcBorders>
                  <w:vAlign w:val="center"/>
                </w:tcPr>
                <w:p>
                  <w:pPr>
                    <w:adjustRightInd w:val="0"/>
                    <w:snapToGrid w:val="0"/>
                    <w:jc w:val="center"/>
                    <w:rPr>
                      <w:sz w:val="18"/>
                      <w:szCs w:val="18"/>
                    </w:rPr>
                  </w:pPr>
                </w:p>
              </w:tc>
              <w:tc>
                <w:tcPr>
                  <w:tcW w:w="1965" w:type="dxa"/>
                  <w:vMerge w:val="continue"/>
                  <w:tcBorders>
                    <w:tl2br w:val="nil"/>
                    <w:tr2bl w:val="nil"/>
                  </w:tcBorders>
                  <w:vAlign w:val="center"/>
                </w:tcPr>
                <w:p>
                  <w:pPr>
                    <w:adjustRightInd w:val="0"/>
                    <w:snapToGrid w:val="0"/>
                    <w:jc w:val="center"/>
                    <w:rPr>
                      <w:sz w:val="18"/>
                      <w:szCs w:val="18"/>
                    </w:rPr>
                  </w:pPr>
                </w:p>
              </w:tc>
              <w:tc>
                <w:tcPr>
                  <w:tcW w:w="1316" w:type="dxa"/>
                  <w:tcBorders>
                    <w:tl2br w:val="nil"/>
                    <w:tr2bl w:val="nil"/>
                  </w:tcBorders>
                  <w:vAlign w:val="center"/>
                </w:tcPr>
                <w:p>
                  <w:pPr>
                    <w:adjustRightInd w:val="0"/>
                    <w:snapToGrid w:val="0"/>
                    <w:jc w:val="center"/>
                    <w:rPr>
                      <w:sz w:val="18"/>
                      <w:szCs w:val="18"/>
                    </w:rPr>
                  </w:pPr>
                  <w:r>
                    <w:rPr>
                      <w:sz w:val="18"/>
                      <w:szCs w:val="18"/>
                    </w:rPr>
                    <w:t>日均值</w:t>
                  </w:r>
                </w:p>
              </w:tc>
              <w:tc>
                <w:tcPr>
                  <w:tcW w:w="1642" w:type="dxa"/>
                  <w:vMerge w:val="continue"/>
                  <w:tcBorders>
                    <w:tl2br w:val="nil"/>
                    <w:tr2bl w:val="nil"/>
                  </w:tcBorders>
                  <w:vAlign w:val="center"/>
                </w:tcPr>
                <w:p>
                  <w:pPr>
                    <w:adjustRightInd w:val="0"/>
                    <w:snapToGrid w:val="0"/>
                    <w:jc w:val="center"/>
                    <w:rPr>
                      <w:sz w:val="18"/>
                      <w:szCs w:val="18"/>
                    </w:rPr>
                  </w:pPr>
                </w:p>
              </w:tc>
              <w:tc>
                <w:tcPr>
                  <w:tcW w:w="801" w:type="dxa"/>
                  <w:tcBorders>
                    <w:tl2br w:val="nil"/>
                    <w:tr2bl w:val="nil"/>
                  </w:tcBorders>
                  <w:vAlign w:val="center"/>
                </w:tcPr>
                <w:p>
                  <w:pPr>
                    <w:adjustRightInd w:val="0"/>
                    <w:snapToGrid w:val="0"/>
                    <w:jc w:val="center"/>
                    <w:rPr>
                      <w:sz w:val="18"/>
                      <w:szCs w:val="18"/>
                    </w:rPr>
                  </w:pPr>
                  <w:r>
                    <w:rPr>
                      <w:sz w:val="18"/>
                      <w:szCs w:val="18"/>
                    </w:rPr>
                    <w:t>μg/m</w:t>
                  </w:r>
                  <w:r>
                    <w:rPr>
                      <w:sz w:val="18"/>
                      <w:szCs w:val="18"/>
                      <w:vertAlign w:val="superscript"/>
                    </w:rPr>
                    <w:t>3</w:t>
                  </w:r>
                </w:p>
              </w:tc>
              <w:tc>
                <w:tcPr>
                  <w:tcW w:w="1305" w:type="dxa"/>
                  <w:tcBorders>
                    <w:tl2br w:val="nil"/>
                    <w:tr2bl w:val="nil"/>
                  </w:tcBorders>
                  <w:vAlign w:val="center"/>
                </w:tcPr>
                <w:p>
                  <w:pPr>
                    <w:adjustRightInd w:val="0"/>
                    <w:snapToGrid w:val="0"/>
                    <w:jc w:val="center"/>
                    <w:rPr>
                      <w:sz w:val="18"/>
                      <w:szCs w:val="18"/>
                    </w:rPr>
                  </w:pPr>
                  <w:r>
                    <w:rPr>
                      <w:sz w:val="18"/>
                      <w:szCs w:val="18"/>
                    </w:rPr>
                    <w:t>18</w:t>
                  </w:r>
                </w:p>
              </w:tc>
            </w:tr>
          </w:tbl>
          <w:p>
            <w:pPr>
              <w:spacing w:line="360" w:lineRule="auto"/>
              <w:ind w:firstLine="420" w:firstLineChars="200"/>
              <w:jc w:val="left"/>
            </w:pPr>
            <w:r>
              <w:t>（7）评价结果及分析</w:t>
            </w:r>
          </w:p>
          <w:p>
            <w:pPr>
              <w:spacing w:line="360" w:lineRule="auto"/>
              <w:ind w:firstLine="420" w:firstLineChars="200"/>
              <w:jc w:val="left"/>
            </w:pPr>
            <w:r>
              <w:t>评价区环境空气监测数据统计结果详见表15。</w:t>
            </w:r>
          </w:p>
          <w:p>
            <w:pPr>
              <w:jc w:val="center"/>
              <w:rPr>
                <w:b/>
                <w:bCs/>
              </w:rPr>
            </w:pPr>
            <w:r>
              <w:rPr>
                <w:b/>
                <w:bCs/>
              </w:rPr>
              <w:t>表15  评价区内各测点的大气质量指数</w:t>
            </w:r>
          </w:p>
          <w:tbl>
            <w:tblPr>
              <w:tblStyle w:val="26"/>
              <w:tblW w:w="8501"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295"/>
              <w:gridCol w:w="2703"/>
              <w:gridCol w:w="1500"/>
              <w:gridCol w:w="1500"/>
              <w:gridCol w:w="1503"/>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295" w:type="dxa"/>
                  <w:vMerge w:val="restart"/>
                  <w:vAlign w:val="center"/>
                </w:tcPr>
                <w:p>
                  <w:pPr>
                    <w:adjustRightInd w:val="0"/>
                    <w:snapToGrid w:val="0"/>
                    <w:jc w:val="center"/>
                    <w:rPr>
                      <w:sz w:val="18"/>
                      <w:szCs w:val="18"/>
                    </w:rPr>
                  </w:pPr>
                  <w:r>
                    <w:rPr>
                      <w:sz w:val="18"/>
                      <w:szCs w:val="18"/>
                    </w:rPr>
                    <w:t>监测点位</w:t>
                  </w:r>
                </w:p>
              </w:tc>
              <w:tc>
                <w:tcPr>
                  <w:tcW w:w="2703" w:type="dxa"/>
                  <w:vMerge w:val="restart"/>
                  <w:vAlign w:val="center"/>
                </w:tcPr>
                <w:p>
                  <w:pPr>
                    <w:adjustRightInd w:val="0"/>
                    <w:snapToGrid w:val="0"/>
                    <w:jc w:val="center"/>
                    <w:rPr>
                      <w:sz w:val="18"/>
                      <w:szCs w:val="18"/>
                    </w:rPr>
                  </w:pPr>
                  <w:r>
                    <w:rPr>
                      <w:sz w:val="18"/>
                      <w:szCs w:val="18"/>
                    </w:rPr>
                    <w:t>项目</w:t>
                  </w:r>
                </w:p>
              </w:tc>
              <w:tc>
                <w:tcPr>
                  <w:tcW w:w="1500" w:type="dxa"/>
                  <w:vAlign w:val="center"/>
                </w:tcPr>
                <w:p>
                  <w:pPr>
                    <w:adjustRightInd w:val="0"/>
                    <w:snapToGrid w:val="0"/>
                    <w:jc w:val="center"/>
                    <w:rPr>
                      <w:sz w:val="18"/>
                      <w:szCs w:val="18"/>
                    </w:rPr>
                  </w:pPr>
                  <w:r>
                    <w:rPr>
                      <w:sz w:val="18"/>
                      <w:szCs w:val="18"/>
                    </w:rPr>
                    <w:t>TSP</w:t>
                  </w:r>
                </w:p>
              </w:tc>
              <w:tc>
                <w:tcPr>
                  <w:tcW w:w="3003" w:type="dxa"/>
                  <w:gridSpan w:val="2"/>
                  <w:vAlign w:val="center"/>
                </w:tcPr>
                <w:p>
                  <w:pPr>
                    <w:adjustRightInd w:val="0"/>
                    <w:snapToGrid w:val="0"/>
                    <w:jc w:val="center"/>
                    <w:rPr>
                      <w:sz w:val="18"/>
                      <w:szCs w:val="18"/>
                    </w:rPr>
                  </w:pPr>
                  <w:r>
                    <w:rPr>
                      <w:sz w:val="18"/>
                      <w:szCs w:val="18"/>
                    </w:rPr>
                    <w:t>NO</w:t>
                  </w:r>
                  <w:r>
                    <w:rPr>
                      <w:sz w:val="18"/>
                      <w:szCs w:val="18"/>
                      <w:vertAlign w:val="subscript"/>
                    </w:rPr>
                    <w:t>X</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295" w:type="dxa"/>
                  <w:vMerge w:val="continue"/>
                  <w:vAlign w:val="center"/>
                </w:tcPr>
                <w:p>
                  <w:pPr>
                    <w:adjustRightInd w:val="0"/>
                    <w:snapToGrid w:val="0"/>
                    <w:jc w:val="center"/>
                    <w:rPr>
                      <w:sz w:val="18"/>
                      <w:szCs w:val="18"/>
                    </w:rPr>
                  </w:pPr>
                </w:p>
              </w:tc>
              <w:tc>
                <w:tcPr>
                  <w:tcW w:w="2703" w:type="dxa"/>
                  <w:vMerge w:val="continue"/>
                  <w:vAlign w:val="center"/>
                </w:tcPr>
                <w:p>
                  <w:pPr>
                    <w:adjustRightInd w:val="0"/>
                    <w:snapToGrid w:val="0"/>
                    <w:jc w:val="center"/>
                    <w:rPr>
                      <w:sz w:val="18"/>
                      <w:szCs w:val="18"/>
                    </w:rPr>
                  </w:pPr>
                </w:p>
              </w:tc>
              <w:tc>
                <w:tcPr>
                  <w:tcW w:w="1500" w:type="dxa"/>
                  <w:vAlign w:val="center"/>
                </w:tcPr>
                <w:p>
                  <w:pPr>
                    <w:adjustRightInd w:val="0"/>
                    <w:snapToGrid w:val="0"/>
                    <w:jc w:val="center"/>
                    <w:rPr>
                      <w:sz w:val="18"/>
                      <w:szCs w:val="18"/>
                    </w:rPr>
                  </w:pPr>
                  <w:r>
                    <w:rPr>
                      <w:sz w:val="18"/>
                      <w:szCs w:val="18"/>
                    </w:rPr>
                    <w:t>日均值</w:t>
                  </w:r>
                </w:p>
              </w:tc>
              <w:tc>
                <w:tcPr>
                  <w:tcW w:w="1500" w:type="dxa"/>
                  <w:vAlign w:val="center"/>
                </w:tcPr>
                <w:p>
                  <w:pPr>
                    <w:adjustRightInd w:val="0"/>
                    <w:snapToGrid w:val="0"/>
                    <w:jc w:val="center"/>
                    <w:rPr>
                      <w:sz w:val="18"/>
                      <w:szCs w:val="18"/>
                    </w:rPr>
                  </w:pPr>
                  <w:r>
                    <w:rPr>
                      <w:sz w:val="18"/>
                      <w:szCs w:val="18"/>
                    </w:rPr>
                    <w:t>小时值</w:t>
                  </w:r>
                </w:p>
              </w:tc>
              <w:tc>
                <w:tcPr>
                  <w:tcW w:w="1503" w:type="dxa"/>
                  <w:vAlign w:val="center"/>
                </w:tcPr>
                <w:p>
                  <w:pPr>
                    <w:adjustRightInd w:val="0"/>
                    <w:snapToGrid w:val="0"/>
                    <w:jc w:val="center"/>
                    <w:rPr>
                      <w:sz w:val="18"/>
                      <w:szCs w:val="18"/>
                    </w:rPr>
                  </w:pPr>
                  <w:r>
                    <w:rPr>
                      <w:sz w:val="18"/>
                      <w:szCs w:val="18"/>
                    </w:rPr>
                    <w:t>日均值</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213" w:hRule="atLeast"/>
                <w:jc w:val="center"/>
              </w:trPr>
              <w:tc>
                <w:tcPr>
                  <w:tcW w:w="1295" w:type="dxa"/>
                  <w:vMerge w:val="restart"/>
                  <w:vAlign w:val="center"/>
                </w:tcPr>
                <w:p>
                  <w:pPr>
                    <w:adjustRightInd w:val="0"/>
                    <w:snapToGrid w:val="0"/>
                    <w:jc w:val="center"/>
                    <w:rPr>
                      <w:sz w:val="18"/>
                      <w:szCs w:val="18"/>
                    </w:rPr>
                  </w:pPr>
                  <w:r>
                    <w:rPr>
                      <w:sz w:val="18"/>
                      <w:szCs w:val="18"/>
                    </w:rPr>
                    <w:t>1#永明村</w:t>
                  </w:r>
                </w:p>
              </w:tc>
              <w:tc>
                <w:tcPr>
                  <w:tcW w:w="2703" w:type="dxa"/>
                  <w:vAlign w:val="center"/>
                </w:tcPr>
                <w:p>
                  <w:pPr>
                    <w:adjustRightInd w:val="0"/>
                    <w:snapToGrid w:val="0"/>
                    <w:jc w:val="center"/>
                    <w:rPr>
                      <w:sz w:val="18"/>
                      <w:szCs w:val="18"/>
                    </w:rPr>
                  </w:pPr>
                  <w:r>
                    <w:rPr>
                      <w:sz w:val="18"/>
                      <w:szCs w:val="18"/>
                    </w:rPr>
                    <w:t>浓度值范围（μg/m</w:t>
                  </w:r>
                  <w:r>
                    <w:rPr>
                      <w:sz w:val="18"/>
                      <w:szCs w:val="18"/>
                      <w:vertAlign w:val="superscript"/>
                    </w:rPr>
                    <w:t>3</w:t>
                  </w:r>
                  <w:r>
                    <w:rPr>
                      <w:sz w:val="18"/>
                      <w:szCs w:val="18"/>
                    </w:rPr>
                    <w:t>）</w:t>
                  </w:r>
                </w:p>
              </w:tc>
              <w:tc>
                <w:tcPr>
                  <w:tcW w:w="1500" w:type="dxa"/>
                  <w:vAlign w:val="center"/>
                </w:tcPr>
                <w:p>
                  <w:pPr>
                    <w:adjustRightInd w:val="0"/>
                    <w:snapToGrid w:val="0"/>
                    <w:jc w:val="center"/>
                    <w:rPr>
                      <w:sz w:val="18"/>
                      <w:szCs w:val="18"/>
                    </w:rPr>
                  </w:pPr>
                  <w:r>
                    <w:rPr>
                      <w:sz w:val="18"/>
                      <w:szCs w:val="18"/>
                    </w:rPr>
                    <w:t>78-85</w:t>
                  </w:r>
                </w:p>
              </w:tc>
              <w:tc>
                <w:tcPr>
                  <w:tcW w:w="1500" w:type="dxa"/>
                  <w:vAlign w:val="center"/>
                </w:tcPr>
                <w:p>
                  <w:pPr>
                    <w:adjustRightInd w:val="0"/>
                    <w:snapToGrid w:val="0"/>
                    <w:jc w:val="center"/>
                    <w:rPr>
                      <w:sz w:val="18"/>
                      <w:szCs w:val="18"/>
                    </w:rPr>
                  </w:pPr>
                  <w:r>
                    <w:rPr>
                      <w:sz w:val="18"/>
                      <w:szCs w:val="18"/>
                    </w:rPr>
                    <w:t>16-20</w:t>
                  </w:r>
                </w:p>
              </w:tc>
              <w:tc>
                <w:tcPr>
                  <w:tcW w:w="1503" w:type="dxa"/>
                  <w:vAlign w:val="center"/>
                </w:tcPr>
                <w:p>
                  <w:pPr>
                    <w:adjustRightInd w:val="0"/>
                    <w:snapToGrid w:val="0"/>
                    <w:jc w:val="center"/>
                    <w:rPr>
                      <w:sz w:val="18"/>
                      <w:szCs w:val="18"/>
                    </w:rPr>
                  </w:pPr>
                  <w:r>
                    <w:rPr>
                      <w:sz w:val="18"/>
                      <w:szCs w:val="18"/>
                    </w:rPr>
                    <w:t>18-19</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295" w:type="dxa"/>
                  <w:vMerge w:val="continue"/>
                  <w:vAlign w:val="center"/>
                </w:tcPr>
                <w:p>
                  <w:pPr>
                    <w:adjustRightInd w:val="0"/>
                    <w:snapToGrid w:val="0"/>
                    <w:jc w:val="center"/>
                    <w:rPr>
                      <w:sz w:val="18"/>
                      <w:szCs w:val="18"/>
                    </w:rPr>
                  </w:pPr>
                </w:p>
              </w:tc>
              <w:tc>
                <w:tcPr>
                  <w:tcW w:w="2703" w:type="dxa"/>
                  <w:vAlign w:val="center"/>
                </w:tcPr>
                <w:p>
                  <w:pPr>
                    <w:adjustRightInd w:val="0"/>
                    <w:snapToGrid w:val="0"/>
                    <w:jc w:val="center"/>
                    <w:rPr>
                      <w:sz w:val="18"/>
                      <w:szCs w:val="18"/>
                    </w:rPr>
                  </w:pPr>
                  <w:r>
                    <w:rPr>
                      <w:sz w:val="18"/>
                      <w:szCs w:val="18"/>
                    </w:rPr>
                    <w:t>超标率（%）</w:t>
                  </w:r>
                </w:p>
              </w:tc>
              <w:tc>
                <w:tcPr>
                  <w:tcW w:w="1500" w:type="dxa"/>
                  <w:vAlign w:val="center"/>
                </w:tcPr>
                <w:p>
                  <w:pPr>
                    <w:adjustRightInd w:val="0"/>
                    <w:snapToGrid w:val="0"/>
                    <w:jc w:val="center"/>
                    <w:rPr>
                      <w:sz w:val="18"/>
                      <w:szCs w:val="18"/>
                    </w:rPr>
                  </w:pPr>
                  <w:r>
                    <w:rPr>
                      <w:sz w:val="18"/>
                      <w:szCs w:val="18"/>
                    </w:rPr>
                    <w:t>0</w:t>
                  </w:r>
                </w:p>
              </w:tc>
              <w:tc>
                <w:tcPr>
                  <w:tcW w:w="1500" w:type="dxa"/>
                  <w:vAlign w:val="center"/>
                </w:tcPr>
                <w:p>
                  <w:pPr>
                    <w:adjustRightInd w:val="0"/>
                    <w:snapToGrid w:val="0"/>
                    <w:jc w:val="center"/>
                    <w:rPr>
                      <w:sz w:val="18"/>
                      <w:szCs w:val="18"/>
                    </w:rPr>
                  </w:pPr>
                  <w:r>
                    <w:rPr>
                      <w:sz w:val="18"/>
                      <w:szCs w:val="18"/>
                    </w:rPr>
                    <w:t>0</w:t>
                  </w:r>
                </w:p>
              </w:tc>
              <w:tc>
                <w:tcPr>
                  <w:tcW w:w="1503" w:type="dxa"/>
                  <w:vAlign w:val="center"/>
                </w:tcPr>
                <w:p>
                  <w:pPr>
                    <w:adjustRightInd w:val="0"/>
                    <w:snapToGrid w:val="0"/>
                    <w:jc w:val="center"/>
                    <w:rPr>
                      <w:sz w:val="18"/>
                      <w:szCs w:val="18"/>
                    </w:rPr>
                  </w:pPr>
                  <w:r>
                    <w:rPr>
                      <w:sz w:val="18"/>
                      <w:szCs w:val="18"/>
                    </w:rPr>
                    <w:t>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295" w:type="dxa"/>
                  <w:vMerge w:val="continue"/>
                  <w:vAlign w:val="center"/>
                </w:tcPr>
                <w:p>
                  <w:pPr>
                    <w:adjustRightInd w:val="0"/>
                    <w:snapToGrid w:val="0"/>
                    <w:jc w:val="center"/>
                    <w:rPr>
                      <w:sz w:val="18"/>
                      <w:szCs w:val="18"/>
                    </w:rPr>
                  </w:pPr>
                </w:p>
              </w:tc>
              <w:tc>
                <w:tcPr>
                  <w:tcW w:w="2703" w:type="dxa"/>
                  <w:vAlign w:val="center"/>
                </w:tcPr>
                <w:p>
                  <w:pPr>
                    <w:adjustRightInd w:val="0"/>
                    <w:snapToGrid w:val="0"/>
                    <w:jc w:val="center"/>
                    <w:rPr>
                      <w:sz w:val="18"/>
                      <w:szCs w:val="18"/>
                    </w:rPr>
                  </w:pPr>
                  <w:r>
                    <w:rPr>
                      <w:sz w:val="18"/>
                      <w:szCs w:val="18"/>
                    </w:rPr>
                    <w:t>最大浓度值（μg/m</w:t>
                  </w:r>
                  <w:r>
                    <w:rPr>
                      <w:sz w:val="18"/>
                      <w:szCs w:val="18"/>
                      <w:vertAlign w:val="superscript"/>
                    </w:rPr>
                    <w:t>3</w:t>
                  </w:r>
                  <w:r>
                    <w:rPr>
                      <w:sz w:val="18"/>
                      <w:szCs w:val="18"/>
                    </w:rPr>
                    <w:t>）</w:t>
                  </w:r>
                </w:p>
              </w:tc>
              <w:tc>
                <w:tcPr>
                  <w:tcW w:w="1500" w:type="dxa"/>
                  <w:vAlign w:val="center"/>
                </w:tcPr>
                <w:p>
                  <w:pPr>
                    <w:adjustRightInd w:val="0"/>
                    <w:snapToGrid w:val="0"/>
                    <w:jc w:val="center"/>
                    <w:rPr>
                      <w:sz w:val="18"/>
                      <w:szCs w:val="18"/>
                    </w:rPr>
                  </w:pPr>
                  <w:r>
                    <w:rPr>
                      <w:sz w:val="18"/>
                      <w:szCs w:val="18"/>
                    </w:rPr>
                    <w:t>85</w:t>
                  </w:r>
                </w:p>
              </w:tc>
              <w:tc>
                <w:tcPr>
                  <w:tcW w:w="1500" w:type="dxa"/>
                  <w:vAlign w:val="center"/>
                </w:tcPr>
                <w:p>
                  <w:pPr>
                    <w:adjustRightInd w:val="0"/>
                    <w:snapToGrid w:val="0"/>
                    <w:jc w:val="center"/>
                    <w:rPr>
                      <w:sz w:val="18"/>
                      <w:szCs w:val="18"/>
                    </w:rPr>
                  </w:pPr>
                  <w:r>
                    <w:rPr>
                      <w:sz w:val="18"/>
                      <w:szCs w:val="18"/>
                    </w:rPr>
                    <w:t>20</w:t>
                  </w:r>
                </w:p>
              </w:tc>
              <w:tc>
                <w:tcPr>
                  <w:tcW w:w="1503" w:type="dxa"/>
                  <w:vAlign w:val="center"/>
                </w:tcPr>
                <w:p>
                  <w:pPr>
                    <w:adjustRightInd w:val="0"/>
                    <w:snapToGrid w:val="0"/>
                    <w:jc w:val="center"/>
                    <w:rPr>
                      <w:sz w:val="18"/>
                      <w:szCs w:val="18"/>
                    </w:rPr>
                  </w:pPr>
                  <w:r>
                    <w:rPr>
                      <w:sz w:val="18"/>
                      <w:szCs w:val="18"/>
                    </w:rPr>
                    <w:t>19</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295" w:type="dxa"/>
                  <w:vMerge w:val="continue"/>
                  <w:vAlign w:val="center"/>
                </w:tcPr>
                <w:p>
                  <w:pPr>
                    <w:adjustRightInd w:val="0"/>
                    <w:snapToGrid w:val="0"/>
                    <w:jc w:val="center"/>
                    <w:rPr>
                      <w:sz w:val="18"/>
                      <w:szCs w:val="18"/>
                    </w:rPr>
                  </w:pPr>
                </w:p>
              </w:tc>
              <w:tc>
                <w:tcPr>
                  <w:tcW w:w="2703" w:type="dxa"/>
                  <w:vAlign w:val="center"/>
                </w:tcPr>
                <w:p>
                  <w:pPr>
                    <w:adjustRightInd w:val="0"/>
                    <w:snapToGrid w:val="0"/>
                    <w:jc w:val="center"/>
                    <w:rPr>
                      <w:sz w:val="18"/>
                      <w:szCs w:val="18"/>
                    </w:rPr>
                  </w:pPr>
                  <w:r>
                    <w:rPr>
                      <w:sz w:val="18"/>
                      <w:szCs w:val="18"/>
                    </w:rPr>
                    <w:t>最大浓度占标率%</w:t>
                  </w:r>
                </w:p>
              </w:tc>
              <w:tc>
                <w:tcPr>
                  <w:tcW w:w="1500" w:type="dxa"/>
                  <w:vAlign w:val="center"/>
                </w:tcPr>
                <w:p>
                  <w:pPr>
                    <w:adjustRightInd w:val="0"/>
                    <w:snapToGrid w:val="0"/>
                    <w:jc w:val="center"/>
                    <w:rPr>
                      <w:sz w:val="18"/>
                      <w:szCs w:val="18"/>
                    </w:rPr>
                  </w:pPr>
                  <w:r>
                    <w:rPr>
                      <w:sz w:val="18"/>
                      <w:szCs w:val="18"/>
                    </w:rPr>
                    <w:t>28.33</w:t>
                  </w:r>
                </w:p>
              </w:tc>
              <w:tc>
                <w:tcPr>
                  <w:tcW w:w="1500" w:type="dxa"/>
                  <w:vAlign w:val="center"/>
                </w:tcPr>
                <w:p>
                  <w:pPr>
                    <w:adjustRightInd w:val="0"/>
                    <w:snapToGrid w:val="0"/>
                    <w:jc w:val="center"/>
                    <w:rPr>
                      <w:sz w:val="18"/>
                      <w:szCs w:val="18"/>
                    </w:rPr>
                  </w:pPr>
                  <w:r>
                    <w:rPr>
                      <w:sz w:val="18"/>
                      <w:szCs w:val="18"/>
                    </w:rPr>
                    <w:t>8.00</w:t>
                  </w:r>
                </w:p>
              </w:tc>
              <w:tc>
                <w:tcPr>
                  <w:tcW w:w="1503" w:type="dxa"/>
                  <w:vAlign w:val="center"/>
                </w:tcPr>
                <w:p>
                  <w:pPr>
                    <w:adjustRightInd w:val="0"/>
                    <w:snapToGrid w:val="0"/>
                    <w:jc w:val="center"/>
                    <w:rPr>
                      <w:sz w:val="18"/>
                      <w:szCs w:val="18"/>
                    </w:rPr>
                  </w:pPr>
                  <w:r>
                    <w:rPr>
                      <w:sz w:val="18"/>
                      <w:szCs w:val="18"/>
                    </w:rPr>
                    <w:t>19.00</w:t>
                  </w:r>
                </w:p>
              </w:tc>
            </w:tr>
          </w:tbl>
          <w:p>
            <w:pPr>
              <w:spacing w:line="360" w:lineRule="auto"/>
              <w:ind w:firstLine="420" w:firstLineChars="200"/>
              <w:jc w:val="left"/>
            </w:pPr>
            <w:r>
              <w:t>环境空气现状评价结果表明，区域内空气环境中TSP、NOx的最大浓度占标率均小于100%。TSP、NOx能够满足《环境空气质量标准》（GB3095-2026）中二级标准要求。</w:t>
            </w:r>
          </w:p>
          <w:p>
            <w:pPr>
              <w:spacing w:line="360" w:lineRule="auto"/>
              <w:ind w:firstLine="420" w:firstLineChars="200"/>
              <w:jc w:val="left"/>
            </w:pPr>
            <w:r>
              <w:t>三、声环境</w:t>
            </w:r>
          </w:p>
          <w:p>
            <w:pPr>
              <w:spacing w:line="360" w:lineRule="auto"/>
              <w:ind w:firstLine="420" w:firstLineChars="200"/>
              <w:jc w:val="left"/>
            </w:pPr>
            <w:r>
              <w:t>根据《建设项目环境影响报告表编制技术指南（污染影响类）》（试行）的规定，厂界外50m范围内存在声环境保护目标的建设项目，应监测保护目标声环境质量现状并评价达标情况。</w:t>
            </w:r>
          </w:p>
          <w:p>
            <w:pPr>
              <w:spacing w:line="360" w:lineRule="auto"/>
              <w:ind w:firstLine="420" w:firstLineChars="200"/>
              <w:jc w:val="left"/>
            </w:pPr>
            <w:r>
              <w:t>本项目厂界外50m范围内不存在声环境保护目标，无需进行声环境质量现状评价。</w:t>
            </w:r>
          </w:p>
          <w:p>
            <w:pPr>
              <w:spacing w:line="360" w:lineRule="auto"/>
              <w:ind w:firstLine="420" w:firstLineChars="200"/>
              <w:jc w:val="left"/>
            </w:pPr>
            <w:r>
              <w:t>四、地下水、土壤</w:t>
            </w:r>
          </w:p>
          <w:p>
            <w:pPr>
              <w:spacing w:line="360" w:lineRule="auto"/>
              <w:ind w:firstLine="420" w:firstLineChars="200"/>
              <w:jc w:val="left"/>
            </w:pPr>
            <w:r>
              <w:t>根据《建设项目环境影响报告表编制技术指南》（污染影响类）中规定，地下水、土壤环境原则上不开展环境质量现状调查，建设项目存在地下水、土壤环境污染途径的，应结合污染源、保护目标分布情况开展现状调查留作背景值。</w:t>
            </w:r>
          </w:p>
          <w:p>
            <w:pPr>
              <w:spacing w:line="360" w:lineRule="auto"/>
              <w:ind w:firstLine="420" w:firstLineChars="200"/>
              <w:jc w:val="left"/>
            </w:pPr>
            <w:r>
              <w:t>本项目为锅炉</w:t>
            </w:r>
            <w:r>
              <w:rPr>
                <w:rFonts w:hint="eastAsia"/>
              </w:rPr>
              <w:t>建设</w:t>
            </w:r>
            <w:r>
              <w:t>项目，锅炉间地面全部采用水泥硬化，不存在地下水、土壤环境污染途径，因此，本项目无需开展地下水、土壤环境现状调查。</w:t>
            </w:r>
          </w:p>
          <w:p>
            <w:pPr>
              <w:spacing w:line="360" w:lineRule="auto"/>
              <w:ind w:firstLine="420" w:firstLineChars="200"/>
              <w:jc w:val="left"/>
            </w:pPr>
            <w:r>
              <w:t>五、生态环境</w:t>
            </w:r>
          </w:p>
          <w:p>
            <w:pPr>
              <w:spacing w:line="360" w:lineRule="auto"/>
              <w:ind w:firstLine="420" w:firstLineChars="200"/>
              <w:jc w:val="left"/>
            </w:pPr>
            <w:r>
              <w:t>根据《建设项目环境影响报告表编制技术指南》（污染影响类）中规定，产业园区外建设项目新增用地且用地范围内含有生态环境保护目标时，应进行生态现状调查。</w:t>
            </w:r>
          </w:p>
          <w:p>
            <w:pPr>
              <w:spacing w:line="360" w:lineRule="auto"/>
              <w:ind w:firstLine="420" w:firstLineChars="200"/>
              <w:jc w:val="left"/>
            </w:pPr>
            <w:r>
              <w:t>本项目建址区域属于产业园区，项目在现有场区进行建设，不新增用地，根据《建设项目环境影响报告表编制技术指南（污染影响类）》（试行），本项目无需开展生态环境质量现状调查。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20" w:type="dxa"/>
            <w:vAlign w:val="top"/>
          </w:tcPr>
          <w:p>
            <w:pPr>
              <w:jc w:val="left"/>
              <w:rPr>
                <w:b/>
                <w:bCs/>
              </w:rPr>
            </w:pPr>
            <w:r>
              <w:rPr>
                <w:b/>
                <w:bCs/>
              </w:rPr>
              <w:t>环境保护目标</w:t>
            </w:r>
          </w:p>
          <w:p>
            <w:pPr>
              <w:spacing w:line="360" w:lineRule="auto"/>
              <w:ind w:firstLine="420" w:firstLineChars="200"/>
              <w:jc w:val="left"/>
            </w:pPr>
            <w:r>
              <w:t>根据《建设项目环境影响报告表编制技术指南（污染影响类）》（试行）的规定，环境保护目标定义如下。</w:t>
            </w:r>
          </w:p>
          <w:p>
            <w:pPr>
              <w:spacing w:line="360" w:lineRule="auto"/>
              <w:ind w:firstLine="420" w:firstLineChars="200"/>
              <w:jc w:val="left"/>
            </w:pPr>
            <w:r>
              <w:t>1、大气环境。明确厂界外500m范围内的自然保护区、风景名胜区、居住区、文化区和农村地区中人群较集中的区域等保护目标的名称及与建设项目厂界位置关系。</w:t>
            </w:r>
          </w:p>
          <w:p>
            <w:pPr>
              <w:spacing w:line="360" w:lineRule="auto"/>
              <w:ind w:firstLine="420" w:firstLineChars="200"/>
              <w:jc w:val="left"/>
            </w:pPr>
            <w:r>
              <w:t>2、声环境。明确厂界外50m范围内声环境保护目标。</w:t>
            </w:r>
          </w:p>
          <w:p>
            <w:pPr>
              <w:spacing w:line="360" w:lineRule="auto"/>
              <w:ind w:firstLine="420" w:firstLineChars="200"/>
              <w:jc w:val="left"/>
            </w:pPr>
            <w:r>
              <w:t>3、地下水环境。明确厂界外500m范围内的地下水集中式饮用水水源和热水、矿泉水、温泉等特殊地下水资源。</w:t>
            </w:r>
          </w:p>
          <w:p>
            <w:pPr>
              <w:spacing w:line="360" w:lineRule="auto"/>
              <w:ind w:firstLine="420" w:firstLineChars="200"/>
              <w:jc w:val="left"/>
            </w:pPr>
            <w:r>
              <w:t>4、生态环境。产业园区外建设项目新增用地的，应明确新增用地范围内生态环境保护目标。</w:t>
            </w:r>
          </w:p>
          <w:p>
            <w:pPr>
              <w:spacing w:line="360" w:lineRule="auto"/>
              <w:ind w:firstLine="420" w:firstLineChars="200"/>
              <w:jc w:val="left"/>
            </w:pPr>
            <w:r>
              <w:t>据此，根据现场踏查情况，本项目环境保护目标详见表16。</w:t>
            </w:r>
          </w:p>
          <w:p>
            <w:pPr>
              <w:jc w:val="center"/>
              <w:rPr>
                <w:b/>
                <w:bCs/>
              </w:rPr>
            </w:pPr>
            <w:r>
              <w:rPr>
                <w:b/>
                <w:bCs/>
              </w:rPr>
              <w:t>表16  环境保护目标一览表</w:t>
            </w:r>
          </w:p>
          <w:tbl>
            <w:tblPr>
              <w:tblStyle w:val="26"/>
              <w:tblW w:w="8501"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142"/>
              <w:gridCol w:w="1393"/>
              <w:gridCol w:w="1005"/>
              <w:gridCol w:w="1158"/>
              <w:gridCol w:w="811"/>
              <w:gridCol w:w="1392"/>
              <w:gridCol w:w="1600"/>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142" w:type="dxa"/>
                  <w:vAlign w:val="center"/>
                </w:tcPr>
                <w:p>
                  <w:pPr>
                    <w:adjustRightInd w:val="0"/>
                    <w:snapToGrid w:val="0"/>
                    <w:jc w:val="center"/>
                    <w:rPr>
                      <w:sz w:val="18"/>
                      <w:szCs w:val="18"/>
                    </w:rPr>
                  </w:pPr>
                  <w:r>
                    <w:rPr>
                      <w:sz w:val="18"/>
                      <w:szCs w:val="18"/>
                    </w:rPr>
                    <w:t>环境要素</w:t>
                  </w:r>
                </w:p>
              </w:tc>
              <w:tc>
                <w:tcPr>
                  <w:tcW w:w="1393" w:type="dxa"/>
                  <w:vAlign w:val="center"/>
                </w:tcPr>
                <w:p>
                  <w:pPr>
                    <w:adjustRightInd w:val="0"/>
                    <w:snapToGrid w:val="0"/>
                    <w:jc w:val="center"/>
                    <w:rPr>
                      <w:sz w:val="18"/>
                      <w:szCs w:val="18"/>
                    </w:rPr>
                  </w:pPr>
                  <w:r>
                    <w:rPr>
                      <w:sz w:val="18"/>
                      <w:szCs w:val="18"/>
                    </w:rPr>
                    <w:t>环境保护目标</w:t>
                  </w:r>
                </w:p>
              </w:tc>
              <w:tc>
                <w:tcPr>
                  <w:tcW w:w="1005" w:type="dxa"/>
                  <w:vAlign w:val="center"/>
                </w:tcPr>
                <w:p>
                  <w:pPr>
                    <w:adjustRightInd w:val="0"/>
                    <w:snapToGrid w:val="0"/>
                    <w:jc w:val="center"/>
                    <w:rPr>
                      <w:sz w:val="18"/>
                      <w:szCs w:val="18"/>
                    </w:rPr>
                  </w:pPr>
                  <w:r>
                    <w:rPr>
                      <w:sz w:val="18"/>
                      <w:szCs w:val="18"/>
                    </w:rPr>
                    <w:t>保护对象</w:t>
                  </w:r>
                </w:p>
              </w:tc>
              <w:tc>
                <w:tcPr>
                  <w:tcW w:w="1158" w:type="dxa"/>
                  <w:vAlign w:val="center"/>
                </w:tcPr>
                <w:p>
                  <w:pPr>
                    <w:adjustRightInd w:val="0"/>
                    <w:snapToGrid w:val="0"/>
                    <w:jc w:val="center"/>
                    <w:rPr>
                      <w:sz w:val="18"/>
                      <w:szCs w:val="18"/>
                    </w:rPr>
                  </w:pPr>
                  <w:r>
                    <w:rPr>
                      <w:sz w:val="18"/>
                      <w:szCs w:val="18"/>
                    </w:rPr>
                    <w:t>保护内容</w:t>
                  </w:r>
                </w:p>
                <w:p>
                  <w:pPr>
                    <w:adjustRightInd w:val="0"/>
                    <w:snapToGrid w:val="0"/>
                    <w:jc w:val="center"/>
                    <w:rPr>
                      <w:sz w:val="18"/>
                      <w:szCs w:val="18"/>
                    </w:rPr>
                  </w:pPr>
                  <w:r>
                    <w:rPr>
                      <w:sz w:val="18"/>
                      <w:szCs w:val="18"/>
                    </w:rPr>
                    <w:t>（户/人）</w:t>
                  </w:r>
                </w:p>
              </w:tc>
              <w:tc>
                <w:tcPr>
                  <w:tcW w:w="811" w:type="dxa"/>
                  <w:vAlign w:val="center"/>
                </w:tcPr>
                <w:p>
                  <w:pPr>
                    <w:adjustRightInd w:val="0"/>
                    <w:snapToGrid w:val="0"/>
                    <w:jc w:val="center"/>
                    <w:rPr>
                      <w:sz w:val="18"/>
                      <w:szCs w:val="18"/>
                    </w:rPr>
                  </w:pPr>
                  <w:r>
                    <w:rPr>
                      <w:sz w:val="18"/>
                      <w:szCs w:val="18"/>
                    </w:rPr>
                    <w:t>环境</w:t>
                  </w:r>
                </w:p>
                <w:p>
                  <w:pPr>
                    <w:adjustRightInd w:val="0"/>
                    <w:snapToGrid w:val="0"/>
                    <w:jc w:val="center"/>
                    <w:rPr>
                      <w:sz w:val="18"/>
                      <w:szCs w:val="18"/>
                    </w:rPr>
                  </w:pPr>
                  <w:r>
                    <w:rPr>
                      <w:sz w:val="18"/>
                      <w:szCs w:val="18"/>
                    </w:rPr>
                    <w:t>功能区</w:t>
                  </w:r>
                </w:p>
              </w:tc>
              <w:tc>
                <w:tcPr>
                  <w:tcW w:w="1392" w:type="dxa"/>
                  <w:vAlign w:val="center"/>
                </w:tcPr>
                <w:p>
                  <w:pPr>
                    <w:adjustRightInd w:val="0"/>
                    <w:snapToGrid w:val="0"/>
                    <w:jc w:val="center"/>
                    <w:rPr>
                      <w:sz w:val="18"/>
                      <w:szCs w:val="18"/>
                    </w:rPr>
                  </w:pPr>
                  <w:r>
                    <w:rPr>
                      <w:sz w:val="18"/>
                      <w:szCs w:val="18"/>
                    </w:rPr>
                    <w:t>相对厂址方向</w:t>
                  </w:r>
                </w:p>
              </w:tc>
              <w:tc>
                <w:tcPr>
                  <w:tcW w:w="1600" w:type="dxa"/>
                  <w:vAlign w:val="center"/>
                </w:tcPr>
                <w:p>
                  <w:pPr>
                    <w:adjustRightInd w:val="0"/>
                    <w:snapToGrid w:val="0"/>
                    <w:jc w:val="center"/>
                    <w:rPr>
                      <w:sz w:val="18"/>
                      <w:szCs w:val="18"/>
                    </w:rPr>
                  </w:pPr>
                  <w:r>
                    <w:rPr>
                      <w:sz w:val="18"/>
                      <w:szCs w:val="18"/>
                    </w:rPr>
                    <w:t>相对厂界距离/m</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142" w:type="dxa"/>
                  <w:vAlign w:val="center"/>
                </w:tcPr>
                <w:p>
                  <w:pPr>
                    <w:adjustRightInd w:val="0"/>
                    <w:snapToGrid w:val="0"/>
                    <w:jc w:val="center"/>
                    <w:rPr>
                      <w:sz w:val="18"/>
                      <w:szCs w:val="18"/>
                    </w:rPr>
                  </w:pPr>
                  <w:r>
                    <w:rPr>
                      <w:sz w:val="18"/>
                      <w:szCs w:val="18"/>
                    </w:rPr>
                    <w:t>大气环境</w:t>
                  </w:r>
                </w:p>
              </w:tc>
              <w:tc>
                <w:tcPr>
                  <w:tcW w:w="7359" w:type="dxa"/>
                  <w:gridSpan w:val="6"/>
                  <w:vAlign w:val="center"/>
                </w:tcPr>
                <w:p>
                  <w:pPr>
                    <w:adjustRightInd w:val="0"/>
                    <w:snapToGrid w:val="0"/>
                    <w:jc w:val="left"/>
                    <w:rPr>
                      <w:sz w:val="18"/>
                      <w:szCs w:val="18"/>
                    </w:rPr>
                  </w:pPr>
                  <w:r>
                    <w:rPr>
                      <w:sz w:val="18"/>
                      <w:szCs w:val="18"/>
                      <w:u w:val="single"/>
                    </w:rPr>
                    <w:t>根据现场踏勘及卫星影像核实，本项目厂界外500m范围内无自然保护区、风景名胜区、居住区、文化区和农村地区中人群较集中的区域等大气环境保护目标。距离本项目最近的居民区为东南侧约750m处的盛世家园小区，不在评价范围之内。</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142" w:type="dxa"/>
                  <w:vAlign w:val="center"/>
                </w:tcPr>
                <w:p>
                  <w:pPr>
                    <w:adjustRightInd w:val="0"/>
                    <w:snapToGrid w:val="0"/>
                    <w:jc w:val="center"/>
                    <w:rPr>
                      <w:sz w:val="18"/>
                      <w:szCs w:val="18"/>
                    </w:rPr>
                  </w:pPr>
                  <w:r>
                    <w:rPr>
                      <w:sz w:val="18"/>
                      <w:szCs w:val="18"/>
                    </w:rPr>
                    <w:t>声环境</w:t>
                  </w:r>
                </w:p>
              </w:tc>
              <w:tc>
                <w:tcPr>
                  <w:tcW w:w="7359" w:type="dxa"/>
                  <w:gridSpan w:val="6"/>
                  <w:vAlign w:val="center"/>
                </w:tcPr>
                <w:p>
                  <w:pPr>
                    <w:adjustRightInd w:val="0"/>
                    <w:snapToGrid w:val="0"/>
                    <w:rPr>
                      <w:color w:val="FF0000"/>
                      <w:sz w:val="18"/>
                      <w:szCs w:val="18"/>
                    </w:rPr>
                  </w:pPr>
                  <w:r>
                    <w:rPr>
                      <w:sz w:val="18"/>
                      <w:szCs w:val="18"/>
                    </w:rPr>
                    <w:t>本项目厂界外50m范围内无声环境保护目标。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42" w:type="dxa"/>
                  <w:vAlign w:val="center"/>
                </w:tcPr>
                <w:p>
                  <w:pPr>
                    <w:adjustRightInd w:val="0"/>
                    <w:snapToGrid w:val="0"/>
                    <w:jc w:val="center"/>
                    <w:rPr>
                      <w:sz w:val="18"/>
                      <w:szCs w:val="18"/>
                    </w:rPr>
                  </w:pPr>
                  <w:r>
                    <w:rPr>
                      <w:sz w:val="18"/>
                      <w:szCs w:val="18"/>
                    </w:rPr>
                    <w:t>地下水环境</w:t>
                  </w:r>
                </w:p>
              </w:tc>
              <w:tc>
                <w:tcPr>
                  <w:tcW w:w="7359" w:type="dxa"/>
                  <w:gridSpan w:val="6"/>
                  <w:vAlign w:val="center"/>
                </w:tcPr>
                <w:p>
                  <w:pPr>
                    <w:adjustRightInd w:val="0"/>
                    <w:snapToGrid w:val="0"/>
                    <w:rPr>
                      <w:sz w:val="18"/>
                      <w:szCs w:val="18"/>
                      <w:highlight w:val="red"/>
                    </w:rPr>
                  </w:pPr>
                  <w:r>
                    <w:rPr>
                      <w:sz w:val="18"/>
                      <w:szCs w:val="18"/>
                    </w:rPr>
                    <w:t>本项目厂界外500m范围内无地下水集中式饮用水水源和热水、矿泉水、温泉等特殊地下水资源</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42" w:type="dxa"/>
                  <w:vAlign w:val="center"/>
                </w:tcPr>
                <w:p>
                  <w:pPr>
                    <w:adjustRightInd w:val="0"/>
                    <w:snapToGrid w:val="0"/>
                    <w:jc w:val="center"/>
                    <w:rPr>
                      <w:sz w:val="18"/>
                      <w:szCs w:val="18"/>
                    </w:rPr>
                  </w:pPr>
                  <w:r>
                    <w:rPr>
                      <w:sz w:val="18"/>
                      <w:szCs w:val="18"/>
                    </w:rPr>
                    <w:t>生态环境</w:t>
                  </w:r>
                </w:p>
              </w:tc>
              <w:tc>
                <w:tcPr>
                  <w:tcW w:w="7359" w:type="dxa"/>
                  <w:gridSpan w:val="6"/>
                  <w:vAlign w:val="center"/>
                </w:tcPr>
                <w:p>
                  <w:pPr>
                    <w:adjustRightInd w:val="0"/>
                    <w:snapToGrid w:val="0"/>
                    <w:jc w:val="left"/>
                    <w:rPr>
                      <w:sz w:val="18"/>
                      <w:szCs w:val="18"/>
                    </w:rPr>
                  </w:pPr>
                  <w:r>
                    <w:rPr>
                      <w:sz w:val="18"/>
                      <w:szCs w:val="18"/>
                    </w:rPr>
                    <w:t>本项目占地范围内不存在生态环境保护目标</w:t>
                  </w:r>
                </w:p>
              </w:tc>
            </w:tr>
          </w:tbl>
          <w:p/>
          <w:p/>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20" w:type="dxa"/>
            <w:vAlign w:val="top"/>
          </w:tcPr>
          <w:p>
            <w:pPr>
              <w:jc w:val="left"/>
              <w:rPr>
                <w:b/>
                <w:bCs/>
              </w:rPr>
            </w:pPr>
            <w:r>
              <w:rPr>
                <w:b/>
                <w:bCs/>
              </w:rPr>
              <w:t>污染物排放控制标准</w:t>
            </w:r>
          </w:p>
          <w:p>
            <w:pPr>
              <w:spacing w:line="360" w:lineRule="auto"/>
              <w:ind w:firstLine="420" w:firstLineChars="200"/>
              <w:jc w:val="left"/>
            </w:pPr>
            <w:r>
              <w:t>1、废水</w:t>
            </w:r>
          </w:p>
          <w:p>
            <w:pPr>
              <w:spacing w:line="360" w:lineRule="auto"/>
              <w:ind w:firstLine="420" w:firstLineChars="200"/>
              <w:jc w:val="left"/>
            </w:pPr>
            <w:r>
              <w:t>本项目不新增职工，无生活污水产生。导热油炉日常运行过程中无需用水。本项目不涉及废水，故本项目不涉及废水排放标准。</w:t>
            </w:r>
          </w:p>
          <w:p>
            <w:pPr>
              <w:spacing w:line="360" w:lineRule="auto"/>
              <w:ind w:firstLine="420" w:firstLineChars="200"/>
              <w:jc w:val="left"/>
            </w:pPr>
            <w:r>
              <w:t>2、废气污染物排放标准</w:t>
            </w:r>
          </w:p>
          <w:p>
            <w:pPr>
              <w:wordWrap w:val="0"/>
              <w:spacing w:line="360" w:lineRule="auto"/>
              <w:ind w:firstLine="420" w:firstLineChars="200"/>
              <w:jc w:val="left"/>
            </w:pPr>
            <w:r>
              <w:t>（1）无组织废气</w:t>
            </w:r>
          </w:p>
          <w:p>
            <w:pPr>
              <w:wordWrap w:val="0"/>
              <w:spacing w:line="360" w:lineRule="auto"/>
              <w:ind w:firstLine="420" w:firstLineChars="200"/>
              <w:jc w:val="left"/>
            </w:pPr>
            <w:r>
              <w:t>本项目厂界无组织废气颗粒物排放标准执行《大气污染物综合排放标准》（GB16297-1996）中无组织排放监控浓度限值要求，详见表17。</w:t>
            </w:r>
          </w:p>
          <w:p>
            <w:pPr>
              <w:jc w:val="center"/>
              <w:rPr>
                <w:b/>
                <w:bCs/>
              </w:rPr>
            </w:pPr>
            <w:r>
              <w:rPr>
                <w:b/>
                <w:bCs/>
              </w:rPr>
              <w:t>表17  《大气污染物综合排放标准》（GB16297-1996）</w:t>
            </w:r>
          </w:p>
          <w:tbl>
            <w:tblPr>
              <w:tblStyle w:val="26"/>
              <w:tblW w:w="8501" w:type="dxa"/>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899"/>
              <w:gridCol w:w="1968"/>
              <w:gridCol w:w="1681"/>
              <w:gridCol w:w="3953"/>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899" w:type="dxa"/>
                  <w:vMerge w:val="restart"/>
                  <w:tcBorders>
                    <w:tl2br w:val="nil"/>
                    <w:tr2bl w:val="nil"/>
                  </w:tcBorders>
                  <w:vAlign w:val="center"/>
                </w:tcPr>
                <w:p>
                  <w:pPr>
                    <w:adjustRightInd w:val="0"/>
                    <w:snapToGrid w:val="0"/>
                    <w:jc w:val="center"/>
                    <w:rPr>
                      <w:sz w:val="18"/>
                      <w:szCs w:val="18"/>
                      <w:lang w:val="zh-CN"/>
                    </w:rPr>
                  </w:pPr>
                  <w:r>
                    <w:rPr>
                      <w:sz w:val="18"/>
                      <w:szCs w:val="18"/>
                      <w:lang w:val="zh-CN"/>
                    </w:rPr>
                    <w:t>污染物</w:t>
                  </w:r>
                </w:p>
              </w:tc>
              <w:tc>
                <w:tcPr>
                  <w:tcW w:w="3649" w:type="dxa"/>
                  <w:gridSpan w:val="2"/>
                  <w:tcBorders>
                    <w:tl2br w:val="nil"/>
                    <w:tr2bl w:val="nil"/>
                  </w:tcBorders>
                  <w:vAlign w:val="center"/>
                </w:tcPr>
                <w:p>
                  <w:pPr>
                    <w:adjustRightInd w:val="0"/>
                    <w:snapToGrid w:val="0"/>
                    <w:jc w:val="center"/>
                    <w:rPr>
                      <w:sz w:val="18"/>
                      <w:szCs w:val="18"/>
                      <w:lang w:val="zh-CN"/>
                    </w:rPr>
                  </w:pPr>
                  <w:r>
                    <w:rPr>
                      <w:sz w:val="18"/>
                      <w:szCs w:val="18"/>
                      <w:lang w:val="zh-CN"/>
                    </w:rPr>
                    <w:t>无组织排放浓度监控限值</w:t>
                  </w:r>
                </w:p>
              </w:tc>
              <w:tc>
                <w:tcPr>
                  <w:tcW w:w="3953" w:type="dxa"/>
                  <w:tcBorders>
                    <w:tl2br w:val="nil"/>
                    <w:tr2bl w:val="nil"/>
                  </w:tcBorders>
                  <w:vAlign w:val="center"/>
                </w:tcPr>
                <w:p>
                  <w:pPr>
                    <w:adjustRightInd w:val="0"/>
                    <w:snapToGrid w:val="0"/>
                    <w:jc w:val="center"/>
                    <w:rPr>
                      <w:sz w:val="18"/>
                      <w:szCs w:val="18"/>
                      <w:lang w:val="zh-CN"/>
                    </w:rPr>
                  </w:pPr>
                  <w:r>
                    <w:rPr>
                      <w:sz w:val="18"/>
                      <w:szCs w:val="18"/>
                      <w:lang w:val="zh-CN"/>
                    </w:rPr>
                    <w:t>无组织排放监控位置</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899" w:type="dxa"/>
                  <w:vMerge w:val="continue"/>
                  <w:tcBorders>
                    <w:tl2br w:val="nil"/>
                    <w:tr2bl w:val="nil"/>
                  </w:tcBorders>
                  <w:vAlign w:val="center"/>
                </w:tcPr>
                <w:p>
                  <w:pPr>
                    <w:adjustRightInd w:val="0"/>
                    <w:snapToGrid w:val="0"/>
                    <w:jc w:val="center"/>
                    <w:rPr>
                      <w:sz w:val="18"/>
                      <w:szCs w:val="18"/>
                      <w:lang w:val="zh-CN"/>
                    </w:rPr>
                  </w:pPr>
                </w:p>
              </w:tc>
              <w:tc>
                <w:tcPr>
                  <w:tcW w:w="1968" w:type="dxa"/>
                  <w:tcBorders>
                    <w:tl2br w:val="nil"/>
                    <w:tr2bl w:val="nil"/>
                  </w:tcBorders>
                  <w:vAlign w:val="center"/>
                </w:tcPr>
                <w:p>
                  <w:pPr>
                    <w:adjustRightInd w:val="0"/>
                    <w:snapToGrid w:val="0"/>
                    <w:jc w:val="center"/>
                    <w:rPr>
                      <w:sz w:val="18"/>
                      <w:szCs w:val="18"/>
                      <w:lang w:val="zh-CN"/>
                    </w:rPr>
                  </w:pPr>
                  <w:r>
                    <w:rPr>
                      <w:sz w:val="18"/>
                      <w:szCs w:val="18"/>
                      <w:lang w:val="zh-CN"/>
                    </w:rPr>
                    <w:t>监控点</w:t>
                  </w:r>
                </w:p>
              </w:tc>
              <w:tc>
                <w:tcPr>
                  <w:tcW w:w="1681" w:type="dxa"/>
                  <w:tcBorders>
                    <w:tl2br w:val="nil"/>
                    <w:tr2bl w:val="nil"/>
                  </w:tcBorders>
                  <w:vAlign w:val="center"/>
                </w:tcPr>
                <w:p>
                  <w:pPr>
                    <w:adjustRightInd w:val="0"/>
                    <w:snapToGrid w:val="0"/>
                    <w:jc w:val="center"/>
                    <w:rPr>
                      <w:sz w:val="18"/>
                      <w:szCs w:val="18"/>
                      <w:lang w:val="zh-CN"/>
                    </w:rPr>
                  </w:pPr>
                  <w:r>
                    <w:rPr>
                      <w:sz w:val="18"/>
                      <w:szCs w:val="18"/>
                      <w:lang w:val="zh-CN"/>
                    </w:rPr>
                    <w:t>浓度（</w:t>
                  </w:r>
                  <w:r>
                    <w:rPr>
                      <w:sz w:val="18"/>
                      <w:szCs w:val="18"/>
                    </w:rPr>
                    <w:t>mg/m</w:t>
                  </w:r>
                  <w:r>
                    <w:rPr>
                      <w:sz w:val="18"/>
                      <w:szCs w:val="18"/>
                      <w:vertAlign w:val="superscript"/>
                    </w:rPr>
                    <w:t>3</w:t>
                  </w:r>
                  <w:r>
                    <w:rPr>
                      <w:sz w:val="18"/>
                      <w:szCs w:val="18"/>
                      <w:lang w:val="zh-CN"/>
                    </w:rPr>
                    <w:t>）</w:t>
                  </w:r>
                </w:p>
              </w:tc>
              <w:tc>
                <w:tcPr>
                  <w:tcW w:w="3953" w:type="dxa"/>
                  <w:vMerge w:val="restart"/>
                  <w:tcBorders>
                    <w:tl2br w:val="nil"/>
                    <w:tr2bl w:val="nil"/>
                  </w:tcBorders>
                  <w:vAlign w:val="center"/>
                </w:tcPr>
                <w:p>
                  <w:pPr>
                    <w:adjustRightInd w:val="0"/>
                    <w:snapToGrid w:val="0"/>
                    <w:jc w:val="center"/>
                    <w:rPr>
                      <w:sz w:val="18"/>
                      <w:szCs w:val="18"/>
                      <w:lang w:val="zh-CN"/>
                    </w:rPr>
                  </w:pPr>
                  <w:r>
                    <w:rPr>
                      <w:sz w:val="18"/>
                      <w:szCs w:val="18"/>
                      <w:lang w:val="zh-CN"/>
                    </w:rPr>
                    <w:t>厂界外</w:t>
                  </w:r>
                  <w:r>
                    <w:rPr>
                      <w:sz w:val="18"/>
                      <w:szCs w:val="18"/>
                    </w:rPr>
                    <w:t>1</w:t>
                  </w:r>
                  <w:r>
                    <w:rPr>
                      <w:sz w:val="18"/>
                      <w:szCs w:val="18"/>
                      <w:lang w:val="zh-CN"/>
                    </w:rPr>
                    <w:t>0m范围内下风向设</w:t>
                  </w:r>
                  <w:r>
                    <w:rPr>
                      <w:sz w:val="18"/>
                      <w:szCs w:val="18"/>
                    </w:rPr>
                    <w:t>4个</w:t>
                  </w:r>
                  <w:r>
                    <w:rPr>
                      <w:sz w:val="18"/>
                      <w:szCs w:val="18"/>
                      <w:lang w:val="zh-CN"/>
                    </w:rPr>
                    <w:t>监控点</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27" w:hRule="atLeast"/>
              </w:trPr>
              <w:tc>
                <w:tcPr>
                  <w:tcW w:w="899" w:type="dxa"/>
                  <w:tcBorders>
                    <w:tl2br w:val="nil"/>
                    <w:tr2bl w:val="nil"/>
                  </w:tcBorders>
                  <w:vAlign w:val="center"/>
                </w:tcPr>
                <w:p>
                  <w:pPr>
                    <w:adjustRightInd w:val="0"/>
                    <w:snapToGrid w:val="0"/>
                    <w:jc w:val="center"/>
                    <w:rPr>
                      <w:sz w:val="18"/>
                      <w:szCs w:val="18"/>
                      <w:lang w:val="zh-CN"/>
                    </w:rPr>
                  </w:pPr>
                  <w:r>
                    <w:rPr>
                      <w:sz w:val="18"/>
                      <w:szCs w:val="18"/>
                      <w:lang w:val="zh-CN"/>
                    </w:rPr>
                    <w:t>颗粒物</w:t>
                  </w:r>
                </w:p>
              </w:tc>
              <w:tc>
                <w:tcPr>
                  <w:tcW w:w="1968" w:type="dxa"/>
                  <w:tcBorders>
                    <w:tl2br w:val="nil"/>
                    <w:tr2bl w:val="nil"/>
                  </w:tcBorders>
                  <w:vAlign w:val="center"/>
                </w:tcPr>
                <w:p>
                  <w:pPr>
                    <w:adjustRightInd w:val="0"/>
                    <w:snapToGrid w:val="0"/>
                    <w:jc w:val="center"/>
                    <w:rPr>
                      <w:sz w:val="18"/>
                      <w:szCs w:val="18"/>
                      <w:lang w:val="zh-CN"/>
                    </w:rPr>
                  </w:pPr>
                  <w:r>
                    <w:rPr>
                      <w:sz w:val="18"/>
                      <w:szCs w:val="18"/>
                      <w:lang w:val="zh-CN"/>
                    </w:rPr>
                    <w:t>周界外浓度最高点</w:t>
                  </w:r>
                </w:p>
              </w:tc>
              <w:tc>
                <w:tcPr>
                  <w:tcW w:w="1681" w:type="dxa"/>
                  <w:tcBorders>
                    <w:tl2br w:val="nil"/>
                    <w:tr2bl w:val="nil"/>
                  </w:tcBorders>
                  <w:vAlign w:val="center"/>
                </w:tcPr>
                <w:p>
                  <w:pPr>
                    <w:adjustRightInd w:val="0"/>
                    <w:snapToGrid w:val="0"/>
                    <w:jc w:val="center"/>
                    <w:rPr>
                      <w:sz w:val="18"/>
                      <w:szCs w:val="18"/>
                    </w:rPr>
                  </w:pPr>
                  <w:r>
                    <w:rPr>
                      <w:sz w:val="18"/>
                      <w:szCs w:val="18"/>
                    </w:rPr>
                    <w:t>1.0</w:t>
                  </w:r>
                </w:p>
              </w:tc>
              <w:tc>
                <w:tcPr>
                  <w:tcW w:w="3953" w:type="dxa"/>
                  <w:vMerge w:val="continue"/>
                  <w:tcBorders>
                    <w:tl2br w:val="nil"/>
                    <w:tr2bl w:val="nil"/>
                  </w:tcBorders>
                  <w:vAlign w:val="center"/>
                </w:tcPr>
                <w:p>
                  <w:pPr>
                    <w:adjustRightInd w:val="0"/>
                    <w:snapToGrid w:val="0"/>
                    <w:jc w:val="center"/>
                    <w:rPr>
                      <w:sz w:val="18"/>
                      <w:szCs w:val="18"/>
                    </w:rPr>
                  </w:pPr>
                </w:p>
              </w:tc>
            </w:tr>
          </w:tbl>
          <w:p>
            <w:pPr>
              <w:wordWrap w:val="0"/>
              <w:spacing w:line="360" w:lineRule="auto"/>
              <w:ind w:firstLine="420" w:firstLineChars="200"/>
              <w:jc w:val="left"/>
            </w:pPr>
            <w:r>
              <w:t>（2）有组织废气</w:t>
            </w:r>
          </w:p>
          <w:p>
            <w:pPr>
              <w:wordWrap w:val="0"/>
              <w:spacing w:line="360" w:lineRule="auto"/>
              <w:ind w:firstLine="420" w:firstLineChars="200"/>
              <w:jc w:val="left"/>
            </w:pPr>
            <w:r>
              <w:t>本项目运营期导热油炉废气排放标准执行《锅炉大气污染物排放标准》（GB13271-2014）中表2新建锅炉大气污染物排放浓度限值燃煤锅炉要求，详见表18。</w:t>
            </w:r>
          </w:p>
          <w:p>
            <w:pPr>
              <w:jc w:val="center"/>
              <w:rPr>
                <w:b/>
                <w:bCs/>
              </w:rPr>
            </w:pPr>
            <w:r>
              <w:rPr>
                <w:b/>
                <w:bCs/>
              </w:rPr>
              <w:t>表18  《锅炉大气污染物排放标准》（GB13271-2014）</w:t>
            </w:r>
          </w:p>
          <w:tbl>
            <w:tblPr>
              <w:tblStyle w:val="26"/>
              <w:tblW w:w="8502" w:type="dxa"/>
              <w:tblInd w:w="0" w:type="dxa"/>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Layout w:type="fixed"/>
              <w:tblCellMar>
                <w:top w:w="0" w:type="dxa"/>
                <w:left w:w="108" w:type="dxa"/>
                <w:bottom w:w="0" w:type="dxa"/>
                <w:right w:w="108" w:type="dxa"/>
              </w:tblCellMar>
            </w:tblPr>
            <w:tblGrid>
              <w:gridCol w:w="1176"/>
              <w:gridCol w:w="2230"/>
              <w:gridCol w:w="949"/>
              <w:gridCol w:w="633"/>
              <w:gridCol w:w="702"/>
              <w:gridCol w:w="1627"/>
              <w:gridCol w:w="1185"/>
            </w:tblGrid>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cantSplit/>
                <w:trHeight w:val="90" w:hRule="atLeast"/>
              </w:trPr>
              <w:tc>
                <w:tcPr>
                  <w:tcW w:w="1176" w:type="dxa"/>
                  <w:vAlign w:val="center"/>
                </w:tcPr>
                <w:p>
                  <w:pPr>
                    <w:adjustRightInd w:val="0"/>
                    <w:snapToGrid w:val="0"/>
                    <w:jc w:val="center"/>
                    <w:rPr>
                      <w:sz w:val="18"/>
                      <w:szCs w:val="18"/>
                    </w:rPr>
                  </w:pPr>
                  <w:r>
                    <w:rPr>
                      <w:sz w:val="18"/>
                      <w:szCs w:val="18"/>
                    </w:rPr>
                    <w:t>环境要素</w:t>
                  </w:r>
                </w:p>
              </w:tc>
              <w:tc>
                <w:tcPr>
                  <w:tcW w:w="7326" w:type="dxa"/>
                  <w:gridSpan w:val="6"/>
                  <w:vAlign w:val="center"/>
                </w:tcPr>
                <w:p>
                  <w:pPr>
                    <w:adjustRightInd w:val="0"/>
                    <w:snapToGrid w:val="0"/>
                    <w:jc w:val="center"/>
                    <w:rPr>
                      <w:sz w:val="18"/>
                      <w:szCs w:val="18"/>
                    </w:rPr>
                  </w:pPr>
                  <w:r>
                    <w:rPr>
                      <w:sz w:val="18"/>
                      <w:szCs w:val="18"/>
                    </w:rPr>
                    <w:t>标准限值</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cantSplit/>
              </w:trPr>
              <w:tc>
                <w:tcPr>
                  <w:tcW w:w="1176" w:type="dxa"/>
                  <w:vMerge w:val="restart"/>
                  <w:vAlign w:val="center"/>
                </w:tcPr>
                <w:p>
                  <w:pPr>
                    <w:adjustRightInd w:val="0"/>
                    <w:snapToGrid w:val="0"/>
                    <w:jc w:val="center"/>
                    <w:rPr>
                      <w:sz w:val="18"/>
                      <w:szCs w:val="18"/>
                    </w:rPr>
                  </w:pPr>
                  <w:r>
                    <w:rPr>
                      <w:sz w:val="18"/>
                      <w:szCs w:val="18"/>
                    </w:rPr>
                    <w:t>锅炉烟气</w:t>
                  </w:r>
                </w:p>
              </w:tc>
              <w:tc>
                <w:tcPr>
                  <w:tcW w:w="2230" w:type="dxa"/>
                  <w:vAlign w:val="center"/>
                </w:tcPr>
                <w:p>
                  <w:pPr>
                    <w:adjustRightInd w:val="0"/>
                    <w:snapToGrid w:val="0"/>
                    <w:jc w:val="center"/>
                    <w:rPr>
                      <w:sz w:val="18"/>
                      <w:szCs w:val="18"/>
                    </w:rPr>
                  </w:pPr>
                  <w:r>
                    <w:rPr>
                      <w:sz w:val="18"/>
                      <w:szCs w:val="18"/>
                    </w:rPr>
                    <w:t>污染物</w:t>
                  </w:r>
                </w:p>
              </w:tc>
              <w:tc>
                <w:tcPr>
                  <w:tcW w:w="949" w:type="dxa"/>
                  <w:vAlign w:val="center"/>
                </w:tcPr>
                <w:p>
                  <w:pPr>
                    <w:adjustRightInd w:val="0"/>
                    <w:snapToGrid w:val="0"/>
                    <w:jc w:val="center"/>
                    <w:rPr>
                      <w:sz w:val="18"/>
                      <w:szCs w:val="18"/>
                    </w:rPr>
                  </w:pPr>
                  <w:r>
                    <w:rPr>
                      <w:sz w:val="18"/>
                      <w:szCs w:val="18"/>
                    </w:rPr>
                    <w:t>颗粒物</w:t>
                  </w:r>
                </w:p>
              </w:tc>
              <w:tc>
                <w:tcPr>
                  <w:tcW w:w="633" w:type="dxa"/>
                  <w:tcBorders>
                    <w:right w:val="single" w:color="auto" w:sz="4" w:space="0"/>
                  </w:tcBorders>
                  <w:vAlign w:val="center"/>
                </w:tcPr>
                <w:p>
                  <w:pPr>
                    <w:adjustRightInd w:val="0"/>
                    <w:snapToGrid w:val="0"/>
                    <w:jc w:val="center"/>
                    <w:rPr>
                      <w:sz w:val="18"/>
                      <w:szCs w:val="18"/>
                    </w:rPr>
                  </w:pPr>
                  <w:r>
                    <w:rPr>
                      <w:sz w:val="18"/>
                      <w:szCs w:val="18"/>
                    </w:rPr>
                    <w:t>SO</w:t>
                  </w:r>
                  <w:r>
                    <w:rPr>
                      <w:sz w:val="18"/>
                      <w:szCs w:val="18"/>
                      <w:vertAlign w:val="subscript"/>
                    </w:rPr>
                    <w:t>2</w:t>
                  </w:r>
                </w:p>
              </w:tc>
              <w:tc>
                <w:tcPr>
                  <w:tcW w:w="702" w:type="dxa"/>
                  <w:tcBorders>
                    <w:left w:val="single" w:color="auto" w:sz="4" w:space="0"/>
                  </w:tcBorders>
                  <w:vAlign w:val="center"/>
                </w:tcPr>
                <w:p>
                  <w:pPr>
                    <w:adjustRightInd w:val="0"/>
                    <w:snapToGrid w:val="0"/>
                    <w:jc w:val="center"/>
                    <w:rPr>
                      <w:sz w:val="18"/>
                      <w:szCs w:val="18"/>
                    </w:rPr>
                  </w:pPr>
                  <w:r>
                    <w:rPr>
                      <w:sz w:val="18"/>
                      <w:szCs w:val="18"/>
                    </w:rPr>
                    <w:t>NO</w:t>
                  </w:r>
                  <w:r>
                    <w:rPr>
                      <w:sz w:val="18"/>
                      <w:szCs w:val="18"/>
                      <w:vertAlign w:val="subscript"/>
                    </w:rPr>
                    <w:t>X</w:t>
                  </w:r>
                </w:p>
              </w:tc>
              <w:tc>
                <w:tcPr>
                  <w:tcW w:w="1627" w:type="dxa"/>
                  <w:tcBorders>
                    <w:left w:val="single" w:color="auto" w:sz="4" w:space="0"/>
                  </w:tcBorders>
                  <w:vAlign w:val="center"/>
                </w:tcPr>
                <w:p>
                  <w:pPr>
                    <w:adjustRightInd w:val="0"/>
                    <w:snapToGrid w:val="0"/>
                    <w:jc w:val="center"/>
                    <w:rPr>
                      <w:sz w:val="18"/>
                      <w:szCs w:val="18"/>
                    </w:rPr>
                  </w:pPr>
                  <w:r>
                    <w:rPr>
                      <w:sz w:val="18"/>
                      <w:szCs w:val="18"/>
                    </w:rPr>
                    <w:t>汞及其化合物</w:t>
                  </w:r>
                </w:p>
              </w:tc>
              <w:tc>
                <w:tcPr>
                  <w:tcW w:w="1185" w:type="dxa"/>
                  <w:tcBorders>
                    <w:left w:val="single" w:color="auto" w:sz="4" w:space="0"/>
                  </w:tcBorders>
                  <w:vAlign w:val="center"/>
                </w:tcPr>
                <w:p>
                  <w:pPr>
                    <w:adjustRightInd w:val="0"/>
                    <w:snapToGrid w:val="0"/>
                    <w:jc w:val="center"/>
                    <w:rPr>
                      <w:sz w:val="18"/>
                      <w:szCs w:val="18"/>
                    </w:rPr>
                  </w:pPr>
                  <w:r>
                    <w:rPr>
                      <w:sz w:val="18"/>
                      <w:szCs w:val="18"/>
                    </w:rPr>
                    <w:t>烟气黑度</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cantSplit/>
                <w:trHeight w:val="90" w:hRule="atLeast"/>
              </w:trPr>
              <w:tc>
                <w:tcPr>
                  <w:tcW w:w="1176" w:type="dxa"/>
                  <w:vMerge w:val="continue"/>
                  <w:vAlign w:val="center"/>
                </w:tcPr>
                <w:p>
                  <w:pPr>
                    <w:adjustRightInd w:val="0"/>
                    <w:snapToGrid w:val="0"/>
                    <w:jc w:val="center"/>
                    <w:rPr>
                      <w:sz w:val="18"/>
                      <w:szCs w:val="18"/>
                    </w:rPr>
                  </w:pPr>
                </w:p>
              </w:tc>
              <w:tc>
                <w:tcPr>
                  <w:tcW w:w="2230" w:type="dxa"/>
                  <w:vAlign w:val="center"/>
                </w:tcPr>
                <w:p>
                  <w:pPr>
                    <w:adjustRightInd w:val="0"/>
                    <w:snapToGrid w:val="0"/>
                    <w:jc w:val="center"/>
                    <w:rPr>
                      <w:sz w:val="18"/>
                      <w:szCs w:val="18"/>
                    </w:rPr>
                  </w:pPr>
                  <w:r>
                    <w:rPr>
                      <w:sz w:val="18"/>
                      <w:szCs w:val="18"/>
                    </w:rPr>
                    <w:t>浓度限值（mg/m</w:t>
                  </w:r>
                  <w:r>
                    <w:rPr>
                      <w:sz w:val="18"/>
                      <w:szCs w:val="18"/>
                      <w:vertAlign w:val="superscript"/>
                    </w:rPr>
                    <w:t>3</w:t>
                  </w:r>
                  <w:r>
                    <w:rPr>
                      <w:sz w:val="18"/>
                      <w:szCs w:val="18"/>
                    </w:rPr>
                    <w:t>）</w:t>
                  </w:r>
                </w:p>
              </w:tc>
              <w:tc>
                <w:tcPr>
                  <w:tcW w:w="949" w:type="dxa"/>
                  <w:vAlign w:val="center"/>
                </w:tcPr>
                <w:p>
                  <w:pPr>
                    <w:adjustRightInd w:val="0"/>
                    <w:snapToGrid w:val="0"/>
                    <w:jc w:val="center"/>
                    <w:rPr>
                      <w:sz w:val="18"/>
                      <w:szCs w:val="18"/>
                    </w:rPr>
                  </w:pPr>
                  <w:r>
                    <w:rPr>
                      <w:sz w:val="18"/>
                      <w:szCs w:val="18"/>
                    </w:rPr>
                    <w:t>50</w:t>
                  </w:r>
                </w:p>
              </w:tc>
              <w:tc>
                <w:tcPr>
                  <w:tcW w:w="633" w:type="dxa"/>
                  <w:tcBorders>
                    <w:right w:val="single" w:color="auto" w:sz="4" w:space="0"/>
                  </w:tcBorders>
                  <w:vAlign w:val="center"/>
                </w:tcPr>
                <w:p>
                  <w:pPr>
                    <w:adjustRightInd w:val="0"/>
                    <w:snapToGrid w:val="0"/>
                    <w:jc w:val="center"/>
                    <w:rPr>
                      <w:sz w:val="18"/>
                      <w:szCs w:val="18"/>
                    </w:rPr>
                  </w:pPr>
                  <w:r>
                    <w:rPr>
                      <w:sz w:val="18"/>
                      <w:szCs w:val="18"/>
                    </w:rPr>
                    <w:t>300</w:t>
                  </w:r>
                </w:p>
              </w:tc>
              <w:tc>
                <w:tcPr>
                  <w:tcW w:w="702" w:type="dxa"/>
                  <w:tcBorders>
                    <w:left w:val="single" w:color="auto" w:sz="4" w:space="0"/>
                  </w:tcBorders>
                  <w:vAlign w:val="center"/>
                </w:tcPr>
                <w:p>
                  <w:pPr>
                    <w:adjustRightInd w:val="0"/>
                    <w:snapToGrid w:val="0"/>
                    <w:jc w:val="center"/>
                    <w:rPr>
                      <w:sz w:val="18"/>
                      <w:szCs w:val="18"/>
                    </w:rPr>
                  </w:pPr>
                  <w:r>
                    <w:rPr>
                      <w:sz w:val="18"/>
                      <w:szCs w:val="18"/>
                    </w:rPr>
                    <w:t>300</w:t>
                  </w:r>
                </w:p>
              </w:tc>
              <w:tc>
                <w:tcPr>
                  <w:tcW w:w="1627" w:type="dxa"/>
                  <w:tcBorders>
                    <w:left w:val="single" w:color="auto" w:sz="4" w:space="0"/>
                  </w:tcBorders>
                  <w:vAlign w:val="center"/>
                </w:tcPr>
                <w:p>
                  <w:pPr>
                    <w:adjustRightInd w:val="0"/>
                    <w:snapToGrid w:val="0"/>
                    <w:jc w:val="center"/>
                    <w:rPr>
                      <w:sz w:val="18"/>
                      <w:szCs w:val="18"/>
                    </w:rPr>
                  </w:pPr>
                  <w:r>
                    <w:rPr>
                      <w:sz w:val="18"/>
                      <w:szCs w:val="18"/>
                    </w:rPr>
                    <w:t>0.05</w:t>
                  </w:r>
                </w:p>
              </w:tc>
              <w:tc>
                <w:tcPr>
                  <w:tcW w:w="1185" w:type="dxa"/>
                  <w:tcBorders>
                    <w:left w:val="single" w:color="auto" w:sz="4" w:space="0"/>
                  </w:tcBorders>
                  <w:vAlign w:val="center"/>
                </w:tcPr>
                <w:p>
                  <w:pPr>
                    <w:adjustRightInd w:val="0"/>
                    <w:snapToGrid w:val="0"/>
                    <w:jc w:val="center"/>
                    <w:rPr>
                      <w:sz w:val="18"/>
                      <w:szCs w:val="18"/>
                    </w:rPr>
                  </w:pPr>
                  <w:r>
                    <w:rPr>
                      <w:sz w:val="18"/>
                      <w:szCs w:val="18"/>
                    </w:rPr>
                    <w:t>≤1</w:t>
                  </w:r>
                </w:p>
              </w:tc>
            </w:tr>
          </w:tbl>
          <w:p>
            <w:pPr>
              <w:spacing w:line="360" w:lineRule="auto"/>
              <w:ind w:firstLine="420" w:firstLineChars="200"/>
              <w:jc w:val="left"/>
            </w:pPr>
            <w:r>
              <w:t>3、噪声排放标准</w:t>
            </w:r>
          </w:p>
          <w:p>
            <w:pPr>
              <w:wordWrap w:val="0"/>
              <w:spacing w:line="360" w:lineRule="auto"/>
              <w:ind w:firstLine="420" w:firstLineChars="200"/>
              <w:jc w:val="left"/>
            </w:pPr>
            <w:r>
              <w:t>施工期采用《建筑施工噪声排放标准》（GB12523-2025）进行评价。详见表19。</w:t>
            </w:r>
          </w:p>
          <w:p>
            <w:pPr>
              <w:wordWrap w:val="0"/>
              <w:spacing w:line="360" w:lineRule="auto"/>
              <w:ind w:firstLine="420" w:firstLineChars="200"/>
              <w:jc w:val="left"/>
            </w:pPr>
            <w:r>
              <w:t>根据《关于柳河木王</w:t>
            </w:r>
            <w:r>
              <w:rPr>
                <w:rFonts w:hint="eastAsia"/>
                <w:lang w:eastAsia="zh-CN"/>
              </w:rPr>
              <w:t>家具</w:t>
            </w:r>
            <w:r>
              <w:t>制造有限公司年产6万件板式</w:t>
            </w:r>
            <w:r>
              <w:rPr>
                <w:rFonts w:hint="eastAsia"/>
                <w:lang w:eastAsia="zh-CN"/>
              </w:rPr>
              <w:t>家具</w:t>
            </w:r>
            <w:r>
              <w:t>移地扩建项目环境影响报告书的批复》文件（柳环建字【2009】38号），本项目营运期厂界噪声执行《工业企业厂界环境噪声排放标准》（GB12348-2008）中3类标准，详见表20。</w:t>
            </w:r>
          </w:p>
          <w:p>
            <w:pPr>
              <w:jc w:val="center"/>
              <w:rPr>
                <w:b/>
                <w:bCs/>
              </w:rPr>
            </w:pPr>
            <w:r>
              <w:rPr>
                <w:b/>
                <w:bCs/>
              </w:rPr>
              <w:t>表19  建筑施工场界环境噪声排放标准限值</w:t>
            </w:r>
          </w:p>
          <w:tbl>
            <w:tblPr>
              <w:tblStyle w:val="26"/>
              <w:tblW w:w="8501" w:type="dxa"/>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2833"/>
              <w:gridCol w:w="2834"/>
              <w:gridCol w:w="2834"/>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833" w:type="dxa"/>
                  <w:vAlign w:val="top"/>
                </w:tcPr>
                <w:p>
                  <w:pPr>
                    <w:adjustRightInd w:val="0"/>
                    <w:snapToGrid w:val="0"/>
                    <w:jc w:val="center"/>
                    <w:rPr>
                      <w:sz w:val="18"/>
                      <w:szCs w:val="18"/>
                    </w:rPr>
                  </w:pPr>
                  <w:r>
                    <w:rPr>
                      <w:sz w:val="18"/>
                      <w:szCs w:val="18"/>
                    </w:rPr>
                    <w:t>昼间</w:t>
                  </w:r>
                </w:p>
              </w:tc>
              <w:tc>
                <w:tcPr>
                  <w:tcW w:w="2834" w:type="dxa"/>
                  <w:vAlign w:val="top"/>
                </w:tcPr>
                <w:p>
                  <w:pPr>
                    <w:adjustRightInd w:val="0"/>
                    <w:snapToGrid w:val="0"/>
                    <w:jc w:val="center"/>
                    <w:rPr>
                      <w:sz w:val="18"/>
                      <w:szCs w:val="18"/>
                    </w:rPr>
                  </w:pPr>
                  <w:r>
                    <w:rPr>
                      <w:sz w:val="18"/>
                      <w:szCs w:val="18"/>
                    </w:rPr>
                    <w:t>夜间</w:t>
                  </w:r>
                </w:p>
              </w:tc>
              <w:tc>
                <w:tcPr>
                  <w:tcW w:w="2834" w:type="dxa"/>
                  <w:vAlign w:val="top"/>
                </w:tcPr>
                <w:p>
                  <w:pPr>
                    <w:adjustRightInd w:val="0"/>
                    <w:snapToGrid w:val="0"/>
                    <w:jc w:val="center"/>
                    <w:rPr>
                      <w:sz w:val="18"/>
                      <w:szCs w:val="18"/>
                    </w:rPr>
                  </w:pPr>
                  <w:r>
                    <w:rPr>
                      <w:sz w:val="18"/>
                      <w:szCs w:val="18"/>
                    </w:rPr>
                    <w:t>标准来源</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2833" w:type="dxa"/>
                  <w:vAlign w:val="top"/>
                </w:tcPr>
                <w:p>
                  <w:pPr>
                    <w:adjustRightInd w:val="0"/>
                    <w:snapToGrid w:val="0"/>
                    <w:jc w:val="center"/>
                    <w:rPr>
                      <w:sz w:val="18"/>
                      <w:szCs w:val="18"/>
                    </w:rPr>
                  </w:pPr>
                  <w:r>
                    <w:rPr>
                      <w:sz w:val="18"/>
                      <w:szCs w:val="18"/>
                    </w:rPr>
                    <w:t>70dB（A）</w:t>
                  </w:r>
                </w:p>
              </w:tc>
              <w:tc>
                <w:tcPr>
                  <w:tcW w:w="2834" w:type="dxa"/>
                  <w:vAlign w:val="top"/>
                </w:tcPr>
                <w:p>
                  <w:pPr>
                    <w:adjustRightInd w:val="0"/>
                    <w:snapToGrid w:val="0"/>
                    <w:jc w:val="center"/>
                    <w:rPr>
                      <w:sz w:val="18"/>
                      <w:szCs w:val="18"/>
                    </w:rPr>
                  </w:pPr>
                  <w:r>
                    <w:rPr>
                      <w:sz w:val="18"/>
                      <w:szCs w:val="18"/>
                    </w:rPr>
                    <w:t>55dB（A）</w:t>
                  </w:r>
                </w:p>
              </w:tc>
              <w:tc>
                <w:tcPr>
                  <w:tcW w:w="2834" w:type="dxa"/>
                  <w:vAlign w:val="top"/>
                </w:tcPr>
                <w:p>
                  <w:pPr>
                    <w:adjustRightInd w:val="0"/>
                    <w:snapToGrid w:val="0"/>
                    <w:jc w:val="center"/>
                    <w:rPr>
                      <w:sz w:val="18"/>
                      <w:szCs w:val="18"/>
                    </w:rPr>
                  </w:pPr>
                  <w:r>
                    <w:rPr>
                      <w:sz w:val="18"/>
                      <w:szCs w:val="18"/>
                    </w:rPr>
                    <w:t>GB12523-2025</w:t>
                  </w:r>
                </w:p>
              </w:tc>
            </w:tr>
          </w:tbl>
          <w:p>
            <w:pPr>
              <w:jc w:val="center"/>
              <w:rPr>
                <w:b/>
                <w:bCs/>
              </w:rPr>
            </w:pPr>
            <w:r>
              <w:rPr>
                <w:b/>
                <w:bCs/>
              </w:rPr>
              <w:t>表20  工业企业厂界环境噪声排放标准</w:t>
            </w:r>
          </w:p>
          <w:tbl>
            <w:tblPr>
              <w:tblStyle w:val="26"/>
              <w:tblW w:w="8502" w:type="dxa"/>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530"/>
              <w:gridCol w:w="2039"/>
              <w:gridCol w:w="2226"/>
              <w:gridCol w:w="2707"/>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530" w:type="dxa"/>
                  <w:vMerge w:val="restart"/>
                  <w:vAlign w:val="center"/>
                </w:tcPr>
                <w:p>
                  <w:pPr>
                    <w:adjustRightInd w:val="0"/>
                    <w:snapToGrid w:val="0"/>
                    <w:jc w:val="center"/>
                    <w:rPr>
                      <w:sz w:val="18"/>
                      <w:szCs w:val="18"/>
                    </w:rPr>
                  </w:pPr>
                  <w:r>
                    <w:rPr>
                      <w:sz w:val="18"/>
                      <w:szCs w:val="18"/>
                    </w:rPr>
                    <w:t>类  别</w:t>
                  </w:r>
                </w:p>
              </w:tc>
              <w:tc>
                <w:tcPr>
                  <w:tcW w:w="4265" w:type="dxa"/>
                  <w:gridSpan w:val="2"/>
                  <w:vAlign w:val="center"/>
                </w:tcPr>
                <w:p>
                  <w:pPr>
                    <w:adjustRightInd w:val="0"/>
                    <w:snapToGrid w:val="0"/>
                    <w:jc w:val="center"/>
                    <w:rPr>
                      <w:sz w:val="18"/>
                      <w:szCs w:val="18"/>
                    </w:rPr>
                  </w:pPr>
                  <w:r>
                    <w:rPr>
                      <w:sz w:val="18"/>
                      <w:szCs w:val="18"/>
                    </w:rPr>
                    <w:t>标  准  值</w:t>
                  </w:r>
                </w:p>
              </w:tc>
              <w:tc>
                <w:tcPr>
                  <w:tcW w:w="2707" w:type="dxa"/>
                  <w:vMerge w:val="restart"/>
                  <w:vAlign w:val="center"/>
                </w:tcPr>
                <w:p>
                  <w:pPr>
                    <w:adjustRightInd w:val="0"/>
                    <w:snapToGrid w:val="0"/>
                    <w:jc w:val="center"/>
                    <w:rPr>
                      <w:sz w:val="18"/>
                      <w:szCs w:val="18"/>
                    </w:rPr>
                  </w:pPr>
                  <w:r>
                    <w:rPr>
                      <w:sz w:val="18"/>
                      <w:szCs w:val="18"/>
                    </w:rPr>
                    <w:t>标准来源</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530" w:type="dxa"/>
                  <w:vMerge w:val="continue"/>
                  <w:vAlign w:val="center"/>
                </w:tcPr>
                <w:p>
                  <w:pPr>
                    <w:adjustRightInd w:val="0"/>
                    <w:snapToGrid w:val="0"/>
                    <w:jc w:val="center"/>
                    <w:rPr>
                      <w:sz w:val="18"/>
                      <w:szCs w:val="18"/>
                    </w:rPr>
                  </w:pPr>
                </w:p>
              </w:tc>
              <w:tc>
                <w:tcPr>
                  <w:tcW w:w="2039" w:type="dxa"/>
                  <w:vAlign w:val="center"/>
                </w:tcPr>
                <w:p>
                  <w:pPr>
                    <w:adjustRightInd w:val="0"/>
                    <w:snapToGrid w:val="0"/>
                    <w:jc w:val="center"/>
                    <w:rPr>
                      <w:sz w:val="18"/>
                      <w:szCs w:val="18"/>
                    </w:rPr>
                  </w:pPr>
                  <w:r>
                    <w:rPr>
                      <w:sz w:val="18"/>
                      <w:szCs w:val="18"/>
                    </w:rPr>
                    <w:t>昼  间</w:t>
                  </w:r>
                </w:p>
              </w:tc>
              <w:tc>
                <w:tcPr>
                  <w:tcW w:w="2226" w:type="dxa"/>
                  <w:vAlign w:val="center"/>
                </w:tcPr>
                <w:p>
                  <w:pPr>
                    <w:adjustRightInd w:val="0"/>
                    <w:snapToGrid w:val="0"/>
                    <w:jc w:val="center"/>
                    <w:rPr>
                      <w:sz w:val="18"/>
                      <w:szCs w:val="18"/>
                    </w:rPr>
                  </w:pPr>
                  <w:r>
                    <w:rPr>
                      <w:sz w:val="18"/>
                      <w:szCs w:val="18"/>
                    </w:rPr>
                    <w:t>夜  间</w:t>
                  </w:r>
                </w:p>
              </w:tc>
              <w:tc>
                <w:tcPr>
                  <w:tcW w:w="2707" w:type="dxa"/>
                  <w:vMerge w:val="continue"/>
                  <w:vAlign w:val="center"/>
                </w:tcPr>
                <w:p>
                  <w:pPr>
                    <w:adjustRightInd w:val="0"/>
                    <w:snapToGrid w:val="0"/>
                    <w:jc w:val="center"/>
                    <w:rPr>
                      <w:sz w:val="18"/>
                      <w:szCs w:val="18"/>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530" w:type="dxa"/>
                  <w:vAlign w:val="center"/>
                </w:tcPr>
                <w:p>
                  <w:pPr>
                    <w:adjustRightInd w:val="0"/>
                    <w:snapToGrid w:val="0"/>
                    <w:jc w:val="center"/>
                    <w:rPr>
                      <w:sz w:val="18"/>
                      <w:szCs w:val="18"/>
                    </w:rPr>
                  </w:pPr>
                  <w:r>
                    <w:rPr>
                      <w:sz w:val="18"/>
                      <w:szCs w:val="18"/>
                    </w:rPr>
                    <w:t>3类</w:t>
                  </w:r>
                </w:p>
              </w:tc>
              <w:tc>
                <w:tcPr>
                  <w:tcW w:w="2039" w:type="dxa"/>
                  <w:vAlign w:val="center"/>
                </w:tcPr>
                <w:p>
                  <w:pPr>
                    <w:adjustRightInd w:val="0"/>
                    <w:snapToGrid w:val="0"/>
                    <w:jc w:val="center"/>
                    <w:rPr>
                      <w:sz w:val="18"/>
                      <w:szCs w:val="18"/>
                    </w:rPr>
                  </w:pPr>
                  <w:r>
                    <w:rPr>
                      <w:sz w:val="18"/>
                      <w:szCs w:val="18"/>
                    </w:rPr>
                    <w:t>65B（A）</w:t>
                  </w:r>
                </w:p>
              </w:tc>
              <w:tc>
                <w:tcPr>
                  <w:tcW w:w="2226" w:type="dxa"/>
                  <w:vAlign w:val="center"/>
                </w:tcPr>
                <w:p>
                  <w:pPr>
                    <w:adjustRightInd w:val="0"/>
                    <w:snapToGrid w:val="0"/>
                    <w:jc w:val="center"/>
                    <w:rPr>
                      <w:sz w:val="18"/>
                      <w:szCs w:val="18"/>
                    </w:rPr>
                  </w:pPr>
                  <w:r>
                    <w:rPr>
                      <w:sz w:val="18"/>
                      <w:szCs w:val="18"/>
                    </w:rPr>
                    <w:t>55dB（A）</w:t>
                  </w:r>
                </w:p>
              </w:tc>
              <w:tc>
                <w:tcPr>
                  <w:tcW w:w="2707" w:type="dxa"/>
                  <w:vAlign w:val="center"/>
                </w:tcPr>
                <w:p>
                  <w:pPr>
                    <w:adjustRightInd w:val="0"/>
                    <w:snapToGrid w:val="0"/>
                    <w:jc w:val="center"/>
                    <w:rPr>
                      <w:sz w:val="18"/>
                      <w:szCs w:val="18"/>
                    </w:rPr>
                  </w:pPr>
                  <w:r>
                    <w:rPr>
                      <w:sz w:val="18"/>
                      <w:szCs w:val="18"/>
                    </w:rPr>
                    <w:t>GB12348-2008</w:t>
                  </w:r>
                </w:p>
              </w:tc>
            </w:tr>
          </w:tbl>
          <w:p>
            <w:pPr>
              <w:spacing w:line="360" w:lineRule="auto"/>
              <w:ind w:firstLine="420" w:firstLineChars="200"/>
              <w:jc w:val="left"/>
            </w:pPr>
            <w:r>
              <w:t>4、固体废物</w:t>
            </w:r>
          </w:p>
          <w:p>
            <w:pPr>
              <w:wordWrap w:val="0"/>
              <w:spacing w:line="360" w:lineRule="auto"/>
              <w:ind w:firstLine="420" w:firstLineChars="200"/>
              <w:jc w:val="left"/>
            </w:pPr>
            <w:r>
              <w:t>本项目一般工业固体废物执行</w:t>
            </w:r>
            <w:r>
              <w:fldChar w:fldCharType="begin"/>
            </w:r>
            <w:r>
              <w:instrText xml:space="preserve">HYPERLINK "http://wenku.cyjzzd.com/a/1300069769" \t "https://www.so.com/_blank" </w:instrText>
            </w:r>
            <w:r>
              <w:fldChar w:fldCharType="separate"/>
            </w:r>
            <w:r>
              <w:t>《一般工业固体废物贮存和填埋污染控制标准》（GB18599-2020）</w:t>
            </w:r>
            <w:r>
              <w:fldChar w:fldCharType="end"/>
            </w:r>
            <w:r>
              <w:t>，危险废物暂存执行《危险废物贮存污染控制标准》（GB18597-2023）。</w:t>
            </w:r>
          </w:p>
          <w:p>
            <w:pPr>
              <w:wordWrap w:val="0"/>
              <w:spacing w:line="360" w:lineRule="auto"/>
              <w:ind w:firstLine="480" w:firstLineChars="200"/>
              <w:jc w:val="left"/>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20" w:type="dxa"/>
            <w:vAlign w:val="top"/>
          </w:tcPr>
          <w:p>
            <w:pPr>
              <w:jc w:val="left"/>
              <w:rPr>
                <w:b/>
                <w:bCs/>
              </w:rPr>
            </w:pPr>
            <w:r>
              <w:rPr>
                <w:b/>
                <w:bCs/>
              </w:rPr>
              <w:t>总量控制指标</w:t>
            </w:r>
          </w:p>
          <w:p>
            <w:pPr>
              <w:wordWrap w:val="0"/>
              <w:spacing w:line="360" w:lineRule="auto"/>
              <w:ind w:firstLine="420" w:firstLineChars="200"/>
              <w:jc w:val="left"/>
            </w:pPr>
            <w:r>
              <w:t>吉林省生态环境厅《关于进一步明确建设项目主要污染物排放总量审核有关事宜的复函》指出“按照行业排污绩效，将建设项目污染物排放总量分为重点行业排放管理、一般行业排放管理和其他行业排放管理三类管理方式。</w:t>
            </w:r>
          </w:p>
          <w:p>
            <w:pPr>
              <w:wordWrap w:val="0"/>
              <w:spacing w:line="360" w:lineRule="auto"/>
              <w:ind w:firstLine="420" w:firstLineChars="200"/>
              <w:jc w:val="left"/>
            </w:pPr>
            <w:r>
              <w:t>执行重点行业排放管理的建设项目包括石化、煤化工、燃煤发电、钢铁、有色金属冶炼、建材、造纸制浆、印染、集中供热等行业含有按照《排污许可证申请与核发技术规范》确定的主要排放口的涉及新增污染物排放的建设项目。</w:t>
            </w:r>
          </w:p>
          <w:p>
            <w:pPr>
              <w:wordWrap w:val="0"/>
              <w:spacing w:line="360" w:lineRule="auto"/>
              <w:ind w:firstLine="420" w:firstLineChars="200"/>
              <w:jc w:val="left"/>
            </w:pPr>
            <w:r>
              <w:t>执行一般行业排放管理的建设项目包括除重点行业外、含有按照《排污许可证申请与核发技术规范》确定的主要排放口的涉及新增污染物排放的建设项目。</w:t>
            </w:r>
          </w:p>
          <w:p>
            <w:pPr>
              <w:wordWrap w:val="0"/>
              <w:spacing w:line="360" w:lineRule="auto"/>
              <w:ind w:firstLine="420" w:firstLineChars="200"/>
              <w:jc w:val="left"/>
            </w:pPr>
            <w:r>
              <w:t>执行其他行业排放管理的建设项目包括除重点行业外、仅含有按照《排污许可证申请与核发技术规范》确定的一般排放口或无排污口的建设项目”</w:t>
            </w:r>
          </w:p>
          <w:p>
            <w:pPr>
              <w:wordWrap w:val="0"/>
              <w:spacing w:line="360" w:lineRule="auto"/>
              <w:ind w:firstLine="420" w:firstLineChars="200"/>
              <w:jc w:val="left"/>
            </w:pPr>
            <w:r>
              <w:t>根据《排污许可证申请与核发技术规范 锅炉》（HJ953-2018）。本项目导热油炉烟囱为一般排放口，因此，本项目为执行其他行业排放管理的建设项目，其他行业因排污量很少或基本不新增排污量，在环评审批过程中予以豁免主要污染物总量审核。各级环评审批部门应自行建立统计台账，纳入环境管理。</w:t>
            </w:r>
          </w:p>
          <w:p>
            <w:pPr>
              <w:wordWrap w:val="0"/>
              <w:spacing w:line="360" w:lineRule="auto"/>
              <w:ind w:firstLine="420" w:firstLineChars="200"/>
              <w:jc w:val="left"/>
              <w:rPr>
                <w:u w:val="single"/>
              </w:rPr>
            </w:pPr>
            <w:r>
              <w:rPr>
                <w:u w:val="single"/>
              </w:rPr>
              <w:t>本项目总量控制指标为导热油炉废气中产生的颗粒物0.00</w:t>
            </w:r>
            <w:r>
              <w:rPr>
                <w:rFonts w:hint="eastAsia"/>
                <w:u w:val="single"/>
              </w:rPr>
              <w:t>38</w:t>
            </w:r>
            <w:r>
              <w:rPr>
                <w:u w:val="single"/>
              </w:rPr>
              <w:t>t/a，二氧化硫0.0</w:t>
            </w:r>
            <w:r>
              <w:rPr>
                <w:rFonts w:hint="eastAsia"/>
                <w:u w:val="single"/>
              </w:rPr>
              <w:t>065</w:t>
            </w:r>
            <w:r>
              <w:rPr>
                <w:u w:val="single"/>
              </w:rPr>
              <w:t>t/a，氮氧化物0.0255t/a。</w:t>
            </w:r>
          </w:p>
          <w:p>
            <w:pPr>
              <w:wordWrap w:val="0"/>
              <w:spacing w:line="360" w:lineRule="auto"/>
              <w:ind w:firstLine="420" w:firstLineChars="200"/>
              <w:jc w:val="left"/>
            </w:pPr>
          </w:p>
          <w:p>
            <w:pPr>
              <w:wordWrap w:val="0"/>
              <w:spacing w:line="360" w:lineRule="auto"/>
              <w:ind w:firstLine="420" w:firstLineChars="200"/>
              <w:jc w:val="left"/>
            </w:pPr>
          </w:p>
          <w:p>
            <w:pPr>
              <w:wordWrap w:val="0"/>
              <w:spacing w:line="360" w:lineRule="auto"/>
              <w:ind w:firstLine="420" w:firstLineChars="200"/>
              <w:jc w:val="left"/>
            </w:pPr>
          </w:p>
          <w:p>
            <w:pPr>
              <w:wordWrap w:val="0"/>
              <w:spacing w:line="360" w:lineRule="auto"/>
              <w:ind w:firstLine="420" w:firstLineChars="200"/>
              <w:jc w:val="left"/>
            </w:pPr>
          </w:p>
          <w:p>
            <w:pPr>
              <w:wordWrap w:val="0"/>
              <w:spacing w:line="360" w:lineRule="auto"/>
              <w:ind w:firstLine="420" w:firstLineChars="200"/>
              <w:jc w:val="left"/>
            </w:pPr>
          </w:p>
          <w:p>
            <w:pPr>
              <w:wordWrap w:val="0"/>
              <w:spacing w:line="360" w:lineRule="auto"/>
              <w:ind w:firstLine="420" w:firstLineChars="200"/>
              <w:jc w:val="left"/>
            </w:pPr>
          </w:p>
          <w:p>
            <w:pPr>
              <w:wordWrap w:val="0"/>
              <w:spacing w:line="360" w:lineRule="auto"/>
              <w:ind w:firstLine="420" w:firstLineChars="200"/>
              <w:jc w:val="left"/>
            </w:pPr>
          </w:p>
          <w:p>
            <w:pPr>
              <w:wordWrap w:val="0"/>
              <w:spacing w:line="360" w:lineRule="auto"/>
              <w:ind w:firstLine="420" w:firstLineChars="200"/>
              <w:jc w:val="left"/>
            </w:pPr>
          </w:p>
          <w:p>
            <w:pPr>
              <w:wordWrap w:val="0"/>
              <w:spacing w:line="360" w:lineRule="auto"/>
              <w:ind w:firstLine="420" w:firstLineChars="200"/>
              <w:jc w:val="left"/>
            </w:pPr>
          </w:p>
          <w:p>
            <w:pPr>
              <w:wordWrap w:val="0"/>
              <w:spacing w:line="360" w:lineRule="auto"/>
              <w:ind w:firstLine="420" w:firstLineChars="200"/>
              <w:jc w:val="left"/>
            </w:pPr>
          </w:p>
          <w:p>
            <w:pPr>
              <w:wordWrap w:val="0"/>
              <w:spacing w:line="360" w:lineRule="auto"/>
              <w:ind w:firstLine="420" w:firstLineChars="200"/>
              <w:jc w:val="left"/>
            </w:pPr>
          </w:p>
          <w:p>
            <w:pPr>
              <w:wordWrap w:val="0"/>
              <w:spacing w:line="360" w:lineRule="auto"/>
              <w:ind w:firstLine="420" w:firstLineChars="200"/>
              <w:jc w:val="left"/>
              <w:rPr>
                <w:szCs w:val="21"/>
              </w:rPr>
            </w:pPr>
          </w:p>
        </w:tc>
      </w:tr>
    </w:tbl>
    <w:p>
      <w:pPr>
        <w:pStyle w:val="2"/>
        <w:spacing w:before="0" w:after="0" w:line="240" w:lineRule="auto"/>
        <w:ind w:firstLine="148" w:firstLineChars="49"/>
        <w:jc w:val="center"/>
        <w:rPr>
          <w:bCs w:val="0"/>
          <w:kern w:val="2"/>
          <w:sz w:val="30"/>
          <w:szCs w:val="20"/>
        </w:rPr>
      </w:pPr>
      <w:bookmarkStart w:id="12" w:name="_Toc3005"/>
      <w:r>
        <w:rPr>
          <w:rFonts w:eastAsia="黑体"/>
          <w:snapToGrid w:val="0"/>
          <w:sz w:val="30"/>
          <w:szCs w:val="30"/>
        </w:rPr>
        <w:t>四、主要环境影响和保护措施</w:t>
      </w:r>
      <w:bookmarkEnd w:id="12"/>
    </w:p>
    <w:tbl>
      <w:tblPr>
        <w:tblStyle w:val="26"/>
        <w:tblW w:w="87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20" w:type="dxa"/>
            <w:vAlign w:val="top"/>
          </w:tcPr>
          <w:p>
            <w:pPr>
              <w:jc w:val="left"/>
              <w:rPr>
                <w:b/>
                <w:bCs/>
              </w:rPr>
            </w:pPr>
            <w:r>
              <w:rPr>
                <w:b/>
                <w:bCs/>
              </w:rPr>
              <w:t>施工期环境保护措施</w:t>
            </w:r>
          </w:p>
          <w:p>
            <w:pPr>
              <w:spacing w:line="360" w:lineRule="auto"/>
              <w:ind w:firstLine="420" w:firstLineChars="200"/>
              <w:jc w:val="left"/>
            </w:pPr>
            <w:r>
              <w:t>本项目施工期主要内容为拆除原有0.5MW燃生物质锅炉及配套水除尘器，安装1600kW有机热载体液相炉及旋风除尘器。施工期预计约1个月，施工人数约10～15人。施工期主要环境影响为扬尘、废水、噪声和固体废物，针对各类污染源分别提出以下环境保护措施。</w:t>
            </w:r>
          </w:p>
          <w:p>
            <w:pPr>
              <w:spacing w:line="360" w:lineRule="auto"/>
              <w:ind w:firstLine="420" w:firstLineChars="200"/>
              <w:jc w:val="left"/>
            </w:pPr>
            <w:r>
              <w:t>一、施工期大气环境保护措施</w:t>
            </w:r>
          </w:p>
          <w:p>
            <w:pPr>
              <w:spacing w:line="360" w:lineRule="auto"/>
              <w:ind w:firstLine="420" w:firstLineChars="200"/>
              <w:jc w:val="left"/>
            </w:pPr>
            <w:r>
              <w:t>施工期废气主要为拆除和安装过程中产生的扬尘，以及施工机械和运输车辆排放的尾气。</w:t>
            </w:r>
          </w:p>
          <w:p>
            <w:pPr>
              <w:spacing w:line="360" w:lineRule="auto"/>
              <w:ind w:firstLine="420" w:firstLineChars="200"/>
              <w:jc w:val="left"/>
            </w:pPr>
            <w:r>
              <w:t>1、施工扬尘防治措施</w:t>
            </w:r>
          </w:p>
          <w:p>
            <w:pPr>
              <w:spacing w:line="360" w:lineRule="auto"/>
              <w:ind w:firstLine="420" w:firstLineChars="200"/>
              <w:jc w:val="left"/>
            </w:pPr>
            <w:r>
              <w:t>为有效控制施工扬尘污染，应严格落实《吉林省大气污染防治条例》及柳河县相关扬尘管控要求，重点做好以下工作：</w:t>
            </w:r>
          </w:p>
          <w:p>
            <w:pPr>
              <w:spacing w:line="360" w:lineRule="auto"/>
              <w:ind w:firstLine="420" w:firstLineChars="200"/>
              <w:jc w:val="left"/>
            </w:pPr>
            <w:r>
              <w:t>施工现场周边设置连续、封闭的围挡，围挡高度不低于2.5米，并在围挡上方安装喷雾降尘装置。施工现场出入口设置车辆冲洗设施，配备高压冲洗设备，所有运输车辆出场前必须对轮胎和车身进行冲洗，严禁带泥上路。施工场地内裸露土方和易产尘物料（如水泥、砂石等）采用防尘网或篷布进行全覆盖，临时堆存的物料应堆放整齐并采取遮盖措施。土方开挖作业采取湿法作业，配备雾炮机或洒水设备，在作业过程中持续喷雾洒水降尘。遇四级及以上大风天气时，停止土方开挖、渣土运输等易产生扬尘的施工作业。施工场地内主要运输通道进行硬化处理，安排专人负责场地洒水保洁，每天洒水不少于4次，干燥大风天气适当增加洒水频次，保持路面湿润，减少道路扬尘。渣土和建筑垃圾运输车辆必须采用密闭车厢或篷布苫盖，装载高度不得超出车厢上沿，确保运输过程中不遗洒、不泄漏。</w:t>
            </w:r>
          </w:p>
          <w:p>
            <w:pPr>
              <w:spacing w:line="360" w:lineRule="auto"/>
              <w:ind w:firstLine="420" w:firstLineChars="200"/>
              <w:jc w:val="left"/>
            </w:pPr>
            <w:r>
              <w:t>2、施工机械及车辆尾气防治措施</w:t>
            </w:r>
          </w:p>
          <w:p>
            <w:pPr>
              <w:spacing w:line="360" w:lineRule="auto"/>
              <w:ind w:firstLine="420" w:firstLineChars="200"/>
              <w:jc w:val="left"/>
            </w:pPr>
            <w:r>
              <w:t>施工机械和运输车辆应选用尾气排放达标的合格设备，严禁使用报废车辆或尾气排放超标的机械设备。加强施工机械和车辆的维修保养，确保发动机处于良好工作状态，减少尾气排放。运输车辆途经敏感点时减速慢行，减少怠速运行时间，选用合格的燃油，减少一氧化碳、氮氧化物和碳氢化合物的排放。通过采取上述措施，施工期厂界扬尘浓度可满足《大气污染物综合排放标准》（GB16297-1996）中无组织排放监控浓度限值要求（颗粒物≤1.0mg/m</w:t>
            </w:r>
            <w:r>
              <w:rPr>
                <w:vertAlign w:val="superscript"/>
              </w:rPr>
              <w:t>3</w:t>
            </w:r>
            <w:r>
              <w:t>）。</w:t>
            </w:r>
          </w:p>
          <w:p>
            <w:pPr>
              <w:spacing w:line="360" w:lineRule="auto"/>
              <w:ind w:firstLine="420" w:firstLineChars="200"/>
              <w:jc w:val="left"/>
            </w:pPr>
            <w:r>
              <w:t>二、施工期水环境保护措施</w:t>
            </w:r>
          </w:p>
          <w:p>
            <w:pPr>
              <w:spacing w:line="360" w:lineRule="auto"/>
              <w:ind w:firstLine="420" w:firstLineChars="200"/>
              <w:jc w:val="left"/>
            </w:pPr>
            <w:r>
              <w:t>施工期废水主要为施工人员生活污水和少量施工废水。</w:t>
            </w:r>
          </w:p>
          <w:p>
            <w:pPr>
              <w:spacing w:line="360" w:lineRule="auto"/>
              <w:ind w:firstLine="420" w:firstLineChars="200"/>
              <w:jc w:val="left"/>
            </w:pPr>
            <w:r>
              <w:t>1、生活污水处理措施</w:t>
            </w:r>
          </w:p>
          <w:p>
            <w:pPr>
              <w:spacing w:line="360" w:lineRule="auto"/>
              <w:ind w:firstLine="420" w:firstLineChars="200"/>
              <w:jc w:val="left"/>
            </w:pPr>
            <w:r>
              <w:t>施工人员生活污水依托厂区现有排水系统，排入园区污水管网，最终进入污水处理厂处理。施工期间不新建临时生活设施，施工人员生活依托厂区现有卫生间和排水设施。</w:t>
            </w:r>
          </w:p>
          <w:p>
            <w:pPr>
              <w:spacing w:line="360" w:lineRule="auto"/>
              <w:ind w:firstLine="420" w:firstLineChars="200"/>
              <w:jc w:val="left"/>
            </w:pPr>
            <w:r>
              <w:t>2、施工废水处理措施</w:t>
            </w:r>
          </w:p>
          <w:p>
            <w:pPr>
              <w:spacing w:line="360" w:lineRule="auto"/>
              <w:ind w:firstLine="420" w:firstLineChars="200"/>
              <w:jc w:val="left"/>
            </w:pPr>
            <w:r>
              <w:t>施工废水主要来自设备清洗和管道试压，产生量较少，主要污染物为悬浮物。拟在施工场地内设置临时沉淀池（容积不小于5m</w:t>
            </w:r>
            <w:r>
              <w:rPr>
                <w:vertAlign w:val="superscript"/>
              </w:rPr>
              <w:t>3</w:t>
            </w:r>
            <w:r>
              <w:t>），施工废水经沉淀处理后，上清液用于施工场地洒水降尘，不外排。沉淀池底泥定期清理，干化后与建筑垃圾一并处置。</w:t>
            </w:r>
          </w:p>
          <w:p>
            <w:pPr>
              <w:spacing w:line="360" w:lineRule="auto"/>
              <w:ind w:firstLine="420" w:firstLineChars="200"/>
              <w:jc w:val="left"/>
            </w:pPr>
            <w:r>
              <w:t>3、其他水环境保护措施</w:t>
            </w:r>
          </w:p>
          <w:p>
            <w:pPr>
              <w:spacing w:line="360" w:lineRule="auto"/>
              <w:ind w:firstLine="420" w:firstLineChars="200"/>
              <w:jc w:val="left"/>
            </w:pPr>
            <w:r>
              <w:t>施工材料（水泥、砂石等）应集中堆放于室内或采取防雨防渗措施，避免被雨水冲刷形成径流污染。施工现场各类油料应存放于专用库房内，地面进行防渗处理，防止油料泄漏污染地下水或土壤。严禁将施工废水和生活污水直接排入雨水管网或周边地表水体。</w:t>
            </w:r>
          </w:p>
          <w:p>
            <w:pPr>
              <w:spacing w:line="360" w:lineRule="auto"/>
              <w:ind w:firstLine="420" w:firstLineChars="200"/>
              <w:jc w:val="left"/>
            </w:pPr>
            <w:r>
              <w:t>三、施工期声环境保护措施</w:t>
            </w:r>
          </w:p>
          <w:p>
            <w:pPr>
              <w:spacing w:line="360" w:lineRule="auto"/>
              <w:ind w:firstLine="420" w:firstLineChars="200"/>
              <w:jc w:val="left"/>
            </w:pPr>
            <w:r>
              <w:t>施工期噪声主要来自拆除作业（风镐、切割机）、安装作业（电焊机、起重机、空压机）、运输车辆等，声级值在75-105dB（A）之间。为减轻施工噪声对周边环境的影响，采取以下措施：</w:t>
            </w:r>
          </w:p>
          <w:p>
            <w:pPr>
              <w:spacing w:line="360" w:lineRule="auto"/>
              <w:ind w:firstLine="420" w:firstLineChars="200"/>
              <w:jc w:val="left"/>
            </w:pPr>
            <w:r>
              <w:t>1、合理安排施工时间</w:t>
            </w:r>
          </w:p>
          <w:p>
            <w:pPr>
              <w:spacing w:line="360" w:lineRule="auto"/>
              <w:ind w:firstLine="420" w:firstLineChars="200"/>
              <w:jc w:val="left"/>
            </w:pPr>
            <w:r>
              <w:t>严格执行《建筑施工噪声排放标准》（GB12523-2025）要求，禁止在夜间（22:00-6:00）进行产生噪声污染的施工作业。如因特殊工艺需要必须连续施工的，应提前向生态环境主管部门申请办理夜间施工审批手续，经批准后方可进行夜间施工，并提前公告周边居民。高噪声施工作业（如风镐破碎、大型构件切割等）集中安排在昼间进行，避开午休时间（12:00-14:00），减少对周边人员的影响。</w:t>
            </w:r>
          </w:p>
          <w:p>
            <w:pPr>
              <w:spacing w:line="360" w:lineRule="auto"/>
              <w:ind w:firstLine="420" w:firstLineChars="200"/>
              <w:jc w:val="left"/>
            </w:pPr>
            <w:r>
              <w:t>2、选用低噪声设备和工艺</w:t>
            </w:r>
          </w:p>
          <w:p>
            <w:pPr>
              <w:spacing w:line="360" w:lineRule="auto"/>
              <w:ind w:firstLine="420" w:firstLineChars="200"/>
              <w:jc w:val="left"/>
            </w:pPr>
            <w:r>
              <w:t>优先选用低噪声施工机械和设备，淘汰高噪声落后设备。拆除作业优先采用液压破碎锤等低噪声工艺代替传统风镐作业，设备安装优先采用预制装配化施工方式，减少现场焊接和切割作业量。</w:t>
            </w:r>
          </w:p>
          <w:p>
            <w:pPr>
              <w:spacing w:line="360" w:lineRule="auto"/>
              <w:ind w:firstLine="420" w:firstLineChars="200"/>
              <w:jc w:val="left"/>
            </w:pPr>
            <w:r>
              <w:t>3、采取隔声降噪措施</w:t>
            </w:r>
          </w:p>
          <w:p>
            <w:pPr>
              <w:spacing w:line="360" w:lineRule="auto"/>
              <w:ind w:firstLine="420" w:firstLineChars="200"/>
              <w:jc w:val="left"/>
            </w:pPr>
            <w:r>
              <w:t>高噪声设备尽量布置在远离厂界和敏感点的位置，充分利用厂房和围墙的隔声作用。对固定高噪声设备（如空压机等）设置临时隔声棚或隔声罩。施工现场设置围挡，除安全防护作用外，围挡具有一定的隔声效果，可降低施工噪声对厂界外的影响。</w:t>
            </w:r>
          </w:p>
          <w:p>
            <w:pPr>
              <w:spacing w:line="360" w:lineRule="auto"/>
              <w:ind w:firstLine="420" w:firstLineChars="200"/>
              <w:jc w:val="left"/>
            </w:pPr>
            <w:r>
              <w:t>4、运输车辆管理</w:t>
            </w:r>
          </w:p>
          <w:p>
            <w:pPr>
              <w:spacing w:line="360" w:lineRule="auto"/>
              <w:ind w:firstLine="420" w:firstLineChars="200"/>
              <w:jc w:val="left"/>
            </w:pPr>
            <w:r>
              <w:t>运输车辆进出施工场地应减速慢行，禁止鸣笛。合理安排运输路线，尽量避免穿越居民集中区等声环境敏感区域。加强运输车辆的维护保养，确保车辆处于良好运行状态，避免因车辆故障产生异常噪声。通过采取上述措施，施工场界噪声可满足《建筑施工噪声排放标准》（GB12523-2025）昼间70dB（A）、夜间55dB（A）的限值要求。</w:t>
            </w:r>
          </w:p>
          <w:p>
            <w:pPr>
              <w:spacing w:line="360" w:lineRule="auto"/>
              <w:ind w:firstLine="420" w:firstLineChars="200"/>
              <w:jc w:val="left"/>
            </w:pPr>
            <w:r>
              <w:t>四、施工期固体废物污染防治措施</w:t>
            </w:r>
          </w:p>
          <w:p>
            <w:pPr>
              <w:spacing w:line="360" w:lineRule="auto"/>
              <w:ind w:firstLine="420" w:firstLineChars="200"/>
              <w:jc w:val="left"/>
            </w:pPr>
            <w:r>
              <w:t>施工期固体废物主要为废旧设备及金属材料、废导热油、废保温材料、建筑垃圾、废包装材料和施工人员生活垃圾。</w:t>
            </w:r>
          </w:p>
          <w:p>
            <w:pPr>
              <w:spacing w:line="360" w:lineRule="auto"/>
              <w:ind w:firstLine="420" w:firstLineChars="200"/>
              <w:jc w:val="left"/>
            </w:pPr>
            <w:r>
              <w:t>1、废旧设备及金属材料</w:t>
            </w:r>
          </w:p>
          <w:p>
            <w:pPr>
              <w:spacing w:line="360" w:lineRule="auto"/>
              <w:ind w:firstLine="420" w:firstLineChars="200"/>
              <w:jc w:val="left"/>
            </w:pPr>
            <w:r>
              <w:t>旧锅炉、旧除尘器拆除产生的废旧金属（钢材、管材等），属于一般工业固废，分类收集后交由具有相应资质的物资回收公司进行资源化综合利用，不得随意丢弃或擅自倒卖。拆除过程中应注意对废旧金属进行分类，可回收利用的钢材、有色金属等与不可回收的废渣分开收集。</w:t>
            </w:r>
          </w:p>
          <w:p>
            <w:pPr>
              <w:spacing w:line="360" w:lineRule="auto"/>
              <w:ind w:firstLine="420" w:firstLineChars="200"/>
              <w:jc w:val="left"/>
            </w:pPr>
            <w:r>
              <w:t>2、废保温材料</w:t>
            </w:r>
          </w:p>
          <w:p>
            <w:pPr>
              <w:spacing w:line="360" w:lineRule="auto"/>
              <w:ind w:firstLine="420" w:firstLineChars="200"/>
              <w:jc w:val="left"/>
            </w:pPr>
            <w:r>
              <w:t>旧设备拆除产生的岩棉、硅酸铝等废保温材料，属于一般工业固废，按照当地建筑垃圾管理规定，分类收集后运往指定建筑垃圾消纳场处置。由于岩棉等保温材料含有纤维粉尘，装卸过程中应轻拿轻放，避免扬散，必要时采取洒水抑尘措施。</w:t>
            </w:r>
          </w:p>
          <w:p>
            <w:pPr>
              <w:spacing w:line="360" w:lineRule="auto"/>
              <w:ind w:firstLine="420" w:firstLineChars="200"/>
              <w:jc w:val="left"/>
            </w:pPr>
            <w:r>
              <w:t>3、建筑垃圾</w:t>
            </w:r>
          </w:p>
          <w:p>
            <w:pPr>
              <w:spacing w:line="360" w:lineRule="auto"/>
              <w:ind w:firstLine="420" w:firstLineChars="200"/>
              <w:jc w:val="left"/>
            </w:pPr>
            <w:r>
              <w:rPr>
                <w:rFonts w:hint="eastAsia"/>
              </w:rPr>
              <w:t>因本项目锅炉安装涉及对锅炉房墙体进行拆除，故</w:t>
            </w:r>
            <w:r>
              <w:t>基础施工</w:t>
            </w:r>
            <w:r>
              <w:rPr>
                <w:rFonts w:hint="eastAsia"/>
              </w:rPr>
              <w:t>会</w:t>
            </w:r>
            <w:r>
              <w:t>产生废弃混凝土、渣土等建筑垃圾，按照柳河县建筑垃圾管理规定，统一运往指定的建筑垃圾消纳场处置，严禁随意堆放或倾倒。运输车辆应密闭或苫盖，防止运输过程中洒落。建筑垃圾与生活垃圾、工业固废应分类运输、分开处置，严禁混合堆放。</w:t>
            </w:r>
          </w:p>
          <w:p>
            <w:pPr>
              <w:spacing w:line="360" w:lineRule="auto"/>
              <w:ind w:firstLine="420" w:firstLineChars="200"/>
              <w:jc w:val="left"/>
            </w:pPr>
            <w:r>
              <w:t>4、废包装材料</w:t>
            </w:r>
          </w:p>
          <w:p>
            <w:pPr>
              <w:spacing w:line="360" w:lineRule="auto"/>
              <w:ind w:firstLine="420" w:firstLineChars="200"/>
              <w:jc w:val="left"/>
            </w:pPr>
            <w:r>
              <w:t>设备安装产生的木箱、纸箱、塑料等废包装材料，分类收集后，可回收利用的部分交由物资回收公司处理，不可回收利用的部分按一般固废管理要求清运处置。</w:t>
            </w:r>
          </w:p>
          <w:p>
            <w:pPr>
              <w:spacing w:line="360" w:lineRule="auto"/>
              <w:ind w:firstLine="420" w:firstLineChars="200"/>
              <w:jc w:val="left"/>
            </w:pPr>
            <w:r>
              <w:t>5、生活垃圾</w:t>
            </w:r>
          </w:p>
          <w:p>
            <w:pPr>
              <w:spacing w:line="360" w:lineRule="auto"/>
              <w:ind w:firstLine="420" w:firstLineChars="200"/>
              <w:jc w:val="left"/>
            </w:pPr>
            <w:r>
              <w:t>施工人员生活垃圾集中收集至厂区现有生活垃圾收集点，由环卫部门统一清运处置，做到日产日清，避免蚊蝇滋生和异味产生。</w:t>
            </w:r>
          </w:p>
          <w:p>
            <w:pPr>
              <w:spacing w:line="360" w:lineRule="auto"/>
              <w:ind w:firstLine="420" w:firstLineChars="200"/>
              <w:jc w:val="left"/>
            </w:pPr>
            <w:r>
              <w:t>各类固体废物均分类收集、分开存放、分别处置，建立临时存放区域并设置标识牌，严禁混堆混放，避免造成二次污染。</w:t>
            </w:r>
          </w:p>
          <w:p>
            <w:pPr>
              <w:spacing w:line="360" w:lineRule="auto"/>
              <w:ind w:firstLine="420" w:firstLineChars="200"/>
              <w:jc w:val="left"/>
            </w:pPr>
            <w:r>
              <w:t>五、施工期其他环境管理措施</w:t>
            </w:r>
          </w:p>
          <w:p>
            <w:pPr>
              <w:spacing w:line="360" w:lineRule="auto"/>
              <w:ind w:firstLine="420" w:firstLineChars="200"/>
              <w:jc w:val="left"/>
            </w:pPr>
            <w:r>
              <w:t>1、施工期环境管理组织</w:t>
            </w:r>
          </w:p>
          <w:p>
            <w:pPr>
              <w:spacing w:line="360" w:lineRule="auto"/>
              <w:ind w:firstLine="420" w:firstLineChars="200"/>
              <w:jc w:val="left"/>
            </w:pPr>
            <w:r>
              <w:t>建设单位应成立施工期环境保护管理小组，由项目负责人担任组长，配备专职环保管理人员，负责施工期环境保护工作的组织协调和监督检查。施工单位应在施工方案中明确环境保护措施，落实环保责任到人。</w:t>
            </w:r>
          </w:p>
          <w:p>
            <w:pPr>
              <w:spacing w:line="360" w:lineRule="auto"/>
              <w:ind w:firstLine="420" w:firstLineChars="200"/>
              <w:jc w:val="left"/>
            </w:pPr>
            <w:r>
              <w:t>2、施工期环境监理</w:t>
            </w:r>
          </w:p>
          <w:p>
            <w:pPr>
              <w:spacing w:line="360" w:lineRule="auto"/>
              <w:ind w:firstLine="420" w:firstLineChars="200"/>
              <w:jc w:val="left"/>
            </w:pPr>
            <w:r>
              <w:t>建议建设单位委托有资质的环境监理单位对施工期环境保护措施落实情况进行全过程环境监理，重点监督扬尘控制、噪声防治等关键环节。环境监理单位应编制环境监理报告，作为项目竣工环保验收的依据之一。</w:t>
            </w:r>
          </w:p>
          <w:p>
            <w:pPr>
              <w:spacing w:line="360" w:lineRule="auto"/>
              <w:ind w:firstLine="420" w:firstLineChars="200"/>
              <w:jc w:val="left"/>
            </w:pPr>
            <w:r>
              <w:t>3、施工期环境监测</w:t>
            </w:r>
          </w:p>
          <w:p>
            <w:pPr>
              <w:spacing w:line="360" w:lineRule="auto"/>
              <w:ind w:firstLine="420" w:firstLineChars="200"/>
              <w:jc w:val="left"/>
            </w:pPr>
            <w:r>
              <w:t>施工期间，委托有资质的环境监测单位，对施工场界无组织扬尘和施工噪声开展定期监测，监测频次建议每月一次，如发现超标应及时查找原因并采取整改措施。监测结果应记录存档备查。</w:t>
            </w:r>
          </w:p>
          <w:p>
            <w:pPr>
              <w:spacing w:line="360" w:lineRule="auto"/>
              <w:ind w:firstLine="420" w:firstLineChars="200"/>
              <w:jc w:val="left"/>
            </w:pPr>
            <w:r>
              <w:t>4、施工场地恢复</w:t>
            </w:r>
          </w:p>
          <w:p>
            <w:pPr>
              <w:spacing w:line="360" w:lineRule="auto"/>
              <w:ind w:firstLine="420" w:firstLineChars="200"/>
              <w:jc w:val="left"/>
            </w:pPr>
            <w:r>
              <w:t>施工结束后，及时清理施工现场，拆除临时设施，对施工扰动区域进行场地平整和硬化恢复，建筑垃圾全部清运完毕，做到“工完、料净、场地清”。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20" w:type="dxa"/>
            <w:vAlign w:val="top"/>
          </w:tcPr>
          <w:p>
            <w:pPr>
              <w:jc w:val="left"/>
              <w:rPr>
                <w:b/>
                <w:bCs/>
              </w:rPr>
            </w:pPr>
            <w:r>
              <w:rPr>
                <w:b/>
                <w:bCs/>
              </w:rPr>
              <w:t>运营期环境影响和保护措施</w:t>
            </w:r>
          </w:p>
          <w:p>
            <w:pPr>
              <w:spacing w:line="360" w:lineRule="auto"/>
              <w:ind w:firstLine="420" w:firstLineChars="200"/>
              <w:jc w:val="left"/>
            </w:pPr>
            <w:r>
              <w:t>一、废水</w:t>
            </w:r>
          </w:p>
          <w:p>
            <w:pPr>
              <w:spacing w:line="360" w:lineRule="auto"/>
              <w:ind w:firstLine="420" w:firstLineChars="200"/>
              <w:jc w:val="left"/>
            </w:pPr>
            <w:r>
              <w:t>本项目不产生废水。</w:t>
            </w:r>
          </w:p>
          <w:p>
            <w:pPr>
              <w:spacing w:line="360" w:lineRule="auto"/>
              <w:ind w:firstLine="420" w:firstLineChars="200"/>
              <w:jc w:val="left"/>
            </w:pPr>
            <w:r>
              <w:t>二、废气</w:t>
            </w:r>
          </w:p>
          <w:p>
            <w:pPr>
              <w:spacing w:line="360" w:lineRule="auto"/>
              <w:ind w:firstLine="420" w:firstLineChars="200"/>
              <w:jc w:val="left"/>
            </w:pPr>
            <w:r>
              <w:t>1、有组织废气</w:t>
            </w:r>
          </w:p>
          <w:p>
            <w:pPr>
              <w:spacing w:line="360" w:lineRule="auto"/>
              <w:ind w:firstLine="420" w:firstLineChars="200"/>
              <w:jc w:val="left"/>
            </w:pPr>
            <w:r>
              <w:rPr>
                <w:rFonts w:eastAsia="仿宋"/>
              </w:rPr>
              <w:t>（1）</w:t>
            </w:r>
            <w:r>
              <w:t>源强核算</w:t>
            </w:r>
          </w:p>
          <w:p>
            <w:pPr>
              <w:spacing w:line="360" w:lineRule="auto"/>
              <w:ind w:firstLine="420" w:firstLineChars="200"/>
              <w:jc w:val="left"/>
            </w:pPr>
            <w:r>
              <w:t>本项目导热油加热炉燃料为生物质颗粒，导热油炉为有机载体炉，其产生的废气为燃烧生物质颗粒产生的烟气，本项目设置1台1600kW导热油加热炉，全年用热100d（400h），年燃生物质颗粒25t。</w:t>
            </w:r>
            <w:r>
              <w:rPr>
                <w:rFonts w:hint="eastAsia"/>
              </w:rPr>
              <w:t>根据</w:t>
            </w:r>
            <w:r>
              <w:t>《污染源源强核算技术指南 锅炉》（HJ991-2018）中要求的计算方式核算导热油炉烟气中的污染物产排量。</w:t>
            </w:r>
          </w:p>
          <w:p>
            <w:pPr>
              <w:spacing w:line="360" w:lineRule="auto"/>
              <w:ind w:firstLine="420" w:firstLineChars="200"/>
              <w:jc w:val="left"/>
            </w:pPr>
            <w:r>
              <w:rPr>
                <w:rFonts w:eastAsia="仿宋"/>
              </w:rPr>
              <w:t>①</w:t>
            </w:r>
            <w:r>
              <w:t>颗粒物产生量</w:t>
            </w:r>
          </w:p>
          <w:p>
            <w:pPr>
              <w:spacing w:line="360" w:lineRule="auto"/>
              <w:ind w:firstLine="420" w:firstLineChars="200"/>
              <w:jc w:val="left"/>
            </w:pPr>
            <w:r>
              <w:rPr>
                <w:rFonts w:hint="eastAsia"/>
              </w:rPr>
              <w:t>根据</w:t>
            </w:r>
            <w:r>
              <w:t>《污染源源强核算技术指南 锅炉》（HJ991-2018）中“5.1.1燃煤、燃生物质锅炉”。颗粒物核算公式如下：</w:t>
            </w:r>
          </w:p>
          <w:p>
            <w:pPr>
              <w:spacing w:line="360" w:lineRule="auto"/>
              <w:ind w:firstLine="420" w:firstLineChars="200"/>
              <w:jc w:val="center"/>
              <w:rPr>
                <w:position w:val="-24"/>
              </w:rPr>
            </w:pPr>
            <w:r>
              <w:rPr>
                <w:rFonts w:ascii="Times New Roman" w:hAnsi="Times New Roman" w:eastAsia="宋体" w:cs="Times New Roman"/>
                <w:kern w:val="2"/>
                <w:position w:val="-56"/>
                <w:sz w:val="21"/>
                <w:szCs w:val="22"/>
                <w:lang w:val="en-US" w:eastAsia="zh-CN" w:bidi="ar-SA"/>
              </w:rPr>
              <w:object>
                <v:shape id="_x0000_i1029" o:spt="75" type="#_x0000_t75" style="height:55.7pt;width:127.7pt;" o:ole="t" fillcolor="#FFFFFF" filled="f" o:preferrelative="t" stroked="f" coordsize="21600,21600">
                  <v:path/>
                  <v:fill on="f" color2="#FFFFFF" focussize="0,0"/>
                  <v:stroke on="f"/>
                  <v:imagedata r:id="rId8" gain="65536f" blacklevel="0f" gamma="0" o:title=""/>
                  <o:lock v:ext="edit" position="f" selection="f" grouping="f" rotation="f" cropping="f" text="f" aspectratio="t"/>
                  <w10:wrap type="none"/>
                  <w10:anchorlock/>
                </v:shape>
                <o:OLEObject Type="Embed" ProgID="" ShapeID="_x0000_i1029" DrawAspect="Content" ObjectID="_1468075725" r:id="rId7">
                  <o:LockedField>false</o:LockedField>
                </o:OLEObject>
              </w:object>
            </w:r>
          </w:p>
          <w:p>
            <w:pPr>
              <w:spacing w:line="360" w:lineRule="auto"/>
              <w:ind w:firstLine="420" w:firstLineChars="200"/>
              <w:jc w:val="left"/>
            </w:pPr>
            <w:r>
              <w:t>式中：E</w:t>
            </w:r>
            <w:r>
              <w:rPr>
                <w:vertAlign w:val="subscript"/>
              </w:rPr>
              <w:t>A</w:t>
            </w:r>
            <w:r>
              <w:t>--核算时段内颗粒物（烟尘）排放量，t；</w:t>
            </w:r>
          </w:p>
          <w:p>
            <w:pPr>
              <w:spacing w:line="360" w:lineRule="auto"/>
              <w:ind w:firstLine="1050" w:firstLineChars="500"/>
              <w:jc w:val="left"/>
            </w:pPr>
            <w:r>
              <w:t>R--核算时段内锅炉燃料耗量，t；取值25t。</w:t>
            </w:r>
          </w:p>
          <w:p>
            <w:pPr>
              <w:spacing w:line="360" w:lineRule="auto"/>
              <w:ind w:firstLine="1050" w:firstLineChars="500"/>
              <w:jc w:val="left"/>
              <w:rPr>
                <w:u w:val="single"/>
              </w:rPr>
            </w:pPr>
            <w:r>
              <w:t>A</w:t>
            </w:r>
            <w:r>
              <w:rPr>
                <w:vertAlign w:val="subscript"/>
              </w:rPr>
              <w:t>ar</w:t>
            </w:r>
            <w:r>
              <w:t>--收到基灰分的质量分数，%；</w:t>
            </w:r>
            <w:r>
              <w:rPr>
                <w:u w:val="single"/>
              </w:rPr>
              <w:t>取值</w:t>
            </w:r>
            <w:r>
              <w:rPr>
                <w:rFonts w:hint="eastAsia"/>
                <w:u w:val="single"/>
              </w:rPr>
              <w:t>2.76</w:t>
            </w:r>
            <w:r>
              <w:rPr>
                <w:u w:val="single"/>
              </w:rPr>
              <w:t>%。收到基灰分与干燥基灰分的换算公式为Aar=Ad×（100-Mt）/100</w:t>
            </w:r>
            <w:r>
              <w:rPr>
                <w:rFonts w:hint="eastAsia"/>
                <w:u w:val="single"/>
              </w:rPr>
              <w:t>，</w:t>
            </w:r>
            <w:r>
              <w:rPr>
                <w:u w:val="single"/>
              </w:rPr>
              <w:t>代入</w:t>
            </w:r>
            <w:r>
              <w:rPr>
                <w:rFonts w:hint="eastAsia"/>
                <w:u w:val="single"/>
              </w:rPr>
              <w:t>前文生物质颗粒成分</w:t>
            </w:r>
            <w:r>
              <w:rPr>
                <w:u w:val="single"/>
              </w:rPr>
              <w:t>数据（全水分Mt=5.33%，Ad=2.92%）</w:t>
            </w:r>
            <w:r>
              <w:rPr>
                <w:rFonts w:hint="eastAsia"/>
                <w:u w:val="single"/>
              </w:rPr>
              <w:t>，</w:t>
            </w:r>
            <w:r>
              <w:rPr>
                <w:u w:val="single"/>
              </w:rPr>
              <w:t>Aar=2.92×（100-5.33）/100≈2.92×0.9467≈2.76%。</w:t>
            </w:r>
          </w:p>
          <w:p>
            <w:pPr>
              <w:wordWrap w:val="0"/>
              <w:spacing w:line="360" w:lineRule="auto"/>
              <w:ind w:firstLine="1050" w:firstLineChars="500"/>
              <w:jc w:val="left"/>
            </w:pPr>
            <w:r>
              <w:t>d</w:t>
            </w:r>
            <w:r>
              <w:rPr>
                <w:vertAlign w:val="subscript"/>
              </w:rPr>
              <w:t>fh</w:t>
            </w:r>
            <w:r>
              <w:t>--锅炉烟气带出的飞灰份额，%；根据《污染源源强核算技术指南 锅炉》（HJ991-2018）附录B中“表B.2 锅炉烟气带出飞灰份额的一般取值”，本项目导热油炉为往复炉排炉，燃料为生物质颗粒，本次从严取值，即d</w:t>
            </w:r>
            <w:r>
              <w:rPr>
                <w:vertAlign w:val="subscript"/>
              </w:rPr>
              <w:t>fh</w:t>
            </w:r>
            <w:r>
              <w:t>取值50%；</w:t>
            </w:r>
          </w:p>
          <w:p>
            <w:pPr>
              <w:spacing w:line="360" w:lineRule="auto"/>
              <w:ind w:firstLine="1050" w:firstLineChars="500"/>
              <w:jc w:val="left"/>
              <w:rPr>
                <w:i/>
                <w:iCs/>
                <w:u w:val="single"/>
              </w:rPr>
            </w:pPr>
            <w:r>
              <w:t>ηc--综合除尘效率，%；本项目采用</w:t>
            </w:r>
            <w:r>
              <w:rPr>
                <w:szCs w:val="21"/>
              </w:rPr>
              <w:t>“旋风除尘+布袋除尘”两级除尘工艺</w:t>
            </w:r>
            <w:r>
              <w:t>对导热油炉烟气进行处理，根据《污染源源强核算技术指南锅炉》（HJ991-2018）附录B中“表B.6 烟气除尘常规技术的一般性能”，袋式除尘器除尘效率为99%-99.99%，本次采用组合除尘方式，</w:t>
            </w:r>
            <w:r>
              <w:rPr>
                <w:rFonts w:hint="eastAsia"/>
              </w:rPr>
              <w:t>按最不利取值</w:t>
            </w:r>
            <w:r>
              <w:t>，即ηc取值99.</w:t>
            </w:r>
            <w:r>
              <w:rPr>
                <w:rFonts w:hint="eastAsia"/>
              </w:rPr>
              <w:t>00</w:t>
            </w:r>
            <w:r>
              <w:t>%。</w:t>
            </w:r>
          </w:p>
          <w:p>
            <w:pPr>
              <w:spacing w:line="360" w:lineRule="auto"/>
              <w:ind w:firstLine="1050" w:firstLineChars="500"/>
              <w:jc w:val="left"/>
            </w:pPr>
            <w:r>
              <w:t>C</w:t>
            </w:r>
            <w:r>
              <w:rPr>
                <w:vertAlign w:val="subscript"/>
              </w:rPr>
              <w:t>fh</w:t>
            </w:r>
            <w:r>
              <w:t>--飞灰中的可燃物含量，%；取值10%。</w:t>
            </w:r>
          </w:p>
          <w:p>
            <w:pPr>
              <w:spacing w:line="360" w:lineRule="auto"/>
              <w:ind w:firstLine="420" w:firstLineChars="200"/>
              <w:jc w:val="left"/>
              <w:rPr>
                <w:u w:val="single"/>
              </w:rPr>
            </w:pPr>
            <w:r>
              <w:rPr>
                <w:u w:val="single"/>
              </w:rPr>
              <w:t>经计算，E</w:t>
            </w:r>
            <w:r>
              <w:rPr>
                <w:u w:val="single"/>
                <w:vertAlign w:val="subscript"/>
              </w:rPr>
              <w:t>A</w:t>
            </w:r>
            <w:r>
              <w:rPr>
                <w:u w:val="single"/>
              </w:rPr>
              <w:t>=0.00</w:t>
            </w:r>
            <w:r>
              <w:rPr>
                <w:rFonts w:hint="eastAsia"/>
                <w:u w:val="single"/>
              </w:rPr>
              <w:t>38</w:t>
            </w:r>
            <w:r>
              <w:rPr>
                <w:u w:val="single"/>
              </w:rPr>
              <w:t>t/a。故颗粒物排放量为0.00</w:t>
            </w:r>
            <w:r>
              <w:rPr>
                <w:rFonts w:hint="eastAsia"/>
                <w:u w:val="single"/>
              </w:rPr>
              <w:t>38</w:t>
            </w:r>
            <w:r>
              <w:rPr>
                <w:u w:val="single"/>
              </w:rPr>
              <w:t>t/a。</w:t>
            </w:r>
          </w:p>
          <w:p>
            <w:pPr>
              <w:spacing w:line="360" w:lineRule="auto"/>
              <w:ind w:firstLine="420" w:firstLineChars="200"/>
              <w:jc w:val="left"/>
            </w:pPr>
            <w:r>
              <w:rPr>
                <w:rFonts w:eastAsia="仿宋"/>
              </w:rPr>
              <w:t>②</w:t>
            </w:r>
            <w:r>
              <w:t>二氧化硫产生量</w:t>
            </w:r>
          </w:p>
          <w:p>
            <w:pPr>
              <w:spacing w:line="360" w:lineRule="auto"/>
              <w:ind w:firstLine="420" w:firstLineChars="200"/>
              <w:jc w:val="left"/>
            </w:pPr>
            <w:r>
              <w:rPr>
                <w:rFonts w:hint="eastAsia"/>
              </w:rPr>
              <w:t>根据</w:t>
            </w:r>
            <w:r>
              <w:t>《污染源源强核算技术指南 锅炉》（HJ991-2018）中“5.1.1燃煤、燃生物质锅炉”。二氧化硫核算公式如下：</w:t>
            </w:r>
          </w:p>
          <w:p>
            <w:pPr>
              <w:spacing w:line="360" w:lineRule="auto"/>
              <w:ind w:firstLine="420" w:firstLineChars="200"/>
              <w:jc w:val="center"/>
            </w:pPr>
            <w:r>
              <w:rPr>
                <w:rFonts w:ascii="Times New Roman" w:hAnsi="Times New Roman" w:eastAsia="宋体" w:cs="Times New Roman"/>
                <w:kern w:val="2"/>
                <w:sz w:val="21"/>
                <w:szCs w:val="22"/>
                <w:lang w:val="en-US" w:eastAsia="zh-CN" w:bidi="ar-SA"/>
              </w:rPr>
              <w:object>
                <v:shape id="_x0000_i1030" o:spt="75" type="#_x0000_t75" style="height:27.55pt;width:177.2pt;" o:ole="t" fillcolor="#FFFFFF" filled="f" o:preferrelative="t" stroked="f" coordsize="21600,21600">
                  <v:path/>
                  <v:fill on="f" color2="#FFFFFF" focussize="0,0"/>
                  <v:stroke on="f"/>
                  <v:imagedata r:id="rId10" gain="65536f" blacklevel="0f" gamma="0" o:title=""/>
                  <o:lock v:ext="edit" position="f" selection="f" grouping="f" rotation="f" cropping="f" text="f" aspectratio="t"/>
                  <w10:wrap type="none"/>
                  <w10:anchorlock/>
                </v:shape>
                <o:OLEObject Type="Embed" ProgID="" ShapeID="_x0000_i1030" DrawAspect="Content" ObjectID="_1468075726" r:id="rId9">
                  <o:LockedField>false</o:LockedField>
                </o:OLEObject>
              </w:object>
            </w:r>
          </w:p>
          <w:p>
            <w:pPr>
              <w:spacing w:line="360" w:lineRule="auto"/>
              <w:ind w:firstLine="420" w:firstLineChars="200"/>
              <w:jc w:val="left"/>
            </w:pPr>
            <w:r>
              <w:t>式中：E</w:t>
            </w:r>
            <w:r>
              <w:rPr>
                <w:vertAlign w:val="subscript"/>
              </w:rPr>
              <w:t>SO2</w:t>
            </w:r>
            <w:r>
              <w:t>--核算时段内二氧化硫排放量，t；</w:t>
            </w:r>
          </w:p>
          <w:p>
            <w:pPr>
              <w:spacing w:line="360" w:lineRule="auto"/>
              <w:ind w:firstLine="1050" w:firstLineChars="500"/>
              <w:jc w:val="left"/>
            </w:pPr>
            <w:r>
              <w:t>R--核算时段内锅炉燃料耗量，t；取值25t。</w:t>
            </w:r>
          </w:p>
          <w:p>
            <w:pPr>
              <w:spacing w:line="360" w:lineRule="auto"/>
              <w:ind w:firstLine="1050" w:firstLineChars="500"/>
              <w:jc w:val="left"/>
              <w:rPr>
                <w:u w:val="single"/>
              </w:rPr>
            </w:pPr>
            <w:r>
              <w:t>S</w:t>
            </w:r>
            <w:r>
              <w:rPr>
                <w:vertAlign w:val="subscript"/>
              </w:rPr>
              <w:t>ar</w:t>
            </w:r>
            <w:r>
              <w:t>--收到基硫的质量分数，%；</w:t>
            </w:r>
            <w:r>
              <w:rPr>
                <w:u w:val="single"/>
              </w:rPr>
              <w:t>取值0.0</w:t>
            </w:r>
            <w:r>
              <w:rPr>
                <w:rFonts w:hint="eastAsia"/>
                <w:u w:val="single"/>
              </w:rPr>
              <w:t>28</w:t>
            </w:r>
            <w:r>
              <w:rPr>
                <w:u w:val="single"/>
              </w:rPr>
              <w:t>%。收到基硫与干基硫的换算公式</w:t>
            </w:r>
            <w:r>
              <w:rPr>
                <w:rFonts w:hint="eastAsia"/>
                <w:u w:val="single"/>
              </w:rPr>
              <w:t>为</w:t>
            </w:r>
            <w:r>
              <w:rPr>
                <w:u w:val="single"/>
              </w:rPr>
              <w:t>Sar=St,d×（100-Mt）/100</w:t>
            </w:r>
            <w:r>
              <w:rPr>
                <w:rFonts w:hint="eastAsia"/>
                <w:u w:val="single"/>
              </w:rPr>
              <w:t>，代入前文生物质颗粒成分数据</w:t>
            </w:r>
            <w:r>
              <w:rPr>
                <w:u w:val="single"/>
              </w:rPr>
              <w:t>（全水分Mt=5.33%，St,d=0.03%）</w:t>
            </w:r>
            <w:r>
              <w:rPr>
                <w:rFonts w:hint="eastAsia"/>
                <w:u w:val="single"/>
              </w:rPr>
              <w:t>，</w:t>
            </w:r>
            <w:r>
              <w:rPr>
                <w:u w:val="single"/>
              </w:rPr>
              <w:t>Sar=0.03×（100-5.33）/100≈0.03×0.9467≈0.028%</w:t>
            </w:r>
            <w:r>
              <w:rPr>
                <w:rFonts w:hint="eastAsia"/>
                <w:u w:val="single"/>
              </w:rPr>
              <w:t>。</w:t>
            </w:r>
          </w:p>
          <w:p>
            <w:pPr>
              <w:wordWrap w:val="0"/>
              <w:spacing w:line="360" w:lineRule="auto"/>
              <w:ind w:firstLine="1050" w:firstLineChars="500"/>
              <w:jc w:val="left"/>
            </w:pPr>
            <w:r>
              <w:t>q</w:t>
            </w:r>
            <w:r>
              <w:rPr>
                <w:vertAlign w:val="subscript"/>
              </w:rPr>
              <w:t>4</w:t>
            </w:r>
            <w:r>
              <w:t>--锅炉机械不完全燃烧热损失，%；根据《污染源源强核算技术指南 锅炉》（HJ991-2018）附录B中“表B.1 锅炉机械不完全燃烧热损失的一般取值”，本项目导热油炉为往复炉排炉，本次按最不利取值，即q</w:t>
            </w:r>
            <w:r>
              <w:rPr>
                <w:vertAlign w:val="subscript"/>
              </w:rPr>
              <w:t>4</w:t>
            </w:r>
            <w:r>
              <w:t>取值7%；</w:t>
            </w:r>
          </w:p>
          <w:p>
            <w:pPr>
              <w:spacing w:line="360" w:lineRule="auto"/>
              <w:ind w:firstLine="1050" w:firstLineChars="500"/>
              <w:jc w:val="left"/>
              <w:rPr>
                <w:i/>
                <w:iCs/>
                <w:u w:val="single"/>
              </w:rPr>
            </w:pPr>
            <w:r>
              <w:t>η</w:t>
            </w:r>
            <w:r>
              <w:rPr>
                <w:vertAlign w:val="subscript"/>
              </w:rPr>
              <w:t>S</w:t>
            </w:r>
            <w:r>
              <w:t>--脱硫效率，%；取值0。</w:t>
            </w:r>
          </w:p>
          <w:p>
            <w:pPr>
              <w:spacing w:line="360" w:lineRule="auto"/>
              <w:ind w:firstLine="1050" w:firstLineChars="500"/>
              <w:jc w:val="left"/>
            </w:pPr>
            <w:r>
              <w:t>K--燃料中的硫燃烧后氧化成二氧化硫的份额，量纲一的量；根据《污染源源强核算技术指南 锅炉》（HJ991-2018）附录B中“表B.3 燃料中硫转化率的一般取值”可知，燃生物质炉燃料中硫转化率为0.30-0.50，本次按最不利取值，即K取值0.50；</w:t>
            </w:r>
          </w:p>
          <w:p>
            <w:pPr>
              <w:spacing w:line="360" w:lineRule="auto"/>
              <w:ind w:firstLine="420" w:firstLineChars="200"/>
              <w:jc w:val="left"/>
              <w:rPr>
                <w:u w:val="single"/>
              </w:rPr>
            </w:pPr>
            <w:r>
              <w:rPr>
                <w:u w:val="single"/>
              </w:rPr>
              <w:t>经计算，E</w:t>
            </w:r>
            <w:r>
              <w:rPr>
                <w:u w:val="single"/>
                <w:vertAlign w:val="subscript"/>
              </w:rPr>
              <w:t>SO2</w:t>
            </w:r>
            <w:r>
              <w:rPr>
                <w:u w:val="single"/>
              </w:rPr>
              <w:t>=</w:t>
            </w:r>
            <w:r>
              <w:rPr>
                <w:rFonts w:hint="eastAsia"/>
                <w:u w:val="single"/>
              </w:rPr>
              <w:t>0.0065</w:t>
            </w:r>
            <w:r>
              <w:rPr>
                <w:u w:val="single"/>
              </w:rPr>
              <w:t>t/a，故SO</w:t>
            </w:r>
            <w:r>
              <w:rPr>
                <w:u w:val="single"/>
                <w:vertAlign w:val="subscript"/>
              </w:rPr>
              <w:t>2</w:t>
            </w:r>
            <w:r>
              <w:rPr>
                <w:u w:val="single"/>
              </w:rPr>
              <w:t>排放量为</w:t>
            </w:r>
            <w:r>
              <w:rPr>
                <w:rFonts w:hint="eastAsia"/>
                <w:u w:val="single"/>
              </w:rPr>
              <w:t>0.0065</w:t>
            </w:r>
            <w:r>
              <w:rPr>
                <w:u w:val="single"/>
              </w:rPr>
              <w:t>t/a。</w:t>
            </w:r>
          </w:p>
          <w:p>
            <w:pPr>
              <w:spacing w:line="360" w:lineRule="auto"/>
              <w:ind w:firstLine="420" w:firstLineChars="200"/>
              <w:jc w:val="left"/>
            </w:pPr>
            <w:r>
              <w:rPr>
                <w:rFonts w:eastAsia="仿宋"/>
              </w:rPr>
              <w:t>③</w:t>
            </w:r>
            <w:r>
              <w:t>氮氧化物</w:t>
            </w:r>
          </w:p>
          <w:p>
            <w:pPr>
              <w:spacing w:line="360" w:lineRule="auto"/>
              <w:ind w:firstLine="420" w:firstLineChars="200"/>
              <w:rPr>
                <w:kern w:val="0"/>
                <w:szCs w:val="21"/>
              </w:rPr>
            </w:pPr>
            <w:r>
              <w:rPr>
                <w:kern w:val="0"/>
                <w:szCs w:val="21"/>
              </w:rPr>
              <w:t>因项目导热油炉生产商未提供氮氧化物控制保证浓度值，且无类比数据，故本项目导热油炉烟气中氮氧化物无法采用物料衡算法及类比法，因此本次氮氧化物核算采用产污系数法。氮氧化物核算</w:t>
            </w:r>
            <w:r>
              <w:t>公式</w:t>
            </w:r>
            <w:r>
              <w:rPr>
                <w:kern w:val="0"/>
                <w:szCs w:val="21"/>
              </w:rPr>
              <w:t>如下：</w:t>
            </w:r>
          </w:p>
          <w:p>
            <w:pPr>
              <w:spacing w:line="360" w:lineRule="auto"/>
              <w:ind w:firstLine="420" w:firstLineChars="200"/>
              <w:jc w:val="center"/>
              <w:rPr>
                <w:kern w:val="0"/>
                <w:szCs w:val="21"/>
              </w:rPr>
            </w:pPr>
            <w:r>
              <w:rPr>
                <w:rFonts w:ascii="Times New Roman" w:hAnsi="Times New Roman" w:eastAsia="宋体" w:cs="Times New Roman"/>
                <w:kern w:val="0"/>
                <w:sz w:val="21"/>
                <w:szCs w:val="21"/>
                <w:lang w:val="en-US" w:eastAsia="zh-CN" w:bidi="ar-SA"/>
              </w:rPr>
              <w:object>
                <v:shape id="_x0000_i1031" o:spt="75" type="#_x0000_t75" style="height:29.45pt;width:132.1pt;" o:ole="t" fillcolor="#FFFFFF" filled="f" o:preferrelative="t" stroked="f" coordsize="21600,21600">
                  <v:path/>
                  <v:fill on="f" color2="#FFFFFF" focussize="0,0"/>
                  <v:stroke on="f"/>
                  <v:imagedata r:id="rId12" gain="65536f" blacklevel="0f" gamma="0" o:title=""/>
                  <o:lock v:ext="edit" position="f" selection="f" grouping="f" rotation="f" cropping="f" text="f" aspectratio="t"/>
                  <w10:wrap type="none"/>
                  <w10:anchorlock/>
                </v:shape>
                <o:OLEObject Type="Embed" ProgID="" ShapeID="_x0000_i1031" DrawAspect="Content" ObjectID="_1468075727" r:id="rId11">
                  <o:LockedField>false</o:LockedField>
                </o:OLEObject>
              </w:object>
            </w:r>
          </w:p>
          <w:p>
            <w:pPr>
              <w:spacing w:line="360" w:lineRule="auto"/>
              <w:ind w:firstLine="420" w:firstLineChars="200"/>
              <w:rPr>
                <w:kern w:val="0"/>
                <w:szCs w:val="21"/>
              </w:rPr>
            </w:pPr>
            <w:r>
              <w:rPr>
                <w:kern w:val="0"/>
                <w:szCs w:val="21"/>
              </w:rPr>
              <w:t>式中：E</w:t>
            </w:r>
            <w:r>
              <w:rPr>
                <w:kern w:val="0"/>
                <w:szCs w:val="21"/>
                <w:vertAlign w:val="subscript"/>
              </w:rPr>
              <w:t>NOX</w:t>
            </w:r>
            <w:r>
              <w:rPr>
                <w:szCs w:val="21"/>
              </w:rPr>
              <w:t>—</w:t>
            </w:r>
            <w:r>
              <w:rPr>
                <w:kern w:val="0"/>
                <w:szCs w:val="21"/>
              </w:rPr>
              <w:t>核算时段内氮氧化物排放量，t；</w:t>
            </w:r>
          </w:p>
          <w:p>
            <w:pPr>
              <w:spacing w:line="360" w:lineRule="auto"/>
              <w:ind w:firstLine="1050" w:firstLineChars="500"/>
              <w:rPr>
                <w:kern w:val="0"/>
                <w:szCs w:val="21"/>
              </w:rPr>
            </w:pPr>
            <w:r>
              <w:rPr>
                <w:kern w:val="0"/>
                <w:szCs w:val="21"/>
              </w:rPr>
              <w:t>R</w:t>
            </w:r>
            <w:r>
              <w:rPr>
                <w:szCs w:val="21"/>
              </w:rPr>
              <w:t>—</w:t>
            </w:r>
            <w:r>
              <w:rPr>
                <w:kern w:val="0"/>
                <w:szCs w:val="21"/>
              </w:rPr>
              <w:t>核算时段内锅炉燃料耗量，t；取值25t。</w:t>
            </w:r>
          </w:p>
          <w:p>
            <w:pPr>
              <w:spacing w:line="360" w:lineRule="auto"/>
              <w:ind w:firstLine="1050" w:firstLineChars="500"/>
              <w:rPr>
                <w:kern w:val="0"/>
                <w:szCs w:val="21"/>
              </w:rPr>
            </w:pPr>
            <w:r>
              <w:rPr>
                <w:kern w:val="0"/>
                <w:szCs w:val="21"/>
              </w:rPr>
              <w:t>β</w:t>
            </w:r>
            <w:r>
              <w:rPr>
                <w:kern w:val="0"/>
                <w:szCs w:val="21"/>
                <w:vertAlign w:val="subscript"/>
              </w:rPr>
              <w:t>j</w:t>
            </w:r>
            <w:r>
              <w:rPr>
                <w:szCs w:val="21"/>
              </w:rPr>
              <w:t>—产污系数，kg/t燃料；根据《4430工业锅炉（热力供应）行业系数手册》，</w:t>
            </w:r>
            <w:r>
              <w:rPr>
                <w:kern w:val="0"/>
                <w:szCs w:val="21"/>
              </w:rPr>
              <w:t>本项目导热油炉燃料为生物质颗粒，即β</w:t>
            </w:r>
            <w:r>
              <w:rPr>
                <w:kern w:val="0"/>
                <w:szCs w:val="21"/>
                <w:vertAlign w:val="subscript"/>
              </w:rPr>
              <w:t>j</w:t>
            </w:r>
            <w:r>
              <w:rPr>
                <w:kern w:val="0"/>
                <w:szCs w:val="21"/>
              </w:rPr>
              <w:t>取值1.02；</w:t>
            </w:r>
          </w:p>
          <w:p>
            <w:pPr>
              <w:spacing w:line="360" w:lineRule="auto"/>
              <w:ind w:firstLine="1050" w:firstLineChars="500"/>
              <w:rPr>
                <w:kern w:val="0"/>
                <w:szCs w:val="21"/>
              </w:rPr>
            </w:pPr>
            <w:r>
              <w:rPr>
                <w:kern w:val="0"/>
                <w:szCs w:val="21"/>
              </w:rPr>
              <w:t>η</w:t>
            </w:r>
            <w:r>
              <w:rPr>
                <w:szCs w:val="21"/>
              </w:rPr>
              <w:t>—</w:t>
            </w:r>
            <w:r>
              <w:rPr>
                <w:kern w:val="0"/>
                <w:szCs w:val="21"/>
              </w:rPr>
              <w:t>脱硝效率，%；取值0。</w:t>
            </w:r>
          </w:p>
          <w:p>
            <w:pPr>
              <w:spacing w:line="360" w:lineRule="auto"/>
              <w:ind w:firstLine="420" w:firstLineChars="200"/>
              <w:jc w:val="left"/>
              <w:rPr>
                <w:kern w:val="0"/>
                <w:szCs w:val="21"/>
                <w:u w:val="single"/>
              </w:rPr>
            </w:pPr>
            <w:r>
              <w:rPr>
                <w:kern w:val="0"/>
                <w:szCs w:val="21"/>
                <w:u w:val="single"/>
              </w:rPr>
              <w:t>经计算，E</w:t>
            </w:r>
            <w:r>
              <w:rPr>
                <w:kern w:val="0"/>
                <w:szCs w:val="21"/>
                <w:u w:val="single"/>
                <w:vertAlign w:val="subscript"/>
              </w:rPr>
              <w:t>NOX</w:t>
            </w:r>
            <w:r>
              <w:rPr>
                <w:kern w:val="0"/>
                <w:szCs w:val="21"/>
                <w:u w:val="single"/>
              </w:rPr>
              <w:t>=0.0255t/a，故NO</w:t>
            </w:r>
            <w:r>
              <w:rPr>
                <w:kern w:val="0"/>
                <w:szCs w:val="21"/>
                <w:u w:val="single"/>
                <w:vertAlign w:val="subscript"/>
              </w:rPr>
              <w:t>X</w:t>
            </w:r>
            <w:r>
              <w:rPr>
                <w:kern w:val="0"/>
                <w:szCs w:val="21"/>
                <w:u w:val="single"/>
              </w:rPr>
              <w:t>排放量为0.0255t/a。</w:t>
            </w:r>
          </w:p>
          <w:p>
            <w:pPr>
              <w:spacing w:line="360" w:lineRule="auto"/>
              <w:ind w:firstLine="420" w:firstLineChars="200"/>
              <w:jc w:val="left"/>
              <w:rPr>
                <w:u w:val="single"/>
              </w:rPr>
            </w:pPr>
            <w:r>
              <w:rPr>
                <w:u w:val="single"/>
              </w:rPr>
              <w:t>④汞及其化合物</w:t>
            </w:r>
          </w:p>
          <w:p>
            <w:pPr>
              <w:spacing w:line="360" w:lineRule="auto"/>
              <w:ind w:firstLine="420" w:firstLineChars="200"/>
              <w:jc w:val="left"/>
              <w:rPr>
                <w:u w:val="single"/>
              </w:rPr>
            </w:pPr>
            <w:r>
              <w:rPr>
                <w:u w:val="single"/>
              </w:rPr>
              <w:t>源强定性分析：汞主要赋存于燃煤中，木质生物质燃料的汞含量普遍低于煤炭，通常处于痕量级别（＜0.1μg/g）。本项目燃料为生物质成型颗粒，来源为木材加工剩余物及农作物秸秆，不涉及燃煤，燃料中汞含量极低。</w:t>
            </w:r>
          </w:p>
          <w:p>
            <w:pPr>
              <w:spacing w:line="360" w:lineRule="auto"/>
              <w:ind w:firstLine="420" w:firstLineChars="200"/>
              <w:jc w:val="left"/>
              <w:rPr>
                <w:u w:val="single"/>
              </w:rPr>
            </w:pPr>
            <w:r>
              <w:rPr>
                <w:u w:val="single"/>
              </w:rPr>
              <w:t>排放浓度估算：根据同类燃生物质锅炉的实测数据及《生物质燃烧源汞排放特征研究》等相关文献，燃生物质锅炉烟气中汞及其化合物排放浓度通常在0.001-0.005mg/m</w:t>
            </w:r>
            <w:r>
              <w:rPr>
                <w:u w:val="single"/>
                <w:vertAlign w:val="superscript"/>
              </w:rPr>
              <w:t>3</w:t>
            </w:r>
            <w:r>
              <w:rPr>
                <w:u w:val="single"/>
              </w:rPr>
              <w:t>之间，远低于GB13271-2014表2中0.05mg/m</w:t>
            </w:r>
            <w:r>
              <w:rPr>
                <w:u w:val="single"/>
                <w:vertAlign w:val="superscript"/>
              </w:rPr>
              <w:t>3</w:t>
            </w:r>
            <w:r>
              <w:rPr>
                <w:u w:val="single"/>
              </w:rPr>
              <w:t>的标准限值。</w:t>
            </w:r>
          </w:p>
          <w:p>
            <w:pPr>
              <w:spacing w:line="360" w:lineRule="auto"/>
              <w:ind w:firstLine="420" w:firstLineChars="200"/>
              <w:jc w:val="left"/>
              <w:rPr>
                <w:u w:val="single"/>
              </w:rPr>
            </w:pPr>
            <w:r>
              <w:rPr>
                <w:u w:val="single"/>
              </w:rPr>
              <w:t>影响分析结论：本项目导热油炉烟气中汞及其化合物产生浓度极低，可满足《锅炉大气污染物排放标准》（GB13271-2014）表2新建锅炉大气污染物排放浓度限值（汞及其化合物≤0.05mg/m</w:t>
            </w:r>
            <w:r>
              <w:rPr>
                <w:u w:val="single"/>
                <w:vertAlign w:val="superscript"/>
              </w:rPr>
              <w:t>3</w:t>
            </w:r>
            <w:r>
              <w:rPr>
                <w:u w:val="single"/>
              </w:rPr>
              <w:t>）。</w:t>
            </w:r>
          </w:p>
          <w:p>
            <w:pPr>
              <w:spacing w:line="360" w:lineRule="auto"/>
              <w:ind w:firstLine="420" w:firstLineChars="200"/>
              <w:jc w:val="left"/>
              <w:rPr>
                <w:b/>
                <w:bCs/>
              </w:rPr>
            </w:pPr>
            <w:r>
              <w:t>本项目导热油炉烟气产生情况详见表21。</w:t>
            </w:r>
          </w:p>
          <w:p>
            <w:pPr>
              <w:ind w:firstLine="422" w:firstLineChars="200"/>
              <w:jc w:val="center"/>
              <w:rPr>
                <w:b/>
                <w:bCs/>
              </w:rPr>
            </w:pPr>
            <w:r>
              <w:rPr>
                <w:b/>
                <w:bCs/>
              </w:rPr>
              <w:t>表21  本项目导热油炉烟气产生情况一览表</w:t>
            </w:r>
          </w:p>
          <w:tbl>
            <w:tblPr>
              <w:tblStyle w:val="26"/>
              <w:tblW w:w="8501"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810"/>
              <w:gridCol w:w="1198"/>
              <w:gridCol w:w="1545"/>
              <w:gridCol w:w="1001"/>
              <w:gridCol w:w="809"/>
              <w:gridCol w:w="1001"/>
              <w:gridCol w:w="1129"/>
              <w:gridCol w:w="1008"/>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810" w:type="dxa"/>
                  <w:tcBorders>
                    <w:top w:val="single" w:color="auto" w:sz="12" w:space="0"/>
                    <w:left w:val="nil"/>
                    <w:bottom w:val="single" w:color="auto" w:sz="4" w:space="0"/>
                    <w:right w:val="single" w:color="auto" w:sz="4" w:space="0"/>
                  </w:tcBorders>
                  <w:vAlign w:val="center"/>
                </w:tcPr>
                <w:p>
                  <w:pPr>
                    <w:adjustRightInd w:val="0"/>
                    <w:snapToGrid w:val="0"/>
                    <w:jc w:val="center"/>
                    <w:rPr>
                      <w:sz w:val="18"/>
                      <w:szCs w:val="18"/>
                    </w:rPr>
                  </w:pPr>
                  <w:r>
                    <w:rPr>
                      <w:sz w:val="18"/>
                      <w:szCs w:val="18"/>
                    </w:rPr>
                    <w:t>污染源</w:t>
                  </w:r>
                </w:p>
              </w:tc>
              <w:tc>
                <w:tcPr>
                  <w:tcW w:w="1198" w:type="dxa"/>
                  <w:tcBorders>
                    <w:top w:val="single" w:color="auto" w:sz="12" w:space="0"/>
                    <w:left w:val="single" w:color="auto" w:sz="4" w:space="0"/>
                    <w:bottom w:val="single" w:color="auto" w:sz="4" w:space="0"/>
                    <w:right w:val="single" w:color="auto" w:sz="4" w:space="0"/>
                  </w:tcBorders>
                  <w:vAlign w:val="center"/>
                </w:tcPr>
                <w:p>
                  <w:pPr>
                    <w:adjustRightInd w:val="0"/>
                    <w:snapToGrid w:val="0"/>
                    <w:jc w:val="center"/>
                    <w:rPr>
                      <w:sz w:val="18"/>
                      <w:szCs w:val="18"/>
                    </w:rPr>
                  </w:pPr>
                  <w:r>
                    <w:rPr>
                      <w:sz w:val="18"/>
                      <w:szCs w:val="18"/>
                    </w:rPr>
                    <w:t>燃料种类</w:t>
                  </w:r>
                </w:p>
              </w:tc>
              <w:tc>
                <w:tcPr>
                  <w:tcW w:w="1545" w:type="dxa"/>
                  <w:tcBorders>
                    <w:top w:val="single" w:color="auto" w:sz="12" w:space="0"/>
                    <w:left w:val="single" w:color="auto" w:sz="4" w:space="0"/>
                    <w:bottom w:val="single" w:color="auto" w:sz="4" w:space="0"/>
                    <w:right w:val="single" w:color="auto" w:sz="4" w:space="0"/>
                  </w:tcBorders>
                  <w:vAlign w:val="center"/>
                </w:tcPr>
                <w:p>
                  <w:pPr>
                    <w:adjustRightInd w:val="0"/>
                    <w:snapToGrid w:val="0"/>
                    <w:jc w:val="center"/>
                    <w:rPr>
                      <w:sz w:val="18"/>
                      <w:szCs w:val="18"/>
                    </w:rPr>
                  </w:pPr>
                  <w:r>
                    <w:rPr>
                      <w:sz w:val="18"/>
                      <w:szCs w:val="18"/>
                    </w:rPr>
                    <w:t>烟气量（m</w:t>
                  </w:r>
                  <w:r>
                    <w:rPr>
                      <w:sz w:val="18"/>
                      <w:szCs w:val="18"/>
                      <w:vertAlign w:val="superscript"/>
                    </w:rPr>
                    <w:t>3</w:t>
                  </w:r>
                  <w:r>
                    <w:rPr>
                      <w:sz w:val="18"/>
                      <w:szCs w:val="18"/>
                    </w:rPr>
                    <w:t>/a）</w:t>
                  </w:r>
                  <w:r>
                    <w:rPr>
                      <w:sz w:val="18"/>
                      <w:szCs w:val="18"/>
                      <w:vertAlign w:val="superscript"/>
                    </w:rPr>
                    <w:t>①</w:t>
                  </w:r>
                </w:p>
              </w:tc>
              <w:tc>
                <w:tcPr>
                  <w:tcW w:w="1001" w:type="dxa"/>
                  <w:tcBorders>
                    <w:top w:val="single" w:color="auto" w:sz="12" w:space="0"/>
                    <w:left w:val="single" w:color="auto" w:sz="4" w:space="0"/>
                    <w:bottom w:val="single" w:color="auto" w:sz="4" w:space="0"/>
                    <w:right w:val="single" w:color="auto" w:sz="4" w:space="0"/>
                  </w:tcBorders>
                  <w:vAlign w:val="center"/>
                </w:tcPr>
                <w:p>
                  <w:pPr>
                    <w:adjustRightInd w:val="0"/>
                    <w:snapToGrid w:val="0"/>
                    <w:jc w:val="center"/>
                    <w:rPr>
                      <w:sz w:val="18"/>
                      <w:szCs w:val="18"/>
                    </w:rPr>
                  </w:pPr>
                  <w:r>
                    <w:rPr>
                      <w:sz w:val="18"/>
                      <w:szCs w:val="18"/>
                    </w:rPr>
                    <w:t>污染物</w:t>
                  </w:r>
                </w:p>
              </w:tc>
              <w:tc>
                <w:tcPr>
                  <w:tcW w:w="809" w:type="dxa"/>
                  <w:tcBorders>
                    <w:top w:val="single" w:color="auto" w:sz="12" w:space="0"/>
                    <w:left w:val="single" w:color="auto" w:sz="4" w:space="0"/>
                    <w:bottom w:val="single" w:color="auto" w:sz="4" w:space="0"/>
                    <w:right w:val="single" w:color="auto" w:sz="4" w:space="0"/>
                  </w:tcBorders>
                  <w:vAlign w:val="center"/>
                </w:tcPr>
                <w:p>
                  <w:pPr>
                    <w:adjustRightInd w:val="0"/>
                    <w:snapToGrid w:val="0"/>
                    <w:jc w:val="center"/>
                    <w:rPr>
                      <w:sz w:val="18"/>
                      <w:szCs w:val="18"/>
                    </w:rPr>
                  </w:pPr>
                  <w:r>
                    <w:rPr>
                      <w:sz w:val="18"/>
                      <w:szCs w:val="18"/>
                    </w:rPr>
                    <w:t>产生量</w:t>
                  </w:r>
                </w:p>
                <w:p>
                  <w:pPr>
                    <w:adjustRightInd w:val="0"/>
                    <w:snapToGrid w:val="0"/>
                    <w:jc w:val="center"/>
                    <w:rPr>
                      <w:sz w:val="18"/>
                      <w:szCs w:val="18"/>
                    </w:rPr>
                  </w:pPr>
                  <w:r>
                    <w:rPr>
                      <w:sz w:val="18"/>
                      <w:szCs w:val="18"/>
                    </w:rPr>
                    <w:t>（t/a）</w:t>
                  </w:r>
                </w:p>
              </w:tc>
              <w:tc>
                <w:tcPr>
                  <w:tcW w:w="1001" w:type="dxa"/>
                  <w:tcBorders>
                    <w:top w:val="single" w:color="auto" w:sz="12" w:space="0"/>
                    <w:left w:val="single" w:color="auto" w:sz="4" w:space="0"/>
                    <w:bottom w:val="single" w:color="auto" w:sz="4" w:space="0"/>
                    <w:right w:val="nil"/>
                  </w:tcBorders>
                  <w:vAlign w:val="center"/>
                </w:tcPr>
                <w:p>
                  <w:pPr>
                    <w:adjustRightInd w:val="0"/>
                    <w:snapToGrid w:val="0"/>
                    <w:jc w:val="center"/>
                    <w:rPr>
                      <w:sz w:val="18"/>
                      <w:szCs w:val="18"/>
                    </w:rPr>
                  </w:pPr>
                  <w:r>
                    <w:rPr>
                      <w:sz w:val="18"/>
                      <w:szCs w:val="18"/>
                    </w:rPr>
                    <w:t>产生速率</w:t>
                  </w:r>
                </w:p>
                <w:p>
                  <w:pPr>
                    <w:adjustRightInd w:val="0"/>
                    <w:snapToGrid w:val="0"/>
                    <w:jc w:val="center"/>
                    <w:rPr>
                      <w:sz w:val="18"/>
                      <w:szCs w:val="18"/>
                    </w:rPr>
                  </w:pPr>
                  <w:r>
                    <w:rPr>
                      <w:sz w:val="18"/>
                      <w:szCs w:val="18"/>
                    </w:rPr>
                    <w:t>（kg/h）</w:t>
                  </w:r>
                </w:p>
              </w:tc>
              <w:tc>
                <w:tcPr>
                  <w:tcW w:w="1129" w:type="dxa"/>
                  <w:tcBorders>
                    <w:top w:val="single" w:color="auto" w:sz="12" w:space="0"/>
                    <w:left w:val="single" w:color="auto" w:sz="4" w:space="0"/>
                    <w:bottom w:val="single" w:color="auto" w:sz="4" w:space="0"/>
                    <w:right w:val="nil"/>
                  </w:tcBorders>
                  <w:vAlign w:val="center"/>
                </w:tcPr>
                <w:p>
                  <w:pPr>
                    <w:adjustRightInd w:val="0"/>
                    <w:snapToGrid w:val="0"/>
                    <w:jc w:val="center"/>
                    <w:rPr>
                      <w:sz w:val="18"/>
                      <w:szCs w:val="18"/>
                    </w:rPr>
                  </w:pPr>
                  <w:r>
                    <w:rPr>
                      <w:sz w:val="18"/>
                      <w:szCs w:val="18"/>
                    </w:rPr>
                    <w:t>产生浓度</w:t>
                  </w:r>
                </w:p>
                <w:p>
                  <w:pPr>
                    <w:adjustRightInd w:val="0"/>
                    <w:snapToGrid w:val="0"/>
                    <w:jc w:val="center"/>
                    <w:rPr>
                      <w:sz w:val="18"/>
                      <w:szCs w:val="18"/>
                    </w:rPr>
                  </w:pPr>
                  <w:r>
                    <w:rPr>
                      <w:sz w:val="18"/>
                      <w:szCs w:val="18"/>
                    </w:rPr>
                    <w:t>（mg/m</w:t>
                  </w:r>
                  <w:r>
                    <w:rPr>
                      <w:sz w:val="18"/>
                      <w:szCs w:val="18"/>
                      <w:vertAlign w:val="superscript"/>
                    </w:rPr>
                    <w:t>3</w:t>
                  </w:r>
                  <w:r>
                    <w:rPr>
                      <w:sz w:val="18"/>
                      <w:szCs w:val="18"/>
                    </w:rPr>
                    <w:t>）</w:t>
                  </w:r>
                </w:p>
              </w:tc>
              <w:tc>
                <w:tcPr>
                  <w:tcW w:w="1008" w:type="dxa"/>
                  <w:tcBorders>
                    <w:top w:val="single" w:color="auto" w:sz="12" w:space="0"/>
                    <w:left w:val="single" w:color="auto" w:sz="4" w:space="0"/>
                    <w:bottom w:val="single" w:color="auto" w:sz="4" w:space="0"/>
                    <w:right w:val="nil"/>
                  </w:tcBorders>
                  <w:vAlign w:val="center"/>
                </w:tcPr>
                <w:p>
                  <w:pPr>
                    <w:adjustRightInd w:val="0"/>
                    <w:snapToGrid w:val="0"/>
                    <w:jc w:val="center"/>
                    <w:rPr>
                      <w:sz w:val="18"/>
                      <w:szCs w:val="18"/>
                    </w:rPr>
                  </w:pPr>
                  <w:r>
                    <w:rPr>
                      <w:sz w:val="18"/>
                      <w:szCs w:val="18"/>
                    </w:rPr>
                    <w:t>达标情况</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810" w:type="dxa"/>
                  <w:vMerge w:val="restart"/>
                  <w:tcBorders>
                    <w:top w:val="single" w:color="auto" w:sz="4" w:space="0"/>
                    <w:left w:val="nil"/>
                    <w:bottom w:val="single" w:color="auto" w:sz="12" w:space="0"/>
                    <w:right w:val="single" w:color="auto" w:sz="4" w:space="0"/>
                  </w:tcBorders>
                  <w:vAlign w:val="center"/>
                </w:tcPr>
                <w:p>
                  <w:pPr>
                    <w:adjustRightInd w:val="0"/>
                    <w:snapToGrid w:val="0"/>
                    <w:jc w:val="center"/>
                    <w:rPr>
                      <w:sz w:val="18"/>
                      <w:szCs w:val="18"/>
                    </w:rPr>
                  </w:pPr>
                  <w:r>
                    <w:rPr>
                      <w:sz w:val="18"/>
                      <w:szCs w:val="18"/>
                    </w:rPr>
                    <w:t>导热</w:t>
                  </w:r>
                </w:p>
                <w:p>
                  <w:pPr>
                    <w:adjustRightInd w:val="0"/>
                    <w:snapToGrid w:val="0"/>
                    <w:jc w:val="center"/>
                    <w:rPr>
                      <w:sz w:val="18"/>
                      <w:szCs w:val="18"/>
                    </w:rPr>
                  </w:pPr>
                  <w:r>
                    <w:rPr>
                      <w:sz w:val="18"/>
                      <w:szCs w:val="18"/>
                    </w:rPr>
                    <w:t>油炉</w:t>
                  </w:r>
                </w:p>
              </w:tc>
              <w:tc>
                <w:tcPr>
                  <w:tcW w:w="1198" w:type="dxa"/>
                  <w:vMerge w:val="restart"/>
                  <w:tcBorders>
                    <w:top w:val="single" w:color="auto" w:sz="4" w:space="0"/>
                    <w:left w:val="single" w:color="auto" w:sz="4" w:space="0"/>
                    <w:bottom w:val="single" w:color="auto" w:sz="12" w:space="0"/>
                    <w:right w:val="single" w:color="auto" w:sz="4" w:space="0"/>
                  </w:tcBorders>
                  <w:vAlign w:val="center"/>
                </w:tcPr>
                <w:p>
                  <w:pPr>
                    <w:adjustRightInd w:val="0"/>
                    <w:snapToGrid w:val="0"/>
                    <w:jc w:val="center"/>
                    <w:rPr>
                      <w:sz w:val="18"/>
                      <w:szCs w:val="18"/>
                    </w:rPr>
                  </w:pPr>
                  <w:r>
                    <w:rPr>
                      <w:sz w:val="18"/>
                      <w:szCs w:val="18"/>
                    </w:rPr>
                    <w:t>生物质颗粒</w:t>
                  </w:r>
                </w:p>
              </w:tc>
              <w:tc>
                <w:tcPr>
                  <w:tcW w:w="1545" w:type="dxa"/>
                  <w:vMerge w:val="restart"/>
                  <w:tcBorders>
                    <w:top w:val="single" w:color="auto" w:sz="4" w:space="0"/>
                    <w:left w:val="single" w:color="auto" w:sz="4" w:space="0"/>
                    <w:right w:val="single" w:color="auto" w:sz="4" w:space="0"/>
                  </w:tcBorders>
                  <w:vAlign w:val="center"/>
                </w:tcPr>
                <w:p>
                  <w:pPr>
                    <w:adjustRightInd w:val="0"/>
                    <w:snapToGrid w:val="0"/>
                    <w:jc w:val="center"/>
                    <w:rPr>
                      <w:sz w:val="18"/>
                      <w:szCs w:val="18"/>
                    </w:rPr>
                  </w:pPr>
                  <w:r>
                    <w:rPr>
                      <w:sz w:val="18"/>
                      <w:szCs w:val="18"/>
                    </w:rPr>
                    <w:t>156000.00</w:t>
                  </w:r>
                </w:p>
              </w:tc>
              <w:tc>
                <w:tcPr>
                  <w:tcW w:w="1001" w:type="dxa"/>
                  <w:tcBorders>
                    <w:top w:val="single" w:color="auto" w:sz="4" w:space="0"/>
                    <w:left w:val="single" w:color="auto" w:sz="4" w:space="0"/>
                    <w:right w:val="single" w:color="auto" w:sz="4" w:space="0"/>
                  </w:tcBorders>
                  <w:vAlign w:val="center"/>
                </w:tcPr>
                <w:p>
                  <w:pPr>
                    <w:adjustRightInd w:val="0"/>
                    <w:snapToGrid w:val="0"/>
                    <w:jc w:val="center"/>
                    <w:rPr>
                      <w:sz w:val="18"/>
                      <w:szCs w:val="18"/>
                      <w:u w:val="single"/>
                    </w:rPr>
                  </w:pPr>
                  <w:r>
                    <w:rPr>
                      <w:sz w:val="18"/>
                      <w:szCs w:val="18"/>
                      <w:u w:val="single"/>
                    </w:rPr>
                    <w:t>颗粒物</w:t>
                  </w:r>
                </w:p>
              </w:tc>
              <w:tc>
                <w:tcPr>
                  <w:tcW w:w="809" w:type="dxa"/>
                  <w:tcBorders>
                    <w:top w:val="single" w:color="auto" w:sz="4" w:space="0"/>
                    <w:left w:val="single" w:color="auto" w:sz="4" w:space="0"/>
                    <w:right w:val="nil"/>
                  </w:tcBorders>
                  <w:vAlign w:val="center"/>
                </w:tcPr>
                <w:p>
                  <w:pPr>
                    <w:adjustRightInd w:val="0"/>
                    <w:snapToGrid w:val="0"/>
                    <w:jc w:val="center"/>
                    <w:rPr>
                      <w:sz w:val="18"/>
                      <w:szCs w:val="18"/>
                      <w:u w:val="single"/>
                    </w:rPr>
                  </w:pPr>
                  <w:r>
                    <w:rPr>
                      <w:rFonts w:hint="eastAsia"/>
                      <w:sz w:val="18"/>
                      <w:szCs w:val="18"/>
                      <w:u w:val="single"/>
                    </w:rPr>
                    <w:t>0.3833</w:t>
                  </w:r>
                </w:p>
              </w:tc>
              <w:tc>
                <w:tcPr>
                  <w:tcW w:w="1001" w:type="dxa"/>
                  <w:tcBorders>
                    <w:top w:val="single" w:color="auto" w:sz="4" w:space="0"/>
                    <w:left w:val="single" w:color="auto" w:sz="4" w:space="0"/>
                    <w:right w:val="nil"/>
                  </w:tcBorders>
                  <w:vAlign w:val="center"/>
                </w:tcPr>
                <w:p>
                  <w:pPr>
                    <w:adjustRightInd w:val="0"/>
                    <w:snapToGrid w:val="0"/>
                    <w:jc w:val="center"/>
                    <w:rPr>
                      <w:sz w:val="18"/>
                      <w:szCs w:val="18"/>
                      <w:u w:val="single"/>
                    </w:rPr>
                  </w:pPr>
                  <w:r>
                    <w:rPr>
                      <w:rFonts w:hint="eastAsia"/>
                      <w:sz w:val="18"/>
                      <w:szCs w:val="18"/>
                      <w:u w:val="single"/>
                    </w:rPr>
                    <w:t>0.9583</w:t>
                  </w:r>
                </w:p>
              </w:tc>
              <w:tc>
                <w:tcPr>
                  <w:tcW w:w="1129" w:type="dxa"/>
                  <w:tcBorders>
                    <w:top w:val="single" w:color="auto" w:sz="4" w:space="0"/>
                    <w:left w:val="single" w:color="auto" w:sz="4" w:space="0"/>
                    <w:bottom w:val="single" w:color="auto" w:sz="4" w:space="0"/>
                    <w:right w:val="nil"/>
                  </w:tcBorders>
                  <w:vAlign w:val="center"/>
                </w:tcPr>
                <w:p>
                  <w:pPr>
                    <w:adjustRightInd w:val="0"/>
                    <w:snapToGrid w:val="0"/>
                    <w:jc w:val="center"/>
                    <w:rPr>
                      <w:sz w:val="18"/>
                      <w:szCs w:val="18"/>
                      <w:u w:val="single"/>
                    </w:rPr>
                  </w:pPr>
                  <w:r>
                    <w:rPr>
                      <w:rFonts w:hint="eastAsia"/>
                      <w:sz w:val="18"/>
                      <w:szCs w:val="18"/>
                      <w:u w:val="single"/>
                    </w:rPr>
                    <w:t>2457.05</w:t>
                  </w:r>
                </w:p>
              </w:tc>
              <w:tc>
                <w:tcPr>
                  <w:tcW w:w="1008" w:type="dxa"/>
                  <w:tcBorders>
                    <w:top w:val="single" w:color="auto" w:sz="4" w:space="0"/>
                    <w:left w:val="single" w:color="auto" w:sz="4" w:space="0"/>
                    <w:bottom w:val="single" w:color="auto" w:sz="4" w:space="0"/>
                    <w:right w:val="nil"/>
                  </w:tcBorders>
                  <w:vAlign w:val="center"/>
                </w:tcPr>
                <w:p>
                  <w:pPr>
                    <w:adjustRightInd w:val="0"/>
                    <w:snapToGrid w:val="0"/>
                    <w:jc w:val="center"/>
                    <w:rPr>
                      <w:sz w:val="18"/>
                      <w:szCs w:val="18"/>
                      <w:u w:val="single"/>
                    </w:rPr>
                  </w:pPr>
                  <w:r>
                    <w:rPr>
                      <w:sz w:val="18"/>
                      <w:szCs w:val="18"/>
                      <w:u w:val="single"/>
                    </w:rPr>
                    <w:t>超标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810" w:type="dxa"/>
                  <w:vMerge w:val="continue"/>
                  <w:tcBorders>
                    <w:top w:val="single" w:color="auto" w:sz="4" w:space="0"/>
                    <w:left w:val="nil"/>
                    <w:bottom w:val="single" w:color="auto" w:sz="12" w:space="0"/>
                    <w:right w:val="single" w:color="auto" w:sz="4" w:space="0"/>
                  </w:tcBorders>
                  <w:vAlign w:val="center"/>
                </w:tcPr>
                <w:p>
                  <w:pPr>
                    <w:adjustRightInd w:val="0"/>
                    <w:snapToGrid w:val="0"/>
                    <w:jc w:val="center"/>
                    <w:rPr>
                      <w:sz w:val="18"/>
                      <w:szCs w:val="18"/>
                    </w:rPr>
                  </w:pPr>
                </w:p>
              </w:tc>
              <w:tc>
                <w:tcPr>
                  <w:tcW w:w="1198" w:type="dxa"/>
                  <w:vMerge w:val="continue"/>
                  <w:tcBorders>
                    <w:top w:val="single" w:color="auto" w:sz="4" w:space="0"/>
                    <w:left w:val="single" w:color="auto" w:sz="4" w:space="0"/>
                    <w:bottom w:val="single" w:color="auto" w:sz="12" w:space="0"/>
                    <w:right w:val="single" w:color="auto" w:sz="4" w:space="0"/>
                  </w:tcBorders>
                  <w:vAlign w:val="center"/>
                </w:tcPr>
                <w:p>
                  <w:pPr>
                    <w:adjustRightInd w:val="0"/>
                    <w:snapToGrid w:val="0"/>
                    <w:jc w:val="center"/>
                    <w:rPr>
                      <w:sz w:val="18"/>
                      <w:szCs w:val="18"/>
                    </w:rPr>
                  </w:pPr>
                </w:p>
              </w:tc>
              <w:tc>
                <w:tcPr>
                  <w:tcW w:w="1545" w:type="dxa"/>
                  <w:vMerge w:val="continue"/>
                  <w:tcBorders>
                    <w:left w:val="single" w:color="auto" w:sz="4" w:space="0"/>
                    <w:right w:val="single" w:color="auto" w:sz="4" w:space="0"/>
                  </w:tcBorders>
                  <w:vAlign w:val="center"/>
                </w:tcPr>
                <w:p>
                  <w:pPr>
                    <w:adjustRightInd w:val="0"/>
                    <w:snapToGrid w:val="0"/>
                    <w:jc w:val="center"/>
                    <w:rPr>
                      <w:sz w:val="18"/>
                      <w:szCs w:val="18"/>
                    </w:rPr>
                  </w:pPr>
                </w:p>
              </w:tc>
              <w:tc>
                <w:tcPr>
                  <w:tcW w:w="1001"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b/>
                      <w:bCs/>
                      <w:i/>
                      <w:iCs/>
                      <w:sz w:val="18"/>
                      <w:szCs w:val="18"/>
                      <w:u w:val="single"/>
                    </w:rPr>
                  </w:pPr>
                  <w:r>
                    <w:rPr>
                      <w:sz w:val="18"/>
                      <w:szCs w:val="18"/>
                      <w:u w:val="single"/>
                    </w:rPr>
                    <w:t>二氧化硫</w:t>
                  </w:r>
                </w:p>
              </w:tc>
              <w:tc>
                <w:tcPr>
                  <w:tcW w:w="809"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sz w:val="18"/>
                      <w:szCs w:val="18"/>
                      <w:u w:val="single"/>
                    </w:rPr>
                  </w:pPr>
                  <w:r>
                    <w:rPr>
                      <w:rFonts w:hint="eastAsia"/>
                      <w:sz w:val="18"/>
                      <w:szCs w:val="18"/>
                      <w:u w:val="single"/>
                    </w:rPr>
                    <w:t>0.0065</w:t>
                  </w:r>
                </w:p>
              </w:tc>
              <w:tc>
                <w:tcPr>
                  <w:tcW w:w="1001" w:type="dxa"/>
                  <w:tcBorders>
                    <w:top w:val="single" w:color="auto" w:sz="4" w:space="0"/>
                    <w:left w:val="single" w:color="auto" w:sz="4" w:space="0"/>
                    <w:bottom w:val="single" w:color="auto" w:sz="4" w:space="0"/>
                    <w:right w:val="nil"/>
                  </w:tcBorders>
                  <w:vAlign w:val="center"/>
                </w:tcPr>
                <w:p>
                  <w:pPr>
                    <w:adjustRightInd w:val="0"/>
                    <w:snapToGrid w:val="0"/>
                    <w:jc w:val="center"/>
                    <w:rPr>
                      <w:sz w:val="18"/>
                      <w:szCs w:val="18"/>
                      <w:u w:val="single"/>
                    </w:rPr>
                  </w:pPr>
                  <w:r>
                    <w:rPr>
                      <w:rFonts w:hint="eastAsia"/>
                      <w:sz w:val="18"/>
                      <w:szCs w:val="18"/>
                      <w:u w:val="single"/>
                    </w:rPr>
                    <w:t>0.0163</w:t>
                  </w:r>
                </w:p>
              </w:tc>
              <w:tc>
                <w:tcPr>
                  <w:tcW w:w="1129" w:type="dxa"/>
                  <w:tcBorders>
                    <w:top w:val="single" w:color="auto" w:sz="4" w:space="0"/>
                    <w:left w:val="single" w:color="auto" w:sz="4" w:space="0"/>
                    <w:bottom w:val="single" w:color="auto" w:sz="4" w:space="0"/>
                    <w:right w:val="nil"/>
                  </w:tcBorders>
                  <w:vAlign w:val="center"/>
                </w:tcPr>
                <w:p>
                  <w:pPr>
                    <w:adjustRightInd w:val="0"/>
                    <w:snapToGrid w:val="0"/>
                    <w:jc w:val="center"/>
                    <w:rPr>
                      <w:sz w:val="18"/>
                      <w:szCs w:val="18"/>
                      <w:u w:val="single"/>
                    </w:rPr>
                  </w:pPr>
                  <w:r>
                    <w:rPr>
                      <w:rFonts w:hint="eastAsia"/>
                      <w:sz w:val="18"/>
                      <w:szCs w:val="18"/>
                      <w:u w:val="single"/>
                    </w:rPr>
                    <w:t>41.67</w:t>
                  </w:r>
                </w:p>
              </w:tc>
              <w:tc>
                <w:tcPr>
                  <w:tcW w:w="1008" w:type="dxa"/>
                  <w:tcBorders>
                    <w:top w:val="single" w:color="auto" w:sz="4" w:space="0"/>
                    <w:left w:val="single" w:color="auto" w:sz="4" w:space="0"/>
                    <w:bottom w:val="single" w:color="auto" w:sz="4" w:space="0"/>
                    <w:right w:val="nil"/>
                  </w:tcBorders>
                  <w:vAlign w:val="center"/>
                </w:tcPr>
                <w:p>
                  <w:pPr>
                    <w:adjustRightInd w:val="0"/>
                    <w:snapToGrid w:val="0"/>
                    <w:jc w:val="center"/>
                    <w:rPr>
                      <w:sz w:val="18"/>
                      <w:szCs w:val="18"/>
                      <w:u w:val="single"/>
                    </w:rPr>
                  </w:pPr>
                  <w:r>
                    <w:rPr>
                      <w:sz w:val="18"/>
                      <w:szCs w:val="18"/>
                      <w:u w:val="single"/>
                    </w:rPr>
                    <w:t>达标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810" w:type="dxa"/>
                  <w:vMerge w:val="continue"/>
                  <w:tcBorders>
                    <w:top w:val="single" w:color="auto" w:sz="4" w:space="0"/>
                    <w:left w:val="nil"/>
                    <w:bottom w:val="single" w:color="auto" w:sz="4" w:space="0"/>
                    <w:right w:val="single" w:color="auto" w:sz="4" w:space="0"/>
                  </w:tcBorders>
                  <w:vAlign w:val="center"/>
                </w:tcPr>
                <w:p>
                  <w:pPr>
                    <w:adjustRightInd w:val="0"/>
                    <w:snapToGrid w:val="0"/>
                    <w:jc w:val="center"/>
                    <w:rPr>
                      <w:sz w:val="18"/>
                      <w:szCs w:val="18"/>
                    </w:rPr>
                  </w:pPr>
                </w:p>
              </w:tc>
              <w:tc>
                <w:tcPr>
                  <w:tcW w:w="1198" w:type="dxa"/>
                  <w:vMerge w:val="continue"/>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sz w:val="18"/>
                      <w:szCs w:val="18"/>
                    </w:rPr>
                  </w:pPr>
                </w:p>
              </w:tc>
              <w:tc>
                <w:tcPr>
                  <w:tcW w:w="1545" w:type="dxa"/>
                  <w:vMerge w:val="continue"/>
                  <w:tcBorders>
                    <w:left w:val="single" w:color="auto" w:sz="4" w:space="0"/>
                    <w:right w:val="single" w:color="auto" w:sz="4" w:space="0"/>
                  </w:tcBorders>
                  <w:vAlign w:val="center"/>
                </w:tcPr>
                <w:p>
                  <w:pPr>
                    <w:adjustRightInd w:val="0"/>
                    <w:snapToGrid w:val="0"/>
                    <w:jc w:val="center"/>
                    <w:rPr>
                      <w:sz w:val="18"/>
                      <w:szCs w:val="18"/>
                    </w:rPr>
                  </w:pPr>
                </w:p>
              </w:tc>
              <w:tc>
                <w:tcPr>
                  <w:tcW w:w="1001"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b/>
                      <w:bCs/>
                      <w:i/>
                      <w:iCs/>
                      <w:sz w:val="18"/>
                      <w:szCs w:val="18"/>
                      <w:u w:val="single"/>
                    </w:rPr>
                  </w:pPr>
                  <w:r>
                    <w:rPr>
                      <w:sz w:val="18"/>
                      <w:szCs w:val="18"/>
                      <w:u w:val="single"/>
                    </w:rPr>
                    <w:t>氮氧化物</w:t>
                  </w:r>
                </w:p>
              </w:tc>
              <w:tc>
                <w:tcPr>
                  <w:tcW w:w="809"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sz w:val="18"/>
                      <w:szCs w:val="18"/>
                      <w:u w:val="single"/>
                    </w:rPr>
                  </w:pPr>
                  <w:r>
                    <w:rPr>
                      <w:sz w:val="18"/>
                      <w:szCs w:val="18"/>
                      <w:u w:val="single"/>
                    </w:rPr>
                    <w:t>0.0255</w:t>
                  </w:r>
                </w:p>
              </w:tc>
              <w:tc>
                <w:tcPr>
                  <w:tcW w:w="1001" w:type="dxa"/>
                  <w:tcBorders>
                    <w:top w:val="single" w:color="auto" w:sz="4" w:space="0"/>
                    <w:left w:val="single" w:color="auto" w:sz="4" w:space="0"/>
                    <w:bottom w:val="single" w:color="auto" w:sz="4" w:space="0"/>
                    <w:right w:val="nil"/>
                  </w:tcBorders>
                  <w:vAlign w:val="center"/>
                </w:tcPr>
                <w:p>
                  <w:pPr>
                    <w:adjustRightInd w:val="0"/>
                    <w:snapToGrid w:val="0"/>
                    <w:jc w:val="center"/>
                    <w:rPr>
                      <w:sz w:val="18"/>
                      <w:szCs w:val="18"/>
                      <w:u w:val="single"/>
                    </w:rPr>
                  </w:pPr>
                  <w:r>
                    <w:rPr>
                      <w:sz w:val="18"/>
                      <w:szCs w:val="18"/>
                      <w:u w:val="single"/>
                    </w:rPr>
                    <w:t>0.0638</w:t>
                  </w:r>
                </w:p>
              </w:tc>
              <w:tc>
                <w:tcPr>
                  <w:tcW w:w="1129" w:type="dxa"/>
                  <w:tcBorders>
                    <w:top w:val="single" w:color="auto" w:sz="4" w:space="0"/>
                    <w:left w:val="single" w:color="auto" w:sz="4" w:space="0"/>
                    <w:bottom w:val="single" w:color="auto" w:sz="4" w:space="0"/>
                    <w:right w:val="nil"/>
                  </w:tcBorders>
                  <w:vAlign w:val="center"/>
                </w:tcPr>
                <w:p>
                  <w:pPr>
                    <w:adjustRightInd w:val="0"/>
                    <w:snapToGrid w:val="0"/>
                    <w:jc w:val="center"/>
                    <w:rPr>
                      <w:sz w:val="18"/>
                      <w:szCs w:val="18"/>
                      <w:u w:val="single"/>
                    </w:rPr>
                  </w:pPr>
                  <w:r>
                    <w:rPr>
                      <w:sz w:val="18"/>
                      <w:szCs w:val="18"/>
                      <w:u w:val="single"/>
                    </w:rPr>
                    <w:t>163.</w:t>
                  </w:r>
                  <w:r>
                    <w:rPr>
                      <w:rFonts w:hint="eastAsia"/>
                      <w:sz w:val="18"/>
                      <w:szCs w:val="18"/>
                      <w:u w:val="single"/>
                    </w:rPr>
                    <w:t>46</w:t>
                  </w:r>
                </w:p>
              </w:tc>
              <w:tc>
                <w:tcPr>
                  <w:tcW w:w="1008" w:type="dxa"/>
                  <w:tcBorders>
                    <w:top w:val="single" w:color="auto" w:sz="4" w:space="0"/>
                    <w:left w:val="single" w:color="auto" w:sz="4" w:space="0"/>
                    <w:bottom w:val="single" w:color="auto" w:sz="4" w:space="0"/>
                    <w:right w:val="nil"/>
                  </w:tcBorders>
                  <w:vAlign w:val="center"/>
                </w:tcPr>
                <w:p>
                  <w:pPr>
                    <w:adjustRightInd w:val="0"/>
                    <w:snapToGrid w:val="0"/>
                    <w:jc w:val="center"/>
                    <w:rPr>
                      <w:sz w:val="18"/>
                      <w:szCs w:val="18"/>
                      <w:u w:val="single"/>
                    </w:rPr>
                  </w:pPr>
                  <w:r>
                    <w:rPr>
                      <w:sz w:val="18"/>
                      <w:szCs w:val="18"/>
                      <w:u w:val="single"/>
                    </w:rPr>
                    <w:t>达标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8501" w:type="dxa"/>
                  <w:gridSpan w:val="8"/>
                  <w:tcBorders>
                    <w:top w:val="single" w:color="auto" w:sz="4" w:space="0"/>
                    <w:left w:val="nil"/>
                    <w:bottom w:val="single" w:color="auto" w:sz="12" w:space="0"/>
                    <w:right w:val="nil"/>
                  </w:tcBorders>
                  <w:vAlign w:val="center"/>
                </w:tcPr>
                <w:p>
                  <w:pPr>
                    <w:adjustRightInd w:val="0"/>
                    <w:snapToGrid w:val="0"/>
                    <w:rPr>
                      <w:sz w:val="18"/>
                      <w:szCs w:val="18"/>
                    </w:rPr>
                  </w:pPr>
                  <w:r>
                    <w:rPr>
                      <w:sz w:val="18"/>
                      <w:szCs w:val="18"/>
                    </w:rPr>
                    <w:t>注：①根据《4430工业锅炉（热力供应）行业系数手册》中燃用生物质颗粒工业废气量产污系数6240标立方米/吨-原料计算得出，即390m</w:t>
                  </w:r>
                  <w:r>
                    <w:rPr>
                      <w:sz w:val="18"/>
                      <w:szCs w:val="18"/>
                      <w:vertAlign w:val="superscript"/>
                    </w:rPr>
                    <w:t>3</w:t>
                  </w:r>
                  <w:r>
                    <w:rPr>
                      <w:sz w:val="18"/>
                      <w:szCs w:val="18"/>
                    </w:rPr>
                    <w:t>/h。</w:t>
                  </w:r>
                </w:p>
              </w:tc>
            </w:tr>
          </w:tbl>
          <w:p>
            <w:pPr>
              <w:spacing w:line="360" w:lineRule="auto"/>
              <w:ind w:firstLine="420" w:firstLineChars="200"/>
              <w:jc w:val="left"/>
            </w:pPr>
            <w:r>
              <w:rPr>
                <w:rFonts w:eastAsia="仿宋"/>
              </w:rPr>
              <w:t>（2）</w:t>
            </w:r>
            <w:r>
              <w:t>治理措施及效果</w:t>
            </w:r>
          </w:p>
          <w:p>
            <w:pPr>
              <w:spacing w:line="360" w:lineRule="auto"/>
              <w:ind w:firstLine="420" w:firstLineChars="200"/>
              <w:jc w:val="left"/>
            </w:pPr>
            <w:r>
              <w:t>本项目导热油炉烟气通过风机（风量10500.00m</w:t>
            </w:r>
            <w:r>
              <w:rPr>
                <w:vertAlign w:val="superscript"/>
              </w:rPr>
              <w:t>3</w:t>
            </w:r>
            <w:r>
              <w:t>/h）抽送，并经</w:t>
            </w:r>
            <w:r>
              <w:rPr>
                <w:szCs w:val="21"/>
              </w:rPr>
              <w:t>“旋风除尘+布袋除尘”两级除尘工艺</w:t>
            </w:r>
            <w:r>
              <w:t>（除尘效率99.</w:t>
            </w:r>
            <w:r>
              <w:rPr>
                <w:rFonts w:hint="eastAsia"/>
              </w:rPr>
              <w:t>0</w:t>
            </w:r>
            <w:r>
              <w:t>0%）处理后，通过一根高30m，内径30cm的钢制烟囱排放。导热油炉烟气经治理后，导热油炉烟气排放情况详见表22。</w:t>
            </w:r>
          </w:p>
          <w:p>
            <w:pPr>
              <w:ind w:firstLine="422" w:firstLineChars="200"/>
              <w:jc w:val="center"/>
              <w:rPr>
                <w:b/>
                <w:bCs/>
              </w:rPr>
            </w:pPr>
            <w:r>
              <w:rPr>
                <w:b/>
                <w:bCs/>
              </w:rPr>
              <w:t>表22  本项目导热油炉烟气排放情况一览表</w:t>
            </w:r>
          </w:p>
          <w:tbl>
            <w:tblPr>
              <w:tblStyle w:val="26"/>
              <w:tblW w:w="8501"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805"/>
              <w:gridCol w:w="1197"/>
              <w:gridCol w:w="1544"/>
              <w:gridCol w:w="1000"/>
              <w:gridCol w:w="808"/>
              <w:gridCol w:w="1000"/>
              <w:gridCol w:w="1129"/>
              <w:gridCol w:w="1018"/>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805" w:type="dxa"/>
                  <w:tcBorders>
                    <w:tl2br w:val="nil"/>
                    <w:tr2bl w:val="nil"/>
                  </w:tcBorders>
                  <w:vAlign w:val="center"/>
                </w:tcPr>
                <w:p>
                  <w:pPr>
                    <w:adjustRightInd w:val="0"/>
                    <w:snapToGrid w:val="0"/>
                    <w:jc w:val="center"/>
                    <w:rPr>
                      <w:sz w:val="18"/>
                      <w:szCs w:val="18"/>
                    </w:rPr>
                  </w:pPr>
                  <w:r>
                    <w:rPr>
                      <w:sz w:val="18"/>
                      <w:szCs w:val="18"/>
                    </w:rPr>
                    <w:t>污染源</w:t>
                  </w:r>
                </w:p>
              </w:tc>
              <w:tc>
                <w:tcPr>
                  <w:tcW w:w="1197" w:type="dxa"/>
                  <w:tcBorders>
                    <w:tl2br w:val="nil"/>
                    <w:tr2bl w:val="nil"/>
                  </w:tcBorders>
                  <w:vAlign w:val="center"/>
                </w:tcPr>
                <w:p>
                  <w:pPr>
                    <w:adjustRightInd w:val="0"/>
                    <w:snapToGrid w:val="0"/>
                    <w:jc w:val="center"/>
                    <w:rPr>
                      <w:sz w:val="18"/>
                      <w:szCs w:val="18"/>
                    </w:rPr>
                  </w:pPr>
                  <w:r>
                    <w:rPr>
                      <w:sz w:val="18"/>
                      <w:szCs w:val="18"/>
                    </w:rPr>
                    <w:t>燃料种类</w:t>
                  </w:r>
                </w:p>
              </w:tc>
              <w:tc>
                <w:tcPr>
                  <w:tcW w:w="1544" w:type="dxa"/>
                  <w:tcBorders>
                    <w:tl2br w:val="nil"/>
                    <w:tr2bl w:val="nil"/>
                  </w:tcBorders>
                  <w:vAlign w:val="center"/>
                </w:tcPr>
                <w:p>
                  <w:pPr>
                    <w:adjustRightInd w:val="0"/>
                    <w:snapToGrid w:val="0"/>
                    <w:jc w:val="center"/>
                    <w:rPr>
                      <w:sz w:val="18"/>
                      <w:szCs w:val="18"/>
                    </w:rPr>
                  </w:pPr>
                  <w:r>
                    <w:rPr>
                      <w:sz w:val="18"/>
                      <w:szCs w:val="18"/>
                    </w:rPr>
                    <w:t>烟气量（m</w:t>
                  </w:r>
                  <w:r>
                    <w:rPr>
                      <w:sz w:val="18"/>
                      <w:szCs w:val="18"/>
                      <w:vertAlign w:val="superscript"/>
                    </w:rPr>
                    <w:t>3</w:t>
                  </w:r>
                  <w:r>
                    <w:rPr>
                      <w:sz w:val="18"/>
                      <w:szCs w:val="18"/>
                    </w:rPr>
                    <w:t>/a）</w:t>
                  </w:r>
                </w:p>
              </w:tc>
              <w:tc>
                <w:tcPr>
                  <w:tcW w:w="1000" w:type="dxa"/>
                  <w:tcBorders>
                    <w:tl2br w:val="nil"/>
                    <w:tr2bl w:val="nil"/>
                  </w:tcBorders>
                  <w:vAlign w:val="center"/>
                </w:tcPr>
                <w:p>
                  <w:pPr>
                    <w:adjustRightInd w:val="0"/>
                    <w:snapToGrid w:val="0"/>
                    <w:jc w:val="center"/>
                    <w:rPr>
                      <w:sz w:val="18"/>
                      <w:szCs w:val="18"/>
                    </w:rPr>
                  </w:pPr>
                  <w:r>
                    <w:rPr>
                      <w:sz w:val="18"/>
                      <w:szCs w:val="18"/>
                    </w:rPr>
                    <w:t>污染物</w:t>
                  </w:r>
                </w:p>
              </w:tc>
              <w:tc>
                <w:tcPr>
                  <w:tcW w:w="808" w:type="dxa"/>
                  <w:tcBorders>
                    <w:tl2br w:val="nil"/>
                    <w:tr2bl w:val="nil"/>
                  </w:tcBorders>
                  <w:vAlign w:val="center"/>
                </w:tcPr>
                <w:p>
                  <w:pPr>
                    <w:adjustRightInd w:val="0"/>
                    <w:snapToGrid w:val="0"/>
                    <w:jc w:val="center"/>
                    <w:rPr>
                      <w:sz w:val="18"/>
                      <w:szCs w:val="18"/>
                    </w:rPr>
                  </w:pPr>
                  <w:r>
                    <w:rPr>
                      <w:sz w:val="18"/>
                      <w:szCs w:val="18"/>
                    </w:rPr>
                    <w:t>排放量</w:t>
                  </w:r>
                </w:p>
                <w:p>
                  <w:pPr>
                    <w:adjustRightInd w:val="0"/>
                    <w:snapToGrid w:val="0"/>
                    <w:jc w:val="center"/>
                    <w:rPr>
                      <w:sz w:val="18"/>
                      <w:szCs w:val="18"/>
                    </w:rPr>
                  </w:pPr>
                  <w:r>
                    <w:rPr>
                      <w:sz w:val="18"/>
                      <w:szCs w:val="18"/>
                    </w:rPr>
                    <w:t>（t/a）</w:t>
                  </w:r>
                </w:p>
              </w:tc>
              <w:tc>
                <w:tcPr>
                  <w:tcW w:w="1000" w:type="dxa"/>
                  <w:tcBorders>
                    <w:tl2br w:val="nil"/>
                    <w:tr2bl w:val="nil"/>
                  </w:tcBorders>
                  <w:vAlign w:val="center"/>
                </w:tcPr>
                <w:p>
                  <w:pPr>
                    <w:adjustRightInd w:val="0"/>
                    <w:snapToGrid w:val="0"/>
                    <w:jc w:val="center"/>
                    <w:rPr>
                      <w:sz w:val="18"/>
                      <w:szCs w:val="18"/>
                    </w:rPr>
                  </w:pPr>
                  <w:r>
                    <w:rPr>
                      <w:sz w:val="18"/>
                      <w:szCs w:val="18"/>
                    </w:rPr>
                    <w:t>排放速率</w:t>
                  </w:r>
                </w:p>
                <w:p>
                  <w:pPr>
                    <w:adjustRightInd w:val="0"/>
                    <w:snapToGrid w:val="0"/>
                    <w:jc w:val="center"/>
                    <w:rPr>
                      <w:sz w:val="18"/>
                      <w:szCs w:val="18"/>
                    </w:rPr>
                  </w:pPr>
                  <w:r>
                    <w:rPr>
                      <w:sz w:val="18"/>
                      <w:szCs w:val="18"/>
                    </w:rPr>
                    <w:t>（kg/h）</w:t>
                  </w:r>
                </w:p>
              </w:tc>
              <w:tc>
                <w:tcPr>
                  <w:tcW w:w="1129" w:type="dxa"/>
                  <w:tcBorders>
                    <w:tl2br w:val="nil"/>
                    <w:tr2bl w:val="nil"/>
                  </w:tcBorders>
                  <w:vAlign w:val="center"/>
                </w:tcPr>
                <w:p>
                  <w:pPr>
                    <w:adjustRightInd w:val="0"/>
                    <w:snapToGrid w:val="0"/>
                    <w:jc w:val="center"/>
                    <w:rPr>
                      <w:sz w:val="18"/>
                      <w:szCs w:val="18"/>
                    </w:rPr>
                  </w:pPr>
                  <w:r>
                    <w:rPr>
                      <w:sz w:val="18"/>
                      <w:szCs w:val="18"/>
                    </w:rPr>
                    <w:t>排放浓度</w:t>
                  </w:r>
                </w:p>
                <w:p>
                  <w:pPr>
                    <w:adjustRightInd w:val="0"/>
                    <w:snapToGrid w:val="0"/>
                    <w:jc w:val="center"/>
                    <w:rPr>
                      <w:sz w:val="18"/>
                      <w:szCs w:val="18"/>
                    </w:rPr>
                  </w:pPr>
                  <w:r>
                    <w:rPr>
                      <w:sz w:val="18"/>
                      <w:szCs w:val="18"/>
                    </w:rPr>
                    <w:t>（mg/m</w:t>
                  </w:r>
                  <w:r>
                    <w:rPr>
                      <w:sz w:val="18"/>
                      <w:szCs w:val="18"/>
                      <w:vertAlign w:val="superscript"/>
                    </w:rPr>
                    <w:t>3</w:t>
                  </w:r>
                  <w:r>
                    <w:rPr>
                      <w:sz w:val="18"/>
                      <w:szCs w:val="18"/>
                    </w:rPr>
                    <w:t>）</w:t>
                  </w:r>
                </w:p>
              </w:tc>
              <w:tc>
                <w:tcPr>
                  <w:tcW w:w="1018" w:type="dxa"/>
                  <w:tcBorders>
                    <w:tl2br w:val="nil"/>
                    <w:tr2bl w:val="nil"/>
                  </w:tcBorders>
                  <w:vAlign w:val="center"/>
                </w:tcPr>
                <w:p>
                  <w:pPr>
                    <w:adjustRightInd w:val="0"/>
                    <w:snapToGrid w:val="0"/>
                    <w:jc w:val="center"/>
                    <w:rPr>
                      <w:sz w:val="18"/>
                      <w:szCs w:val="18"/>
                    </w:rPr>
                  </w:pPr>
                  <w:r>
                    <w:rPr>
                      <w:sz w:val="18"/>
                      <w:szCs w:val="18"/>
                    </w:rPr>
                    <w:t>达标情况</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805" w:type="dxa"/>
                  <w:vMerge w:val="restart"/>
                  <w:tcBorders>
                    <w:tl2br w:val="nil"/>
                    <w:tr2bl w:val="nil"/>
                  </w:tcBorders>
                  <w:vAlign w:val="center"/>
                </w:tcPr>
                <w:p>
                  <w:pPr>
                    <w:adjustRightInd w:val="0"/>
                    <w:snapToGrid w:val="0"/>
                    <w:jc w:val="center"/>
                    <w:rPr>
                      <w:sz w:val="18"/>
                      <w:szCs w:val="18"/>
                    </w:rPr>
                  </w:pPr>
                  <w:r>
                    <w:rPr>
                      <w:sz w:val="18"/>
                      <w:szCs w:val="18"/>
                    </w:rPr>
                    <w:t>导热</w:t>
                  </w:r>
                </w:p>
                <w:p>
                  <w:pPr>
                    <w:adjustRightInd w:val="0"/>
                    <w:snapToGrid w:val="0"/>
                    <w:jc w:val="center"/>
                    <w:rPr>
                      <w:sz w:val="18"/>
                      <w:szCs w:val="18"/>
                    </w:rPr>
                  </w:pPr>
                  <w:r>
                    <w:rPr>
                      <w:sz w:val="18"/>
                      <w:szCs w:val="18"/>
                    </w:rPr>
                    <w:t>油炉</w:t>
                  </w:r>
                </w:p>
              </w:tc>
              <w:tc>
                <w:tcPr>
                  <w:tcW w:w="1197" w:type="dxa"/>
                  <w:vMerge w:val="restart"/>
                  <w:tcBorders>
                    <w:tl2br w:val="nil"/>
                    <w:tr2bl w:val="nil"/>
                  </w:tcBorders>
                  <w:vAlign w:val="center"/>
                </w:tcPr>
                <w:p>
                  <w:pPr>
                    <w:adjustRightInd w:val="0"/>
                    <w:snapToGrid w:val="0"/>
                    <w:jc w:val="center"/>
                    <w:rPr>
                      <w:sz w:val="18"/>
                      <w:szCs w:val="18"/>
                    </w:rPr>
                  </w:pPr>
                  <w:r>
                    <w:rPr>
                      <w:sz w:val="18"/>
                      <w:szCs w:val="18"/>
                    </w:rPr>
                    <w:t>生物质颗粒</w:t>
                  </w:r>
                </w:p>
              </w:tc>
              <w:tc>
                <w:tcPr>
                  <w:tcW w:w="1544" w:type="dxa"/>
                  <w:vMerge w:val="restart"/>
                  <w:tcBorders>
                    <w:tl2br w:val="nil"/>
                    <w:tr2bl w:val="nil"/>
                  </w:tcBorders>
                  <w:vAlign w:val="center"/>
                </w:tcPr>
                <w:p>
                  <w:pPr>
                    <w:adjustRightInd w:val="0"/>
                    <w:snapToGrid w:val="0"/>
                    <w:jc w:val="center"/>
                    <w:rPr>
                      <w:sz w:val="18"/>
                      <w:szCs w:val="18"/>
                    </w:rPr>
                  </w:pPr>
                  <w:r>
                    <w:rPr>
                      <w:sz w:val="18"/>
                      <w:szCs w:val="18"/>
                    </w:rPr>
                    <w:t>156000.00</w:t>
                  </w:r>
                </w:p>
              </w:tc>
              <w:tc>
                <w:tcPr>
                  <w:tcW w:w="1000" w:type="dxa"/>
                  <w:tcBorders>
                    <w:tl2br w:val="nil"/>
                    <w:tr2bl w:val="nil"/>
                  </w:tcBorders>
                  <w:vAlign w:val="center"/>
                </w:tcPr>
                <w:p>
                  <w:pPr>
                    <w:adjustRightInd w:val="0"/>
                    <w:snapToGrid w:val="0"/>
                    <w:jc w:val="center"/>
                    <w:rPr>
                      <w:sz w:val="18"/>
                      <w:szCs w:val="18"/>
                      <w:u w:val="single"/>
                    </w:rPr>
                  </w:pPr>
                  <w:r>
                    <w:rPr>
                      <w:sz w:val="18"/>
                      <w:szCs w:val="18"/>
                      <w:u w:val="single"/>
                    </w:rPr>
                    <w:t>颗粒物</w:t>
                  </w:r>
                </w:p>
              </w:tc>
              <w:tc>
                <w:tcPr>
                  <w:tcW w:w="808" w:type="dxa"/>
                  <w:tcBorders>
                    <w:tl2br w:val="nil"/>
                    <w:tr2bl w:val="nil"/>
                  </w:tcBorders>
                  <w:vAlign w:val="center"/>
                </w:tcPr>
                <w:p>
                  <w:pPr>
                    <w:adjustRightInd w:val="0"/>
                    <w:snapToGrid w:val="0"/>
                    <w:jc w:val="center"/>
                    <w:rPr>
                      <w:sz w:val="18"/>
                      <w:szCs w:val="18"/>
                      <w:u w:val="single"/>
                    </w:rPr>
                  </w:pPr>
                  <w:r>
                    <w:rPr>
                      <w:rFonts w:hint="eastAsia"/>
                      <w:sz w:val="18"/>
                      <w:szCs w:val="18"/>
                      <w:u w:val="single"/>
                    </w:rPr>
                    <w:t>0.0038</w:t>
                  </w:r>
                </w:p>
              </w:tc>
              <w:tc>
                <w:tcPr>
                  <w:tcW w:w="1000" w:type="dxa"/>
                  <w:tcBorders>
                    <w:tl2br w:val="nil"/>
                    <w:tr2bl w:val="nil"/>
                  </w:tcBorders>
                  <w:vAlign w:val="center"/>
                </w:tcPr>
                <w:p>
                  <w:pPr>
                    <w:adjustRightInd w:val="0"/>
                    <w:snapToGrid w:val="0"/>
                    <w:jc w:val="center"/>
                    <w:rPr>
                      <w:sz w:val="18"/>
                      <w:szCs w:val="18"/>
                      <w:u w:val="single"/>
                    </w:rPr>
                  </w:pPr>
                  <w:r>
                    <w:rPr>
                      <w:rFonts w:hint="eastAsia"/>
                      <w:sz w:val="18"/>
                      <w:szCs w:val="18"/>
                      <w:u w:val="single"/>
                    </w:rPr>
                    <w:t>0.0095</w:t>
                  </w:r>
                </w:p>
              </w:tc>
              <w:tc>
                <w:tcPr>
                  <w:tcW w:w="1129" w:type="dxa"/>
                  <w:tcBorders>
                    <w:tl2br w:val="nil"/>
                    <w:tr2bl w:val="nil"/>
                  </w:tcBorders>
                  <w:vAlign w:val="center"/>
                </w:tcPr>
                <w:p>
                  <w:pPr>
                    <w:adjustRightInd w:val="0"/>
                    <w:snapToGrid w:val="0"/>
                    <w:jc w:val="center"/>
                    <w:rPr>
                      <w:sz w:val="18"/>
                      <w:szCs w:val="18"/>
                      <w:u w:val="single"/>
                    </w:rPr>
                  </w:pPr>
                  <w:r>
                    <w:rPr>
                      <w:rFonts w:hint="eastAsia"/>
                      <w:sz w:val="18"/>
                      <w:szCs w:val="18"/>
                      <w:u w:val="single"/>
                    </w:rPr>
                    <w:t>24.36</w:t>
                  </w:r>
                </w:p>
              </w:tc>
              <w:tc>
                <w:tcPr>
                  <w:tcW w:w="1018" w:type="dxa"/>
                  <w:tcBorders>
                    <w:tl2br w:val="nil"/>
                    <w:tr2bl w:val="nil"/>
                  </w:tcBorders>
                  <w:vAlign w:val="center"/>
                </w:tcPr>
                <w:p>
                  <w:pPr>
                    <w:adjustRightInd w:val="0"/>
                    <w:snapToGrid w:val="0"/>
                    <w:jc w:val="center"/>
                    <w:rPr>
                      <w:sz w:val="18"/>
                      <w:szCs w:val="18"/>
                      <w:u w:val="single"/>
                    </w:rPr>
                  </w:pPr>
                  <w:r>
                    <w:rPr>
                      <w:sz w:val="18"/>
                      <w:szCs w:val="18"/>
                      <w:u w:val="single"/>
                    </w:rPr>
                    <w:t>达标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805" w:type="dxa"/>
                  <w:vMerge w:val="continue"/>
                  <w:tcBorders>
                    <w:tl2br w:val="nil"/>
                    <w:tr2bl w:val="nil"/>
                  </w:tcBorders>
                  <w:vAlign w:val="center"/>
                </w:tcPr>
                <w:p>
                  <w:pPr>
                    <w:adjustRightInd w:val="0"/>
                    <w:snapToGrid w:val="0"/>
                    <w:jc w:val="center"/>
                    <w:rPr>
                      <w:sz w:val="18"/>
                      <w:szCs w:val="18"/>
                    </w:rPr>
                  </w:pPr>
                </w:p>
              </w:tc>
              <w:tc>
                <w:tcPr>
                  <w:tcW w:w="1197" w:type="dxa"/>
                  <w:vMerge w:val="continue"/>
                  <w:tcBorders>
                    <w:tl2br w:val="nil"/>
                    <w:tr2bl w:val="nil"/>
                  </w:tcBorders>
                  <w:vAlign w:val="center"/>
                </w:tcPr>
                <w:p>
                  <w:pPr>
                    <w:adjustRightInd w:val="0"/>
                    <w:snapToGrid w:val="0"/>
                    <w:jc w:val="center"/>
                    <w:rPr>
                      <w:sz w:val="18"/>
                      <w:szCs w:val="18"/>
                    </w:rPr>
                  </w:pPr>
                </w:p>
              </w:tc>
              <w:tc>
                <w:tcPr>
                  <w:tcW w:w="1544" w:type="dxa"/>
                  <w:vMerge w:val="continue"/>
                  <w:tcBorders>
                    <w:tl2br w:val="nil"/>
                    <w:tr2bl w:val="nil"/>
                  </w:tcBorders>
                  <w:vAlign w:val="center"/>
                </w:tcPr>
                <w:p>
                  <w:pPr>
                    <w:adjustRightInd w:val="0"/>
                    <w:snapToGrid w:val="0"/>
                    <w:jc w:val="center"/>
                    <w:rPr>
                      <w:sz w:val="18"/>
                      <w:szCs w:val="18"/>
                    </w:rPr>
                  </w:pPr>
                </w:p>
              </w:tc>
              <w:tc>
                <w:tcPr>
                  <w:tcW w:w="1000" w:type="dxa"/>
                  <w:tcBorders>
                    <w:tl2br w:val="nil"/>
                    <w:tr2bl w:val="nil"/>
                  </w:tcBorders>
                  <w:vAlign w:val="center"/>
                </w:tcPr>
                <w:p>
                  <w:pPr>
                    <w:adjustRightInd w:val="0"/>
                    <w:snapToGrid w:val="0"/>
                    <w:jc w:val="center"/>
                    <w:rPr>
                      <w:b/>
                      <w:bCs/>
                      <w:i/>
                      <w:iCs/>
                      <w:sz w:val="18"/>
                      <w:szCs w:val="18"/>
                      <w:u w:val="single"/>
                    </w:rPr>
                  </w:pPr>
                  <w:r>
                    <w:rPr>
                      <w:sz w:val="18"/>
                      <w:szCs w:val="18"/>
                      <w:u w:val="single"/>
                    </w:rPr>
                    <w:t>二氧化硫</w:t>
                  </w:r>
                </w:p>
              </w:tc>
              <w:tc>
                <w:tcPr>
                  <w:tcW w:w="808" w:type="dxa"/>
                  <w:tcBorders>
                    <w:tl2br w:val="nil"/>
                    <w:tr2bl w:val="nil"/>
                  </w:tcBorders>
                  <w:vAlign w:val="center"/>
                </w:tcPr>
                <w:p>
                  <w:pPr>
                    <w:adjustRightInd w:val="0"/>
                    <w:snapToGrid w:val="0"/>
                    <w:jc w:val="center"/>
                    <w:rPr>
                      <w:sz w:val="18"/>
                      <w:szCs w:val="18"/>
                      <w:u w:val="single"/>
                    </w:rPr>
                  </w:pPr>
                  <w:r>
                    <w:rPr>
                      <w:rFonts w:hint="eastAsia"/>
                      <w:sz w:val="18"/>
                      <w:szCs w:val="18"/>
                      <w:u w:val="single"/>
                    </w:rPr>
                    <w:t>0.0065</w:t>
                  </w:r>
                </w:p>
              </w:tc>
              <w:tc>
                <w:tcPr>
                  <w:tcW w:w="1000" w:type="dxa"/>
                  <w:tcBorders>
                    <w:tl2br w:val="nil"/>
                    <w:tr2bl w:val="nil"/>
                  </w:tcBorders>
                  <w:vAlign w:val="center"/>
                </w:tcPr>
                <w:p>
                  <w:pPr>
                    <w:adjustRightInd w:val="0"/>
                    <w:snapToGrid w:val="0"/>
                    <w:jc w:val="center"/>
                    <w:rPr>
                      <w:sz w:val="18"/>
                      <w:szCs w:val="18"/>
                      <w:u w:val="single"/>
                    </w:rPr>
                  </w:pPr>
                  <w:r>
                    <w:rPr>
                      <w:rFonts w:hint="eastAsia"/>
                      <w:sz w:val="18"/>
                      <w:szCs w:val="18"/>
                      <w:u w:val="single"/>
                    </w:rPr>
                    <w:t>0.0163</w:t>
                  </w:r>
                </w:p>
              </w:tc>
              <w:tc>
                <w:tcPr>
                  <w:tcW w:w="1129" w:type="dxa"/>
                  <w:tcBorders>
                    <w:tl2br w:val="nil"/>
                    <w:tr2bl w:val="nil"/>
                  </w:tcBorders>
                  <w:vAlign w:val="center"/>
                </w:tcPr>
                <w:p>
                  <w:pPr>
                    <w:adjustRightInd w:val="0"/>
                    <w:snapToGrid w:val="0"/>
                    <w:jc w:val="center"/>
                    <w:rPr>
                      <w:sz w:val="18"/>
                      <w:szCs w:val="18"/>
                      <w:u w:val="single"/>
                    </w:rPr>
                  </w:pPr>
                  <w:r>
                    <w:rPr>
                      <w:rFonts w:hint="eastAsia"/>
                      <w:sz w:val="18"/>
                      <w:szCs w:val="18"/>
                      <w:u w:val="single"/>
                    </w:rPr>
                    <w:t>41.67</w:t>
                  </w:r>
                </w:p>
              </w:tc>
              <w:tc>
                <w:tcPr>
                  <w:tcW w:w="1018" w:type="dxa"/>
                  <w:tcBorders>
                    <w:tl2br w:val="nil"/>
                    <w:tr2bl w:val="nil"/>
                  </w:tcBorders>
                  <w:vAlign w:val="center"/>
                </w:tcPr>
                <w:p>
                  <w:pPr>
                    <w:adjustRightInd w:val="0"/>
                    <w:snapToGrid w:val="0"/>
                    <w:jc w:val="center"/>
                    <w:rPr>
                      <w:sz w:val="18"/>
                      <w:szCs w:val="18"/>
                      <w:u w:val="single"/>
                    </w:rPr>
                  </w:pPr>
                  <w:r>
                    <w:rPr>
                      <w:sz w:val="18"/>
                      <w:szCs w:val="18"/>
                      <w:u w:val="single"/>
                    </w:rPr>
                    <w:t>达标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805" w:type="dxa"/>
                  <w:vMerge w:val="continue"/>
                  <w:tcBorders>
                    <w:tl2br w:val="nil"/>
                    <w:tr2bl w:val="nil"/>
                  </w:tcBorders>
                  <w:vAlign w:val="center"/>
                </w:tcPr>
                <w:p>
                  <w:pPr>
                    <w:adjustRightInd w:val="0"/>
                    <w:snapToGrid w:val="0"/>
                    <w:jc w:val="center"/>
                    <w:rPr>
                      <w:sz w:val="18"/>
                      <w:szCs w:val="18"/>
                    </w:rPr>
                  </w:pPr>
                </w:p>
              </w:tc>
              <w:tc>
                <w:tcPr>
                  <w:tcW w:w="1197" w:type="dxa"/>
                  <w:vMerge w:val="continue"/>
                  <w:tcBorders>
                    <w:tl2br w:val="nil"/>
                    <w:tr2bl w:val="nil"/>
                  </w:tcBorders>
                  <w:vAlign w:val="center"/>
                </w:tcPr>
                <w:p>
                  <w:pPr>
                    <w:adjustRightInd w:val="0"/>
                    <w:snapToGrid w:val="0"/>
                    <w:jc w:val="center"/>
                    <w:rPr>
                      <w:sz w:val="18"/>
                      <w:szCs w:val="18"/>
                    </w:rPr>
                  </w:pPr>
                </w:p>
              </w:tc>
              <w:tc>
                <w:tcPr>
                  <w:tcW w:w="1544" w:type="dxa"/>
                  <w:vMerge w:val="continue"/>
                  <w:tcBorders>
                    <w:tl2br w:val="nil"/>
                    <w:tr2bl w:val="nil"/>
                  </w:tcBorders>
                  <w:vAlign w:val="center"/>
                </w:tcPr>
                <w:p>
                  <w:pPr>
                    <w:adjustRightInd w:val="0"/>
                    <w:snapToGrid w:val="0"/>
                    <w:jc w:val="center"/>
                    <w:rPr>
                      <w:sz w:val="18"/>
                      <w:szCs w:val="18"/>
                    </w:rPr>
                  </w:pPr>
                </w:p>
              </w:tc>
              <w:tc>
                <w:tcPr>
                  <w:tcW w:w="1000" w:type="dxa"/>
                  <w:tcBorders>
                    <w:tl2br w:val="nil"/>
                    <w:tr2bl w:val="nil"/>
                  </w:tcBorders>
                  <w:vAlign w:val="center"/>
                </w:tcPr>
                <w:p>
                  <w:pPr>
                    <w:adjustRightInd w:val="0"/>
                    <w:snapToGrid w:val="0"/>
                    <w:jc w:val="center"/>
                    <w:rPr>
                      <w:b/>
                      <w:bCs/>
                      <w:i/>
                      <w:iCs/>
                      <w:sz w:val="18"/>
                      <w:szCs w:val="18"/>
                      <w:u w:val="single"/>
                    </w:rPr>
                  </w:pPr>
                  <w:r>
                    <w:rPr>
                      <w:sz w:val="18"/>
                      <w:szCs w:val="18"/>
                      <w:u w:val="single"/>
                    </w:rPr>
                    <w:t>氮氧化物</w:t>
                  </w:r>
                </w:p>
              </w:tc>
              <w:tc>
                <w:tcPr>
                  <w:tcW w:w="808" w:type="dxa"/>
                  <w:tcBorders>
                    <w:tl2br w:val="nil"/>
                    <w:tr2bl w:val="nil"/>
                  </w:tcBorders>
                  <w:vAlign w:val="center"/>
                </w:tcPr>
                <w:p>
                  <w:pPr>
                    <w:adjustRightInd w:val="0"/>
                    <w:snapToGrid w:val="0"/>
                    <w:jc w:val="center"/>
                    <w:rPr>
                      <w:sz w:val="18"/>
                      <w:szCs w:val="18"/>
                      <w:highlight w:val="red"/>
                      <w:u w:val="single"/>
                    </w:rPr>
                  </w:pPr>
                  <w:r>
                    <w:rPr>
                      <w:sz w:val="18"/>
                      <w:szCs w:val="18"/>
                      <w:u w:val="single"/>
                    </w:rPr>
                    <w:t>0.0255</w:t>
                  </w:r>
                </w:p>
              </w:tc>
              <w:tc>
                <w:tcPr>
                  <w:tcW w:w="1000" w:type="dxa"/>
                  <w:tcBorders>
                    <w:tl2br w:val="nil"/>
                    <w:tr2bl w:val="nil"/>
                  </w:tcBorders>
                  <w:vAlign w:val="center"/>
                </w:tcPr>
                <w:p>
                  <w:pPr>
                    <w:adjustRightInd w:val="0"/>
                    <w:snapToGrid w:val="0"/>
                    <w:jc w:val="center"/>
                    <w:rPr>
                      <w:sz w:val="18"/>
                      <w:szCs w:val="18"/>
                      <w:u w:val="single"/>
                    </w:rPr>
                  </w:pPr>
                  <w:r>
                    <w:rPr>
                      <w:sz w:val="18"/>
                      <w:szCs w:val="18"/>
                      <w:u w:val="single"/>
                    </w:rPr>
                    <w:t>0.0638</w:t>
                  </w:r>
                </w:p>
              </w:tc>
              <w:tc>
                <w:tcPr>
                  <w:tcW w:w="1129" w:type="dxa"/>
                  <w:tcBorders>
                    <w:tl2br w:val="nil"/>
                    <w:tr2bl w:val="nil"/>
                  </w:tcBorders>
                  <w:vAlign w:val="center"/>
                </w:tcPr>
                <w:p>
                  <w:pPr>
                    <w:adjustRightInd w:val="0"/>
                    <w:snapToGrid w:val="0"/>
                    <w:jc w:val="center"/>
                    <w:rPr>
                      <w:sz w:val="18"/>
                      <w:szCs w:val="18"/>
                      <w:u w:val="single"/>
                    </w:rPr>
                  </w:pPr>
                  <w:r>
                    <w:rPr>
                      <w:sz w:val="18"/>
                      <w:szCs w:val="18"/>
                      <w:u w:val="single"/>
                    </w:rPr>
                    <w:t>163.</w:t>
                  </w:r>
                  <w:r>
                    <w:rPr>
                      <w:rFonts w:hint="eastAsia"/>
                      <w:sz w:val="18"/>
                      <w:szCs w:val="18"/>
                      <w:u w:val="single"/>
                    </w:rPr>
                    <w:t>46</w:t>
                  </w:r>
                </w:p>
              </w:tc>
              <w:tc>
                <w:tcPr>
                  <w:tcW w:w="1018" w:type="dxa"/>
                  <w:tcBorders>
                    <w:tl2br w:val="nil"/>
                    <w:tr2bl w:val="nil"/>
                  </w:tcBorders>
                  <w:vAlign w:val="center"/>
                </w:tcPr>
                <w:p>
                  <w:pPr>
                    <w:adjustRightInd w:val="0"/>
                    <w:snapToGrid w:val="0"/>
                    <w:jc w:val="center"/>
                    <w:rPr>
                      <w:sz w:val="18"/>
                      <w:szCs w:val="18"/>
                      <w:highlight w:val="red"/>
                      <w:u w:val="single"/>
                    </w:rPr>
                  </w:pPr>
                  <w:r>
                    <w:rPr>
                      <w:sz w:val="18"/>
                      <w:szCs w:val="18"/>
                      <w:u w:val="single"/>
                    </w:rPr>
                    <w:t>达标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8501" w:type="dxa"/>
                  <w:gridSpan w:val="8"/>
                  <w:tcBorders>
                    <w:tl2br w:val="nil"/>
                    <w:tr2bl w:val="nil"/>
                  </w:tcBorders>
                  <w:vAlign w:val="center"/>
                </w:tcPr>
                <w:p>
                  <w:pPr>
                    <w:adjustRightInd w:val="0"/>
                    <w:snapToGrid w:val="0"/>
                    <w:rPr>
                      <w:sz w:val="18"/>
                      <w:szCs w:val="18"/>
                      <w:u w:val="single"/>
                    </w:rPr>
                  </w:pPr>
                  <w:r>
                    <w:rPr>
                      <w:sz w:val="18"/>
                      <w:szCs w:val="18"/>
                    </w:rPr>
                    <w:t>注：①根据《4430工业锅炉（热力供应）行业系数手册》中燃用生物质颗粒工业废气量产污系数6240标立方米/吨-原料计算得出，即390m</w:t>
                  </w:r>
                  <w:r>
                    <w:rPr>
                      <w:sz w:val="18"/>
                      <w:szCs w:val="18"/>
                      <w:vertAlign w:val="superscript"/>
                    </w:rPr>
                    <w:t>3</w:t>
                  </w:r>
                  <w:r>
                    <w:rPr>
                      <w:sz w:val="18"/>
                      <w:szCs w:val="18"/>
                    </w:rPr>
                    <w:t>/h。</w:t>
                  </w:r>
                </w:p>
              </w:tc>
            </w:tr>
          </w:tbl>
          <w:p>
            <w:pPr>
              <w:spacing w:line="360" w:lineRule="auto"/>
              <w:ind w:firstLine="420" w:firstLineChars="200"/>
              <w:jc w:val="left"/>
            </w:pPr>
            <w:r>
              <w:t>导热油炉烟气中各项污染物浓度可以满足《锅炉大气污染物排放标准》（GB13271-2014）中表2新建锅炉大气污染物排放浓度限值燃煤锅炉要求（烟尘50mg/m</w:t>
            </w:r>
            <w:r>
              <w:rPr>
                <w:vertAlign w:val="superscript"/>
              </w:rPr>
              <w:t>3</w:t>
            </w:r>
            <w:r>
              <w:t>、二氧化硫300mg/m</w:t>
            </w:r>
            <w:r>
              <w:rPr>
                <w:vertAlign w:val="superscript"/>
              </w:rPr>
              <w:t>3</w:t>
            </w:r>
            <w:r>
              <w:t>、氮氧化物300mg/m</w:t>
            </w:r>
            <w:r>
              <w:rPr>
                <w:vertAlign w:val="superscript"/>
              </w:rPr>
              <w:t>3</w:t>
            </w:r>
            <w:r>
              <w:t>）。</w:t>
            </w:r>
          </w:p>
          <w:p>
            <w:pPr>
              <w:spacing w:line="360" w:lineRule="auto"/>
              <w:ind w:firstLine="420" w:firstLineChars="200"/>
              <w:jc w:val="left"/>
              <w:rPr>
                <w:u w:val="single"/>
              </w:rPr>
            </w:pPr>
            <w:r>
              <w:rPr>
                <w:u w:val="single"/>
              </w:rPr>
              <w:t>（3）关于本报告烟气量取值及污染物浓度计算基准的说明</w:t>
            </w:r>
          </w:p>
          <w:p>
            <w:pPr>
              <w:spacing w:line="360" w:lineRule="auto"/>
              <w:ind w:firstLine="420" w:firstLineChars="200"/>
              <w:jc w:val="left"/>
              <w:rPr>
                <w:u w:val="single"/>
              </w:rPr>
            </w:pPr>
            <w:r>
              <w:rPr>
                <w:u w:val="single"/>
              </w:rPr>
              <w:t>本项目在污染物源强核算及排放浓度评价中，涉及两个烟气量数值，现就两者的区别及用途说明如下。</w:t>
            </w:r>
          </w:p>
          <w:p>
            <w:pPr>
              <w:spacing w:line="360" w:lineRule="auto"/>
              <w:ind w:firstLine="420" w:firstLineChars="200"/>
              <w:jc w:val="left"/>
              <w:rPr>
                <w:u w:val="single"/>
              </w:rPr>
            </w:pPr>
            <w:r>
              <w:rPr>
                <w:u w:val="single"/>
              </w:rPr>
              <w:t>①390Nm</w:t>
            </w:r>
            <w:r>
              <w:rPr>
                <w:u w:val="single"/>
                <w:vertAlign w:val="superscript"/>
              </w:rPr>
              <w:t>3</w:t>
            </w:r>
            <w:r>
              <w:rPr>
                <w:u w:val="single"/>
              </w:rPr>
              <w:t>/h——标况烟气量（评价基准）</w:t>
            </w:r>
          </w:p>
          <w:p>
            <w:pPr>
              <w:spacing w:line="360" w:lineRule="auto"/>
              <w:ind w:firstLine="420" w:firstLineChars="200"/>
              <w:jc w:val="left"/>
              <w:rPr>
                <w:u w:val="single"/>
              </w:rPr>
            </w:pPr>
            <w:r>
              <w:rPr>
                <w:u w:val="single"/>
              </w:rPr>
              <w:t>该数值来源于《4430工业锅炉（热力供应）行业系数手册》中燃用生物质颗粒的工业废气量产污系数6240Nm</w:t>
            </w:r>
            <w:r>
              <w:rPr>
                <w:u w:val="single"/>
                <w:vertAlign w:val="superscript"/>
              </w:rPr>
              <w:t>3</w:t>
            </w:r>
            <w:r>
              <w:rPr>
                <w:u w:val="single"/>
              </w:rPr>
              <w:t>/t-原料，结合本项目燃料用量25t/a及年运行时长400h计算得出（25t/a×6240Nm</w:t>
            </w:r>
            <w:r>
              <w:rPr>
                <w:u w:val="single"/>
                <w:vertAlign w:val="superscript"/>
              </w:rPr>
              <w:t>3</w:t>
            </w:r>
            <w:r>
              <w:rPr>
                <w:u w:val="single"/>
              </w:rPr>
              <w:t>/t÷400h=390Nm</w:t>
            </w:r>
            <w:r>
              <w:rPr>
                <w:u w:val="single"/>
                <w:vertAlign w:val="superscript"/>
              </w:rPr>
              <w:t>3</w:t>
            </w:r>
            <w:r>
              <w:rPr>
                <w:u w:val="single"/>
              </w:rPr>
              <w:t>/h）。根据《锅炉大气污染物排放标准》（GB13271-2014）及《污染源源强核算技术指南 锅炉》（HJ991-2018）的规定，污染物排放浓度应统一折算至标准状态下干烟气（0℃，101.325kPa）进行评价，故本报告采用390Nm³/h作为污染物浓度计算的基准烟气量。</w:t>
            </w:r>
          </w:p>
          <w:p>
            <w:pPr>
              <w:spacing w:line="360" w:lineRule="auto"/>
              <w:ind w:firstLine="420" w:firstLineChars="200"/>
              <w:jc w:val="left"/>
              <w:rPr>
                <w:u w:val="single"/>
              </w:rPr>
            </w:pPr>
            <w:r>
              <w:rPr>
                <w:u w:val="single"/>
              </w:rPr>
              <w:t>②10500m</w:t>
            </w:r>
            <w:r>
              <w:rPr>
                <w:u w:val="single"/>
                <w:vertAlign w:val="superscript"/>
              </w:rPr>
              <w:t>3</w:t>
            </w:r>
            <w:r>
              <w:rPr>
                <w:u w:val="single"/>
              </w:rPr>
              <w:t>/h——工况风量（设备选型）</w:t>
            </w:r>
          </w:p>
          <w:p>
            <w:pPr>
              <w:spacing w:line="360" w:lineRule="auto"/>
              <w:ind w:firstLine="420" w:firstLineChars="200"/>
              <w:jc w:val="left"/>
              <w:rPr>
                <w:u w:val="single"/>
              </w:rPr>
            </w:pPr>
            <w:r>
              <w:rPr>
                <w:u w:val="single"/>
              </w:rPr>
              <w:t>该数值为风机铭牌额定风量，属于工况状态下的湿烟气体积流量。实际排烟温度约150℃，加之为保证燃料完全燃烧而鼓入的过量空气，以及除尘系统及烟道连接处的空气吸入，使得工况烟气体积较标况状态显著膨胀。10500m</w:t>
            </w:r>
            <w:r>
              <w:rPr>
                <w:u w:val="single"/>
                <w:vertAlign w:val="superscript"/>
              </w:rPr>
              <w:t>3</w:t>
            </w:r>
            <w:r>
              <w:rPr>
                <w:u w:val="single"/>
              </w:rPr>
              <w:t>/h为风机设备选型参数，用于克服旋风除尘器、布袋除尘器及烟道系统的阻力，确保烟气正常排放，与污染物排放浓度的评价基准分属不同用途，两者均正确无误。</w:t>
            </w:r>
          </w:p>
          <w:p>
            <w:pPr>
              <w:spacing w:line="360" w:lineRule="auto"/>
              <w:ind w:firstLine="420" w:firstLineChars="200"/>
              <w:jc w:val="left"/>
              <w:rPr>
                <w:u w:val="single"/>
              </w:rPr>
            </w:pPr>
            <w:r>
              <w:rPr>
                <w:u w:val="single"/>
              </w:rPr>
              <w:t>③两种烟气量的关系</w:t>
            </w:r>
          </w:p>
          <w:p>
            <w:pPr>
              <w:spacing w:line="360" w:lineRule="auto"/>
              <w:ind w:firstLine="420" w:firstLineChars="200"/>
              <w:jc w:val="left"/>
              <w:rPr>
                <w:u w:val="single"/>
              </w:rPr>
            </w:pPr>
            <w:r>
              <w:rPr>
                <w:u w:val="single"/>
              </w:rPr>
              <w:t>390Nm</w:t>
            </w:r>
            <w:r>
              <w:rPr>
                <w:u w:val="single"/>
                <w:vertAlign w:val="superscript"/>
              </w:rPr>
              <w:t>3</w:t>
            </w:r>
            <w:r>
              <w:rPr>
                <w:u w:val="single"/>
              </w:rPr>
              <w:t>/h与10500m</w:t>
            </w:r>
            <w:r>
              <w:rPr>
                <w:u w:val="single"/>
                <w:vertAlign w:val="superscript"/>
              </w:rPr>
              <w:t>3</w:t>
            </w:r>
            <w:r>
              <w:rPr>
                <w:u w:val="single"/>
              </w:rPr>
              <w:t>/h的比值约为1:27，主要源于以下因素的综合影响：排烟温度（约150℃）导致气体体积膨胀（约1.55倍）；过量空气系数（生物质燃烧通常为1.5-2.0）使烟气体积增大（约1.5-2.0倍）；除尘器及烟道系统漏风使烟气量进一步增加（约1.1-1.2倍）；风机选型预留的裕量。上述因素叠加使得工况风量达到标况烟气量的27倍，属于生物质锅炉正常的设计参数范围。</w:t>
            </w:r>
          </w:p>
          <w:p>
            <w:pPr>
              <w:spacing w:line="360" w:lineRule="auto"/>
              <w:ind w:firstLine="420" w:firstLineChars="200"/>
              <w:jc w:val="left"/>
              <w:rPr>
                <w:u w:val="single"/>
              </w:rPr>
            </w:pPr>
            <w:r>
              <w:rPr>
                <w:u w:val="single"/>
              </w:rPr>
              <w:t>（</w:t>
            </w:r>
            <w:r>
              <w:rPr>
                <w:rFonts w:hint="eastAsia"/>
                <w:u w:val="single"/>
              </w:rPr>
              <w:t>4</w:t>
            </w:r>
            <w:r>
              <w:rPr>
                <w:u w:val="single"/>
              </w:rPr>
              <w:t>）布袋除尘器依托可行性分析</w:t>
            </w:r>
            <w:r>
              <w:rPr>
                <w:rFonts w:hint="eastAsia"/>
                <w:u w:val="single"/>
              </w:rPr>
              <w:t>（匹配性分析）</w:t>
            </w:r>
          </w:p>
          <w:p>
            <w:pPr>
              <w:spacing w:line="360" w:lineRule="auto"/>
              <w:ind w:firstLine="420" w:firstLineChars="200"/>
              <w:jc w:val="left"/>
              <w:rPr>
                <w:u w:val="single"/>
              </w:rPr>
            </w:pPr>
            <w:r>
              <w:rPr>
                <w:u w:val="single"/>
              </w:rPr>
              <w:t>本项目拟保留并改造现有布袋除尘系统，新增旋风除尘器作为预处理设施，形成“旋风除尘+布袋除尘”两级除尘工艺。为确保现有布袋除尘器能够满足改造后1600kW（约2.29t/h）有机热载体液相炉的烟气处理需求，从以下方面进行匹配性分析：</w:t>
            </w:r>
          </w:p>
          <w:p>
            <w:pPr>
              <w:spacing w:line="360" w:lineRule="auto"/>
              <w:ind w:firstLine="420" w:firstLineChars="200"/>
              <w:jc w:val="left"/>
              <w:rPr>
                <w:u w:val="single"/>
              </w:rPr>
            </w:pPr>
            <w:r>
              <w:rPr>
                <w:u w:val="single"/>
              </w:rPr>
              <w:t>①处理能力匹配性：现有布袋除尘器设计处理风量为12000m</w:t>
            </w:r>
            <w:r>
              <w:rPr>
                <w:rFonts w:hint="eastAsia"/>
                <w:u w:val="single"/>
                <w:vertAlign w:val="superscript"/>
              </w:rPr>
              <w:t>3</w:t>
            </w:r>
            <w:r>
              <w:rPr>
                <w:u w:val="single"/>
              </w:rPr>
              <w:t>/h，本项目导热油炉烟气量为10500m³/h，在设计处理风量范围内，满足烟气处理能力要求。</w:t>
            </w:r>
          </w:p>
          <w:p>
            <w:pPr>
              <w:spacing w:line="360" w:lineRule="auto"/>
              <w:ind w:firstLine="420" w:firstLineChars="200"/>
              <w:jc w:val="left"/>
              <w:rPr>
                <w:u w:val="single"/>
              </w:rPr>
            </w:pPr>
            <w:r>
              <w:rPr>
                <w:u w:val="single"/>
              </w:rPr>
              <w:t>②烟气温度适应性：现有布袋除尘器滤袋材质为PPS（聚苯硫醚）+PTFE（聚四氟乙烯）覆膜，长期使用温度范围为150℃~200℃，瞬间耐温可达220℃。本项目旋风除尘器作为预处理设施布置于布袋除尘器前端，高温烟气经旋风除尘后温度可降至约180℃~190℃，在布袋除尘器适宜工作温度范围内，不会因温度过高造成滤袋损坏或因温度过低引起结露糊袋。</w:t>
            </w:r>
          </w:p>
          <w:p>
            <w:pPr>
              <w:spacing w:line="360" w:lineRule="auto"/>
              <w:ind w:firstLine="420" w:firstLineChars="200"/>
              <w:jc w:val="left"/>
              <w:rPr>
                <w:u w:val="single"/>
              </w:rPr>
            </w:pPr>
            <w:r>
              <w:rPr>
                <w:u w:val="single"/>
              </w:rPr>
              <w:t>③粉尘负荷适应性：现有布袋除尘器过滤面积为200m²，过滤风速约为0.88m/min（按10500m³/h风量计算），处于常规布袋除尘器经济运行风速范围（0.8~1.2m/min）内。建设后烟气经前端旋风除尘器预除尘（除尘效率约60%~70%），进入布袋除尘器的粉尘浓度大幅降低，可有效延长滤袋使用寿命，降低清灰频率，保障除尘系统长期稳定运行。</w:t>
            </w:r>
          </w:p>
          <w:p>
            <w:pPr>
              <w:spacing w:line="360" w:lineRule="auto"/>
              <w:ind w:firstLine="420" w:firstLineChars="200"/>
              <w:jc w:val="left"/>
              <w:rPr>
                <w:u w:val="single"/>
              </w:rPr>
            </w:pPr>
            <w:r>
              <w:rPr>
                <w:u w:val="single"/>
              </w:rPr>
              <w:t>④现有设备状态：经现场勘查，现有布袋除尘器箱体结构完好，脉冲喷吹系统、卸灰装置等配套设施运行正常，具备改造利用条件。本次改造仅需对部分管路接口进行适配改造，并对控制系统进行相应调整，工程量较小，技术可行。</w:t>
            </w:r>
          </w:p>
          <w:p>
            <w:pPr>
              <w:spacing w:line="360" w:lineRule="auto"/>
              <w:ind w:firstLine="420" w:firstLineChars="200"/>
              <w:jc w:val="left"/>
              <w:rPr>
                <w:u w:val="single"/>
              </w:rPr>
            </w:pPr>
            <w:r>
              <w:rPr>
                <w:u w:val="single"/>
              </w:rPr>
              <w:t>匹配性结论：现有布袋除尘器在设计风量、烟气温度、粉尘负荷等方面均可满足改造后烟气处理需求，依托现有布袋除尘器并配套新增旋风除尘器的两级除尘工艺技术可行，可确保烟尘排放浓度满足《锅炉大气污染物排放标准》（GB13271-2014）表2新建锅炉大气污染物排放浓度限值（颗粒物≤50mg/m³）要求。</w:t>
            </w:r>
          </w:p>
          <w:p>
            <w:pPr>
              <w:spacing w:line="360" w:lineRule="auto"/>
              <w:ind w:firstLine="420" w:firstLineChars="200"/>
              <w:jc w:val="left"/>
            </w:pPr>
            <w:r>
              <w:rPr>
                <w:rFonts w:eastAsia="仿宋"/>
              </w:rPr>
              <w:t>（5）</w:t>
            </w:r>
            <w:r>
              <w:t>可行技术相符性分析</w:t>
            </w:r>
          </w:p>
          <w:p>
            <w:pPr>
              <w:spacing w:line="360" w:lineRule="auto"/>
              <w:ind w:firstLine="420" w:firstLineChars="200"/>
              <w:jc w:val="left"/>
            </w:pPr>
            <w:r>
              <w:rPr>
                <w:rFonts w:hint="eastAsia"/>
              </w:rPr>
              <w:t>根据</w:t>
            </w:r>
            <w:r>
              <w:t>《排污许可证申请与核发技术规范 锅炉》（HJ953-2018）中“表7  锅炉烟气污染防治可行技术”可知，本项目燃生物质导热油炉采用</w:t>
            </w:r>
            <w:r>
              <w:rPr>
                <w:szCs w:val="21"/>
              </w:rPr>
              <w:t>“旋风除尘+布袋除尘”两级除尘工艺</w:t>
            </w:r>
            <w:r>
              <w:t>对导热油炉烟气中的颗粒物进行治理符合可行技术要求。</w:t>
            </w:r>
          </w:p>
          <w:p>
            <w:pPr>
              <w:spacing w:line="360" w:lineRule="auto"/>
              <w:ind w:firstLine="420" w:firstLineChars="200"/>
              <w:jc w:val="left"/>
              <w:rPr>
                <w:u w:val="single"/>
              </w:rPr>
            </w:pPr>
            <w:r>
              <w:rPr>
                <w:u w:val="single"/>
              </w:rPr>
              <w:t>（6）总量削减原因分析</w:t>
            </w:r>
          </w:p>
          <w:p>
            <w:pPr>
              <w:spacing w:line="360" w:lineRule="auto"/>
              <w:ind w:firstLine="420" w:firstLineChars="200"/>
              <w:jc w:val="left"/>
              <w:rPr>
                <w:u w:val="single"/>
              </w:rPr>
            </w:pPr>
            <w:r>
              <w:rPr>
                <w:u w:val="single"/>
              </w:rPr>
              <w:t>本项目虽为热功率提升工程（由0.5MW提升至1.6MW），但污染物年排放总量不增反降，主要源于以下两方面因素：</w:t>
            </w:r>
          </w:p>
          <w:p>
            <w:pPr>
              <w:spacing w:line="360" w:lineRule="auto"/>
              <w:ind w:firstLine="420" w:firstLineChars="200"/>
              <w:jc w:val="left"/>
              <w:rPr>
                <w:u w:val="single"/>
              </w:rPr>
            </w:pPr>
            <w:r>
              <w:rPr>
                <w:u w:val="single"/>
              </w:rPr>
              <w:t>①运行制度优化。本项目建成后，企业根据实际生产工艺用热需求，对锅炉运行制度进行了优化调整，年运行天数由原有180天压缩至100天，日运行时长由8小时缩短至4小时，年运行总时长由1440小时降至400小时，降幅达72.2%。</w:t>
            </w:r>
          </w:p>
          <w:p>
            <w:pPr>
              <w:spacing w:line="360" w:lineRule="auto"/>
              <w:ind w:firstLine="420" w:firstLineChars="200"/>
              <w:jc w:val="left"/>
              <w:rPr>
                <w:u w:val="single"/>
              </w:rPr>
            </w:pPr>
            <w:r>
              <w:rPr>
                <w:u w:val="single"/>
              </w:rPr>
              <w:t>②燃料消耗量削减。本项目淘汰了热效率较低、燃烧不充分的原有0.5MW燃生物质锅炉（年耗燃料约50t），更新为额定热功率1600kW的有机热载体液相炉，该炉型热效率≥82%，结合运行时长的缩减，年燃料消耗量由约50t降至25t，降幅达50.0%。</w:t>
            </w:r>
          </w:p>
          <w:p>
            <w:pPr>
              <w:spacing w:line="360" w:lineRule="auto"/>
              <w:ind w:firstLine="420" w:firstLineChars="200"/>
              <w:jc w:val="left"/>
              <w:rPr>
                <w:u w:val="single"/>
              </w:rPr>
            </w:pPr>
            <w:r>
              <w:rPr>
                <w:u w:val="single"/>
              </w:rPr>
              <w:t>综合以上因素，在采取“旋风除尘+布袋除尘”两级除尘工艺后，本项目主要污染物年排放量均较现有工程实现显著削减，其中颗粒物削减0.0486t/a、二氧化硫削减0.0499t/a、氮氧化物削减0.2809t/a。本项目属于“以新带老”减排工程，污染物总量控制指标满足管理要求。</w:t>
            </w:r>
          </w:p>
          <w:p>
            <w:pPr>
              <w:spacing w:line="360" w:lineRule="auto"/>
              <w:ind w:firstLine="420" w:firstLineChars="200"/>
              <w:jc w:val="left"/>
            </w:pPr>
            <w:r>
              <w:t>2、无组织废气</w:t>
            </w:r>
          </w:p>
          <w:p>
            <w:pPr>
              <w:spacing w:line="360" w:lineRule="auto"/>
              <w:ind w:firstLine="420" w:firstLineChars="200"/>
              <w:jc w:val="left"/>
            </w:pPr>
            <w:r>
              <w:t>（1）燃料储存及输送扬尘</w:t>
            </w:r>
          </w:p>
          <w:p>
            <w:pPr>
              <w:spacing w:line="360" w:lineRule="auto"/>
              <w:ind w:firstLine="420" w:firstLineChars="200"/>
              <w:jc w:val="left"/>
            </w:pPr>
            <w:r>
              <w:t>本项目所用生物质成型燃料为木屑、秸秆等经压缩成型加工而成，具有密度较大、含水率适中（通常≤15%）、表面不易起尘等特点，本身起尘性较差。燃料全部储存于封闭式锅炉房内的专用燃料堆放区，不设露天堆场，可有效抵御风力侵蚀，杜绝大风天气下的堆场扬尘产生。</w:t>
            </w:r>
          </w:p>
          <w:p>
            <w:pPr>
              <w:spacing w:line="360" w:lineRule="auto"/>
              <w:ind w:firstLine="420" w:firstLineChars="200"/>
              <w:jc w:val="left"/>
            </w:pPr>
            <w:r>
              <w:t>燃料输送采用封闭式皮带输送机，从燃料堆放区至炉前料斗的整个输送过程均在密闭锅炉房内完成，皮带机上方设有防尘罩，落料点处采取降低落差、设置缓冲挡板等措施，可有效控制物料转运过程中的粉尘外逸。炉前料斗同样位于封闭锅炉房内，且料斗上方设有盖板，仅在加料时开启，加料完毕后及时关闭，进一步减少了粉尘散发。</w:t>
            </w:r>
          </w:p>
          <w:p>
            <w:pPr>
              <w:spacing w:line="360" w:lineRule="auto"/>
              <w:ind w:firstLine="420" w:firstLineChars="200"/>
              <w:jc w:val="left"/>
            </w:pPr>
            <w:r>
              <w:t>由于生物质成型燃料本身起尘性较差，加之储存和输送全过程均处于封闭环境中，产尘量极为有限，对周边大气环境影响可忽略不计，无需设置专门的除尘设施。</w:t>
            </w:r>
          </w:p>
          <w:p>
            <w:pPr>
              <w:spacing w:line="360" w:lineRule="auto"/>
              <w:ind w:firstLine="420" w:firstLineChars="200"/>
              <w:jc w:val="left"/>
            </w:pPr>
            <w:r>
              <w:t>（2）灰渣出渣扬尘</w:t>
            </w:r>
          </w:p>
          <w:p>
            <w:pPr>
              <w:spacing w:line="360" w:lineRule="auto"/>
              <w:ind w:firstLine="420" w:firstLineChars="200"/>
              <w:jc w:val="left"/>
            </w:pPr>
            <w:r>
              <w:t>锅炉炉灰从往复炉排末端排出，排渣口位于锅炉本体下部，与出渣机直接连接。炉灰排出后经出渣机冷却处理，由于锅炉房密闭，生物质颗粒使用量较小，导致炉灰产生量较小，通过降低清灰动作幅度，可有效减少粉尘外逸。除尘灰从旋风除尘器和布袋除尘器灰斗定期排出，排灰口采用密闭接口与收集袋（桶）对接，卸灰前先停止除尘器运行并静置一段时间，待灰斗内气流稳定后再进行排灰操作，卸灰过程在封闭锅炉房内进行，可有效防止粉尘飞扬。</w:t>
            </w:r>
          </w:p>
          <w:p>
            <w:pPr>
              <w:spacing w:line="360" w:lineRule="auto"/>
              <w:ind w:firstLine="420" w:firstLineChars="200"/>
              <w:jc w:val="left"/>
            </w:pPr>
            <w:r>
              <w:t>炉灰和除尘灰排出后立即采用袋装方式存储，装袋时袋口与排料口紧密连接，装袋完成后及时封口。袋装灰渣暂存于封闭锅炉房内的专用灰渣暂存区，不设露天堆场，避免了风力扬尘和雨水冲刷。暂存区地面硬化处理，定期清扫，保持环境整洁。</w:t>
            </w:r>
          </w:p>
          <w:p>
            <w:pPr>
              <w:spacing w:line="360" w:lineRule="auto"/>
              <w:ind w:firstLine="420" w:firstLineChars="200"/>
              <w:jc w:val="left"/>
            </w:pPr>
            <w:r>
              <w:t>灰渣外运时，装车作业在封闭锅炉房内完成，装车后采用篷布对车厢进行严密苫盖，确保运输过程中不洒落、不扬散。运输车辆进出厂区时减速慢行，避免因车速过快造成扬尘。</w:t>
            </w:r>
          </w:p>
          <w:p>
            <w:pPr>
              <w:spacing w:line="360" w:lineRule="auto"/>
              <w:ind w:firstLine="420" w:firstLineChars="200"/>
              <w:jc w:val="left"/>
            </w:pPr>
            <w:r>
              <w:t>由于出灰、清灰过程均在封闭锅炉房内操作，且灰渣采用袋装存储和运输，产尘量极为有限，对周边大气环境影响可忽略不计。</w:t>
            </w:r>
          </w:p>
          <w:p>
            <w:pPr>
              <w:spacing w:line="360" w:lineRule="auto"/>
              <w:ind w:firstLine="420" w:firstLineChars="200"/>
              <w:jc w:val="left"/>
            </w:pPr>
            <w:r>
              <w:t>据此可知，颗粒物无组织排放浓度可以满足《大气污染物综合排放标准》（GB16297-1996）无组织排放监控浓度限值</w:t>
            </w:r>
            <w:r>
              <w:rPr>
                <w:lang w:val="zh-CN"/>
              </w:rPr>
              <w:t>周界外浓度最高点</w:t>
            </w:r>
            <w:r>
              <w:t>要求</w:t>
            </w:r>
            <w:r>
              <w:rPr>
                <w:szCs w:val="21"/>
                <w:lang w:val="zh-CN"/>
              </w:rPr>
              <w:t>。</w:t>
            </w:r>
          </w:p>
          <w:p>
            <w:pPr>
              <w:spacing w:line="360" w:lineRule="auto"/>
              <w:ind w:firstLine="420" w:firstLineChars="200"/>
              <w:jc w:val="left"/>
            </w:pPr>
            <w:r>
              <w:t>3、非正常工况分析</w:t>
            </w:r>
          </w:p>
          <w:p>
            <w:pPr>
              <w:spacing w:line="360" w:lineRule="auto"/>
              <w:ind w:firstLine="420" w:firstLineChars="200"/>
              <w:jc w:val="left"/>
            </w:pPr>
            <w:r>
              <w:t>（1）导热油炉开停车期间排污分析</w:t>
            </w:r>
          </w:p>
          <w:p>
            <w:pPr>
              <w:spacing w:line="360" w:lineRule="auto"/>
              <w:ind w:firstLine="420" w:firstLineChars="200"/>
              <w:jc w:val="left"/>
            </w:pPr>
            <w:r>
              <w:t>导热油炉运行前，首先要对各个系统进行维修和检修，并进行分布调试，以确保导热油炉正常运行时的污染物达标排放；导热油炉停运时，各系统处于滑行停车状态，燃料供给量逐渐减少，直到全部停车，此时污染物的排放量不超过正常运行期间排放量。</w:t>
            </w:r>
          </w:p>
          <w:p>
            <w:pPr>
              <w:spacing w:line="360" w:lineRule="auto"/>
              <w:ind w:firstLine="420" w:firstLineChars="200"/>
              <w:jc w:val="left"/>
            </w:pPr>
            <w:r>
              <w:t>（2）烟气处理系统事故排污分析</w:t>
            </w:r>
          </w:p>
          <w:p>
            <w:pPr>
              <w:spacing w:line="360" w:lineRule="auto"/>
              <w:ind w:firstLine="420" w:firstLineChars="200"/>
              <w:jc w:val="left"/>
            </w:pPr>
            <w:r>
              <w:t>在导热油炉运行中烟气处理系统一般情况不会出现因设备故障而发生污染事故。正常情况下，除尘效率99.</w:t>
            </w:r>
            <w:r>
              <w:rPr>
                <w:rFonts w:hint="eastAsia"/>
              </w:rPr>
              <w:t>0</w:t>
            </w:r>
            <w:r>
              <w:t>0%。对本项目而言，大气污染物的事故排放主要是烟气净化设备出现故障，从而引起烟尘大量排放到环境空气中，造成较为严重的大气环境污染。</w:t>
            </w:r>
          </w:p>
          <w:p>
            <w:pPr>
              <w:spacing w:line="360" w:lineRule="auto"/>
              <w:ind w:firstLine="420" w:firstLineChars="200"/>
              <w:jc w:val="left"/>
            </w:pPr>
            <w:r>
              <w:t>除尘装置的事故分析：除尘器清灰等故障。除尘效率分别降低至70%、50%、0%。</w:t>
            </w:r>
          </w:p>
          <w:p>
            <w:pPr>
              <w:spacing w:line="360" w:lineRule="auto"/>
              <w:ind w:firstLine="420" w:firstLineChars="200"/>
              <w:jc w:val="left"/>
            </w:pPr>
            <w:r>
              <w:t>污染源非正常排放量核算见表23。</w:t>
            </w:r>
          </w:p>
          <w:p>
            <w:pPr>
              <w:jc w:val="center"/>
              <w:rPr>
                <w:b/>
                <w:bCs/>
              </w:rPr>
            </w:pPr>
            <w:r>
              <w:rPr>
                <w:b/>
                <w:bCs/>
              </w:rPr>
              <w:t>表23  污染源非正常排放量核算一览表</w:t>
            </w:r>
          </w:p>
          <w:tbl>
            <w:tblPr>
              <w:tblStyle w:val="26"/>
              <w:tblW w:w="8501"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974"/>
              <w:gridCol w:w="1118"/>
              <w:gridCol w:w="1046"/>
              <w:gridCol w:w="1046"/>
              <w:gridCol w:w="1246"/>
              <w:gridCol w:w="845"/>
              <w:gridCol w:w="1046"/>
              <w:gridCol w:w="1180"/>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974" w:type="dxa"/>
                  <w:vAlign w:val="center"/>
                </w:tcPr>
                <w:p>
                  <w:pPr>
                    <w:adjustRightInd w:val="0"/>
                    <w:snapToGrid w:val="0"/>
                    <w:jc w:val="center"/>
                    <w:rPr>
                      <w:sz w:val="18"/>
                      <w:szCs w:val="18"/>
                    </w:rPr>
                  </w:pPr>
                  <w:r>
                    <w:rPr>
                      <w:sz w:val="18"/>
                      <w:szCs w:val="18"/>
                    </w:rPr>
                    <w:t>类别</w:t>
                  </w:r>
                </w:p>
              </w:tc>
              <w:tc>
                <w:tcPr>
                  <w:tcW w:w="1118" w:type="dxa"/>
                  <w:vAlign w:val="center"/>
                </w:tcPr>
                <w:p>
                  <w:pPr>
                    <w:adjustRightInd w:val="0"/>
                    <w:snapToGrid w:val="0"/>
                    <w:jc w:val="center"/>
                    <w:rPr>
                      <w:sz w:val="18"/>
                      <w:szCs w:val="18"/>
                    </w:rPr>
                  </w:pPr>
                  <w:r>
                    <w:rPr>
                      <w:sz w:val="18"/>
                      <w:szCs w:val="18"/>
                    </w:rPr>
                    <w:t>污染物名称</w:t>
                  </w:r>
                </w:p>
              </w:tc>
              <w:tc>
                <w:tcPr>
                  <w:tcW w:w="1046" w:type="dxa"/>
                  <w:vAlign w:val="center"/>
                </w:tcPr>
                <w:p>
                  <w:pPr>
                    <w:adjustRightInd w:val="0"/>
                    <w:snapToGrid w:val="0"/>
                    <w:jc w:val="center"/>
                    <w:rPr>
                      <w:sz w:val="18"/>
                      <w:szCs w:val="18"/>
                    </w:rPr>
                  </w:pPr>
                  <w:r>
                    <w:rPr>
                      <w:sz w:val="18"/>
                      <w:szCs w:val="18"/>
                    </w:rPr>
                    <w:t>净化效率</w:t>
                  </w:r>
                </w:p>
              </w:tc>
              <w:tc>
                <w:tcPr>
                  <w:tcW w:w="1046" w:type="dxa"/>
                  <w:vAlign w:val="center"/>
                </w:tcPr>
                <w:p>
                  <w:pPr>
                    <w:adjustRightInd w:val="0"/>
                    <w:snapToGrid w:val="0"/>
                    <w:jc w:val="center"/>
                    <w:rPr>
                      <w:sz w:val="18"/>
                      <w:szCs w:val="18"/>
                    </w:rPr>
                  </w:pPr>
                  <w:r>
                    <w:rPr>
                      <w:sz w:val="18"/>
                      <w:szCs w:val="18"/>
                    </w:rPr>
                    <w:t>持续时间</w:t>
                  </w:r>
                </w:p>
              </w:tc>
              <w:tc>
                <w:tcPr>
                  <w:tcW w:w="1246" w:type="dxa"/>
                  <w:vAlign w:val="center"/>
                </w:tcPr>
                <w:p>
                  <w:pPr>
                    <w:adjustRightInd w:val="0"/>
                    <w:snapToGrid w:val="0"/>
                    <w:jc w:val="center"/>
                    <w:rPr>
                      <w:sz w:val="18"/>
                      <w:szCs w:val="18"/>
                    </w:rPr>
                  </w:pPr>
                  <w:r>
                    <w:rPr>
                      <w:sz w:val="18"/>
                      <w:szCs w:val="18"/>
                    </w:rPr>
                    <w:t>年发生频次</w:t>
                  </w:r>
                </w:p>
              </w:tc>
              <w:tc>
                <w:tcPr>
                  <w:tcW w:w="845" w:type="dxa"/>
                  <w:vAlign w:val="center"/>
                </w:tcPr>
                <w:p>
                  <w:pPr>
                    <w:adjustRightInd w:val="0"/>
                    <w:snapToGrid w:val="0"/>
                    <w:jc w:val="center"/>
                    <w:rPr>
                      <w:sz w:val="18"/>
                      <w:szCs w:val="18"/>
                    </w:rPr>
                  </w:pPr>
                  <w:r>
                    <w:rPr>
                      <w:sz w:val="18"/>
                      <w:szCs w:val="18"/>
                    </w:rPr>
                    <w:t>排放量</w:t>
                  </w:r>
                </w:p>
                <w:p>
                  <w:pPr>
                    <w:adjustRightInd w:val="0"/>
                    <w:snapToGrid w:val="0"/>
                    <w:jc w:val="center"/>
                    <w:rPr>
                      <w:sz w:val="18"/>
                      <w:szCs w:val="18"/>
                    </w:rPr>
                  </w:pPr>
                  <w:r>
                    <w:rPr>
                      <w:sz w:val="18"/>
                      <w:szCs w:val="18"/>
                    </w:rPr>
                    <w:t>（t/a）</w:t>
                  </w:r>
                </w:p>
              </w:tc>
              <w:tc>
                <w:tcPr>
                  <w:tcW w:w="1046" w:type="dxa"/>
                  <w:vAlign w:val="center"/>
                </w:tcPr>
                <w:p>
                  <w:pPr>
                    <w:adjustRightInd w:val="0"/>
                    <w:snapToGrid w:val="0"/>
                    <w:jc w:val="center"/>
                    <w:rPr>
                      <w:sz w:val="18"/>
                      <w:szCs w:val="18"/>
                    </w:rPr>
                  </w:pPr>
                  <w:r>
                    <w:rPr>
                      <w:sz w:val="18"/>
                      <w:szCs w:val="18"/>
                    </w:rPr>
                    <w:t>排放速率</w:t>
                  </w:r>
                </w:p>
                <w:p>
                  <w:pPr>
                    <w:adjustRightInd w:val="0"/>
                    <w:snapToGrid w:val="0"/>
                    <w:jc w:val="center"/>
                    <w:rPr>
                      <w:sz w:val="18"/>
                      <w:szCs w:val="18"/>
                    </w:rPr>
                  </w:pPr>
                  <w:r>
                    <w:rPr>
                      <w:sz w:val="18"/>
                      <w:szCs w:val="18"/>
                    </w:rPr>
                    <w:t>（kg/h）</w:t>
                  </w:r>
                </w:p>
              </w:tc>
              <w:tc>
                <w:tcPr>
                  <w:tcW w:w="1180" w:type="dxa"/>
                  <w:vAlign w:val="center"/>
                </w:tcPr>
                <w:p>
                  <w:pPr>
                    <w:adjustRightInd w:val="0"/>
                    <w:snapToGrid w:val="0"/>
                    <w:jc w:val="center"/>
                    <w:rPr>
                      <w:sz w:val="18"/>
                      <w:szCs w:val="18"/>
                    </w:rPr>
                  </w:pPr>
                  <w:r>
                    <w:rPr>
                      <w:sz w:val="18"/>
                      <w:szCs w:val="18"/>
                    </w:rPr>
                    <w:t>排放浓度</w:t>
                  </w:r>
                </w:p>
                <w:p>
                  <w:pPr>
                    <w:adjustRightInd w:val="0"/>
                    <w:snapToGrid w:val="0"/>
                    <w:jc w:val="center"/>
                    <w:rPr>
                      <w:sz w:val="18"/>
                      <w:szCs w:val="18"/>
                    </w:rPr>
                  </w:pPr>
                  <w:r>
                    <w:rPr>
                      <w:sz w:val="18"/>
                      <w:szCs w:val="18"/>
                    </w:rPr>
                    <w:t>（mg/m</w:t>
                  </w:r>
                  <w:r>
                    <w:rPr>
                      <w:sz w:val="18"/>
                      <w:szCs w:val="18"/>
                      <w:vertAlign w:val="superscript"/>
                    </w:rPr>
                    <w:t>3</w:t>
                  </w:r>
                  <w:r>
                    <w:rPr>
                      <w:sz w:val="18"/>
                      <w:szCs w:val="18"/>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14" w:hRule="atLeast"/>
                <w:jc w:val="center"/>
              </w:trPr>
              <w:tc>
                <w:tcPr>
                  <w:tcW w:w="974" w:type="dxa"/>
                  <w:vMerge w:val="restart"/>
                  <w:vAlign w:val="center"/>
                </w:tcPr>
                <w:p>
                  <w:pPr>
                    <w:adjustRightInd w:val="0"/>
                    <w:snapToGrid w:val="0"/>
                    <w:jc w:val="center"/>
                    <w:rPr>
                      <w:sz w:val="18"/>
                      <w:szCs w:val="18"/>
                    </w:rPr>
                  </w:pPr>
                  <w:r>
                    <w:rPr>
                      <w:sz w:val="18"/>
                      <w:szCs w:val="18"/>
                    </w:rPr>
                    <w:t>导热油炉</w:t>
                  </w:r>
                </w:p>
              </w:tc>
              <w:tc>
                <w:tcPr>
                  <w:tcW w:w="1118" w:type="dxa"/>
                  <w:vMerge w:val="restart"/>
                  <w:vAlign w:val="center"/>
                </w:tcPr>
                <w:p>
                  <w:pPr>
                    <w:adjustRightInd w:val="0"/>
                    <w:snapToGrid w:val="0"/>
                    <w:jc w:val="center"/>
                    <w:rPr>
                      <w:sz w:val="18"/>
                      <w:szCs w:val="18"/>
                    </w:rPr>
                  </w:pPr>
                  <w:r>
                    <w:rPr>
                      <w:sz w:val="18"/>
                      <w:szCs w:val="18"/>
                    </w:rPr>
                    <w:t>烟尘</w:t>
                  </w:r>
                </w:p>
              </w:tc>
              <w:tc>
                <w:tcPr>
                  <w:tcW w:w="1046" w:type="dxa"/>
                  <w:vAlign w:val="center"/>
                </w:tcPr>
                <w:p>
                  <w:pPr>
                    <w:adjustRightInd w:val="0"/>
                    <w:snapToGrid w:val="0"/>
                    <w:jc w:val="center"/>
                    <w:rPr>
                      <w:sz w:val="18"/>
                      <w:szCs w:val="18"/>
                    </w:rPr>
                  </w:pPr>
                  <w:r>
                    <w:rPr>
                      <w:sz w:val="18"/>
                      <w:szCs w:val="18"/>
                    </w:rPr>
                    <w:t>70%</w:t>
                  </w:r>
                </w:p>
              </w:tc>
              <w:tc>
                <w:tcPr>
                  <w:tcW w:w="1046" w:type="dxa"/>
                  <w:vAlign w:val="center"/>
                </w:tcPr>
                <w:p>
                  <w:pPr>
                    <w:adjustRightInd w:val="0"/>
                    <w:snapToGrid w:val="0"/>
                    <w:jc w:val="center"/>
                    <w:rPr>
                      <w:sz w:val="18"/>
                      <w:szCs w:val="18"/>
                    </w:rPr>
                  </w:pPr>
                  <w:r>
                    <w:rPr>
                      <w:sz w:val="18"/>
                      <w:szCs w:val="18"/>
                    </w:rPr>
                    <w:t>2h</w:t>
                  </w:r>
                </w:p>
              </w:tc>
              <w:tc>
                <w:tcPr>
                  <w:tcW w:w="1246" w:type="dxa"/>
                  <w:vAlign w:val="center"/>
                </w:tcPr>
                <w:p>
                  <w:pPr>
                    <w:adjustRightInd w:val="0"/>
                    <w:snapToGrid w:val="0"/>
                    <w:jc w:val="center"/>
                    <w:rPr>
                      <w:sz w:val="18"/>
                      <w:szCs w:val="18"/>
                    </w:rPr>
                  </w:pPr>
                  <w:r>
                    <w:rPr>
                      <w:sz w:val="18"/>
                      <w:szCs w:val="18"/>
                    </w:rPr>
                    <w:t>＜1</w:t>
                  </w:r>
                </w:p>
              </w:tc>
              <w:tc>
                <w:tcPr>
                  <w:tcW w:w="845" w:type="dxa"/>
                  <w:vAlign w:val="center"/>
                </w:tcPr>
                <w:p>
                  <w:pPr>
                    <w:adjustRightInd w:val="0"/>
                    <w:snapToGrid w:val="0"/>
                    <w:jc w:val="center"/>
                    <w:rPr>
                      <w:sz w:val="18"/>
                      <w:szCs w:val="18"/>
                      <w:u w:val="single"/>
                    </w:rPr>
                  </w:pPr>
                  <w:r>
                    <w:rPr>
                      <w:rFonts w:hint="eastAsia"/>
                      <w:sz w:val="18"/>
                      <w:szCs w:val="18"/>
                      <w:u w:val="single"/>
                    </w:rPr>
                    <w:t>0.1150</w:t>
                  </w:r>
                </w:p>
              </w:tc>
              <w:tc>
                <w:tcPr>
                  <w:tcW w:w="1046" w:type="dxa"/>
                  <w:vAlign w:val="center"/>
                </w:tcPr>
                <w:p>
                  <w:pPr>
                    <w:adjustRightInd w:val="0"/>
                    <w:snapToGrid w:val="0"/>
                    <w:jc w:val="center"/>
                    <w:rPr>
                      <w:sz w:val="18"/>
                      <w:szCs w:val="18"/>
                      <w:u w:val="single"/>
                    </w:rPr>
                  </w:pPr>
                  <w:r>
                    <w:rPr>
                      <w:rFonts w:hint="eastAsia"/>
                      <w:sz w:val="18"/>
                      <w:szCs w:val="18"/>
                      <w:u w:val="single"/>
                    </w:rPr>
                    <w:t>0.2875</w:t>
                  </w:r>
                </w:p>
              </w:tc>
              <w:tc>
                <w:tcPr>
                  <w:tcW w:w="1180" w:type="dxa"/>
                  <w:vAlign w:val="center"/>
                </w:tcPr>
                <w:p>
                  <w:pPr>
                    <w:adjustRightInd w:val="0"/>
                    <w:snapToGrid w:val="0"/>
                    <w:jc w:val="center"/>
                    <w:rPr>
                      <w:sz w:val="18"/>
                      <w:szCs w:val="18"/>
                      <w:u w:val="single"/>
                    </w:rPr>
                  </w:pPr>
                  <w:r>
                    <w:rPr>
                      <w:rFonts w:hint="eastAsia"/>
                      <w:sz w:val="18"/>
                      <w:szCs w:val="18"/>
                      <w:u w:val="single"/>
                    </w:rPr>
                    <w:t>737.12</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14" w:hRule="atLeast"/>
                <w:jc w:val="center"/>
              </w:trPr>
              <w:tc>
                <w:tcPr>
                  <w:tcW w:w="974" w:type="dxa"/>
                  <w:vMerge w:val="continue"/>
                  <w:vAlign w:val="center"/>
                </w:tcPr>
                <w:p>
                  <w:pPr>
                    <w:adjustRightInd w:val="0"/>
                    <w:snapToGrid w:val="0"/>
                    <w:jc w:val="center"/>
                    <w:rPr>
                      <w:sz w:val="18"/>
                      <w:szCs w:val="18"/>
                    </w:rPr>
                  </w:pPr>
                </w:p>
              </w:tc>
              <w:tc>
                <w:tcPr>
                  <w:tcW w:w="1118" w:type="dxa"/>
                  <w:vMerge w:val="continue"/>
                  <w:vAlign w:val="center"/>
                </w:tcPr>
                <w:p>
                  <w:pPr>
                    <w:adjustRightInd w:val="0"/>
                    <w:snapToGrid w:val="0"/>
                    <w:jc w:val="center"/>
                    <w:rPr>
                      <w:sz w:val="18"/>
                      <w:szCs w:val="18"/>
                    </w:rPr>
                  </w:pPr>
                </w:p>
              </w:tc>
              <w:tc>
                <w:tcPr>
                  <w:tcW w:w="1046" w:type="dxa"/>
                  <w:vAlign w:val="center"/>
                </w:tcPr>
                <w:p>
                  <w:pPr>
                    <w:adjustRightInd w:val="0"/>
                    <w:snapToGrid w:val="0"/>
                    <w:jc w:val="center"/>
                    <w:rPr>
                      <w:sz w:val="18"/>
                      <w:szCs w:val="18"/>
                    </w:rPr>
                  </w:pPr>
                  <w:r>
                    <w:rPr>
                      <w:sz w:val="18"/>
                      <w:szCs w:val="18"/>
                    </w:rPr>
                    <w:t>50%</w:t>
                  </w:r>
                </w:p>
              </w:tc>
              <w:tc>
                <w:tcPr>
                  <w:tcW w:w="1046" w:type="dxa"/>
                  <w:vAlign w:val="center"/>
                </w:tcPr>
                <w:p>
                  <w:pPr>
                    <w:adjustRightInd w:val="0"/>
                    <w:snapToGrid w:val="0"/>
                    <w:jc w:val="center"/>
                    <w:rPr>
                      <w:sz w:val="18"/>
                      <w:szCs w:val="18"/>
                    </w:rPr>
                  </w:pPr>
                  <w:r>
                    <w:rPr>
                      <w:sz w:val="18"/>
                      <w:szCs w:val="18"/>
                    </w:rPr>
                    <w:t>2h</w:t>
                  </w:r>
                </w:p>
              </w:tc>
              <w:tc>
                <w:tcPr>
                  <w:tcW w:w="1246" w:type="dxa"/>
                  <w:vAlign w:val="center"/>
                </w:tcPr>
                <w:p>
                  <w:pPr>
                    <w:adjustRightInd w:val="0"/>
                    <w:snapToGrid w:val="0"/>
                    <w:jc w:val="center"/>
                    <w:rPr>
                      <w:sz w:val="18"/>
                      <w:szCs w:val="18"/>
                    </w:rPr>
                  </w:pPr>
                  <w:r>
                    <w:rPr>
                      <w:sz w:val="18"/>
                      <w:szCs w:val="18"/>
                    </w:rPr>
                    <w:t>＜1</w:t>
                  </w:r>
                </w:p>
              </w:tc>
              <w:tc>
                <w:tcPr>
                  <w:tcW w:w="845" w:type="dxa"/>
                  <w:vAlign w:val="center"/>
                </w:tcPr>
                <w:p>
                  <w:pPr>
                    <w:adjustRightInd w:val="0"/>
                    <w:snapToGrid w:val="0"/>
                    <w:jc w:val="center"/>
                    <w:rPr>
                      <w:sz w:val="18"/>
                      <w:szCs w:val="18"/>
                      <w:u w:val="single"/>
                    </w:rPr>
                  </w:pPr>
                  <w:r>
                    <w:rPr>
                      <w:rFonts w:hint="eastAsia"/>
                      <w:sz w:val="18"/>
                      <w:szCs w:val="18"/>
                      <w:u w:val="single"/>
                    </w:rPr>
                    <w:t>0.1917</w:t>
                  </w:r>
                </w:p>
              </w:tc>
              <w:tc>
                <w:tcPr>
                  <w:tcW w:w="1046" w:type="dxa"/>
                  <w:vAlign w:val="center"/>
                </w:tcPr>
                <w:p>
                  <w:pPr>
                    <w:adjustRightInd w:val="0"/>
                    <w:snapToGrid w:val="0"/>
                    <w:jc w:val="center"/>
                    <w:rPr>
                      <w:sz w:val="18"/>
                      <w:szCs w:val="18"/>
                      <w:u w:val="single"/>
                    </w:rPr>
                  </w:pPr>
                  <w:r>
                    <w:rPr>
                      <w:rFonts w:hint="eastAsia"/>
                      <w:sz w:val="18"/>
                      <w:szCs w:val="18"/>
                      <w:u w:val="single"/>
                    </w:rPr>
                    <w:t>0.4792</w:t>
                  </w:r>
                </w:p>
              </w:tc>
              <w:tc>
                <w:tcPr>
                  <w:tcW w:w="1180" w:type="dxa"/>
                  <w:vAlign w:val="center"/>
                </w:tcPr>
                <w:p>
                  <w:pPr>
                    <w:adjustRightInd w:val="0"/>
                    <w:snapToGrid w:val="0"/>
                    <w:jc w:val="center"/>
                    <w:rPr>
                      <w:sz w:val="18"/>
                      <w:szCs w:val="18"/>
                      <w:u w:val="single"/>
                    </w:rPr>
                  </w:pPr>
                  <w:r>
                    <w:rPr>
                      <w:rFonts w:hint="eastAsia"/>
                      <w:sz w:val="18"/>
                      <w:szCs w:val="18"/>
                      <w:u w:val="single"/>
                    </w:rPr>
                    <w:t>1228.53</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14" w:hRule="atLeast"/>
                <w:jc w:val="center"/>
              </w:trPr>
              <w:tc>
                <w:tcPr>
                  <w:tcW w:w="974" w:type="dxa"/>
                  <w:vMerge w:val="continue"/>
                  <w:vAlign w:val="center"/>
                </w:tcPr>
                <w:p>
                  <w:pPr>
                    <w:adjustRightInd w:val="0"/>
                    <w:snapToGrid w:val="0"/>
                    <w:jc w:val="center"/>
                    <w:rPr>
                      <w:sz w:val="18"/>
                      <w:szCs w:val="18"/>
                    </w:rPr>
                  </w:pPr>
                </w:p>
              </w:tc>
              <w:tc>
                <w:tcPr>
                  <w:tcW w:w="1118" w:type="dxa"/>
                  <w:vMerge w:val="continue"/>
                  <w:vAlign w:val="center"/>
                </w:tcPr>
                <w:p>
                  <w:pPr>
                    <w:adjustRightInd w:val="0"/>
                    <w:snapToGrid w:val="0"/>
                    <w:jc w:val="center"/>
                    <w:rPr>
                      <w:sz w:val="18"/>
                      <w:szCs w:val="18"/>
                    </w:rPr>
                  </w:pPr>
                </w:p>
              </w:tc>
              <w:tc>
                <w:tcPr>
                  <w:tcW w:w="1046" w:type="dxa"/>
                  <w:vAlign w:val="center"/>
                </w:tcPr>
                <w:p>
                  <w:pPr>
                    <w:adjustRightInd w:val="0"/>
                    <w:snapToGrid w:val="0"/>
                    <w:jc w:val="center"/>
                    <w:rPr>
                      <w:sz w:val="18"/>
                      <w:szCs w:val="18"/>
                    </w:rPr>
                  </w:pPr>
                  <w:r>
                    <w:rPr>
                      <w:sz w:val="18"/>
                      <w:szCs w:val="18"/>
                    </w:rPr>
                    <w:t>0%</w:t>
                  </w:r>
                </w:p>
              </w:tc>
              <w:tc>
                <w:tcPr>
                  <w:tcW w:w="1046" w:type="dxa"/>
                  <w:vAlign w:val="center"/>
                </w:tcPr>
                <w:p>
                  <w:pPr>
                    <w:adjustRightInd w:val="0"/>
                    <w:snapToGrid w:val="0"/>
                    <w:jc w:val="center"/>
                    <w:rPr>
                      <w:sz w:val="18"/>
                      <w:szCs w:val="18"/>
                    </w:rPr>
                  </w:pPr>
                  <w:r>
                    <w:rPr>
                      <w:sz w:val="18"/>
                      <w:szCs w:val="18"/>
                    </w:rPr>
                    <w:t>2h</w:t>
                  </w:r>
                </w:p>
              </w:tc>
              <w:tc>
                <w:tcPr>
                  <w:tcW w:w="1246" w:type="dxa"/>
                  <w:vAlign w:val="center"/>
                </w:tcPr>
                <w:p>
                  <w:pPr>
                    <w:adjustRightInd w:val="0"/>
                    <w:snapToGrid w:val="0"/>
                    <w:jc w:val="center"/>
                    <w:rPr>
                      <w:sz w:val="18"/>
                      <w:szCs w:val="18"/>
                    </w:rPr>
                  </w:pPr>
                  <w:r>
                    <w:rPr>
                      <w:sz w:val="18"/>
                      <w:szCs w:val="18"/>
                    </w:rPr>
                    <w:t>＜1</w:t>
                  </w:r>
                </w:p>
              </w:tc>
              <w:tc>
                <w:tcPr>
                  <w:tcW w:w="845" w:type="dxa"/>
                  <w:vAlign w:val="center"/>
                </w:tcPr>
                <w:p>
                  <w:pPr>
                    <w:adjustRightInd w:val="0"/>
                    <w:snapToGrid w:val="0"/>
                    <w:jc w:val="center"/>
                    <w:rPr>
                      <w:sz w:val="18"/>
                      <w:szCs w:val="18"/>
                    </w:rPr>
                  </w:pPr>
                  <w:r>
                    <w:rPr>
                      <w:rFonts w:hint="eastAsia"/>
                      <w:sz w:val="18"/>
                      <w:szCs w:val="18"/>
                      <w:u w:val="single"/>
                    </w:rPr>
                    <w:t>0.3833</w:t>
                  </w:r>
                </w:p>
              </w:tc>
              <w:tc>
                <w:tcPr>
                  <w:tcW w:w="1046" w:type="dxa"/>
                  <w:vAlign w:val="center"/>
                </w:tcPr>
                <w:p>
                  <w:pPr>
                    <w:adjustRightInd w:val="0"/>
                    <w:snapToGrid w:val="0"/>
                    <w:jc w:val="center"/>
                    <w:rPr>
                      <w:sz w:val="18"/>
                      <w:szCs w:val="18"/>
                    </w:rPr>
                  </w:pPr>
                  <w:r>
                    <w:rPr>
                      <w:rFonts w:hint="eastAsia"/>
                      <w:sz w:val="18"/>
                      <w:szCs w:val="18"/>
                      <w:u w:val="single"/>
                    </w:rPr>
                    <w:t>0.9583</w:t>
                  </w:r>
                </w:p>
              </w:tc>
              <w:tc>
                <w:tcPr>
                  <w:tcW w:w="1180" w:type="dxa"/>
                  <w:vAlign w:val="center"/>
                </w:tcPr>
                <w:p>
                  <w:pPr>
                    <w:adjustRightInd w:val="0"/>
                    <w:snapToGrid w:val="0"/>
                    <w:jc w:val="center"/>
                    <w:rPr>
                      <w:sz w:val="18"/>
                      <w:szCs w:val="18"/>
                    </w:rPr>
                  </w:pPr>
                  <w:r>
                    <w:rPr>
                      <w:rFonts w:hint="eastAsia"/>
                      <w:sz w:val="18"/>
                      <w:szCs w:val="18"/>
                      <w:u w:val="single"/>
                    </w:rPr>
                    <w:t>2457.05</w:t>
                  </w:r>
                </w:p>
              </w:tc>
            </w:tr>
          </w:tbl>
          <w:p>
            <w:pPr>
              <w:wordWrap w:val="0"/>
              <w:spacing w:line="360" w:lineRule="auto"/>
              <w:ind w:firstLine="420" w:firstLineChars="200"/>
              <w:jc w:val="left"/>
            </w:pPr>
            <w:r>
              <w:t>本环评建议项目建设方，一旦发生非正常工况，应及时对废气治理设施进行检修，并停止生产工序。同时，应在日常运行期间，定期对废气治理设施进行维护，确保废气治理设施正常有效运行。使导热油炉烟气中污染物浓度满足《锅炉大气污染物排放标准》（GB13271-2014）中表2新建锅炉大气污染物排放浓度限值燃煤锅炉要求。</w:t>
            </w:r>
          </w:p>
          <w:p>
            <w:pPr>
              <w:spacing w:line="360" w:lineRule="auto"/>
              <w:ind w:firstLine="420" w:firstLineChars="200"/>
              <w:jc w:val="left"/>
            </w:pPr>
            <w:r>
              <w:t>4、排放口基本情况</w:t>
            </w:r>
          </w:p>
          <w:p>
            <w:pPr>
              <w:spacing w:line="360" w:lineRule="auto"/>
              <w:ind w:firstLine="420" w:firstLineChars="200"/>
              <w:jc w:val="left"/>
            </w:pPr>
            <w:r>
              <w:t>根据前文污染源强核算内容，确定本项目大气排放口为导热油炉烟囱，具体排放口基本情况如表24所示：</w:t>
            </w:r>
          </w:p>
          <w:p>
            <w:pPr>
              <w:snapToGrid w:val="0"/>
              <w:jc w:val="center"/>
              <w:rPr>
                <w:b/>
                <w:bCs/>
              </w:rPr>
            </w:pPr>
            <w:r>
              <w:rPr>
                <w:b/>
                <w:bCs/>
              </w:rPr>
              <w:t>表24  本项目锅炉排放口基本情况一览表</w:t>
            </w:r>
          </w:p>
          <w:tbl>
            <w:tblPr>
              <w:tblStyle w:val="26"/>
              <w:tblW w:w="8499" w:type="dxa"/>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395"/>
              <w:gridCol w:w="619"/>
              <w:gridCol w:w="663"/>
              <w:gridCol w:w="663"/>
              <w:gridCol w:w="802"/>
              <w:gridCol w:w="1202"/>
              <w:gridCol w:w="3155"/>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395" w:type="dxa"/>
                  <w:vAlign w:val="center"/>
                </w:tcPr>
                <w:p>
                  <w:pPr>
                    <w:adjustRightInd w:val="0"/>
                    <w:snapToGrid w:val="0"/>
                    <w:jc w:val="center"/>
                    <w:rPr>
                      <w:sz w:val="18"/>
                      <w:szCs w:val="18"/>
                    </w:rPr>
                  </w:pPr>
                  <w:r>
                    <w:rPr>
                      <w:sz w:val="18"/>
                      <w:szCs w:val="18"/>
                    </w:rPr>
                    <w:t>排放口名称</w:t>
                  </w:r>
                </w:p>
              </w:tc>
              <w:tc>
                <w:tcPr>
                  <w:tcW w:w="619" w:type="dxa"/>
                  <w:vAlign w:val="center"/>
                </w:tcPr>
                <w:p>
                  <w:pPr>
                    <w:adjustRightInd w:val="0"/>
                    <w:snapToGrid w:val="0"/>
                    <w:jc w:val="center"/>
                    <w:rPr>
                      <w:sz w:val="18"/>
                      <w:szCs w:val="18"/>
                    </w:rPr>
                  </w:pPr>
                  <w:r>
                    <w:rPr>
                      <w:sz w:val="18"/>
                      <w:szCs w:val="18"/>
                    </w:rPr>
                    <w:t>高度</w:t>
                  </w:r>
                </w:p>
              </w:tc>
              <w:tc>
                <w:tcPr>
                  <w:tcW w:w="663" w:type="dxa"/>
                  <w:vAlign w:val="center"/>
                </w:tcPr>
                <w:p>
                  <w:pPr>
                    <w:adjustRightInd w:val="0"/>
                    <w:snapToGrid w:val="0"/>
                    <w:jc w:val="center"/>
                    <w:rPr>
                      <w:sz w:val="18"/>
                      <w:szCs w:val="18"/>
                    </w:rPr>
                  </w:pPr>
                  <w:r>
                    <w:rPr>
                      <w:sz w:val="18"/>
                      <w:szCs w:val="18"/>
                    </w:rPr>
                    <w:t>内径</w:t>
                  </w:r>
                </w:p>
              </w:tc>
              <w:tc>
                <w:tcPr>
                  <w:tcW w:w="663" w:type="dxa"/>
                  <w:vAlign w:val="center"/>
                </w:tcPr>
                <w:p>
                  <w:pPr>
                    <w:adjustRightInd w:val="0"/>
                    <w:snapToGrid w:val="0"/>
                    <w:jc w:val="center"/>
                    <w:rPr>
                      <w:sz w:val="18"/>
                      <w:szCs w:val="18"/>
                    </w:rPr>
                  </w:pPr>
                  <w:r>
                    <w:rPr>
                      <w:sz w:val="18"/>
                      <w:szCs w:val="18"/>
                    </w:rPr>
                    <w:t>温度</w:t>
                  </w:r>
                </w:p>
              </w:tc>
              <w:tc>
                <w:tcPr>
                  <w:tcW w:w="802" w:type="dxa"/>
                  <w:vAlign w:val="center"/>
                </w:tcPr>
                <w:p>
                  <w:pPr>
                    <w:adjustRightInd w:val="0"/>
                    <w:snapToGrid w:val="0"/>
                    <w:jc w:val="center"/>
                    <w:rPr>
                      <w:sz w:val="18"/>
                      <w:szCs w:val="18"/>
                    </w:rPr>
                  </w:pPr>
                  <w:r>
                    <w:rPr>
                      <w:sz w:val="18"/>
                      <w:szCs w:val="18"/>
                    </w:rPr>
                    <w:t>编号</w:t>
                  </w:r>
                </w:p>
              </w:tc>
              <w:tc>
                <w:tcPr>
                  <w:tcW w:w="1202" w:type="dxa"/>
                  <w:vAlign w:val="center"/>
                </w:tcPr>
                <w:p>
                  <w:pPr>
                    <w:adjustRightInd w:val="0"/>
                    <w:snapToGrid w:val="0"/>
                    <w:jc w:val="center"/>
                    <w:rPr>
                      <w:sz w:val="18"/>
                      <w:szCs w:val="18"/>
                    </w:rPr>
                  </w:pPr>
                  <w:r>
                    <w:rPr>
                      <w:sz w:val="18"/>
                      <w:szCs w:val="18"/>
                    </w:rPr>
                    <w:t>类型</w:t>
                  </w:r>
                </w:p>
              </w:tc>
              <w:tc>
                <w:tcPr>
                  <w:tcW w:w="3155" w:type="dxa"/>
                  <w:vAlign w:val="center"/>
                </w:tcPr>
                <w:p>
                  <w:pPr>
                    <w:adjustRightInd w:val="0"/>
                    <w:snapToGrid w:val="0"/>
                    <w:jc w:val="center"/>
                    <w:rPr>
                      <w:sz w:val="18"/>
                      <w:szCs w:val="18"/>
                    </w:rPr>
                  </w:pPr>
                  <w:r>
                    <w:rPr>
                      <w:sz w:val="18"/>
                      <w:szCs w:val="18"/>
                    </w:rPr>
                    <w:t>地理坐标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395" w:type="dxa"/>
                  <w:vAlign w:val="center"/>
                </w:tcPr>
                <w:p>
                  <w:pPr>
                    <w:adjustRightInd w:val="0"/>
                    <w:snapToGrid w:val="0"/>
                    <w:jc w:val="center"/>
                    <w:rPr>
                      <w:sz w:val="18"/>
                      <w:szCs w:val="18"/>
                    </w:rPr>
                  </w:pPr>
                  <w:r>
                    <w:rPr>
                      <w:sz w:val="18"/>
                      <w:szCs w:val="18"/>
                    </w:rPr>
                    <w:t>导热油炉烟囱</w:t>
                  </w:r>
                </w:p>
              </w:tc>
              <w:tc>
                <w:tcPr>
                  <w:tcW w:w="619" w:type="dxa"/>
                  <w:vAlign w:val="center"/>
                </w:tcPr>
                <w:p>
                  <w:pPr>
                    <w:adjustRightInd w:val="0"/>
                    <w:snapToGrid w:val="0"/>
                    <w:jc w:val="center"/>
                    <w:rPr>
                      <w:sz w:val="18"/>
                      <w:szCs w:val="18"/>
                    </w:rPr>
                  </w:pPr>
                  <w:r>
                    <w:rPr>
                      <w:sz w:val="18"/>
                      <w:szCs w:val="18"/>
                    </w:rPr>
                    <w:t>30m</w:t>
                  </w:r>
                </w:p>
              </w:tc>
              <w:tc>
                <w:tcPr>
                  <w:tcW w:w="663" w:type="dxa"/>
                  <w:vAlign w:val="center"/>
                </w:tcPr>
                <w:p>
                  <w:pPr>
                    <w:adjustRightInd w:val="0"/>
                    <w:snapToGrid w:val="0"/>
                    <w:jc w:val="center"/>
                    <w:rPr>
                      <w:sz w:val="18"/>
                      <w:szCs w:val="18"/>
                    </w:rPr>
                  </w:pPr>
                  <w:r>
                    <w:rPr>
                      <w:sz w:val="18"/>
                      <w:szCs w:val="18"/>
                    </w:rPr>
                    <w:t>30cm</w:t>
                  </w:r>
                </w:p>
              </w:tc>
              <w:tc>
                <w:tcPr>
                  <w:tcW w:w="663" w:type="dxa"/>
                  <w:vAlign w:val="center"/>
                </w:tcPr>
                <w:p>
                  <w:pPr>
                    <w:adjustRightInd w:val="0"/>
                    <w:snapToGrid w:val="0"/>
                    <w:jc w:val="center"/>
                    <w:rPr>
                      <w:sz w:val="18"/>
                      <w:szCs w:val="18"/>
                    </w:rPr>
                  </w:pPr>
                  <w:r>
                    <w:rPr>
                      <w:sz w:val="18"/>
                      <w:szCs w:val="18"/>
                    </w:rPr>
                    <w:t>373K</w:t>
                  </w:r>
                </w:p>
              </w:tc>
              <w:tc>
                <w:tcPr>
                  <w:tcW w:w="802" w:type="dxa"/>
                  <w:vAlign w:val="center"/>
                </w:tcPr>
                <w:p>
                  <w:pPr>
                    <w:adjustRightInd w:val="0"/>
                    <w:snapToGrid w:val="0"/>
                    <w:jc w:val="center"/>
                    <w:rPr>
                      <w:sz w:val="18"/>
                      <w:szCs w:val="18"/>
                    </w:rPr>
                  </w:pPr>
                  <w:r>
                    <w:rPr>
                      <w:sz w:val="18"/>
                      <w:szCs w:val="18"/>
                    </w:rPr>
                    <w:t>DA001</w:t>
                  </w:r>
                </w:p>
              </w:tc>
              <w:tc>
                <w:tcPr>
                  <w:tcW w:w="1202" w:type="dxa"/>
                  <w:vAlign w:val="center"/>
                </w:tcPr>
                <w:p>
                  <w:pPr>
                    <w:adjustRightInd w:val="0"/>
                    <w:snapToGrid w:val="0"/>
                    <w:jc w:val="center"/>
                    <w:rPr>
                      <w:sz w:val="18"/>
                      <w:szCs w:val="18"/>
                    </w:rPr>
                  </w:pPr>
                  <w:r>
                    <w:rPr>
                      <w:sz w:val="18"/>
                      <w:szCs w:val="18"/>
                    </w:rPr>
                    <w:t>一般排放口</w:t>
                  </w:r>
                </w:p>
              </w:tc>
              <w:tc>
                <w:tcPr>
                  <w:tcW w:w="3155" w:type="dxa"/>
                  <w:vAlign w:val="center"/>
                </w:tcPr>
                <w:p>
                  <w:pPr>
                    <w:adjustRightInd w:val="0"/>
                    <w:snapToGrid w:val="0"/>
                    <w:jc w:val="center"/>
                    <w:rPr>
                      <w:sz w:val="18"/>
                      <w:szCs w:val="18"/>
                    </w:rPr>
                  </w:pPr>
                  <w:r>
                    <w:rPr>
                      <w:sz w:val="18"/>
                      <w:szCs w:val="18"/>
                    </w:rPr>
                    <w:t>125°45′20.28351″，42°17′58.86752″</w:t>
                  </w:r>
                </w:p>
              </w:tc>
            </w:tr>
          </w:tbl>
          <w:p>
            <w:pPr>
              <w:spacing w:line="360" w:lineRule="auto"/>
              <w:ind w:firstLine="420" w:firstLineChars="200"/>
              <w:jc w:val="left"/>
            </w:pPr>
            <w:r>
              <w:t>5、监测要求</w:t>
            </w:r>
          </w:p>
          <w:p>
            <w:pPr>
              <w:spacing w:line="360" w:lineRule="auto"/>
              <w:ind w:firstLine="420" w:firstLineChars="200"/>
              <w:jc w:val="left"/>
            </w:pPr>
            <w:r>
              <w:t>《排污单位自行监测技术指南 火力发电及锅炉》（HJ820-2017），确定本项目废气监测方案，具体详见表25。</w:t>
            </w:r>
          </w:p>
          <w:p>
            <w:pPr>
              <w:snapToGrid w:val="0"/>
              <w:jc w:val="center"/>
              <w:rPr>
                <w:b/>
                <w:bCs/>
              </w:rPr>
            </w:pPr>
            <w:r>
              <w:rPr>
                <w:b/>
                <w:bCs/>
              </w:rPr>
              <w:t>表25  废气监测方案情况</w:t>
            </w:r>
          </w:p>
          <w:tbl>
            <w:tblPr>
              <w:tblStyle w:val="26"/>
              <w:tblW w:w="8501" w:type="dxa"/>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2376"/>
              <w:gridCol w:w="4619"/>
              <w:gridCol w:w="1506"/>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2376" w:type="dxa"/>
                  <w:vAlign w:val="center"/>
                </w:tcPr>
                <w:p>
                  <w:pPr>
                    <w:adjustRightInd w:val="0"/>
                    <w:snapToGrid w:val="0"/>
                    <w:jc w:val="center"/>
                    <w:rPr>
                      <w:sz w:val="18"/>
                      <w:szCs w:val="18"/>
                    </w:rPr>
                  </w:pPr>
                  <w:r>
                    <w:rPr>
                      <w:sz w:val="18"/>
                      <w:szCs w:val="18"/>
                    </w:rPr>
                    <w:t>监测点位</w:t>
                  </w:r>
                </w:p>
              </w:tc>
              <w:tc>
                <w:tcPr>
                  <w:tcW w:w="4619" w:type="dxa"/>
                  <w:vAlign w:val="center"/>
                </w:tcPr>
                <w:p>
                  <w:pPr>
                    <w:adjustRightInd w:val="0"/>
                    <w:snapToGrid w:val="0"/>
                    <w:jc w:val="center"/>
                    <w:rPr>
                      <w:sz w:val="18"/>
                      <w:szCs w:val="18"/>
                    </w:rPr>
                  </w:pPr>
                  <w:r>
                    <w:rPr>
                      <w:sz w:val="18"/>
                      <w:szCs w:val="18"/>
                    </w:rPr>
                    <w:t>监测因子</w:t>
                  </w:r>
                </w:p>
              </w:tc>
              <w:tc>
                <w:tcPr>
                  <w:tcW w:w="1506" w:type="dxa"/>
                  <w:vAlign w:val="center"/>
                </w:tcPr>
                <w:p>
                  <w:pPr>
                    <w:adjustRightInd w:val="0"/>
                    <w:snapToGrid w:val="0"/>
                    <w:jc w:val="center"/>
                    <w:rPr>
                      <w:sz w:val="18"/>
                      <w:szCs w:val="18"/>
                    </w:rPr>
                  </w:pPr>
                  <w:r>
                    <w:rPr>
                      <w:sz w:val="18"/>
                      <w:szCs w:val="18"/>
                    </w:rPr>
                    <w:t>监测频次</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2376" w:type="dxa"/>
                  <w:vAlign w:val="center"/>
                </w:tcPr>
                <w:p>
                  <w:pPr>
                    <w:adjustRightInd w:val="0"/>
                    <w:snapToGrid w:val="0"/>
                    <w:jc w:val="center"/>
                    <w:rPr>
                      <w:sz w:val="18"/>
                      <w:szCs w:val="18"/>
                    </w:rPr>
                  </w:pPr>
                  <w:r>
                    <w:rPr>
                      <w:sz w:val="18"/>
                      <w:szCs w:val="18"/>
                    </w:rPr>
                    <w:t>导热油炉烟囱出口</w:t>
                  </w:r>
                </w:p>
              </w:tc>
              <w:tc>
                <w:tcPr>
                  <w:tcW w:w="4619" w:type="dxa"/>
                  <w:vAlign w:val="center"/>
                </w:tcPr>
                <w:p>
                  <w:pPr>
                    <w:adjustRightInd w:val="0"/>
                    <w:snapToGrid w:val="0"/>
                    <w:jc w:val="center"/>
                    <w:rPr>
                      <w:sz w:val="18"/>
                      <w:szCs w:val="18"/>
                    </w:rPr>
                  </w:pPr>
                  <w:r>
                    <w:rPr>
                      <w:sz w:val="18"/>
                      <w:szCs w:val="18"/>
                    </w:rPr>
                    <w:t>颗粒物、SO</w:t>
                  </w:r>
                  <w:r>
                    <w:rPr>
                      <w:sz w:val="18"/>
                      <w:szCs w:val="18"/>
                      <w:vertAlign w:val="subscript"/>
                    </w:rPr>
                    <w:t>2</w:t>
                  </w:r>
                  <w:r>
                    <w:rPr>
                      <w:sz w:val="18"/>
                      <w:szCs w:val="18"/>
                    </w:rPr>
                    <w:t>、NO</w:t>
                  </w:r>
                  <w:r>
                    <w:rPr>
                      <w:sz w:val="18"/>
                      <w:szCs w:val="18"/>
                      <w:vertAlign w:val="subscript"/>
                    </w:rPr>
                    <w:t>X</w:t>
                  </w:r>
                  <w:r>
                    <w:rPr>
                      <w:sz w:val="18"/>
                      <w:szCs w:val="18"/>
                    </w:rPr>
                    <w:t>、林格曼黑度</w:t>
                  </w:r>
                </w:p>
              </w:tc>
              <w:tc>
                <w:tcPr>
                  <w:tcW w:w="1506" w:type="dxa"/>
                  <w:vAlign w:val="center"/>
                </w:tcPr>
                <w:p>
                  <w:pPr>
                    <w:adjustRightInd w:val="0"/>
                    <w:snapToGrid w:val="0"/>
                    <w:jc w:val="center"/>
                    <w:rPr>
                      <w:sz w:val="18"/>
                      <w:szCs w:val="18"/>
                    </w:rPr>
                  </w:pPr>
                  <w:r>
                    <w:rPr>
                      <w:sz w:val="18"/>
                      <w:szCs w:val="18"/>
                    </w:rPr>
                    <w:t>月</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2376" w:type="dxa"/>
                  <w:vAlign w:val="center"/>
                </w:tcPr>
                <w:p>
                  <w:pPr>
                    <w:adjustRightInd w:val="0"/>
                    <w:snapToGrid w:val="0"/>
                    <w:jc w:val="center"/>
                    <w:rPr>
                      <w:sz w:val="18"/>
                      <w:szCs w:val="18"/>
                    </w:rPr>
                  </w:pPr>
                  <w:r>
                    <w:rPr>
                      <w:sz w:val="18"/>
                      <w:szCs w:val="18"/>
                    </w:rPr>
                    <w:t>厂界</w:t>
                  </w:r>
                </w:p>
              </w:tc>
              <w:tc>
                <w:tcPr>
                  <w:tcW w:w="4619" w:type="dxa"/>
                  <w:vAlign w:val="center"/>
                </w:tcPr>
                <w:p>
                  <w:pPr>
                    <w:adjustRightInd w:val="0"/>
                    <w:snapToGrid w:val="0"/>
                    <w:jc w:val="center"/>
                    <w:rPr>
                      <w:sz w:val="18"/>
                      <w:szCs w:val="18"/>
                    </w:rPr>
                  </w:pPr>
                  <w:r>
                    <w:rPr>
                      <w:sz w:val="18"/>
                      <w:szCs w:val="18"/>
                    </w:rPr>
                    <w:t>颗粒物</w:t>
                  </w:r>
                </w:p>
              </w:tc>
              <w:tc>
                <w:tcPr>
                  <w:tcW w:w="1506" w:type="dxa"/>
                  <w:vAlign w:val="center"/>
                </w:tcPr>
                <w:p>
                  <w:pPr>
                    <w:adjustRightInd w:val="0"/>
                    <w:snapToGrid w:val="0"/>
                    <w:jc w:val="center"/>
                    <w:rPr>
                      <w:sz w:val="18"/>
                      <w:szCs w:val="18"/>
                    </w:rPr>
                  </w:pPr>
                  <w:r>
                    <w:rPr>
                      <w:sz w:val="18"/>
                      <w:szCs w:val="18"/>
                    </w:rPr>
                    <w:t>季度</w:t>
                  </w:r>
                </w:p>
              </w:tc>
            </w:tr>
          </w:tbl>
          <w:p>
            <w:pPr>
              <w:spacing w:line="360" w:lineRule="auto"/>
              <w:ind w:firstLine="420" w:firstLineChars="200"/>
              <w:jc w:val="left"/>
              <w:rPr>
                <w:u w:val="single"/>
              </w:rPr>
            </w:pPr>
            <w:r>
              <w:rPr>
                <w:u w:val="single"/>
              </w:rPr>
              <w:t>6、烟囱高度合规性分析</w:t>
            </w:r>
          </w:p>
          <w:p>
            <w:pPr>
              <w:spacing w:line="360" w:lineRule="auto"/>
              <w:ind w:firstLine="420" w:firstLineChars="200"/>
              <w:jc w:val="left"/>
              <w:rPr>
                <w:u w:val="single"/>
              </w:rPr>
            </w:pPr>
            <w:r>
              <w:rPr>
                <w:u w:val="single"/>
              </w:rPr>
              <w:t>本项目建设后总装机容量为2.29t/h（在2~＜4t/h区间），对应烟囱最低允许高度为30m。现有锅炉房烟囱高度为20m，无法满足标准要求。因此，本次建设须将现有钢制烟囱由20m加高至30m，内径保持30cm不变。</w:t>
            </w:r>
          </w:p>
          <w:p>
            <w:pPr>
              <w:spacing w:line="360" w:lineRule="auto"/>
              <w:ind w:firstLine="420" w:firstLineChars="200"/>
              <w:jc w:val="left"/>
              <w:rPr>
                <w:u w:val="single"/>
              </w:rPr>
            </w:pPr>
            <w:r>
              <w:rPr>
                <w:u w:val="single"/>
              </w:rPr>
              <w:t>此外，根据《锅炉大气污染物排放标准》（GB13271-2014）第4.5条规定：“新建锅炉房的烟囱周围半径200m距离内有建筑物时，其烟囱应高出最高建筑物3m以上。”经现场踏勘及卫星影像核实，本项目导热油炉烟囱周围半径200m范围内最高建筑物为厂区北侧办公楼（高度约10m）及周边企业厂房（高度约12~15m），最高建筑物高度不超过25m。本项目烟囱加高至30m后，可满足高出周围半径200m内最高建筑物3m以上的要求。</w:t>
            </w:r>
          </w:p>
          <w:p>
            <w:pPr>
              <w:spacing w:line="360" w:lineRule="auto"/>
              <w:ind w:firstLine="420" w:firstLineChars="200"/>
              <w:jc w:val="left"/>
              <w:rPr>
                <w:u w:val="single"/>
              </w:rPr>
            </w:pPr>
            <w:r>
              <w:rPr>
                <w:u w:val="single"/>
              </w:rPr>
              <w:t>烟囱改造结论：现有20m高烟囱无法满足《锅炉大气污染物排放标准》（GB13271-2014）表4对2~＜4t/h锅炉房烟囱最低允许高度30m的要求，须将烟囱加高至30m。</w:t>
            </w:r>
          </w:p>
          <w:p>
            <w:pPr>
              <w:spacing w:line="360" w:lineRule="auto"/>
              <w:ind w:firstLine="420" w:firstLineChars="200"/>
              <w:jc w:val="left"/>
            </w:pPr>
            <w:r>
              <w:t>三、噪声</w:t>
            </w:r>
          </w:p>
          <w:p>
            <w:pPr>
              <w:spacing w:line="360" w:lineRule="auto"/>
              <w:ind w:firstLine="420" w:firstLineChars="200"/>
              <w:jc w:val="left"/>
            </w:pPr>
            <w:r>
              <w:t>1、源强核算</w:t>
            </w:r>
          </w:p>
          <w:p>
            <w:pPr>
              <w:spacing w:line="360" w:lineRule="auto"/>
              <w:ind w:firstLine="420" w:firstLineChars="200"/>
              <w:jc w:val="left"/>
            </w:pPr>
            <w:r>
              <w:t>本项目营运期的噪声主要为循环泵、加油泵、引风机及燃烧器等设备噪声，均布置于锅炉房内。</w:t>
            </w:r>
            <w:r>
              <w:rPr>
                <w:rFonts w:hint="eastAsia"/>
              </w:rPr>
              <w:t>根据</w:t>
            </w:r>
            <w:r>
              <w:t>《环境噪声与振动控制工程技术导则》（HJ2034-2013）及同类设备实测数据，本项目循环泵声功率级为78dB（A），加油泵声功率级为75dB（A），引风机声功率级为85dB（A），燃烧器声功率级为80dB（A）。在采取减振基础、柔性连接、消声器、隔声罩等降噪措施后，建筑物外1m处噪声压级可降至41~51dB（A）。本项目各设备噪声源强详见表26。</w:t>
            </w:r>
          </w:p>
          <w:p>
            <w:pPr>
              <w:jc w:val="center"/>
              <w:rPr>
                <w:b/>
                <w:bCs/>
              </w:rPr>
            </w:pPr>
            <w:r>
              <w:rPr>
                <w:b/>
                <w:bCs/>
              </w:rPr>
              <w:t>表26  本项目各设备噪声排放源强（室内声源）</w:t>
            </w:r>
          </w:p>
          <w:tbl>
            <w:tblPr>
              <w:tblStyle w:val="26"/>
              <w:tblW w:w="8491" w:type="dxa"/>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346"/>
              <w:gridCol w:w="476"/>
              <w:gridCol w:w="346"/>
              <w:gridCol w:w="736"/>
              <w:gridCol w:w="736"/>
              <w:gridCol w:w="736"/>
              <w:gridCol w:w="517"/>
              <w:gridCol w:w="422"/>
              <w:gridCol w:w="452"/>
              <w:gridCol w:w="606"/>
              <w:gridCol w:w="722"/>
              <w:gridCol w:w="476"/>
              <w:gridCol w:w="722"/>
              <w:gridCol w:w="722"/>
              <w:gridCol w:w="476"/>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46" w:type="dxa"/>
                  <w:vMerge w:val="restart"/>
                  <w:tcBorders>
                    <w:tl2br w:val="nil"/>
                    <w:tr2bl w:val="nil"/>
                  </w:tcBorders>
                  <w:vAlign w:val="center"/>
                </w:tcPr>
                <w:p>
                  <w:pPr>
                    <w:adjustRightInd w:val="0"/>
                    <w:snapToGrid w:val="0"/>
                    <w:jc w:val="center"/>
                    <w:rPr>
                      <w:sz w:val="13"/>
                      <w:szCs w:val="13"/>
                      <w:u w:val="single"/>
                    </w:rPr>
                  </w:pPr>
                  <w:r>
                    <w:rPr>
                      <w:sz w:val="13"/>
                      <w:szCs w:val="13"/>
                      <w:u w:val="single"/>
                    </w:rPr>
                    <w:t>序</w:t>
                  </w:r>
                </w:p>
                <w:p>
                  <w:pPr>
                    <w:adjustRightInd w:val="0"/>
                    <w:snapToGrid w:val="0"/>
                    <w:jc w:val="center"/>
                    <w:rPr>
                      <w:sz w:val="13"/>
                      <w:szCs w:val="13"/>
                      <w:u w:val="single"/>
                    </w:rPr>
                  </w:pPr>
                  <w:r>
                    <w:rPr>
                      <w:sz w:val="13"/>
                      <w:szCs w:val="13"/>
                      <w:u w:val="single"/>
                    </w:rPr>
                    <w:t>号</w:t>
                  </w:r>
                </w:p>
              </w:tc>
              <w:tc>
                <w:tcPr>
                  <w:tcW w:w="476" w:type="dxa"/>
                  <w:vMerge w:val="restart"/>
                  <w:tcBorders>
                    <w:tl2br w:val="nil"/>
                    <w:tr2bl w:val="nil"/>
                  </w:tcBorders>
                  <w:vAlign w:val="center"/>
                </w:tcPr>
                <w:p>
                  <w:pPr>
                    <w:adjustRightInd w:val="0"/>
                    <w:snapToGrid w:val="0"/>
                    <w:jc w:val="center"/>
                    <w:rPr>
                      <w:sz w:val="13"/>
                      <w:szCs w:val="13"/>
                      <w:u w:val="single"/>
                    </w:rPr>
                  </w:pPr>
                  <w:r>
                    <w:rPr>
                      <w:sz w:val="13"/>
                      <w:szCs w:val="13"/>
                      <w:u w:val="single"/>
                    </w:rPr>
                    <w:t>建筑</w:t>
                  </w:r>
                </w:p>
                <w:p>
                  <w:pPr>
                    <w:adjustRightInd w:val="0"/>
                    <w:snapToGrid w:val="0"/>
                    <w:jc w:val="center"/>
                    <w:rPr>
                      <w:sz w:val="13"/>
                      <w:szCs w:val="13"/>
                      <w:u w:val="single"/>
                    </w:rPr>
                  </w:pPr>
                  <w:r>
                    <w:rPr>
                      <w:sz w:val="13"/>
                      <w:szCs w:val="13"/>
                      <w:u w:val="single"/>
                    </w:rPr>
                    <w:t>物名</w:t>
                  </w:r>
                </w:p>
                <w:p>
                  <w:pPr>
                    <w:adjustRightInd w:val="0"/>
                    <w:snapToGrid w:val="0"/>
                    <w:jc w:val="center"/>
                    <w:rPr>
                      <w:sz w:val="13"/>
                      <w:szCs w:val="13"/>
                      <w:u w:val="single"/>
                    </w:rPr>
                  </w:pPr>
                  <w:r>
                    <w:rPr>
                      <w:sz w:val="13"/>
                      <w:szCs w:val="13"/>
                      <w:u w:val="single"/>
                    </w:rPr>
                    <w:t>称</w:t>
                  </w:r>
                </w:p>
              </w:tc>
              <w:tc>
                <w:tcPr>
                  <w:tcW w:w="346" w:type="dxa"/>
                  <w:vMerge w:val="restart"/>
                  <w:tcBorders>
                    <w:tl2br w:val="nil"/>
                    <w:tr2bl w:val="nil"/>
                  </w:tcBorders>
                  <w:vAlign w:val="center"/>
                </w:tcPr>
                <w:p>
                  <w:pPr>
                    <w:adjustRightInd w:val="0"/>
                    <w:snapToGrid w:val="0"/>
                    <w:jc w:val="center"/>
                    <w:rPr>
                      <w:sz w:val="13"/>
                      <w:szCs w:val="13"/>
                      <w:u w:val="single"/>
                    </w:rPr>
                  </w:pPr>
                  <w:r>
                    <w:rPr>
                      <w:sz w:val="13"/>
                      <w:szCs w:val="13"/>
                      <w:u w:val="single"/>
                    </w:rPr>
                    <w:t>声</w:t>
                  </w:r>
                </w:p>
                <w:p>
                  <w:pPr>
                    <w:adjustRightInd w:val="0"/>
                    <w:snapToGrid w:val="0"/>
                    <w:jc w:val="center"/>
                    <w:rPr>
                      <w:sz w:val="13"/>
                      <w:szCs w:val="13"/>
                      <w:u w:val="single"/>
                    </w:rPr>
                  </w:pPr>
                  <w:r>
                    <w:rPr>
                      <w:sz w:val="13"/>
                      <w:szCs w:val="13"/>
                      <w:u w:val="single"/>
                    </w:rPr>
                    <w:t>源</w:t>
                  </w:r>
                </w:p>
                <w:p>
                  <w:pPr>
                    <w:adjustRightInd w:val="0"/>
                    <w:snapToGrid w:val="0"/>
                    <w:jc w:val="center"/>
                    <w:rPr>
                      <w:sz w:val="13"/>
                      <w:szCs w:val="13"/>
                      <w:u w:val="single"/>
                    </w:rPr>
                  </w:pPr>
                  <w:r>
                    <w:rPr>
                      <w:sz w:val="13"/>
                      <w:szCs w:val="13"/>
                      <w:u w:val="single"/>
                    </w:rPr>
                    <w:t>名</w:t>
                  </w:r>
                </w:p>
                <w:p>
                  <w:pPr>
                    <w:adjustRightInd w:val="0"/>
                    <w:snapToGrid w:val="0"/>
                    <w:jc w:val="center"/>
                    <w:rPr>
                      <w:sz w:val="13"/>
                      <w:szCs w:val="13"/>
                      <w:u w:val="single"/>
                    </w:rPr>
                  </w:pPr>
                  <w:r>
                    <w:rPr>
                      <w:sz w:val="13"/>
                      <w:szCs w:val="13"/>
                      <w:u w:val="single"/>
                    </w:rPr>
                    <w:t>称</w:t>
                  </w:r>
                </w:p>
              </w:tc>
              <w:tc>
                <w:tcPr>
                  <w:tcW w:w="736" w:type="dxa"/>
                  <w:vMerge w:val="restart"/>
                  <w:tcBorders>
                    <w:tl2br w:val="nil"/>
                    <w:tr2bl w:val="nil"/>
                  </w:tcBorders>
                  <w:vAlign w:val="center"/>
                </w:tcPr>
                <w:p>
                  <w:pPr>
                    <w:adjustRightInd w:val="0"/>
                    <w:snapToGrid w:val="0"/>
                    <w:jc w:val="center"/>
                    <w:rPr>
                      <w:sz w:val="13"/>
                      <w:szCs w:val="13"/>
                      <w:u w:val="single"/>
                    </w:rPr>
                  </w:pPr>
                  <w:r>
                    <w:rPr>
                      <w:sz w:val="13"/>
                      <w:szCs w:val="13"/>
                      <w:u w:val="single"/>
                    </w:rPr>
                    <w:t>型号</w:t>
                  </w:r>
                </w:p>
              </w:tc>
              <w:tc>
                <w:tcPr>
                  <w:tcW w:w="736" w:type="dxa"/>
                  <w:tcBorders>
                    <w:tl2br w:val="nil"/>
                    <w:tr2bl w:val="nil"/>
                  </w:tcBorders>
                  <w:vAlign w:val="center"/>
                </w:tcPr>
                <w:p>
                  <w:pPr>
                    <w:adjustRightInd w:val="0"/>
                    <w:snapToGrid w:val="0"/>
                    <w:jc w:val="center"/>
                    <w:rPr>
                      <w:sz w:val="13"/>
                      <w:szCs w:val="13"/>
                      <w:u w:val="single"/>
                    </w:rPr>
                  </w:pPr>
                  <w:r>
                    <w:rPr>
                      <w:sz w:val="13"/>
                      <w:szCs w:val="13"/>
                      <w:u w:val="single"/>
                    </w:rPr>
                    <w:t>声源源强</w:t>
                  </w:r>
                </w:p>
              </w:tc>
              <w:tc>
                <w:tcPr>
                  <w:tcW w:w="736" w:type="dxa"/>
                  <w:vMerge w:val="restart"/>
                  <w:tcBorders>
                    <w:tl2br w:val="nil"/>
                    <w:tr2bl w:val="nil"/>
                  </w:tcBorders>
                  <w:vAlign w:val="center"/>
                </w:tcPr>
                <w:p>
                  <w:pPr>
                    <w:adjustRightInd w:val="0"/>
                    <w:snapToGrid w:val="0"/>
                    <w:jc w:val="center"/>
                    <w:rPr>
                      <w:sz w:val="13"/>
                      <w:szCs w:val="13"/>
                      <w:u w:val="single"/>
                    </w:rPr>
                  </w:pPr>
                  <w:r>
                    <w:rPr>
                      <w:sz w:val="13"/>
                      <w:szCs w:val="13"/>
                      <w:u w:val="single"/>
                    </w:rPr>
                    <w:t>声源控制</w:t>
                  </w:r>
                </w:p>
                <w:p>
                  <w:pPr>
                    <w:adjustRightInd w:val="0"/>
                    <w:snapToGrid w:val="0"/>
                    <w:jc w:val="center"/>
                    <w:rPr>
                      <w:sz w:val="13"/>
                      <w:szCs w:val="13"/>
                      <w:u w:val="single"/>
                    </w:rPr>
                  </w:pPr>
                  <w:r>
                    <w:rPr>
                      <w:sz w:val="13"/>
                      <w:szCs w:val="13"/>
                      <w:u w:val="single"/>
                    </w:rPr>
                    <w:t>措施</w:t>
                  </w:r>
                </w:p>
              </w:tc>
              <w:tc>
                <w:tcPr>
                  <w:tcW w:w="1391" w:type="dxa"/>
                  <w:gridSpan w:val="3"/>
                  <w:tcBorders>
                    <w:tl2br w:val="nil"/>
                    <w:tr2bl w:val="nil"/>
                  </w:tcBorders>
                  <w:vAlign w:val="center"/>
                </w:tcPr>
                <w:p>
                  <w:pPr>
                    <w:adjustRightInd w:val="0"/>
                    <w:snapToGrid w:val="0"/>
                    <w:jc w:val="center"/>
                    <w:rPr>
                      <w:sz w:val="13"/>
                      <w:szCs w:val="13"/>
                      <w:u w:val="single"/>
                    </w:rPr>
                  </w:pPr>
                  <w:r>
                    <w:rPr>
                      <w:sz w:val="13"/>
                      <w:szCs w:val="13"/>
                      <w:u w:val="single"/>
                    </w:rPr>
                    <w:t>空间相对位置/m</w:t>
                  </w:r>
                </w:p>
              </w:tc>
              <w:tc>
                <w:tcPr>
                  <w:tcW w:w="606" w:type="dxa"/>
                  <w:vMerge w:val="restart"/>
                  <w:tcBorders>
                    <w:tl2br w:val="nil"/>
                    <w:tr2bl w:val="nil"/>
                  </w:tcBorders>
                  <w:vAlign w:val="center"/>
                </w:tcPr>
                <w:p>
                  <w:pPr>
                    <w:adjustRightInd w:val="0"/>
                    <w:snapToGrid w:val="0"/>
                    <w:jc w:val="center"/>
                    <w:rPr>
                      <w:sz w:val="13"/>
                      <w:szCs w:val="13"/>
                      <w:u w:val="single"/>
                    </w:rPr>
                  </w:pPr>
                  <w:r>
                    <w:rPr>
                      <w:sz w:val="13"/>
                      <w:szCs w:val="13"/>
                      <w:u w:val="single"/>
                    </w:rPr>
                    <w:t>距室内</w:t>
                  </w:r>
                </w:p>
                <w:p>
                  <w:pPr>
                    <w:adjustRightInd w:val="0"/>
                    <w:snapToGrid w:val="0"/>
                    <w:jc w:val="center"/>
                    <w:rPr>
                      <w:sz w:val="13"/>
                      <w:szCs w:val="13"/>
                      <w:u w:val="single"/>
                    </w:rPr>
                  </w:pPr>
                  <w:r>
                    <w:rPr>
                      <w:sz w:val="13"/>
                      <w:szCs w:val="13"/>
                      <w:u w:val="single"/>
                    </w:rPr>
                    <w:t>边界</w:t>
                  </w:r>
                </w:p>
                <w:p>
                  <w:pPr>
                    <w:adjustRightInd w:val="0"/>
                    <w:snapToGrid w:val="0"/>
                    <w:jc w:val="center"/>
                    <w:rPr>
                      <w:sz w:val="13"/>
                      <w:szCs w:val="13"/>
                      <w:u w:val="single"/>
                    </w:rPr>
                  </w:pPr>
                  <w:r>
                    <w:rPr>
                      <w:sz w:val="13"/>
                      <w:szCs w:val="13"/>
                      <w:u w:val="single"/>
                    </w:rPr>
                    <w:t>距离</w:t>
                  </w:r>
                </w:p>
                <w:p>
                  <w:pPr>
                    <w:adjustRightInd w:val="0"/>
                    <w:snapToGrid w:val="0"/>
                    <w:jc w:val="center"/>
                    <w:rPr>
                      <w:sz w:val="13"/>
                      <w:szCs w:val="13"/>
                      <w:u w:val="single"/>
                    </w:rPr>
                  </w:pPr>
                  <w:r>
                    <w:rPr>
                      <w:sz w:val="13"/>
                      <w:szCs w:val="13"/>
                      <w:u w:val="single"/>
                    </w:rPr>
                    <w:t>m</w:t>
                  </w:r>
                </w:p>
              </w:tc>
              <w:tc>
                <w:tcPr>
                  <w:tcW w:w="722" w:type="dxa"/>
                  <w:vMerge w:val="restart"/>
                  <w:tcBorders>
                    <w:tl2br w:val="nil"/>
                    <w:tr2bl w:val="nil"/>
                  </w:tcBorders>
                  <w:vAlign w:val="center"/>
                </w:tcPr>
                <w:p>
                  <w:pPr>
                    <w:adjustRightInd w:val="0"/>
                    <w:snapToGrid w:val="0"/>
                    <w:jc w:val="center"/>
                    <w:rPr>
                      <w:sz w:val="13"/>
                      <w:szCs w:val="13"/>
                      <w:u w:val="single"/>
                    </w:rPr>
                  </w:pPr>
                  <w:r>
                    <w:rPr>
                      <w:sz w:val="13"/>
                      <w:szCs w:val="13"/>
                      <w:u w:val="single"/>
                    </w:rPr>
                    <w:t>室内</w:t>
                  </w:r>
                </w:p>
                <w:p>
                  <w:pPr>
                    <w:adjustRightInd w:val="0"/>
                    <w:snapToGrid w:val="0"/>
                    <w:jc w:val="center"/>
                    <w:rPr>
                      <w:sz w:val="13"/>
                      <w:szCs w:val="13"/>
                      <w:u w:val="single"/>
                    </w:rPr>
                  </w:pPr>
                  <w:r>
                    <w:rPr>
                      <w:sz w:val="13"/>
                      <w:szCs w:val="13"/>
                      <w:u w:val="single"/>
                    </w:rPr>
                    <w:t>边界</w:t>
                  </w:r>
                </w:p>
                <w:p>
                  <w:pPr>
                    <w:adjustRightInd w:val="0"/>
                    <w:snapToGrid w:val="0"/>
                    <w:jc w:val="center"/>
                    <w:rPr>
                      <w:sz w:val="13"/>
                      <w:szCs w:val="13"/>
                      <w:u w:val="single"/>
                    </w:rPr>
                  </w:pPr>
                  <w:r>
                    <w:rPr>
                      <w:sz w:val="13"/>
                      <w:szCs w:val="13"/>
                      <w:u w:val="single"/>
                    </w:rPr>
                    <w:t>声级</w:t>
                  </w:r>
                </w:p>
                <w:p>
                  <w:pPr>
                    <w:adjustRightInd w:val="0"/>
                    <w:snapToGrid w:val="0"/>
                    <w:jc w:val="center"/>
                    <w:rPr>
                      <w:sz w:val="13"/>
                      <w:szCs w:val="13"/>
                      <w:u w:val="single"/>
                    </w:rPr>
                  </w:pPr>
                  <w:r>
                    <w:rPr>
                      <w:sz w:val="13"/>
                      <w:szCs w:val="13"/>
                      <w:u w:val="single"/>
                    </w:rPr>
                    <w:t>dB</w:t>
                  </w:r>
                  <w:r>
                    <w:rPr>
                      <w:kern w:val="0"/>
                      <w:sz w:val="13"/>
                      <w:szCs w:val="13"/>
                      <w:u w:val="single"/>
                    </w:rPr>
                    <w:t>（A）</w:t>
                  </w:r>
                </w:p>
              </w:tc>
              <w:tc>
                <w:tcPr>
                  <w:tcW w:w="476" w:type="dxa"/>
                  <w:vMerge w:val="restart"/>
                  <w:tcBorders>
                    <w:tl2br w:val="nil"/>
                    <w:tr2bl w:val="nil"/>
                  </w:tcBorders>
                  <w:vAlign w:val="center"/>
                </w:tcPr>
                <w:p>
                  <w:pPr>
                    <w:adjustRightInd w:val="0"/>
                    <w:snapToGrid w:val="0"/>
                    <w:jc w:val="center"/>
                    <w:rPr>
                      <w:sz w:val="13"/>
                      <w:szCs w:val="13"/>
                      <w:u w:val="single"/>
                    </w:rPr>
                  </w:pPr>
                  <w:r>
                    <w:rPr>
                      <w:sz w:val="13"/>
                      <w:szCs w:val="13"/>
                      <w:u w:val="single"/>
                    </w:rPr>
                    <w:t>运行</w:t>
                  </w:r>
                </w:p>
                <w:p>
                  <w:pPr>
                    <w:adjustRightInd w:val="0"/>
                    <w:snapToGrid w:val="0"/>
                    <w:jc w:val="center"/>
                    <w:rPr>
                      <w:sz w:val="13"/>
                      <w:szCs w:val="13"/>
                      <w:u w:val="single"/>
                    </w:rPr>
                  </w:pPr>
                  <w:r>
                    <w:rPr>
                      <w:sz w:val="13"/>
                      <w:szCs w:val="13"/>
                      <w:u w:val="single"/>
                    </w:rPr>
                    <w:t>时段</w:t>
                  </w:r>
                </w:p>
              </w:tc>
              <w:tc>
                <w:tcPr>
                  <w:tcW w:w="722" w:type="dxa"/>
                  <w:vMerge w:val="restart"/>
                  <w:tcBorders>
                    <w:tl2br w:val="nil"/>
                    <w:tr2bl w:val="nil"/>
                  </w:tcBorders>
                  <w:vAlign w:val="center"/>
                </w:tcPr>
                <w:p>
                  <w:pPr>
                    <w:adjustRightInd w:val="0"/>
                    <w:snapToGrid w:val="0"/>
                    <w:jc w:val="center"/>
                    <w:rPr>
                      <w:sz w:val="13"/>
                      <w:szCs w:val="13"/>
                      <w:u w:val="single"/>
                    </w:rPr>
                  </w:pPr>
                  <w:r>
                    <w:rPr>
                      <w:sz w:val="13"/>
                      <w:szCs w:val="13"/>
                      <w:u w:val="single"/>
                    </w:rPr>
                    <w:t>建筑物</w:t>
                  </w:r>
                </w:p>
                <w:p>
                  <w:pPr>
                    <w:adjustRightInd w:val="0"/>
                    <w:snapToGrid w:val="0"/>
                    <w:jc w:val="center"/>
                    <w:rPr>
                      <w:sz w:val="13"/>
                      <w:szCs w:val="13"/>
                      <w:u w:val="single"/>
                    </w:rPr>
                  </w:pPr>
                  <w:r>
                    <w:rPr>
                      <w:sz w:val="13"/>
                      <w:szCs w:val="13"/>
                      <w:u w:val="single"/>
                    </w:rPr>
                    <w:t>插入损</w:t>
                  </w:r>
                </w:p>
                <w:p>
                  <w:pPr>
                    <w:adjustRightInd w:val="0"/>
                    <w:snapToGrid w:val="0"/>
                    <w:jc w:val="center"/>
                    <w:rPr>
                      <w:sz w:val="13"/>
                      <w:szCs w:val="13"/>
                      <w:u w:val="single"/>
                    </w:rPr>
                  </w:pPr>
                  <w:r>
                    <w:rPr>
                      <w:sz w:val="13"/>
                      <w:szCs w:val="13"/>
                      <w:u w:val="single"/>
                    </w:rPr>
                    <w:t>失</w:t>
                  </w:r>
                </w:p>
                <w:p>
                  <w:pPr>
                    <w:adjustRightInd w:val="0"/>
                    <w:snapToGrid w:val="0"/>
                    <w:jc w:val="center"/>
                    <w:rPr>
                      <w:sz w:val="13"/>
                      <w:szCs w:val="13"/>
                      <w:u w:val="single"/>
                    </w:rPr>
                  </w:pPr>
                  <w:r>
                    <w:rPr>
                      <w:sz w:val="13"/>
                      <w:szCs w:val="13"/>
                      <w:u w:val="single"/>
                    </w:rPr>
                    <w:t>dB</w:t>
                  </w:r>
                  <w:r>
                    <w:rPr>
                      <w:kern w:val="0"/>
                      <w:sz w:val="13"/>
                      <w:szCs w:val="13"/>
                      <w:u w:val="single"/>
                    </w:rPr>
                    <w:t>（A）</w:t>
                  </w:r>
                </w:p>
              </w:tc>
              <w:tc>
                <w:tcPr>
                  <w:tcW w:w="1198" w:type="dxa"/>
                  <w:gridSpan w:val="2"/>
                  <w:tcBorders>
                    <w:tl2br w:val="nil"/>
                    <w:tr2bl w:val="nil"/>
                  </w:tcBorders>
                  <w:vAlign w:val="center"/>
                </w:tcPr>
                <w:p>
                  <w:pPr>
                    <w:adjustRightInd w:val="0"/>
                    <w:snapToGrid w:val="0"/>
                    <w:jc w:val="center"/>
                    <w:rPr>
                      <w:sz w:val="13"/>
                      <w:szCs w:val="13"/>
                      <w:u w:val="single"/>
                    </w:rPr>
                  </w:pPr>
                  <w:r>
                    <w:rPr>
                      <w:sz w:val="13"/>
                      <w:szCs w:val="13"/>
                      <w:u w:val="single"/>
                    </w:rPr>
                    <w:t>建筑物外噪声</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46" w:type="dxa"/>
                  <w:vMerge w:val="continue"/>
                  <w:tcBorders>
                    <w:tl2br w:val="nil"/>
                    <w:tr2bl w:val="nil"/>
                  </w:tcBorders>
                  <w:vAlign w:val="center"/>
                </w:tcPr>
                <w:p>
                  <w:pPr>
                    <w:adjustRightInd w:val="0"/>
                    <w:snapToGrid w:val="0"/>
                    <w:jc w:val="center"/>
                    <w:rPr>
                      <w:sz w:val="13"/>
                      <w:szCs w:val="13"/>
                      <w:u w:val="single"/>
                    </w:rPr>
                  </w:pPr>
                </w:p>
              </w:tc>
              <w:tc>
                <w:tcPr>
                  <w:tcW w:w="476" w:type="dxa"/>
                  <w:vMerge w:val="continue"/>
                  <w:tcBorders>
                    <w:tl2br w:val="nil"/>
                    <w:tr2bl w:val="nil"/>
                  </w:tcBorders>
                  <w:vAlign w:val="center"/>
                </w:tcPr>
                <w:p>
                  <w:pPr>
                    <w:adjustRightInd w:val="0"/>
                    <w:snapToGrid w:val="0"/>
                    <w:jc w:val="center"/>
                    <w:rPr>
                      <w:sz w:val="13"/>
                      <w:szCs w:val="13"/>
                      <w:u w:val="single"/>
                    </w:rPr>
                  </w:pPr>
                </w:p>
              </w:tc>
              <w:tc>
                <w:tcPr>
                  <w:tcW w:w="346" w:type="dxa"/>
                  <w:vMerge w:val="continue"/>
                  <w:tcBorders>
                    <w:tl2br w:val="nil"/>
                    <w:tr2bl w:val="nil"/>
                  </w:tcBorders>
                  <w:vAlign w:val="center"/>
                </w:tcPr>
                <w:p>
                  <w:pPr>
                    <w:adjustRightInd w:val="0"/>
                    <w:snapToGrid w:val="0"/>
                    <w:jc w:val="center"/>
                    <w:rPr>
                      <w:sz w:val="13"/>
                      <w:szCs w:val="13"/>
                      <w:u w:val="single"/>
                    </w:rPr>
                  </w:pPr>
                </w:p>
              </w:tc>
              <w:tc>
                <w:tcPr>
                  <w:tcW w:w="736" w:type="dxa"/>
                  <w:vMerge w:val="continue"/>
                  <w:tcBorders>
                    <w:tl2br w:val="nil"/>
                    <w:tr2bl w:val="nil"/>
                  </w:tcBorders>
                  <w:vAlign w:val="center"/>
                </w:tcPr>
                <w:p>
                  <w:pPr>
                    <w:adjustRightInd w:val="0"/>
                    <w:snapToGrid w:val="0"/>
                    <w:jc w:val="center"/>
                    <w:rPr>
                      <w:sz w:val="13"/>
                      <w:szCs w:val="13"/>
                      <w:u w:val="single"/>
                    </w:rPr>
                  </w:pPr>
                </w:p>
              </w:tc>
              <w:tc>
                <w:tcPr>
                  <w:tcW w:w="736" w:type="dxa"/>
                  <w:tcBorders>
                    <w:tl2br w:val="nil"/>
                    <w:tr2bl w:val="nil"/>
                  </w:tcBorders>
                  <w:vAlign w:val="center"/>
                </w:tcPr>
                <w:p>
                  <w:pPr>
                    <w:adjustRightInd w:val="0"/>
                    <w:snapToGrid w:val="0"/>
                    <w:jc w:val="center"/>
                    <w:rPr>
                      <w:sz w:val="13"/>
                      <w:szCs w:val="13"/>
                      <w:u w:val="single"/>
                    </w:rPr>
                  </w:pPr>
                  <w:r>
                    <w:rPr>
                      <w:sz w:val="13"/>
                      <w:szCs w:val="13"/>
                      <w:u w:val="single"/>
                    </w:rPr>
                    <w:t>声功率级</w:t>
                  </w:r>
                </w:p>
                <w:p>
                  <w:pPr>
                    <w:adjustRightInd w:val="0"/>
                    <w:snapToGrid w:val="0"/>
                    <w:jc w:val="center"/>
                    <w:rPr>
                      <w:sz w:val="13"/>
                      <w:szCs w:val="13"/>
                      <w:u w:val="single"/>
                    </w:rPr>
                  </w:pPr>
                  <w:r>
                    <w:rPr>
                      <w:sz w:val="13"/>
                      <w:szCs w:val="13"/>
                      <w:u w:val="single"/>
                    </w:rPr>
                    <w:t>dB</w:t>
                  </w:r>
                  <w:r>
                    <w:rPr>
                      <w:kern w:val="0"/>
                      <w:sz w:val="13"/>
                      <w:szCs w:val="13"/>
                      <w:u w:val="single"/>
                    </w:rPr>
                    <w:t>（A）</w:t>
                  </w:r>
                </w:p>
              </w:tc>
              <w:tc>
                <w:tcPr>
                  <w:tcW w:w="736" w:type="dxa"/>
                  <w:vMerge w:val="continue"/>
                  <w:tcBorders>
                    <w:tl2br w:val="nil"/>
                    <w:tr2bl w:val="nil"/>
                  </w:tcBorders>
                  <w:vAlign w:val="center"/>
                </w:tcPr>
                <w:p>
                  <w:pPr>
                    <w:adjustRightInd w:val="0"/>
                    <w:snapToGrid w:val="0"/>
                    <w:jc w:val="center"/>
                    <w:rPr>
                      <w:sz w:val="13"/>
                      <w:szCs w:val="13"/>
                      <w:u w:val="single"/>
                    </w:rPr>
                  </w:pPr>
                </w:p>
              </w:tc>
              <w:tc>
                <w:tcPr>
                  <w:tcW w:w="517" w:type="dxa"/>
                  <w:tcBorders>
                    <w:tl2br w:val="nil"/>
                    <w:tr2bl w:val="nil"/>
                  </w:tcBorders>
                  <w:vAlign w:val="center"/>
                </w:tcPr>
                <w:p>
                  <w:pPr>
                    <w:adjustRightInd w:val="0"/>
                    <w:snapToGrid w:val="0"/>
                    <w:jc w:val="center"/>
                    <w:rPr>
                      <w:sz w:val="13"/>
                      <w:szCs w:val="13"/>
                      <w:u w:val="single"/>
                    </w:rPr>
                  </w:pPr>
                  <w:r>
                    <w:rPr>
                      <w:sz w:val="13"/>
                      <w:szCs w:val="13"/>
                      <w:u w:val="single"/>
                    </w:rPr>
                    <w:t>X</w:t>
                  </w:r>
                </w:p>
              </w:tc>
              <w:tc>
                <w:tcPr>
                  <w:tcW w:w="422" w:type="dxa"/>
                  <w:tcBorders>
                    <w:tl2br w:val="nil"/>
                    <w:tr2bl w:val="nil"/>
                  </w:tcBorders>
                  <w:vAlign w:val="center"/>
                </w:tcPr>
                <w:p>
                  <w:pPr>
                    <w:adjustRightInd w:val="0"/>
                    <w:snapToGrid w:val="0"/>
                    <w:jc w:val="center"/>
                    <w:rPr>
                      <w:sz w:val="13"/>
                      <w:szCs w:val="13"/>
                      <w:u w:val="single"/>
                    </w:rPr>
                  </w:pPr>
                  <w:r>
                    <w:rPr>
                      <w:sz w:val="13"/>
                      <w:szCs w:val="13"/>
                      <w:u w:val="single"/>
                    </w:rPr>
                    <w:t>Y</w:t>
                  </w:r>
                </w:p>
              </w:tc>
              <w:tc>
                <w:tcPr>
                  <w:tcW w:w="452" w:type="dxa"/>
                  <w:tcBorders>
                    <w:tl2br w:val="nil"/>
                    <w:tr2bl w:val="nil"/>
                  </w:tcBorders>
                  <w:vAlign w:val="center"/>
                </w:tcPr>
                <w:p>
                  <w:pPr>
                    <w:adjustRightInd w:val="0"/>
                    <w:snapToGrid w:val="0"/>
                    <w:jc w:val="center"/>
                    <w:rPr>
                      <w:sz w:val="13"/>
                      <w:szCs w:val="13"/>
                      <w:u w:val="single"/>
                    </w:rPr>
                  </w:pPr>
                  <w:r>
                    <w:rPr>
                      <w:sz w:val="13"/>
                      <w:szCs w:val="13"/>
                      <w:u w:val="single"/>
                    </w:rPr>
                    <w:t>Z</w:t>
                  </w:r>
                </w:p>
              </w:tc>
              <w:tc>
                <w:tcPr>
                  <w:tcW w:w="606" w:type="dxa"/>
                  <w:vMerge w:val="continue"/>
                  <w:tcBorders>
                    <w:tl2br w:val="nil"/>
                    <w:tr2bl w:val="nil"/>
                  </w:tcBorders>
                  <w:vAlign w:val="center"/>
                </w:tcPr>
                <w:p>
                  <w:pPr>
                    <w:adjustRightInd w:val="0"/>
                    <w:snapToGrid w:val="0"/>
                    <w:jc w:val="center"/>
                    <w:rPr>
                      <w:sz w:val="13"/>
                      <w:szCs w:val="13"/>
                      <w:u w:val="single"/>
                    </w:rPr>
                  </w:pPr>
                </w:p>
              </w:tc>
              <w:tc>
                <w:tcPr>
                  <w:tcW w:w="722" w:type="dxa"/>
                  <w:vMerge w:val="continue"/>
                  <w:tcBorders>
                    <w:tl2br w:val="nil"/>
                    <w:tr2bl w:val="nil"/>
                  </w:tcBorders>
                  <w:vAlign w:val="center"/>
                </w:tcPr>
                <w:p>
                  <w:pPr>
                    <w:adjustRightInd w:val="0"/>
                    <w:snapToGrid w:val="0"/>
                    <w:jc w:val="center"/>
                    <w:rPr>
                      <w:sz w:val="13"/>
                      <w:szCs w:val="13"/>
                      <w:u w:val="single"/>
                    </w:rPr>
                  </w:pPr>
                </w:p>
              </w:tc>
              <w:tc>
                <w:tcPr>
                  <w:tcW w:w="476" w:type="dxa"/>
                  <w:vMerge w:val="continue"/>
                  <w:tcBorders>
                    <w:tl2br w:val="nil"/>
                    <w:tr2bl w:val="nil"/>
                  </w:tcBorders>
                  <w:vAlign w:val="center"/>
                </w:tcPr>
                <w:p>
                  <w:pPr>
                    <w:adjustRightInd w:val="0"/>
                    <w:snapToGrid w:val="0"/>
                    <w:jc w:val="center"/>
                    <w:rPr>
                      <w:sz w:val="13"/>
                      <w:szCs w:val="13"/>
                      <w:u w:val="single"/>
                    </w:rPr>
                  </w:pPr>
                </w:p>
              </w:tc>
              <w:tc>
                <w:tcPr>
                  <w:tcW w:w="722" w:type="dxa"/>
                  <w:vMerge w:val="continue"/>
                  <w:tcBorders>
                    <w:tl2br w:val="nil"/>
                    <w:tr2bl w:val="nil"/>
                  </w:tcBorders>
                  <w:vAlign w:val="center"/>
                </w:tcPr>
                <w:p>
                  <w:pPr>
                    <w:adjustRightInd w:val="0"/>
                    <w:snapToGrid w:val="0"/>
                    <w:jc w:val="center"/>
                    <w:rPr>
                      <w:sz w:val="13"/>
                      <w:szCs w:val="13"/>
                      <w:u w:val="single"/>
                    </w:rPr>
                  </w:pPr>
                </w:p>
              </w:tc>
              <w:tc>
                <w:tcPr>
                  <w:tcW w:w="722" w:type="dxa"/>
                  <w:tcBorders>
                    <w:tl2br w:val="nil"/>
                    <w:tr2bl w:val="nil"/>
                  </w:tcBorders>
                  <w:vAlign w:val="center"/>
                </w:tcPr>
                <w:p>
                  <w:pPr>
                    <w:adjustRightInd w:val="0"/>
                    <w:snapToGrid w:val="0"/>
                    <w:jc w:val="center"/>
                    <w:rPr>
                      <w:sz w:val="13"/>
                      <w:szCs w:val="13"/>
                      <w:u w:val="single"/>
                    </w:rPr>
                  </w:pPr>
                  <w:r>
                    <w:rPr>
                      <w:sz w:val="13"/>
                      <w:szCs w:val="13"/>
                      <w:u w:val="single"/>
                    </w:rPr>
                    <w:t>声压级</w:t>
                  </w:r>
                </w:p>
                <w:p>
                  <w:pPr>
                    <w:adjustRightInd w:val="0"/>
                    <w:snapToGrid w:val="0"/>
                    <w:jc w:val="center"/>
                    <w:rPr>
                      <w:sz w:val="13"/>
                      <w:szCs w:val="13"/>
                      <w:u w:val="single"/>
                    </w:rPr>
                  </w:pPr>
                  <w:r>
                    <w:rPr>
                      <w:sz w:val="13"/>
                      <w:szCs w:val="13"/>
                      <w:u w:val="single"/>
                    </w:rPr>
                    <w:t>dB</w:t>
                  </w:r>
                  <w:r>
                    <w:rPr>
                      <w:kern w:val="0"/>
                      <w:sz w:val="13"/>
                      <w:szCs w:val="13"/>
                      <w:u w:val="single"/>
                    </w:rPr>
                    <w:t>（A）</w:t>
                  </w:r>
                </w:p>
              </w:tc>
              <w:tc>
                <w:tcPr>
                  <w:tcW w:w="476" w:type="dxa"/>
                  <w:tcBorders>
                    <w:tl2br w:val="nil"/>
                    <w:tr2bl w:val="nil"/>
                  </w:tcBorders>
                  <w:vAlign w:val="center"/>
                </w:tcPr>
                <w:p>
                  <w:pPr>
                    <w:adjustRightInd w:val="0"/>
                    <w:snapToGrid w:val="0"/>
                    <w:jc w:val="center"/>
                    <w:rPr>
                      <w:sz w:val="13"/>
                      <w:szCs w:val="13"/>
                      <w:u w:val="single"/>
                    </w:rPr>
                  </w:pPr>
                  <w:r>
                    <w:rPr>
                      <w:sz w:val="13"/>
                      <w:szCs w:val="13"/>
                      <w:u w:val="single"/>
                    </w:rPr>
                    <w:t>建筑</w:t>
                  </w:r>
                </w:p>
                <w:p>
                  <w:pPr>
                    <w:adjustRightInd w:val="0"/>
                    <w:snapToGrid w:val="0"/>
                    <w:jc w:val="center"/>
                    <w:rPr>
                      <w:sz w:val="13"/>
                      <w:szCs w:val="13"/>
                      <w:u w:val="single"/>
                    </w:rPr>
                  </w:pPr>
                  <w:r>
                    <w:rPr>
                      <w:sz w:val="13"/>
                      <w:szCs w:val="13"/>
                      <w:u w:val="single"/>
                    </w:rPr>
                    <w:t>物外</w:t>
                  </w:r>
                </w:p>
                <w:p>
                  <w:pPr>
                    <w:adjustRightInd w:val="0"/>
                    <w:snapToGrid w:val="0"/>
                    <w:jc w:val="center"/>
                    <w:rPr>
                      <w:sz w:val="13"/>
                      <w:szCs w:val="13"/>
                      <w:u w:val="single"/>
                    </w:rPr>
                  </w:pPr>
                  <w:r>
                    <w:rPr>
                      <w:sz w:val="13"/>
                      <w:szCs w:val="13"/>
                      <w:u w:val="single"/>
                    </w:rPr>
                    <w:t>距离</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346" w:type="dxa"/>
                  <w:tcBorders>
                    <w:tl2br w:val="nil"/>
                    <w:tr2bl w:val="nil"/>
                  </w:tcBorders>
                  <w:vAlign w:val="center"/>
                </w:tcPr>
                <w:p>
                  <w:pPr>
                    <w:adjustRightInd w:val="0"/>
                    <w:snapToGrid w:val="0"/>
                    <w:jc w:val="center"/>
                    <w:rPr>
                      <w:sz w:val="13"/>
                      <w:szCs w:val="13"/>
                      <w:u w:val="single"/>
                    </w:rPr>
                  </w:pPr>
                  <w:r>
                    <w:rPr>
                      <w:sz w:val="13"/>
                      <w:szCs w:val="13"/>
                      <w:u w:val="single"/>
                    </w:rPr>
                    <w:t>1</w:t>
                  </w:r>
                </w:p>
              </w:tc>
              <w:tc>
                <w:tcPr>
                  <w:tcW w:w="476" w:type="dxa"/>
                  <w:vMerge w:val="restart"/>
                  <w:tcBorders>
                    <w:tl2br w:val="nil"/>
                    <w:tr2bl w:val="nil"/>
                  </w:tcBorders>
                  <w:vAlign w:val="center"/>
                </w:tcPr>
                <w:p>
                  <w:pPr>
                    <w:adjustRightInd w:val="0"/>
                    <w:snapToGrid w:val="0"/>
                    <w:jc w:val="center"/>
                    <w:rPr>
                      <w:sz w:val="13"/>
                      <w:szCs w:val="13"/>
                      <w:u w:val="single"/>
                    </w:rPr>
                  </w:pPr>
                  <w:r>
                    <w:rPr>
                      <w:sz w:val="13"/>
                      <w:szCs w:val="13"/>
                      <w:u w:val="single"/>
                    </w:rPr>
                    <w:t>锅炉</w:t>
                  </w:r>
                </w:p>
                <w:p>
                  <w:pPr>
                    <w:adjustRightInd w:val="0"/>
                    <w:snapToGrid w:val="0"/>
                    <w:jc w:val="center"/>
                    <w:rPr>
                      <w:sz w:val="13"/>
                      <w:szCs w:val="13"/>
                      <w:u w:val="single"/>
                    </w:rPr>
                  </w:pPr>
                  <w:r>
                    <w:rPr>
                      <w:sz w:val="13"/>
                      <w:szCs w:val="13"/>
                      <w:u w:val="single"/>
                    </w:rPr>
                    <w:t>房</w:t>
                  </w:r>
                </w:p>
              </w:tc>
              <w:tc>
                <w:tcPr>
                  <w:tcW w:w="346" w:type="dxa"/>
                  <w:tcBorders>
                    <w:tl2br w:val="nil"/>
                    <w:tr2bl w:val="nil"/>
                  </w:tcBorders>
                  <w:vAlign w:val="center"/>
                </w:tcPr>
                <w:p>
                  <w:pPr>
                    <w:adjustRightInd w:val="0"/>
                    <w:snapToGrid w:val="0"/>
                    <w:jc w:val="center"/>
                    <w:rPr>
                      <w:sz w:val="13"/>
                      <w:szCs w:val="13"/>
                      <w:u w:val="single"/>
                    </w:rPr>
                  </w:pPr>
                  <w:r>
                    <w:rPr>
                      <w:sz w:val="13"/>
                      <w:szCs w:val="13"/>
                      <w:u w:val="single"/>
                    </w:rPr>
                    <w:t>循</w:t>
                  </w:r>
                </w:p>
                <w:p>
                  <w:pPr>
                    <w:adjustRightInd w:val="0"/>
                    <w:snapToGrid w:val="0"/>
                    <w:jc w:val="center"/>
                    <w:rPr>
                      <w:sz w:val="13"/>
                      <w:szCs w:val="13"/>
                      <w:u w:val="single"/>
                    </w:rPr>
                  </w:pPr>
                  <w:r>
                    <w:rPr>
                      <w:sz w:val="13"/>
                      <w:szCs w:val="13"/>
                      <w:u w:val="single"/>
                    </w:rPr>
                    <w:t>环</w:t>
                  </w:r>
                </w:p>
                <w:p>
                  <w:pPr>
                    <w:adjustRightInd w:val="0"/>
                    <w:snapToGrid w:val="0"/>
                    <w:jc w:val="center"/>
                    <w:rPr>
                      <w:sz w:val="13"/>
                      <w:szCs w:val="13"/>
                      <w:u w:val="single"/>
                    </w:rPr>
                  </w:pPr>
                  <w:r>
                    <w:rPr>
                      <w:sz w:val="13"/>
                      <w:szCs w:val="13"/>
                      <w:u w:val="single"/>
                    </w:rPr>
                    <w:t>泵</w:t>
                  </w:r>
                </w:p>
              </w:tc>
              <w:tc>
                <w:tcPr>
                  <w:tcW w:w="736" w:type="dxa"/>
                  <w:tcBorders>
                    <w:tl2br w:val="nil"/>
                    <w:tr2bl w:val="nil"/>
                  </w:tcBorders>
                  <w:vAlign w:val="center"/>
                </w:tcPr>
                <w:p>
                  <w:pPr>
                    <w:adjustRightInd w:val="0"/>
                    <w:snapToGrid w:val="0"/>
                    <w:jc w:val="center"/>
                    <w:rPr>
                      <w:sz w:val="13"/>
                      <w:szCs w:val="13"/>
                      <w:u w:val="single"/>
                    </w:rPr>
                  </w:pPr>
                  <w:r>
                    <w:rPr>
                      <w:sz w:val="13"/>
                      <w:szCs w:val="13"/>
                      <w:u w:val="single"/>
                    </w:rPr>
                    <w:t>RY100</w:t>
                  </w:r>
                </w:p>
                <w:p>
                  <w:pPr>
                    <w:adjustRightInd w:val="0"/>
                    <w:snapToGrid w:val="0"/>
                    <w:jc w:val="center"/>
                    <w:rPr>
                      <w:sz w:val="13"/>
                      <w:szCs w:val="13"/>
                      <w:u w:val="single"/>
                    </w:rPr>
                  </w:pPr>
                  <w:r>
                    <w:rPr>
                      <w:sz w:val="13"/>
                      <w:szCs w:val="13"/>
                      <w:u w:val="single"/>
                    </w:rPr>
                    <w:t>-65-200</w:t>
                  </w:r>
                </w:p>
                <w:p>
                  <w:pPr>
                    <w:adjustRightInd w:val="0"/>
                    <w:snapToGrid w:val="0"/>
                    <w:jc w:val="center"/>
                    <w:rPr>
                      <w:sz w:val="13"/>
                      <w:szCs w:val="13"/>
                      <w:u w:val="single"/>
                    </w:rPr>
                  </w:pPr>
                  <w:r>
                    <w:rPr>
                      <w:sz w:val="13"/>
                      <w:szCs w:val="13"/>
                      <w:u w:val="single"/>
                    </w:rPr>
                    <w:t>1台</w:t>
                  </w:r>
                </w:p>
              </w:tc>
              <w:tc>
                <w:tcPr>
                  <w:tcW w:w="736" w:type="dxa"/>
                  <w:tcBorders>
                    <w:tl2br w:val="nil"/>
                    <w:tr2bl w:val="nil"/>
                  </w:tcBorders>
                  <w:vAlign w:val="center"/>
                </w:tcPr>
                <w:p>
                  <w:pPr>
                    <w:adjustRightInd w:val="0"/>
                    <w:snapToGrid w:val="0"/>
                    <w:jc w:val="center"/>
                    <w:rPr>
                      <w:sz w:val="13"/>
                      <w:szCs w:val="13"/>
                      <w:u w:val="single"/>
                    </w:rPr>
                  </w:pPr>
                  <w:r>
                    <w:rPr>
                      <w:sz w:val="13"/>
                      <w:szCs w:val="13"/>
                      <w:u w:val="single"/>
                    </w:rPr>
                    <w:t>78</w:t>
                  </w:r>
                </w:p>
              </w:tc>
              <w:tc>
                <w:tcPr>
                  <w:tcW w:w="736" w:type="dxa"/>
                  <w:tcBorders>
                    <w:tl2br w:val="nil"/>
                    <w:tr2bl w:val="nil"/>
                  </w:tcBorders>
                  <w:vAlign w:val="center"/>
                </w:tcPr>
                <w:p>
                  <w:pPr>
                    <w:adjustRightInd w:val="0"/>
                    <w:snapToGrid w:val="0"/>
                    <w:jc w:val="center"/>
                    <w:rPr>
                      <w:sz w:val="13"/>
                      <w:szCs w:val="13"/>
                      <w:u w:val="single"/>
                    </w:rPr>
                  </w:pPr>
                  <w:r>
                    <w:rPr>
                      <w:sz w:val="13"/>
                      <w:szCs w:val="13"/>
                      <w:u w:val="single"/>
                    </w:rPr>
                    <w:t>减振基础</w:t>
                  </w:r>
                </w:p>
                <w:p>
                  <w:pPr>
                    <w:adjustRightInd w:val="0"/>
                    <w:snapToGrid w:val="0"/>
                    <w:jc w:val="center"/>
                    <w:rPr>
                      <w:sz w:val="13"/>
                      <w:szCs w:val="13"/>
                      <w:u w:val="single"/>
                    </w:rPr>
                  </w:pPr>
                  <w:r>
                    <w:rPr>
                      <w:sz w:val="13"/>
                      <w:szCs w:val="13"/>
                      <w:u w:val="single"/>
                    </w:rPr>
                    <w:t>柔性连接</w:t>
                  </w:r>
                </w:p>
              </w:tc>
              <w:tc>
                <w:tcPr>
                  <w:tcW w:w="517" w:type="dxa"/>
                  <w:tcBorders>
                    <w:tl2br w:val="nil"/>
                    <w:tr2bl w:val="nil"/>
                  </w:tcBorders>
                  <w:vAlign w:val="center"/>
                </w:tcPr>
                <w:p>
                  <w:pPr>
                    <w:adjustRightInd w:val="0"/>
                    <w:snapToGrid w:val="0"/>
                    <w:jc w:val="center"/>
                    <w:rPr>
                      <w:sz w:val="13"/>
                      <w:szCs w:val="13"/>
                      <w:u w:val="single"/>
                    </w:rPr>
                  </w:pPr>
                  <w:r>
                    <w:rPr>
                      <w:sz w:val="13"/>
                      <w:szCs w:val="13"/>
                      <w:u w:val="single"/>
                    </w:rPr>
                    <w:t>+40</w:t>
                  </w:r>
                </w:p>
              </w:tc>
              <w:tc>
                <w:tcPr>
                  <w:tcW w:w="422" w:type="dxa"/>
                  <w:tcBorders>
                    <w:tl2br w:val="nil"/>
                    <w:tr2bl w:val="nil"/>
                  </w:tcBorders>
                  <w:vAlign w:val="center"/>
                </w:tcPr>
                <w:p>
                  <w:pPr>
                    <w:adjustRightInd w:val="0"/>
                    <w:snapToGrid w:val="0"/>
                    <w:jc w:val="center"/>
                    <w:rPr>
                      <w:sz w:val="13"/>
                      <w:szCs w:val="13"/>
                      <w:u w:val="single"/>
                    </w:rPr>
                  </w:pPr>
                  <w:r>
                    <w:rPr>
                      <w:sz w:val="13"/>
                      <w:szCs w:val="13"/>
                      <w:u w:val="single"/>
                    </w:rPr>
                    <w:t>-3.0</w:t>
                  </w:r>
                </w:p>
              </w:tc>
              <w:tc>
                <w:tcPr>
                  <w:tcW w:w="452" w:type="dxa"/>
                  <w:tcBorders>
                    <w:tl2br w:val="nil"/>
                    <w:tr2bl w:val="nil"/>
                  </w:tcBorders>
                  <w:vAlign w:val="center"/>
                </w:tcPr>
                <w:p>
                  <w:pPr>
                    <w:adjustRightInd w:val="0"/>
                    <w:snapToGrid w:val="0"/>
                    <w:jc w:val="center"/>
                    <w:rPr>
                      <w:sz w:val="13"/>
                      <w:szCs w:val="13"/>
                      <w:u w:val="single"/>
                    </w:rPr>
                  </w:pPr>
                  <w:r>
                    <w:rPr>
                      <w:sz w:val="13"/>
                      <w:szCs w:val="13"/>
                      <w:u w:val="single"/>
                    </w:rPr>
                    <w:t>+1.5</w:t>
                  </w:r>
                </w:p>
              </w:tc>
              <w:tc>
                <w:tcPr>
                  <w:tcW w:w="606" w:type="dxa"/>
                  <w:tcBorders>
                    <w:tl2br w:val="nil"/>
                    <w:tr2bl w:val="nil"/>
                  </w:tcBorders>
                  <w:vAlign w:val="center"/>
                </w:tcPr>
                <w:p>
                  <w:pPr>
                    <w:adjustRightInd w:val="0"/>
                    <w:snapToGrid w:val="0"/>
                    <w:jc w:val="center"/>
                    <w:rPr>
                      <w:sz w:val="13"/>
                      <w:szCs w:val="13"/>
                      <w:u w:val="single"/>
                    </w:rPr>
                  </w:pPr>
                  <w:r>
                    <w:rPr>
                      <w:sz w:val="13"/>
                      <w:szCs w:val="13"/>
                      <w:u w:val="single"/>
                    </w:rPr>
                    <w:t>2.0</w:t>
                  </w:r>
                </w:p>
              </w:tc>
              <w:tc>
                <w:tcPr>
                  <w:tcW w:w="722" w:type="dxa"/>
                  <w:tcBorders>
                    <w:tl2br w:val="nil"/>
                    <w:tr2bl w:val="nil"/>
                  </w:tcBorders>
                  <w:vAlign w:val="center"/>
                </w:tcPr>
                <w:p>
                  <w:pPr>
                    <w:adjustRightInd w:val="0"/>
                    <w:snapToGrid w:val="0"/>
                    <w:jc w:val="center"/>
                    <w:rPr>
                      <w:sz w:val="13"/>
                      <w:szCs w:val="13"/>
                      <w:u w:val="single"/>
                    </w:rPr>
                  </w:pPr>
                  <w:r>
                    <w:rPr>
                      <w:sz w:val="13"/>
                      <w:szCs w:val="13"/>
                      <w:u w:val="single"/>
                    </w:rPr>
                    <w:t>64</w:t>
                  </w:r>
                </w:p>
              </w:tc>
              <w:tc>
                <w:tcPr>
                  <w:tcW w:w="476" w:type="dxa"/>
                  <w:tcBorders>
                    <w:tl2br w:val="nil"/>
                    <w:tr2bl w:val="nil"/>
                  </w:tcBorders>
                  <w:vAlign w:val="center"/>
                </w:tcPr>
                <w:p>
                  <w:pPr>
                    <w:adjustRightInd w:val="0"/>
                    <w:snapToGrid w:val="0"/>
                    <w:jc w:val="center"/>
                    <w:rPr>
                      <w:sz w:val="13"/>
                      <w:szCs w:val="13"/>
                      <w:u w:val="single"/>
                    </w:rPr>
                  </w:pPr>
                  <w:r>
                    <w:rPr>
                      <w:sz w:val="13"/>
                      <w:szCs w:val="13"/>
                      <w:u w:val="single"/>
                    </w:rPr>
                    <w:t>频发</w:t>
                  </w:r>
                </w:p>
              </w:tc>
              <w:tc>
                <w:tcPr>
                  <w:tcW w:w="722" w:type="dxa"/>
                  <w:tcBorders>
                    <w:tl2br w:val="nil"/>
                    <w:tr2bl w:val="nil"/>
                  </w:tcBorders>
                  <w:vAlign w:val="center"/>
                </w:tcPr>
                <w:p>
                  <w:pPr>
                    <w:adjustRightInd w:val="0"/>
                    <w:snapToGrid w:val="0"/>
                    <w:jc w:val="center"/>
                    <w:rPr>
                      <w:sz w:val="13"/>
                      <w:szCs w:val="13"/>
                      <w:u w:val="single"/>
                    </w:rPr>
                  </w:pPr>
                  <w:r>
                    <w:rPr>
                      <w:sz w:val="13"/>
                      <w:szCs w:val="13"/>
                      <w:u w:val="single"/>
                    </w:rPr>
                    <w:t>20</w:t>
                  </w:r>
                </w:p>
              </w:tc>
              <w:tc>
                <w:tcPr>
                  <w:tcW w:w="722" w:type="dxa"/>
                  <w:tcBorders>
                    <w:tl2br w:val="nil"/>
                    <w:tr2bl w:val="nil"/>
                  </w:tcBorders>
                  <w:vAlign w:val="center"/>
                </w:tcPr>
                <w:p>
                  <w:pPr>
                    <w:adjustRightInd w:val="0"/>
                    <w:snapToGrid w:val="0"/>
                    <w:jc w:val="center"/>
                    <w:rPr>
                      <w:sz w:val="13"/>
                      <w:szCs w:val="13"/>
                      <w:u w:val="single"/>
                    </w:rPr>
                  </w:pPr>
                  <w:r>
                    <w:rPr>
                      <w:sz w:val="13"/>
                      <w:szCs w:val="13"/>
                      <w:u w:val="single"/>
                    </w:rPr>
                    <w:t>44</w:t>
                  </w:r>
                </w:p>
              </w:tc>
              <w:tc>
                <w:tcPr>
                  <w:tcW w:w="476" w:type="dxa"/>
                  <w:tcBorders>
                    <w:tl2br w:val="nil"/>
                    <w:tr2bl w:val="nil"/>
                  </w:tcBorders>
                  <w:vAlign w:val="center"/>
                </w:tcPr>
                <w:p>
                  <w:pPr>
                    <w:adjustRightInd w:val="0"/>
                    <w:snapToGrid w:val="0"/>
                    <w:jc w:val="center"/>
                    <w:rPr>
                      <w:sz w:val="13"/>
                      <w:szCs w:val="13"/>
                      <w:u w:val="single"/>
                    </w:rPr>
                  </w:pPr>
                  <w:r>
                    <w:rPr>
                      <w:sz w:val="13"/>
                      <w:szCs w:val="13"/>
                      <w:u w:val="single"/>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346" w:type="dxa"/>
                  <w:tcBorders>
                    <w:tl2br w:val="nil"/>
                    <w:tr2bl w:val="nil"/>
                  </w:tcBorders>
                  <w:vAlign w:val="center"/>
                </w:tcPr>
                <w:p>
                  <w:pPr>
                    <w:adjustRightInd w:val="0"/>
                    <w:snapToGrid w:val="0"/>
                    <w:jc w:val="center"/>
                    <w:rPr>
                      <w:sz w:val="13"/>
                      <w:szCs w:val="13"/>
                      <w:u w:val="single"/>
                    </w:rPr>
                  </w:pPr>
                  <w:r>
                    <w:rPr>
                      <w:sz w:val="13"/>
                      <w:szCs w:val="13"/>
                      <w:u w:val="single"/>
                    </w:rPr>
                    <w:t>2</w:t>
                  </w:r>
                </w:p>
              </w:tc>
              <w:tc>
                <w:tcPr>
                  <w:tcW w:w="476" w:type="dxa"/>
                  <w:vMerge w:val="continue"/>
                  <w:tcBorders>
                    <w:tl2br w:val="nil"/>
                    <w:tr2bl w:val="nil"/>
                  </w:tcBorders>
                  <w:vAlign w:val="center"/>
                </w:tcPr>
                <w:p>
                  <w:pPr>
                    <w:adjustRightInd w:val="0"/>
                    <w:snapToGrid w:val="0"/>
                    <w:jc w:val="center"/>
                    <w:rPr>
                      <w:sz w:val="13"/>
                      <w:szCs w:val="13"/>
                      <w:u w:val="single"/>
                    </w:rPr>
                  </w:pPr>
                </w:p>
              </w:tc>
              <w:tc>
                <w:tcPr>
                  <w:tcW w:w="346" w:type="dxa"/>
                  <w:tcBorders>
                    <w:tl2br w:val="nil"/>
                    <w:tr2bl w:val="nil"/>
                  </w:tcBorders>
                  <w:vAlign w:val="center"/>
                </w:tcPr>
                <w:p>
                  <w:pPr>
                    <w:adjustRightInd w:val="0"/>
                    <w:snapToGrid w:val="0"/>
                    <w:jc w:val="center"/>
                    <w:rPr>
                      <w:sz w:val="13"/>
                      <w:szCs w:val="13"/>
                      <w:u w:val="single"/>
                    </w:rPr>
                  </w:pPr>
                  <w:r>
                    <w:rPr>
                      <w:sz w:val="13"/>
                      <w:szCs w:val="13"/>
                      <w:u w:val="single"/>
                    </w:rPr>
                    <w:t>加</w:t>
                  </w:r>
                </w:p>
                <w:p>
                  <w:pPr>
                    <w:adjustRightInd w:val="0"/>
                    <w:snapToGrid w:val="0"/>
                    <w:jc w:val="center"/>
                    <w:rPr>
                      <w:sz w:val="13"/>
                      <w:szCs w:val="13"/>
                      <w:u w:val="single"/>
                    </w:rPr>
                  </w:pPr>
                  <w:r>
                    <w:rPr>
                      <w:sz w:val="13"/>
                      <w:szCs w:val="13"/>
                      <w:u w:val="single"/>
                    </w:rPr>
                    <w:t>油</w:t>
                  </w:r>
                </w:p>
                <w:p>
                  <w:pPr>
                    <w:adjustRightInd w:val="0"/>
                    <w:snapToGrid w:val="0"/>
                    <w:jc w:val="center"/>
                    <w:rPr>
                      <w:sz w:val="13"/>
                      <w:szCs w:val="13"/>
                      <w:u w:val="single"/>
                    </w:rPr>
                  </w:pPr>
                  <w:r>
                    <w:rPr>
                      <w:sz w:val="13"/>
                      <w:szCs w:val="13"/>
                      <w:u w:val="single"/>
                    </w:rPr>
                    <w:t>泵</w:t>
                  </w:r>
                </w:p>
              </w:tc>
              <w:tc>
                <w:tcPr>
                  <w:tcW w:w="736" w:type="dxa"/>
                  <w:tcBorders>
                    <w:tl2br w:val="nil"/>
                    <w:tr2bl w:val="nil"/>
                  </w:tcBorders>
                  <w:vAlign w:val="center"/>
                </w:tcPr>
                <w:p>
                  <w:pPr>
                    <w:adjustRightInd w:val="0"/>
                    <w:snapToGrid w:val="0"/>
                    <w:jc w:val="center"/>
                    <w:rPr>
                      <w:sz w:val="13"/>
                      <w:szCs w:val="13"/>
                      <w:u w:val="single"/>
                    </w:rPr>
                  </w:pPr>
                  <w:r>
                    <w:rPr>
                      <w:sz w:val="13"/>
                      <w:szCs w:val="13"/>
                      <w:u w:val="single"/>
                    </w:rPr>
                    <w:t>KCB-55</w:t>
                  </w:r>
                </w:p>
                <w:p>
                  <w:pPr>
                    <w:adjustRightInd w:val="0"/>
                    <w:snapToGrid w:val="0"/>
                    <w:jc w:val="center"/>
                    <w:rPr>
                      <w:sz w:val="13"/>
                      <w:szCs w:val="13"/>
                      <w:u w:val="single"/>
                    </w:rPr>
                  </w:pPr>
                  <w:r>
                    <w:rPr>
                      <w:sz w:val="13"/>
                      <w:szCs w:val="13"/>
                      <w:u w:val="single"/>
                    </w:rPr>
                    <w:t>1台</w:t>
                  </w:r>
                </w:p>
              </w:tc>
              <w:tc>
                <w:tcPr>
                  <w:tcW w:w="736" w:type="dxa"/>
                  <w:tcBorders>
                    <w:tl2br w:val="nil"/>
                    <w:tr2bl w:val="nil"/>
                  </w:tcBorders>
                  <w:vAlign w:val="center"/>
                </w:tcPr>
                <w:p>
                  <w:pPr>
                    <w:adjustRightInd w:val="0"/>
                    <w:snapToGrid w:val="0"/>
                    <w:jc w:val="center"/>
                    <w:rPr>
                      <w:sz w:val="13"/>
                      <w:szCs w:val="13"/>
                      <w:u w:val="single"/>
                    </w:rPr>
                  </w:pPr>
                  <w:r>
                    <w:rPr>
                      <w:sz w:val="13"/>
                      <w:szCs w:val="13"/>
                      <w:u w:val="single"/>
                    </w:rPr>
                    <w:t>75</w:t>
                  </w:r>
                </w:p>
              </w:tc>
              <w:tc>
                <w:tcPr>
                  <w:tcW w:w="736" w:type="dxa"/>
                  <w:tcBorders>
                    <w:tl2br w:val="nil"/>
                    <w:tr2bl w:val="nil"/>
                  </w:tcBorders>
                  <w:vAlign w:val="center"/>
                </w:tcPr>
                <w:p>
                  <w:pPr>
                    <w:adjustRightInd w:val="0"/>
                    <w:snapToGrid w:val="0"/>
                    <w:jc w:val="center"/>
                    <w:rPr>
                      <w:sz w:val="13"/>
                      <w:szCs w:val="13"/>
                      <w:u w:val="single"/>
                    </w:rPr>
                  </w:pPr>
                  <w:r>
                    <w:rPr>
                      <w:sz w:val="13"/>
                      <w:szCs w:val="13"/>
                      <w:u w:val="single"/>
                    </w:rPr>
                    <w:t>减振基础</w:t>
                  </w:r>
                </w:p>
                <w:p>
                  <w:pPr>
                    <w:adjustRightInd w:val="0"/>
                    <w:snapToGrid w:val="0"/>
                    <w:jc w:val="center"/>
                    <w:rPr>
                      <w:sz w:val="13"/>
                      <w:szCs w:val="13"/>
                      <w:u w:val="single"/>
                    </w:rPr>
                  </w:pPr>
                  <w:r>
                    <w:rPr>
                      <w:sz w:val="13"/>
                      <w:szCs w:val="13"/>
                      <w:u w:val="single"/>
                    </w:rPr>
                    <w:t>柔性连接</w:t>
                  </w:r>
                </w:p>
              </w:tc>
              <w:tc>
                <w:tcPr>
                  <w:tcW w:w="517" w:type="dxa"/>
                  <w:tcBorders>
                    <w:tl2br w:val="nil"/>
                    <w:tr2bl w:val="nil"/>
                  </w:tcBorders>
                  <w:vAlign w:val="center"/>
                </w:tcPr>
                <w:p>
                  <w:pPr>
                    <w:adjustRightInd w:val="0"/>
                    <w:snapToGrid w:val="0"/>
                    <w:jc w:val="center"/>
                    <w:rPr>
                      <w:sz w:val="13"/>
                      <w:szCs w:val="13"/>
                      <w:u w:val="single"/>
                    </w:rPr>
                  </w:pPr>
                  <w:r>
                    <w:rPr>
                      <w:sz w:val="13"/>
                      <w:szCs w:val="13"/>
                      <w:u w:val="single"/>
                    </w:rPr>
                    <w:t>+39</w:t>
                  </w:r>
                </w:p>
              </w:tc>
              <w:tc>
                <w:tcPr>
                  <w:tcW w:w="422" w:type="dxa"/>
                  <w:tcBorders>
                    <w:tl2br w:val="nil"/>
                    <w:tr2bl w:val="nil"/>
                  </w:tcBorders>
                  <w:vAlign w:val="center"/>
                </w:tcPr>
                <w:p>
                  <w:pPr>
                    <w:adjustRightInd w:val="0"/>
                    <w:snapToGrid w:val="0"/>
                    <w:jc w:val="center"/>
                    <w:rPr>
                      <w:sz w:val="13"/>
                      <w:szCs w:val="13"/>
                      <w:u w:val="single"/>
                    </w:rPr>
                  </w:pPr>
                  <w:r>
                    <w:rPr>
                      <w:sz w:val="13"/>
                      <w:szCs w:val="13"/>
                      <w:u w:val="single"/>
                    </w:rPr>
                    <w:t>-3.2</w:t>
                  </w:r>
                </w:p>
              </w:tc>
              <w:tc>
                <w:tcPr>
                  <w:tcW w:w="452" w:type="dxa"/>
                  <w:tcBorders>
                    <w:tl2br w:val="nil"/>
                    <w:tr2bl w:val="nil"/>
                  </w:tcBorders>
                  <w:vAlign w:val="center"/>
                </w:tcPr>
                <w:p>
                  <w:pPr>
                    <w:adjustRightInd w:val="0"/>
                    <w:snapToGrid w:val="0"/>
                    <w:jc w:val="center"/>
                    <w:rPr>
                      <w:sz w:val="13"/>
                      <w:szCs w:val="13"/>
                      <w:u w:val="single"/>
                    </w:rPr>
                  </w:pPr>
                  <w:r>
                    <w:rPr>
                      <w:sz w:val="13"/>
                      <w:szCs w:val="13"/>
                      <w:u w:val="single"/>
                    </w:rPr>
                    <w:t>+1.2</w:t>
                  </w:r>
                </w:p>
              </w:tc>
              <w:tc>
                <w:tcPr>
                  <w:tcW w:w="606" w:type="dxa"/>
                  <w:tcBorders>
                    <w:tl2br w:val="nil"/>
                    <w:tr2bl w:val="nil"/>
                  </w:tcBorders>
                  <w:vAlign w:val="center"/>
                </w:tcPr>
                <w:p>
                  <w:pPr>
                    <w:adjustRightInd w:val="0"/>
                    <w:snapToGrid w:val="0"/>
                    <w:jc w:val="center"/>
                    <w:rPr>
                      <w:sz w:val="13"/>
                      <w:szCs w:val="13"/>
                      <w:u w:val="single"/>
                    </w:rPr>
                  </w:pPr>
                  <w:r>
                    <w:rPr>
                      <w:sz w:val="13"/>
                      <w:szCs w:val="13"/>
                      <w:u w:val="single"/>
                    </w:rPr>
                    <w:t>2.5</w:t>
                  </w:r>
                </w:p>
              </w:tc>
              <w:tc>
                <w:tcPr>
                  <w:tcW w:w="722" w:type="dxa"/>
                  <w:tcBorders>
                    <w:tl2br w:val="nil"/>
                    <w:tr2bl w:val="nil"/>
                  </w:tcBorders>
                  <w:vAlign w:val="center"/>
                </w:tcPr>
                <w:p>
                  <w:pPr>
                    <w:adjustRightInd w:val="0"/>
                    <w:snapToGrid w:val="0"/>
                    <w:jc w:val="center"/>
                    <w:rPr>
                      <w:sz w:val="13"/>
                      <w:szCs w:val="13"/>
                      <w:u w:val="single"/>
                    </w:rPr>
                  </w:pPr>
                  <w:r>
                    <w:rPr>
                      <w:sz w:val="13"/>
                      <w:szCs w:val="13"/>
                      <w:u w:val="single"/>
                    </w:rPr>
                    <w:t>61</w:t>
                  </w:r>
                </w:p>
              </w:tc>
              <w:tc>
                <w:tcPr>
                  <w:tcW w:w="476" w:type="dxa"/>
                  <w:tcBorders>
                    <w:tl2br w:val="nil"/>
                    <w:tr2bl w:val="nil"/>
                  </w:tcBorders>
                  <w:vAlign w:val="center"/>
                </w:tcPr>
                <w:p>
                  <w:pPr>
                    <w:adjustRightInd w:val="0"/>
                    <w:snapToGrid w:val="0"/>
                    <w:jc w:val="center"/>
                    <w:rPr>
                      <w:sz w:val="13"/>
                      <w:szCs w:val="13"/>
                      <w:u w:val="single"/>
                    </w:rPr>
                  </w:pPr>
                  <w:r>
                    <w:rPr>
                      <w:sz w:val="13"/>
                      <w:szCs w:val="13"/>
                      <w:u w:val="single"/>
                    </w:rPr>
                    <w:t>频发</w:t>
                  </w:r>
                </w:p>
              </w:tc>
              <w:tc>
                <w:tcPr>
                  <w:tcW w:w="722" w:type="dxa"/>
                  <w:tcBorders>
                    <w:tl2br w:val="nil"/>
                    <w:tr2bl w:val="nil"/>
                  </w:tcBorders>
                  <w:vAlign w:val="center"/>
                </w:tcPr>
                <w:p>
                  <w:pPr>
                    <w:adjustRightInd w:val="0"/>
                    <w:snapToGrid w:val="0"/>
                    <w:jc w:val="center"/>
                    <w:rPr>
                      <w:sz w:val="13"/>
                      <w:szCs w:val="13"/>
                      <w:u w:val="single"/>
                    </w:rPr>
                  </w:pPr>
                  <w:r>
                    <w:rPr>
                      <w:sz w:val="13"/>
                      <w:szCs w:val="13"/>
                      <w:u w:val="single"/>
                    </w:rPr>
                    <w:t>20</w:t>
                  </w:r>
                </w:p>
              </w:tc>
              <w:tc>
                <w:tcPr>
                  <w:tcW w:w="722" w:type="dxa"/>
                  <w:tcBorders>
                    <w:tl2br w:val="nil"/>
                    <w:tr2bl w:val="nil"/>
                  </w:tcBorders>
                  <w:vAlign w:val="center"/>
                </w:tcPr>
                <w:p>
                  <w:pPr>
                    <w:adjustRightInd w:val="0"/>
                    <w:snapToGrid w:val="0"/>
                    <w:jc w:val="center"/>
                    <w:rPr>
                      <w:sz w:val="13"/>
                      <w:szCs w:val="13"/>
                      <w:u w:val="single"/>
                    </w:rPr>
                  </w:pPr>
                  <w:r>
                    <w:rPr>
                      <w:sz w:val="13"/>
                      <w:szCs w:val="13"/>
                      <w:u w:val="single"/>
                    </w:rPr>
                    <w:t>41</w:t>
                  </w:r>
                </w:p>
              </w:tc>
              <w:tc>
                <w:tcPr>
                  <w:tcW w:w="476" w:type="dxa"/>
                  <w:tcBorders>
                    <w:tl2br w:val="nil"/>
                    <w:tr2bl w:val="nil"/>
                  </w:tcBorders>
                  <w:vAlign w:val="center"/>
                </w:tcPr>
                <w:p>
                  <w:pPr>
                    <w:adjustRightInd w:val="0"/>
                    <w:snapToGrid w:val="0"/>
                    <w:jc w:val="center"/>
                    <w:rPr>
                      <w:sz w:val="13"/>
                      <w:szCs w:val="13"/>
                      <w:u w:val="single"/>
                    </w:rPr>
                  </w:pPr>
                  <w:r>
                    <w:rPr>
                      <w:sz w:val="13"/>
                      <w:szCs w:val="13"/>
                      <w:u w:val="single"/>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346" w:type="dxa"/>
                  <w:tcBorders>
                    <w:tl2br w:val="nil"/>
                    <w:tr2bl w:val="nil"/>
                  </w:tcBorders>
                  <w:vAlign w:val="center"/>
                </w:tcPr>
                <w:p>
                  <w:pPr>
                    <w:adjustRightInd w:val="0"/>
                    <w:snapToGrid w:val="0"/>
                    <w:jc w:val="center"/>
                    <w:rPr>
                      <w:sz w:val="13"/>
                      <w:szCs w:val="13"/>
                      <w:u w:val="single"/>
                    </w:rPr>
                  </w:pPr>
                  <w:r>
                    <w:rPr>
                      <w:sz w:val="13"/>
                      <w:szCs w:val="13"/>
                      <w:u w:val="single"/>
                    </w:rPr>
                    <w:t>3</w:t>
                  </w:r>
                </w:p>
              </w:tc>
              <w:tc>
                <w:tcPr>
                  <w:tcW w:w="476" w:type="dxa"/>
                  <w:vMerge w:val="continue"/>
                  <w:tcBorders>
                    <w:tl2br w:val="nil"/>
                    <w:tr2bl w:val="nil"/>
                  </w:tcBorders>
                  <w:vAlign w:val="center"/>
                </w:tcPr>
                <w:p>
                  <w:pPr>
                    <w:adjustRightInd w:val="0"/>
                    <w:snapToGrid w:val="0"/>
                    <w:jc w:val="center"/>
                    <w:rPr>
                      <w:sz w:val="13"/>
                      <w:szCs w:val="13"/>
                      <w:u w:val="single"/>
                    </w:rPr>
                  </w:pPr>
                </w:p>
              </w:tc>
              <w:tc>
                <w:tcPr>
                  <w:tcW w:w="346" w:type="dxa"/>
                  <w:tcBorders>
                    <w:tl2br w:val="nil"/>
                    <w:tr2bl w:val="nil"/>
                  </w:tcBorders>
                  <w:vAlign w:val="center"/>
                </w:tcPr>
                <w:p>
                  <w:pPr>
                    <w:adjustRightInd w:val="0"/>
                    <w:snapToGrid w:val="0"/>
                    <w:jc w:val="center"/>
                    <w:rPr>
                      <w:sz w:val="13"/>
                      <w:szCs w:val="13"/>
                      <w:u w:val="single"/>
                    </w:rPr>
                  </w:pPr>
                  <w:r>
                    <w:rPr>
                      <w:sz w:val="13"/>
                      <w:szCs w:val="13"/>
                      <w:u w:val="single"/>
                    </w:rPr>
                    <w:t>引</w:t>
                  </w:r>
                </w:p>
                <w:p>
                  <w:pPr>
                    <w:adjustRightInd w:val="0"/>
                    <w:snapToGrid w:val="0"/>
                    <w:jc w:val="center"/>
                    <w:rPr>
                      <w:sz w:val="13"/>
                      <w:szCs w:val="13"/>
                      <w:u w:val="single"/>
                    </w:rPr>
                  </w:pPr>
                  <w:r>
                    <w:rPr>
                      <w:sz w:val="13"/>
                      <w:szCs w:val="13"/>
                      <w:u w:val="single"/>
                    </w:rPr>
                    <w:t>风</w:t>
                  </w:r>
                </w:p>
                <w:p>
                  <w:pPr>
                    <w:adjustRightInd w:val="0"/>
                    <w:snapToGrid w:val="0"/>
                    <w:jc w:val="center"/>
                    <w:rPr>
                      <w:sz w:val="13"/>
                      <w:szCs w:val="13"/>
                      <w:u w:val="single"/>
                    </w:rPr>
                  </w:pPr>
                  <w:r>
                    <w:rPr>
                      <w:sz w:val="13"/>
                      <w:szCs w:val="13"/>
                      <w:u w:val="single"/>
                    </w:rPr>
                    <w:t>机</w:t>
                  </w:r>
                </w:p>
              </w:tc>
              <w:tc>
                <w:tcPr>
                  <w:tcW w:w="736" w:type="dxa"/>
                  <w:tcBorders>
                    <w:tl2br w:val="nil"/>
                    <w:tr2bl w:val="nil"/>
                  </w:tcBorders>
                  <w:vAlign w:val="center"/>
                </w:tcPr>
                <w:p>
                  <w:pPr>
                    <w:adjustRightInd w:val="0"/>
                    <w:snapToGrid w:val="0"/>
                    <w:jc w:val="center"/>
                    <w:rPr>
                      <w:sz w:val="13"/>
                      <w:szCs w:val="13"/>
                      <w:u w:val="single"/>
                    </w:rPr>
                  </w:pPr>
                  <w:r>
                    <w:rPr>
                      <w:sz w:val="13"/>
                      <w:szCs w:val="13"/>
                      <w:u w:val="single"/>
                    </w:rPr>
                    <w:t>Y5-47Ⅱ</w:t>
                  </w:r>
                </w:p>
                <w:p>
                  <w:pPr>
                    <w:adjustRightInd w:val="0"/>
                    <w:snapToGrid w:val="0"/>
                    <w:jc w:val="center"/>
                    <w:rPr>
                      <w:sz w:val="13"/>
                      <w:szCs w:val="13"/>
                      <w:u w:val="single"/>
                    </w:rPr>
                  </w:pPr>
                  <w:r>
                    <w:rPr>
                      <w:sz w:val="13"/>
                      <w:szCs w:val="13"/>
                      <w:u w:val="single"/>
                    </w:rPr>
                    <w:t>No6C</w:t>
                  </w:r>
                </w:p>
                <w:p>
                  <w:pPr>
                    <w:adjustRightInd w:val="0"/>
                    <w:snapToGrid w:val="0"/>
                    <w:jc w:val="center"/>
                    <w:rPr>
                      <w:sz w:val="13"/>
                      <w:szCs w:val="13"/>
                      <w:u w:val="single"/>
                    </w:rPr>
                  </w:pPr>
                  <w:r>
                    <w:rPr>
                      <w:sz w:val="13"/>
                      <w:szCs w:val="13"/>
                      <w:u w:val="single"/>
                    </w:rPr>
                    <w:t>1台</w:t>
                  </w:r>
                </w:p>
              </w:tc>
              <w:tc>
                <w:tcPr>
                  <w:tcW w:w="736" w:type="dxa"/>
                  <w:tcBorders>
                    <w:tl2br w:val="nil"/>
                    <w:tr2bl w:val="nil"/>
                  </w:tcBorders>
                  <w:vAlign w:val="center"/>
                </w:tcPr>
                <w:p>
                  <w:pPr>
                    <w:adjustRightInd w:val="0"/>
                    <w:snapToGrid w:val="0"/>
                    <w:jc w:val="center"/>
                    <w:rPr>
                      <w:sz w:val="13"/>
                      <w:szCs w:val="13"/>
                      <w:u w:val="single"/>
                    </w:rPr>
                  </w:pPr>
                  <w:r>
                    <w:rPr>
                      <w:sz w:val="13"/>
                      <w:szCs w:val="13"/>
                      <w:u w:val="single"/>
                    </w:rPr>
                    <w:t>85</w:t>
                  </w:r>
                </w:p>
              </w:tc>
              <w:tc>
                <w:tcPr>
                  <w:tcW w:w="736" w:type="dxa"/>
                  <w:tcBorders>
                    <w:tl2br w:val="nil"/>
                    <w:tr2bl w:val="nil"/>
                  </w:tcBorders>
                  <w:vAlign w:val="center"/>
                </w:tcPr>
                <w:p>
                  <w:pPr>
                    <w:adjustRightInd w:val="0"/>
                    <w:snapToGrid w:val="0"/>
                    <w:jc w:val="center"/>
                    <w:rPr>
                      <w:sz w:val="13"/>
                      <w:szCs w:val="13"/>
                      <w:u w:val="single"/>
                    </w:rPr>
                  </w:pPr>
                  <w:r>
                    <w:rPr>
                      <w:sz w:val="13"/>
                      <w:szCs w:val="13"/>
                      <w:u w:val="single"/>
                    </w:rPr>
                    <w:t>减振基础</w:t>
                  </w:r>
                </w:p>
                <w:p>
                  <w:pPr>
                    <w:adjustRightInd w:val="0"/>
                    <w:snapToGrid w:val="0"/>
                    <w:jc w:val="center"/>
                    <w:rPr>
                      <w:sz w:val="13"/>
                      <w:szCs w:val="13"/>
                      <w:u w:val="single"/>
                    </w:rPr>
                  </w:pPr>
                  <w:r>
                    <w:rPr>
                      <w:sz w:val="13"/>
                      <w:szCs w:val="13"/>
                      <w:u w:val="single"/>
                    </w:rPr>
                    <w:t>消声器</w:t>
                  </w:r>
                </w:p>
                <w:p>
                  <w:pPr>
                    <w:adjustRightInd w:val="0"/>
                    <w:snapToGrid w:val="0"/>
                    <w:jc w:val="center"/>
                    <w:rPr>
                      <w:sz w:val="13"/>
                      <w:szCs w:val="13"/>
                      <w:u w:val="single"/>
                    </w:rPr>
                  </w:pPr>
                  <w:r>
                    <w:rPr>
                      <w:sz w:val="13"/>
                      <w:szCs w:val="13"/>
                      <w:u w:val="single"/>
                    </w:rPr>
                    <w:t>隔声罩</w:t>
                  </w:r>
                </w:p>
              </w:tc>
              <w:tc>
                <w:tcPr>
                  <w:tcW w:w="517" w:type="dxa"/>
                  <w:tcBorders>
                    <w:tl2br w:val="nil"/>
                    <w:tr2bl w:val="nil"/>
                  </w:tcBorders>
                  <w:vAlign w:val="center"/>
                </w:tcPr>
                <w:p>
                  <w:pPr>
                    <w:adjustRightInd w:val="0"/>
                    <w:snapToGrid w:val="0"/>
                    <w:jc w:val="center"/>
                    <w:rPr>
                      <w:sz w:val="13"/>
                      <w:szCs w:val="13"/>
                      <w:u w:val="single"/>
                    </w:rPr>
                  </w:pPr>
                  <w:r>
                    <w:rPr>
                      <w:sz w:val="13"/>
                      <w:szCs w:val="13"/>
                      <w:u w:val="single"/>
                    </w:rPr>
                    <w:t>+40</w:t>
                  </w:r>
                </w:p>
              </w:tc>
              <w:tc>
                <w:tcPr>
                  <w:tcW w:w="422" w:type="dxa"/>
                  <w:tcBorders>
                    <w:tl2br w:val="nil"/>
                    <w:tr2bl w:val="nil"/>
                  </w:tcBorders>
                  <w:vAlign w:val="center"/>
                </w:tcPr>
                <w:p>
                  <w:pPr>
                    <w:adjustRightInd w:val="0"/>
                    <w:snapToGrid w:val="0"/>
                    <w:jc w:val="center"/>
                    <w:rPr>
                      <w:sz w:val="13"/>
                      <w:szCs w:val="13"/>
                      <w:u w:val="single"/>
                    </w:rPr>
                  </w:pPr>
                  <w:r>
                    <w:rPr>
                      <w:sz w:val="13"/>
                      <w:szCs w:val="13"/>
                      <w:u w:val="single"/>
                    </w:rPr>
                    <w:t>-3.5</w:t>
                  </w:r>
                </w:p>
              </w:tc>
              <w:tc>
                <w:tcPr>
                  <w:tcW w:w="452" w:type="dxa"/>
                  <w:tcBorders>
                    <w:tl2br w:val="nil"/>
                    <w:tr2bl w:val="nil"/>
                  </w:tcBorders>
                  <w:vAlign w:val="center"/>
                </w:tcPr>
                <w:p>
                  <w:pPr>
                    <w:adjustRightInd w:val="0"/>
                    <w:snapToGrid w:val="0"/>
                    <w:jc w:val="center"/>
                    <w:rPr>
                      <w:sz w:val="13"/>
                      <w:szCs w:val="13"/>
                      <w:u w:val="single"/>
                    </w:rPr>
                  </w:pPr>
                  <w:r>
                    <w:rPr>
                      <w:sz w:val="13"/>
                      <w:szCs w:val="13"/>
                      <w:u w:val="single"/>
                    </w:rPr>
                    <w:t>+2.0</w:t>
                  </w:r>
                </w:p>
              </w:tc>
              <w:tc>
                <w:tcPr>
                  <w:tcW w:w="606" w:type="dxa"/>
                  <w:tcBorders>
                    <w:tl2br w:val="nil"/>
                    <w:tr2bl w:val="nil"/>
                  </w:tcBorders>
                  <w:vAlign w:val="center"/>
                </w:tcPr>
                <w:p>
                  <w:pPr>
                    <w:adjustRightInd w:val="0"/>
                    <w:snapToGrid w:val="0"/>
                    <w:jc w:val="center"/>
                    <w:rPr>
                      <w:sz w:val="13"/>
                      <w:szCs w:val="13"/>
                      <w:u w:val="single"/>
                    </w:rPr>
                  </w:pPr>
                  <w:r>
                    <w:rPr>
                      <w:sz w:val="13"/>
                      <w:szCs w:val="13"/>
                      <w:u w:val="single"/>
                    </w:rPr>
                    <w:t>3.0</w:t>
                  </w:r>
                </w:p>
              </w:tc>
              <w:tc>
                <w:tcPr>
                  <w:tcW w:w="722" w:type="dxa"/>
                  <w:tcBorders>
                    <w:tl2br w:val="nil"/>
                    <w:tr2bl w:val="nil"/>
                  </w:tcBorders>
                  <w:vAlign w:val="center"/>
                </w:tcPr>
                <w:p>
                  <w:pPr>
                    <w:adjustRightInd w:val="0"/>
                    <w:snapToGrid w:val="0"/>
                    <w:jc w:val="center"/>
                    <w:rPr>
                      <w:sz w:val="13"/>
                      <w:szCs w:val="13"/>
                      <w:u w:val="single"/>
                    </w:rPr>
                  </w:pPr>
                  <w:r>
                    <w:rPr>
                      <w:sz w:val="13"/>
                      <w:szCs w:val="13"/>
                      <w:u w:val="single"/>
                    </w:rPr>
                    <w:t>71</w:t>
                  </w:r>
                </w:p>
              </w:tc>
              <w:tc>
                <w:tcPr>
                  <w:tcW w:w="476" w:type="dxa"/>
                  <w:tcBorders>
                    <w:tl2br w:val="nil"/>
                    <w:tr2bl w:val="nil"/>
                  </w:tcBorders>
                  <w:vAlign w:val="center"/>
                </w:tcPr>
                <w:p>
                  <w:pPr>
                    <w:adjustRightInd w:val="0"/>
                    <w:snapToGrid w:val="0"/>
                    <w:jc w:val="center"/>
                    <w:rPr>
                      <w:sz w:val="13"/>
                      <w:szCs w:val="13"/>
                      <w:u w:val="single"/>
                    </w:rPr>
                  </w:pPr>
                  <w:r>
                    <w:rPr>
                      <w:sz w:val="13"/>
                      <w:szCs w:val="13"/>
                      <w:u w:val="single"/>
                    </w:rPr>
                    <w:t>频发</w:t>
                  </w:r>
                </w:p>
              </w:tc>
              <w:tc>
                <w:tcPr>
                  <w:tcW w:w="722" w:type="dxa"/>
                  <w:tcBorders>
                    <w:tl2br w:val="nil"/>
                    <w:tr2bl w:val="nil"/>
                  </w:tcBorders>
                  <w:vAlign w:val="center"/>
                </w:tcPr>
                <w:p>
                  <w:pPr>
                    <w:adjustRightInd w:val="0"/>
                    <w:snapToGrid w:val="0"/>
                    <w:jc w:val="center"/>
                    <w:rPr>
                      <w:sz w:val="13"/>
                      <w:szCs w:val="13"/>
                      <w:u w:val="single"/>
                    </w:rPr>
                  </w:pPr>
                  <w:r>
                    <w:rPr>
                      <w:sz w:val="13"/>
                      <w:szCs w:val="13"/>
                      <w:u w:val="single"/>
                    </w:rPr>
                    <w:t>20</w:t>
                  </w:r>
                </w:p>
              </w:tc>
              <w:tc>
                <w:tcPr>
                  <w:tcW w:w="722" w:type="dxa"/>
                  <w:tcBorders>
                    <w:tl2br w:val="nil"/>
                    <w:tr2bl w:val="nil"/>
                  </w:tcBorders>
                  <w:vAlign w:val="center"/>
                </w:tcPr>
                <w:p>
                  <w:pPr>
                    <w:adjustRightInd w:val="0"/>
                    <w:snapToGrid w:val="0"/>
                    <w:jc w:val="center"/>
                    <w:rPr>
                      <w:sz w:val="13"/>
                      <w:szCs w:val="13"/>
                      <w:u w:val="single"/>
                    </w:rPr>
                  </w:pPr>
                  <w:r>
                    <w:rPr>
                      <w:sz w:val="13"/>
                      <w:szCs w:val="13"/>
                      <w:u w:val="single"/>
                    </w:rPr>
                    <w:t>51</w:t>
                  </w:r>
                </w:p>
              </w:tc>
              <w:tc>
                <w:tcPr>
                  <w:tcW w:w="476" w:type="dxa"/>
                  <w:tcBorders>
                    <w:tl2br w:val="nil"/>
                    <w:tr2bl w:val="nil"/>
                  </w:tcBorders>
                  <w:vAlign w:val="center"/>
                </w:tcPr>
                <w:p>
                  <w:pPr>
                    <w:adjustRightInd w:val="0"/>
                    <w:snapToGrid w:val="0"/>
                    <w:jc w:val="center"/>
                    <w:rPr>
                      <w:sz w:val="13"/>
                      <w:szCs w:val="13"/>
                      <w:u w:val="single"/>
                    </w:rPr>
                  </w:pPr>
                  <w:r>
                    <w:rPr>
                      <w:sz w:val="13"/>
                      <w:szCs w:val="13"/>
                      <w:u w:val="single"/>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346" w:type="dxa"/>
                  <w:tcBorders>
                    <w:tl2br w:val="nil"/>
                    <w:tr2bl w:val="nil"/>
                  </w:tcBorders>
                  <w:vAlign w:val="center"/>
                </w:tcPr>
                <w:p>
                  <w:pPr>
                    <w:adjustRightInd w:val="0"/>
                    <w:snapToGrid w:val="0"/>
                    <w:jc w:val="center"/>
                    <w:rPr>
                      <w:sz w:val="13"/>
                      <w:szCs w:val="13"/>
                      <w:u w:val="single"/>
                    </w:rPr>
                  </w:pPr>
                  <w:r>
                    <w:rPr>
                      <w:sz w:val="13"/>
                      <w:szCs w:val="13"/>
                      <w:u w:val="single"/>
                    </w:rPr>
                    <w:t>4</w:t>
                  </w:r>
                </w:p>
              </w:tc>
              <w:tc>
                <w:tcPr>
                  <w:tcW w:w="476" w:type="dxa"/>
                  <w:vMerge w:val="continue"/>
                  <w:tcBorders>
                    <w:tl2br w:val="nil"/>
                    <w:tr2bl w:val="nil"/>
                  </w:tcBorders>
                  <w:vAlign w:val="center"/>
                </w:tcPr>
                <w:p>
                  <w:pPr>
                    <w:adjustRightInd w:val="0"/>
                    <w:snapToGrid w:val="0"/>
                    <w:jc w:val="center"/>
                    <w:rPr>
                      <w:sz w:val="13"/>
                      <w:szCs w:val="13"/>
                      <w:u w:val="single"/>
                    </w:rPr>
                  </w:pPr>
                </w:p>
              </w:tc>
              <w:tc>
                <w:tcPr>
                  <w:tcW w:w="346" w:type="dxa"/>
                  <w:tcBorders>
                    <w:tl2br w:val="nil"/>
                    <w:tr2bl w:val="nil"/>
                  </w:tcBorders>
                  <w:vAlign w:val="center"/>
                </w:tcPr>
                <w:p>
                  <w:pPr>
                    <w:adjustRightInd w:val="0"/>
                    <w:snapToGrid w:val="0"/>
                    <w:jc w:val="center"/>
                    <w:rPr>
                      <w:sz w:val="13"/>
                      <w:szCs w:val="13"/>
                      <w:u w:val="single"/>
                    </w:rPr>
                  </w:pPr>
                  <w:r>
                    <w:rPr>
                      <w:sz w:val="13"/>
                      <w:szCs w:val="13"/>
                      <w:u w:val="single"/>
                    </w:rPr>
                    <w:t>燃</w:t>
                  </w:r>
                </w:p>
                <w:p>
                  <w:pPr>
                    <w:adjustRightInd w:val="0"/>
                    <w:snapToGrid w:val="0"/>
                    <w:jc w:val="center"/>
                    <w:rPr>
                      <w:sz w:val="13"/>
                      <w:szCs w:val="13"/>
                      <w:u w:val="single"/>
                    </w:rPr>
                  </w:pPr>
                  <w:r>
                    <w:rPr>
                      <w:sz w:val="13"/>
                      <w:szCs w:val="13"/>
                      <w:u w:val="single"/>
                    </w:rPr>
                    <w:t>烧</w:t>
                  </w:r>
                </w:p>
                <w:p>
                  <w:pPr>
                    <w:adjustRightInd w:val="0"/>
                    <w:snapToGrid w:val="0"/>
                    <w:jc w:val="center"/>
                    <w:rPr>
                      <w:sz w:val="13"/>
                      <w:szCs w:val="13"/>
                      <w:u w:val="single"/>
                    </w:rPr>
                  </w:pPr>
                  <w:r>
                    <w:rPr>
                      <w:sz w:val="13"/>
                      <w:szCs w:val="13"/>
                      <w:u w:val="single"/>
                    </w:rPr>
                    <w:t>器</w:t>
                  </w:r>
                </w:p>
              </w:tc>
              <w:tc>
                <w:tcPr>
                  <w:tcW w:w="736" w:type="dxa"/>
                  <w:tcBorders>
                    <w:tl2br w:val="nil"/>
                    <w:tr2bl w:val="nil"/>
                  </w:tcBorders>
                  <w:vAlign w:val="center"/>
                </w:tcPr>
                <w:p>
                  <w:pPr>
                    <w:adjustRightInd w:val="0"/>
                    <w:snapToGrid w:val="0"/>
                    <w:jc w:val="center"/>
                    <w:rPr>
                      <w:sz w:val="13"/>
                      <w:szCs w:val="13"/>
                      <w:u w:val="single"/>
                    </w:rPr>
                  </w:pPr>
                  <w:r>
                    <w:rPr>
                      <w:sz w:val="13"/>
                      <w:szCs w:val="13"/>
                      <w:u w:val="single"/>
                    </w:rPr>
                    <w:t>配套</w:t>
                  </w:r>
                </w:p>
                <w:p>
                  <w:pPr>
                    <w:adjustRightInd w:val="0"/>
                    <w:snapToGrid w:val="0"/>
                    <w:jc w:val="center"/>
                    <w:rPr>
                      <w:sz w:val="13"/>
                      <w:szCs w:val="13"/>
                      <w:u w:val="single"/>
                    </w:rPr>
                  </w:pPr>
                  <w:r>
                    <w:rPr>
                      <w:sz w:val="13"/>
                      <w:szCs w:val="13"/>
                      <w:u w:val="single"/>
                    </w:rPr>
                    <w:t>导热油炉</w:t>
                  </w:r>
                </w:p>
              </w:tc>
              <w:tc>
                <w:tcPr>
                  <w:tcW w:w="736" w:type="dxa"/>
                  <w:tcBorders>
                    <w:tl2br w:val="nil"/>
                    <w:tr2bl w:val="nil"/>
                  </w:tcBorders>
                  <w:vAlign w:val="center"/>
                </w:tcPr>
                <w:p>
                  <w:pPr>
                    <w:adjustRightInd w:val="0"/>
                    <w:snapToGrid w:val="0"/>
                    <w:jc w:val="center"/>
                    <w:rPr>
                      <w:sz w:val="13"/>
                      <w:szCs w:val="13"/>
                      <w:u w:val="single"/>
                    </w:rPr>
                  </w:pPr>
                  <w:r>
                    <w:rPr>
                      <w:sz w:val="13"/>
                      <w:szCs w:val="13"/>
                      <w:u w:val="single"/>
                    </w:rPr>
                    <w:t>80</w:t>
                  </w:r>
                </w:p>
              </w:tc>
              <w:tc>
                <w:tcPr>
                  <w:tcW w:w="736" w:type="dxa"/>
                  <w:tcBorders>
                    <w:tl2br w:val="nil"/>
                    <w:tr2bl w:val="nil"/>
                  </w:tcBorders>
                  <w:vAlign w:val="center"/>
                </w:tcPr>
                <w:p>
                  <w:pPr>
                    <w:adjustRightInd w:val="0"/>
                    <w:snapToGrid w:val="0"/>
                    <w:jc w:val="center"/>
                    <w:rPr>
                      <w:sz w:val="13"/>
                      <w:szCs w:val="13"/>
                      <w:u w:val="single"/>
                    </w:rPr>
                  </w:pPr>
                  <w:r>
                    <w:rPr>
                      <w:sz w:val="13"/>
                      <w:szCs w:val="13"/>
                      <w:u w:val="single"/>
                    </w:rPr>
                    <w:t>锅炉本体</w:t>
                  </w:r>
                </w:p>
                <w:p>
                  <w:pPr>
                    <w:adjustRightInd w:val="0"/>
                    <w:snapToGrid w:val="0"/>
                    <w:jc w:val="center"/>
                    <w:rPr>
                      <w:sz w:val="13"/>
                      <w:szCs w:val="13"/>
                      <w:u w:val="single"/>
                    </w:rPr>
                  </w:pPr>
                  <w:r>
                    <w:rPr>
                      <w:sz w:val="13"/>
                      <w:szCs w:val="13"/>
                      <w:u w:val="single"/>
                    </w:rPr>
                    <w:t>隔声</w:t>
                  </w:r>
                </w:p>
              </w:tc>
              <w:tc>
                <w:tcPr>
                  <w:tcW w:w="517" w:type="dxa"/>
                  <w:tcBorders>
                    <w:tl2br w:val="nil"/>
                    <w:tr2bl w:val="nil"/>
                  </w:tcBorders>
                  <w:vAlign w:val="center"/>
                </w:tcPr>
                <w:p>
                  <w:pPr>
                    <w:adjustRightInd w:val="0"/>
                    <w:snapToGrid w:val="0"/>
                    <w:jc w:val="center"/>
                    <w:rPr>
                      <w:sz w:val="13"/>
                      <w:szCs w:val="13"/>
                      <w:u w:val="single"/>
                    </w:rPr>
                  </w:pPr>
                  <w:r>
                    <w:rPr>
                      <w:sz w:val="13"/>
                      <w:szCs w:val="13"/>
                      <w:u w:val="single"/>
                    </w:rPr>
                    <w:t>+39.5</w:t>
                  </w:r>
                </w:p>
              </w:tc>
              <w:tc>
                <w:tcPr>
                  <w:tcW w:w="422" w:type="dxa"/>
                  <w:tcBorders>
                    <w:tl2br w:val="nil"/>
                    <w:tr2bl w:val="nil"/>
                  </w:tcBorders>
                  <w:vAlign w:val="center"/>
                </w:tcPr>
                <w:p>
                  <w:pPr>
                    <w:adjustRightInd w:val="0"/>
                    <w:snapToGrid w:val="0"/>
                    <w:jc w:val="center"/>
                    <w:rPr>
                      <w:sz w:val="13"/>
                      <w:szCs w:val="13"/>
                      <w:u w:val="single"/>
                    </w:rPr>
                  </w:pPr>
                  <w:r>
                    <w:rPr>
                      <w:sz w:val="13"/>
                      <w:szCs w:val="13"/>
                      <w:u w:val="single"/>
                    </w:rPr>
                    <w:t>-3.0</w:t>
                  </w:r>
                </w:p>
              </w:tc>
              <w:tc>
                <w:tcPr>
                  <w:tcW w:w="452" w:type="dxa"/>
                  <w:tcBorders>
                    <w:tl2br w:val="nil"/>
                    <w:tr2bl w:val="nil"/>
                  </w:tcBorders>
                  <w:vAlign w:val="center"/>
                </w:tcPr>
                <w:p>
                  <w:pPr>
                    <w:adjustRightInd w:val="0"/>
                    <w:snapToGrid w:val="0"/>
                    <w:jc w:val="center"/>
                    <w:rPr>
                      <w:sz w:val="13"/>
                      <w:szCs w:val="13"/>
                      <w:u w:val="single"/>
                    </w:rPr>
                  </w:pPr>
                  <w:r>
                    <w:rPr>
                      <w:sz w:val="13"/>
                      <w:szCs w:val="13"/>
                      <w:u w:val="single"/>
                    </w:rPr>
                    <w:t>+1.8</w:t>
                  </w:r>
                </w:p>
              </w:tc>
              <w:tc>
                <w:tcPr>
                  <w:tcW w:w="606" w:type="dxa"/>
                  <w:tcBorders>
                    <w:tl2br w:val="nil"/>
                    <w:tr2bl w:val="nil"/>
                  </w:tcBorders>
                  <w:vAlign w:val="center"/>
                </w:tcPr>
                <w:p>
                  <w:pPr>
                    <w:adjustRightInd w:val="0"/>
                    <w:snapToGrid w:val="0"/>
                    <w:jc w:val="center"/>
                    <w:rPr>
                      <w:sz w:val="13"/>
                      <w:szCs w:val="13"/>
                      <w:u w:val="single"/>
                    </w:rPr>
                  </w:pPr>
                  <w:r>
                    <w:rPr>
                      <w:sz w:val="13"/>
                      <w:szCs w:val="13"/>
                      <w:u w:val="single"/>
                    </w:rPr>
                    <w:t>2.5</w:t>
                  </w:r>
                </w:p>
              </w:tc>
              <w:tc>
                <w:tcPr>
                  <w:tcW w:w="722" w:type="dxa"/>
                  <w:tcBorders>
                    <w:tl2br w:val="nil"/>
                    <w:tr2bl w:val="nil"/>
                  </w:tcBorders>
                  <w:vAlign w:val="center"/>
                </w:tcPr>
                <w:p>
                  <w:pPr>
                    <w:adjustRightInd w:val="0"/>
                    <w:snapToGrid w:val="0"/>
                    <w:jc w:val="center"/>
                    <w:rPr>
                      <w:sz w:val="13"/>
                      <w:szCs w:val="13"/>
                      <w:u w:val="single"/>
                    </w:rPr>
                  </w:pPr>
                  <w:r>
                    <w:rPr>
                      <w:sz w:val="13"/>
                      <w:szCs w:val="13"/>
                      <w:u w:val="single"/>
                    </w:rPr>
                    <w:t>66</w:t>
                  </w:r>
                </w:p>
              </w:tc>
              <w:tc>
                <w:tcPr>
                  <w:tcW w:w="476" w:type="dxa"/>
                  <w:tcBorders>
                    <w:tl2br w:val="nil"/>
                    <w:tr2bl w:val="nil"/>
                  </w:tcBorders>
                  <w:vAlign w:val="center"/>
                </w:tcPr>
                <w:p>
                  <w:pPr>
                    <w:adjustRightInd w:val="0"/>
                    <w:snapToGrid w:val="0"/>
                    <w:jc w:val="center"/>
                    <w:rPr>
                      <w:sz w:val="13"/>
                      <w:szCs w:val="13"/>
                      <w:u w:val="single"/>
                    </w:rPr>
                  </w:pPr>
                  <w:r>
                    <w:rPr>
                      <w:sz w:val="13"/>
                      <w:szCs w:val="13"/>
                      <w:u w:val="single"/>
                    </w:rPr>
                    <w:t>频发</w:t>
                  </w:r>
                </w:p>
              </w:tc>
              <w:tc>
                <w:tcPr>
                  <w:tcW w:w="722" w:type="dxa"/>
                  <w:tcBorders>
                    <w:tl2br w:val="nil"/>
                    <w:tr2bl w:val="nil"/>
                  </w:tcBorders>
                  <w:vAlign w:val="center"/>
                </w:tcPr>
                <w:p>
                  <w:pPr>
                    <w:adjustRightInd w:val="0"/>
                    <w:snapToGrid w:val="0"/>
                    <w:jc w:val="center"/>
                    <w:rPr>
                      <w:sz w:val="13"/>
                      <w:szCs w:val="13"/>
                      <w:u w:val="single"/>
                    </w:rPr>
                  </w:pPr>
                  <w:r>
                    <w:rPr>
                      <w:sz w:val="13"/>
                      <w:szCs w:val="13"/>
                      <w:u w:val="single"/>
                    </w:rPr>
                    <w:t>20</w:t>
                  </w:r>
                </w:p>
              </w:tc>
              <w:tc>
                <w:tcPr>
                  <w:tcW w:w="722" w:type="dxa"/>
                  <w:tcBorders>
                    <w:tl2br w:val="nil"/>
                    <w:tr2bl w:val="nil"/>
                  </w:tcBorders>
                  <w:vAlign w:val="center"/>
                </w:tcPr>
                <w:p>
                  <w:pPr>
                    <w:adjustRightInd w:val="0"/>
                    <w:snapToGrid w:val="0"/>
                    <w:jc w:val="center"/>
                    <w:rPr>
                      <w:sz w:val="13"/>
                      <w:szCs w:val="13"/>
                      <w:u w:val="single"/>
                    </w:rPr>
                  </w:pPr>
                  <w:r>
                    <w:rPr>
                      <w:sz w:val="13"/>
                      <w:szCs w:val="13"/>
                      <w:u w:val="single"/>
                    </w:rPr>
                    <w:t>46</w:t>
                  </w:r>
                </w:p>
              </w:tc>
              <w:tc>
                <w:tcPr>
                  <w:tcW w:w="476" w:type="dxa"/>
                  <w:tcBorders>
                    <w:tl2br w:val="nil"/>
                    <w:tr2bl w:val="nil"/>
                  </w:tcBorders>
                  <w:vAlign w:val="center"/>
                </w:tcPr>
                <w:p>
                  <w:pPr>
                    <w:adjustRightInd w:val="0"/>
                    <w:snapToGrid w:val="0"/>
                    <w:jc w:val="center"/>
                    <w:rPr>
                      <w:sz w:val="13"/>
                      <w:szCs w:val="13"/>
                      <w:u w:val="single"/>
                    </w:rPr>
                  </w:pPr>
                  <w:r>
                    <w:rPr>
                      <w:sz w:val="13"/>
                      <w:szCs w:val="13"/>
                      <w:u w:val="single"/>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8491" w:type="dxa"/>
                  <w:gridSpan w:val="15"/>
                  <w:tcBorders>
                    <w:tl2br w:val="nil"/>
                    <w:tr2bl w:val="nil"/>
                  </w:tcBorders>
                  <w:vAlign w:val="center"/>
                </w:tcPr>
                <w:p>
                  <w:pPr>
                    <w:adjustRightInd w:val="0"/>
                    <w:snapToGrid w:val="0"/>
                    <w:jc w:val="left"/>
                    <w:rPr>
                      <w:sz w:val="13"/>
                      <w:szCs w:val="13"/>
                      <w:u w:val="single"/>
                    </w:rPr>
                  </w:pPr>
                  <w:r>
                    <w:rPr>
                      <w:sz w:val="13"/>
                      <w:szCs w:val="13"/>
                      <w:u w:val="single"/>
                    </w:rPr>
                    <w:t>注：①空间相对位置以锅炉房西南角为原点（0,0,0），X为正东方向，Y为正北方向，Z为垂直方向；</w:t>
                  </w:r>
                </w:p>
                <w:p>
                  <w:pPr>
                    <w:adjustRightInd w:val="0"/>
                    <w:snapToGrid w:val="0"/>
                    <w:ind w:firstLine="260" w:firstLineChars="200"/>
                    <w:jc w:val="left"/>
                    <w:rPr>
                      <w:sz w:val="13"/>
                      <w:szCs w:val="13"/>
                      <w:u w:val="single"/>
                    </w:rPr>
                  </w:pPr>
                  <w:r>
                    <w:rPr>
                      <w:sz w:val="13"/>
                      <w:szCs w:val="13"/>
                      <w:u w:val="single"/>
                    </w:rPr>
                    <w:t>②室内边界声级按点声源在室内靠近墙壁处的声压级估算（指向性因子Q=2），公式为Lp=Lw−20lgr−8Lp=Lw−20lgr−8；</w:t>
                  </w:r>
                </w:p>
                <w:p>
                  <w:pPr>
                    <w:adjustRightInd w:val="0"/>
                    <w:snapToGrid w:val="0"/>
                    <w:ind w:firstLine="260" w:firstLineChars="200"/>
                    <w:jc w:val="left"/>
                    <w:rPr>
                      <w:sz w:val="13"/>
                      <w:szCs w:val="13"/>
                      <w:u w:val="single"/>
                    </w:rPr>
                  </w:pPr>
                  <w:r>
                    <w:rPr>
                      <w:sz w:val="13"/>
                      <w:szCs w:val="13"/>
                      <w:u w:val="single"/>
                    </w:rPr>
                    <w:t>③建筑物插入损失按锅炉房240mm砖混结构墙体+隔声门窗综合隔声量20dB(A)计。</w:t>
                  </w:r>
                </w:p>
              </w:tc>
            </w:tr>
          </w:tbl>
          <w:p>
            <w:pPr>
              <w:spacing w:line="360" w:lineRule="auto"/>
              <w:ind w:firstLine="420" w:firstLineChars="200"/>
              <w:jc w:val="left"/>
              <w:rPr>
                <w:szCs w:val="21"/>
              </w:rPr>
            </w:pPr>
            <w:r>
              <w:rPr>
                <w:szCs w:val="21"/>
              </w:rPr>
              <w:t>2、预测范围和预测点</w:t>
            </w:r>
          </w:p>
          <w:p>
            <w:pPr>
              <w:spacing w:line="360" w:lineRule="auto"/>
              <w:ind w:firstLine="420" w:firstLineChars="200"/>
              <w:jc w:val="left"/>
              <w:rPr>
                <w:szCs w:val="21"/>
              </w:rPr>
            </w:pPr>
            <w:r>
              <w:rPr>
                <w:szCs w:val="21"/>
              </w:rPr>
              <w:t>本次主要预测厂界处噪声值。</w:t>
            </w:r>
          </w:p>
          <w:p>
            <w:pPr>
              <w:spacing w:line="360" w:lineRule="auto"/>
              <w:ind w:firstLine="420" w:firstLineChars="200"/>
              <w:jc w:val="left"/>
              <w:rPr>
                <w:snapToGrid w:val="0"/>
                <w:szCs w:val="21"/>
              </w:rPr>
            </w:pPr>
            <w:r>
              <w:rPr>
                <w:szCs w:val="21"/>
              </w:rPr>
              <w:t>3、</w:t>
            </w:r>
            <w:r>
              <w:rPr>
                <w:snapToGrid w:val="0"/>
                <w:szCs w:val="21"/>
              </w:rPr>
              <w:t>预测内容</w:t>
            </w:r>
          </w:p>
          <w:p>
            <w:pPr>
              <w:spacing w:line="360" w:lineRule="auto"/>
              <w:ind w:firstLine="420" w:firstLineChars="200"/>
              <w:jc w:val="left"/>
              <w:rPr>
                <w:snapToGrid w:val="0"/>
                <w:szCs w:val="21"/>
              </w:rPr>
            </w:pPr>
            <w:r>
              <w:rPr>
                <w:snapToGrid w:val="0"/>
                <w:szCs w:val="21"/>
              </w:rPr>
              <w:t>根据本工程噪声源的分布，对厂界四周噪声影响进行预测计算，与所执行的标准进行比较分析。</w:t>
            </w:r>
          </w:p>
          <w:p>
            <w:pPr>
              <w:spacing w:line="360" w:lineRule="auto"/>
              <w:ind w:firstLine="420" w:firstLineChars="200"/>
              <w:jc w:val="left"/>
              <w:rPr>
                <w:snapToGrid w:val="0"/>
                <w:szCs w:val="21"/>
              </w:rPr>
            </w:pPr>
            <w:r>
              <w:rPr>
                <w:snapToGrid w:val="0"/>
                <w:szCs w:val="21"/>
              </w:rPr>
              <w:t>4、预测结果及评价</w:t>
            </w:r>
          </w:p>
          <w:p>
            <w:pPr>
              <w:spacing w:line="360" w:lineRule="auto"/>
              <w:ind w:firstLine="420" w:firstLineChars="200"/>
              <w:jc w:val="left"/>
              <w:rPr>
                <w:szCs w:val="21"/>
              </w:rPr>
            </w:pPr>
            <w:r>
              <w:rPr>
                <w:snapToGrid w:val="0"/>
                <w:szCs w:val="21"/>
              </w:rPr>
              <w:t>本项目噪声预测结果详见表27。</w:t>
            </w:r>
          </w:p>
          <w:p>
            <w:pPr>
              <w:jc w:val="center"/>
              <w:rPr>
                <w:b/>
                <w:bCs/>
              </w:rPr>
            </w:pPr>
          </w:p>
          <w:p>
            <w:pPr>
              <w:jc w:val="center"/>
              <w:rPr>
                <w:b/>
                <w:bCs/>
              </w:rPr>
            </w:pPr>
          </w:p>
          <w:p>
            <w:pPr>
              <w:jc w:val="center"/>
              <w:rPr>
                <w:b/>
                <w:bCs/>
              </w:rPr>
            </w:pPr>
          </w:p>
          <w:p>
            <w:pPr>
              <w:jc w:val="center"/>
              <w:rPr>
                <w:b/>
                <w:bCs/>
              </w:rPr>
            </w:pPr>
          </w:p>
          <w:p>
            <w:pPr>
              <w:jc w:val="center"/>
              <w:rPr>
                <w:b/>
                <w:bCs/>
              </w:rPr>
            </w:pPr>
            <w:r>
              <w:rPr>
                <w:b/>
                <w:bCs/>
              </w:rPr>
              <w:t>表27  噪声预测结果统计表</w:t>
            </w:r>
          </w:p>
          <w:tbl>
            <w:tblPr>
              <w:tblStyle w:val="26"/>
              <w:tblW w:w="8501" w:type="dxa"/>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079"/>
              <w:gridCol w:w="1753"/>
              <w:gridCol w:w="1416"/>
              <w:gridCol w:w="1416"/>
              <w:gridCol w:w="1416"/>
              <w:gridCol w:w="1421"/>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Pr>
              <w:tc>
                <w:tcPr>
                  <w:tcW w:w="1079" w:type="dxa"/>
                  <w:vMerge w:val="restart"/>
                  <w:vAlign w:val="center"/>
                </w:tcPr>
                <w:p>
                  <w:pPr>
                    <w:adjustRightInd w:val="0"/>
                    <w:snapToGrid w:val="0"/>
                    <w:jc w:val="center"/>
                    <w:rPr>
                      <w:sz w:val="18"/>
                      <w:szCs w:val="18"/>
                      <w:lang w:val="zh-CN"/>
                    </w:rPr>
                  </w:pPr>
                  <w:r>
                    <w:rPr>
                      <w:sz w:val="18"/>
                      <w:szCs w:val="18"/>
                      <w:lang w:val="zh-CN"/>
                    </w:rPr>
                    <w:t>序号</w:t>
                  </w:r>
                </w:p>
              </w:tc>
              <w:tc>
                <w:tcPr>
                  <w:tcW w:w="1753" w:type="dxa"/>
                  <w:vMerge w:val="restart"/>
                  <w:vAlign w:val="center"/>
                </w:tcPr>
                <w:p>
                  <w:pPr>
                    <w:adjustRightInd w:val="0"/>
                    <w:snapToGrid w:val="0"/>
                    <w:jc w:val="center"/>
                    <w:rPr>
                      <w:sz w:val="18"/>
                      <w:szCs w:val="18"/>
                      <w:lang w:val="zh-CN"/>
                    </w:rPr>
                  </w:pPr>
                  <w:r>
                    <w:rPr>
                      <w:sz w:val="18"/>
                      <w:szCs w:val="18"/>
                      <w:lang w:val="zh-CN"/>
                    </w:rPr>
                    <w:t>位置</w:t>
                  </w:r>
                </w:p>
              </w:tc>
              <w:tc>
                <w:tcPr>
                  <w:tcW w:w="5669" w:type="dxa"/>
                  <w:gridSpan w:val="4"/>
                  <w:vAlign w:val="center"/>
                </w:tcPr>
                <w:p>
                  <w:pPr>
                    <w:adjustRightInd w:val="0"/>
                    <w:snapToGrid w:val="0"/>
                    <w:jc w:val="center"/>
                    <w:rPr>
                      <w:sz w:val="18"/>
                      <w:szCs w:val="18"/>
                      <w:lang w:val="zh-CN"/>
                    </w:rPr>
                  </w:pPr>
                  <w:r>
                    <w:rPr>
                      <w:sz w:val="18"/>
                      <w:szCs w:val="18"/>
                      <w:lang w:val="zh-CN"/>
                    </w:rPr>
                    <w:t>昼间噪声 dB（A）</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Pr>
              <w:tc>
                <w:tcPr>
                  <w:tcW w:w="1079" w:type="dxa"/>
                  <w:vMerge w:val="continue"/>
                  <w:vAlign w:val="center"/>
                </w:tcPr>
                <w:p>
                  <w:pPr>
                    <w:adjustRightInd w:val="0"/>
                    <w:snapToGrid w:val="0"/>
                    <w:jc w:val="center"/>
                    <w:rPr>
                      <w:sz w:val="18"/>
                      <w:szCs w:val="18"/>
                      <w:lang w:val="zh-CN"/>
                    </w:rPr>
                  </w:pPr>
                </w:p>
              </w:tc>
              <w:tc>
                <w:tcPr>
                  <w:tcW w:w="1753" w:type="dxa"/>
                  <w:vMerge w:val="continue"/>
                  <w:vAlign w:val="center"/>
                </w:tcPr>
                <w:p>
                  <w:pPr>
                    <w:adjustRightInd w:val="0"/>
                    <w:snapToGrid w:val="0"/>
                    <w:jc w:val="center"/>
                    <w:rPr>
                      <w:sz w:val="18"/>
                      <w:szCs w:val="18"/>
                      <w:lang w:val="zh-CN"/>
                    </w:rPr>
                  </w:pPr>
                </w:p>
              </w:tc>
              <w:tc>
                <w:tcPr>
                  <w:tcW w:w="1416" w:type="dxa"/>
                  <w:vAlign w:val="center"/>
                </w:tcPr>
                <w:p>
                  <w:pPr>
                    <w:adjustRightInd w:val="0"/>
                    <w:snapToGrid w:val="0"/>
                    <w:jc w:val="center"/>
                    <w:rPr>
                      <w:sz w:val="18"/>
                      <w:szCs w:val="18"/>
                      <w:lang w:val="zh-CN"/>
                    </w:rPr>
                  </w:pPr>
                  <w:r>
                    <w:rPr>
                      <w:sz w:val="18"/>
                      <w:szCs w:val="18"/>
                      <w:lang w:val="zh-CN"/>
                    </w:rPr>
                    <w:t>背景值</w:t>
                  </w:r>
                </w:p>
              </w:tc>
              <w:tc>
                <w:tcPr>
                  <w:tcW w:w="1416" w:type="dxa"/>
                  <w:vAlign w:val="center"/>
                </w:tcPr>
                <w:p>
                  <w:pPr>
                    <w:adjustRightInd w:val="0"/>
                    <w:snapToGrid w:val="0"/>
                    <w:jc w:val="center"/>
                    <w:rPr>
                      <w:sz w:val="18"/>
                      <w:szCs w:val="18"/>
                      <w:lang w:val="zh-CN"/>
                    </w:rPr>
                  </w:pPr>
                  <w:r>
                    <w:rPr>
                      <w:sz w:val="18"/>
                      <w:szCs w:val="18"/>
                      <w:lang w:val="zh-CN"/>
                    </w:rPr>
                    <w:t>贡献值</w:t>
                  </w:r>
                </w:p>
              </w:tc>
              <w:tc>
                <w:tcPr>
                  <w:tcW w:w="1416" w:type="dxa"/>
                  <w:vAlign w:val="center"/>
                </w:tcPr>
                <w:p>
                  <w:pPr>
                    <w:adjustRightInd w:val="0"/>
                    <w:snapToGrid w:val="0"/>
                    <w:jc w:val="center"/>
                    <w:rPr>
                      <w:sz w:val="18"/>
                      <w:szCs w:val="18"/>
                      <w:lang w:val="zh-CN"/>
                    </w:rPr>
                  </w:pPr>
                  <w:r>
                    <w:rPr>
                      <w:sz w:val="18"/>
                      <w:szCs w:val="18"/>
                      <w:lang w:val="zh-CN"/>
                    </w:rPr>
                    <w:t>叠加值</w:t>
                  </w:r>
                </w:p>
              </w:tc>
              <w:tc>
                <w:tcPr>
                  <w:tcW w:w="1421" w:type="dxa"/>
                  <w:vAlign w:val="center"/>
                </w:tcPr>
                <w:p>
                  <w:pPr>
                    <w:adjustRightInd w:val="0"/>
                    <w:snapToGrid w:val="0"/>
                    <w:jc w:val="center"/>
                    <w:rPr>
                      <w:sz w:val="18"/>
                      <w:szCs w:val="18"/>
                      <w:lang w:val="zh-CN"/>
                    </w:rPr>
                  </w:pPr>
                  <w:r>
                    <w:rPr>
                      <w:sz w:val="18"/>
                      <w:szCs w:val="18"/>
                      <w:lang w:val="zh-CN"/>
                    </w:rPr>
                    <w:t>变化值</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Pr>
              <w:tc>
                <w:tcPr>
                  <w:tcW w:w="1079" w:type="dxa"/>
                  <w:vAlign w:val="center"/>
                </w:tcPr>
                <w:p>
                  <w:pPr>
                    <w:adjustRightInd w:val="0"/>
                    <w:snapToGrid w:val="0"/>
                    <w:jc w:val="center"/>
                    <w:rPr>
                      <w:sz w:val="18"/>
                      <w:szCs w:val="18"/>
                      <w:lang w:val="zh-CN"/>
                    </w:rPr>
                  </w:pPr>
                  <w:r>
                    <w:rPr>
                      <w:sz w:val="18"/>
                      <w:szCs w:val="18"/>
                      <w:lang w:val="zh-CN"/>
                    </w:rPr>
                    <w:t>1</w:t>
                  </w:r>
                </w:p>
              </w:tc>
              <w:tc>
                <w:tcPr>
                  <w:tcW w:w="1753" w:type="dxa"/>
                  <w:vAlign w:val="center"/>
                </w:tcPr>
                <w:p>
                  <w:pPr>
                    <w:adjustRightInd w:val="0"/>
                    <w:snapToGrid w:val="0"/>
                    <w:jc w:val="center"/>
                    <w:rPr>
                      <w:sz w:val="18"/>
                      <w:szCs w:val="18"/>
                      <w:lang w:val="zh-CN"/>
                    </w:rPr>
                  </w:pPr>
                  <w:r>
                    <w:rPr>
                      <w:sz w:val="18"/>
                      <w:szCs w:val="18"/>
                      <w:lang w:val="zh-CN"/>
                    </w:rPr>
                    <w:t>厂界东侧</w:t>
                  </w:r>
                </w:p>
              </w:tc>
              <w:tc>
                <w:tcPr>
                  <w:tcW w:w="1416" w:type="dxa"/>
                  <w:vAlign w:val="center"/>
                </w:tcPr>
                <w:p>
                  <w:pPr>
                    <w:adjustRightInd w:val="0"/>
                    <w:snapToGrid w:val="0"/>
                    <w:jc w:val="center"/>
                    <w:rPr>
                      <w:sz w:val="18"/>
                      <w:szCs w:val="18"/>
                      <w:u w:val="single"/>
                    </w:rPr>
                  </w:pPr>
                  <w:r>
                    <w:rPr>
                      <w:sz w:val="18"/>
                      <w:szCs w:val="18"/>
                      <w:u w:val="single"/>
                    </w:rPr>
                    <w:t>64</w:t>
                  </w:r>
                </w:p>
              </w:tc>
              <w:tc>
                <w:tcPr>
                  <w:tcW w:w="1416" w:type="dxa"/>
                  <w:vAlign w:val="center"/>
                </w:tcPr>
                <w:p>
                  <w:pPr>
                    <w:adjustRightInd w:val="0"/>
                    <w:snapToGrid w:val="0"/>
                    <w:jc w:val="center"/>
                    <w:rPr>
                      <w:sz w:val="18"/>
                      <w:szCs w:val="18"/>
                      <w:u w:val="single"/>
                      <w:lang w:val="zh-CN"/>
                    </w:rPr>
                  </w:pPr>
                  <w:r>
                    <w:rPr>
                      <w:sz w:val="18"/>
                      <w:szCs w:val="18"/>
                      <w:u w:val="single"/>
                      <w:lang w:val="zh-CN"/>
                    </w:rPr>
                    <w:t>34.83</w:t>
                  </w:r>
                </w:p>
              </w:tc>
              <w:tc>
                <w:tcPr>
                  <w:tcW w:w="1416" w:type="dxa"/>
                  <w:vAlign w:val="center"/>
                </w:tcPr>
                <w:p>
                  <w:pPr>
                    <w:adjustRightInd w:val="0"/>
                    <w:snapToGrid w:val="0"/>
                    <w:jc w:val="center"/>
                    <w:rPr>
                      <w:sz w:val="18"/>
                      <w:szCs w:val="18"/>
                      <w:u w:val="single"/>
                    </w:rPr>
                  </w:pPr>
                  <w:r>
                    <w:rPr>
                      <w:sz w:val="18"/>
                      <w:szCs w:val="18"/>
                      <w:u w:val="single"/>
                    </w:rPr>
                    <w:t>64.01</w:t>
                  </w:r>
                </w:p>
              </w:tc>
              <w:tc>
                <w:tcPr>
                  <w:tcW w:w="1421" w:type="dxa"/>
                  <w:vAlign w:val="center"/>
                </w:tcPr>
                <w:p>
                  <w:pPr>
                    <w:adjustRightInd w:val="0"/>
                    <w:snapToGrid w:val="0"/>
                    <w:jc w:val="center"/>
                    <w:rPr>
                      <w:sz w:val="18"/>
                      <w:szCs w:val="18"/>
                      <w:u w:val="single"/>
                    </w:rPr>
                  </w:pPr>
                  <w:r>
                    <w:rPr>
                      <w:sz w:val="18"/>
                      <w:szCs w:val="18"/>
                      <w:u w:val="single"/>
                    </w:rPr>
                    <w:t>+0.01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Pr>
              <w:tc>
                <w:tcPr>
                  <w:tcW w:w="1079" w:type="dxa"/>
                  <w:vAlign w:val="center"/>
                </w:tcPr>
                <w:p>
                  <w:pPr>
                    <w:adjustRightInd w:val="0"/>
                    <w:snapToGrid w:val="0"/>
                    <w:jc w:val="center"/>
                    <w:rPr>
                      <w:sz w:val="18"/>
                      <w:szCs w:val="18"/>
                      <w:lang w:val="zh-CN"/>
                    </w:rPr>
                  </w:pPr>
                  <w:r>
                    <w:rPr>
                      <w:sz w:val="18"/>
                      <w:szCs w:val="18"/>
                      <w:lang w:val="zh-CN"/>
                    </w:rPr>
                    <w:t>2</w:t>
                  </w:r>
                </w:p>
              </w:tc>
              <w:tc>
                <w:tcPr>
                  <w:tcW w:w="1753" w:type="dxa"/>
                  <w:tcBorders>
                    <w:bottom w:val="single" w:color="auto" w:sz="4" w:space="0"/>
                  </w:tcBorders>
                  <w:vAlign w:val="center"/>
                </w:tcPr>
                <w:p>
                  <w:pPr>
                    <w:adjustRightInd w:val="0"/>
                    <w:snapToGrid w:val="0"/>
                    <w:jc w:val="center"/>
                    <w:rPr>
                      <w:sz w:val="18"/>
                      <w:szCs w:val="18"/>
                      <w:lang w:val="zh-CN"/>
                    </w:rPr>
                  </w:pPr>
                  <w:r>
                    <w:rPr>
                      <w:sz w:val="18"/>
                      <w:szCs w:val="18"/>
                      <w:lang w:val="zh-CN"/>
                    </w:rPr>
                    <w:t>厂界南侧</w:t>
                  </w:r>
                </w:p>
              </w:tc>
              <w:tc>
                <w:tcPr>
                  <w:tcW w:w="1416" w:type="dxa"/>
                  <w:vAlign w:val="center"/>
                </w:tcPr>
                <w:p>
                  <w:pPr>
                    <w:adjustRightInd w:val="0"/>
                    <w:snapToGrid w:val="0"/>
                    <w:jc w:val="center"/>
                    <w:rPr>
                      <w:sz w:val="18"/>
                      <w:szCs w:val="18"/>
                      <w:u w:val="single"/>
                    </w:rPr>
                  </w:pPr>
                  <w:r>
                    <w:rPr>
                      <w:sz w:val="18"/>
                      <w:szCs w:val="18"/>
                      <w:u w:val="single"/>
                    </w:rPr>
                    <w:t>63</w:t>
                  </w:r>
                </w:p>
              </w:tc>
              <w:tc>
                <w:tcPr>
                  <w:tcW w:w="1416" w:type="dxa"/>
                  <w:vAlign w:val="center"/>
                </w:tcPr>
                <w:p>
                  <w:pPr>
                    <w:adjustRightInd w:val="0"/>
                    <w:snapToGrid w:val="0"/>
                    <w:jc w:val="center"/>
                    <w:rPr>
                      <w:sz w:val="18"/>
                      <w:szCs w:val="18"/>
                      <w:u w:val="single"/>
                      <w:lang w:val="zh-CN"/>
                    </w:rPr>
                  </w:pPr>
                  <w:r>
                    <w:rPr>
                      <w:sz w:val="18"/>
                      <w:szCs w:val="18"/>
                      <w:u w:val="single"/>
                      <w:lang w:val="zh-CN"/>
                    </w:rPr>
                    <w:t>4</w:t>
                  </w:r>
                  <w:r>
                    <w:rPr>
                      <w:sz w:val="18"/>
                      <w:szCs w:val="18"/>
                      <w:u w:val="single"/>
                    </w:rPr>
                    <w:t>5</w:t>
                  </w:r>
                  <w:r>
                    <w:rPr>
                      <w:sz w:val="18"/>
                      <w:szCs w:val="18"/>
                      <w:u w:val="single"/>
                      <w:lang w:val="zh-CN"/>
                    </w:rPr>
                    <w:t>.56</w:t>
                  </w:r>
                </w:p>
              </w:tc>
              <w:tc>
                <w:tcPr>
                  <w:tcW w:w="1416" w:type="dxa"/>
                  <w:vAlign w:val="center"/>
                </w:tcPr>
                <w:p>
                  <w:pPr>
                    <w:adjustRightInd w:val="0"/>
                    <w:snapToGrid w:val="0"/>
                    <w:jc w:val="center"/>
                    <w:rPr>
                      <w:sz w:val="18"/>
                      <w:szCs w:val="18"/>
                      <w:u w:val="single"/>
                    </w:rPr>
                  </w:pPr>
                  <w:r>
                    <w:rPr>
                      <w:sz w:val="18"/>
                      <w:szCs w:val="18"/>
                      <w:u w:val="single"/>
                    </w:rPr>
                    <w:t>63.08</w:t>
                  </w:r>
                </w:p>
              </w:tc>
              <w:tc>
                <w:tcPr>
                  <w:tcW w:w="1421" w:type="dxa"/>
                  <w:vAlign w:val="center"/>
                </w:tcPr>
                <w:p>
                  <w:pPr>
                    <w:adjustRightInd w:val="0"/>
                    <w:snapToGrid w:val="0"/>
                    <w:jc w:val="center"/>
                    <w:rPr>
                      <w:sz w:val="18"/>
                      <w:szCs w:val="18"/>
                      <w:u w:val="single"/>
                    </w:rPr>
                  </w:pPr>
                  <w:r>
                    <w:rPr>
                      <w:sz w:val="18"/>
                      <w:szCs w:val="18"/>
                      <w:u w:val="single"/>
                    </w:rPr>
                    <w:t>+0.08</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Pr>
              <w:tc>
                <w:tcPr>
                  <w:tcW w:w="1079" w:type="dxa"/>
                  <w:vAlign w:val="center"/>
                </w:tcPr>
                <w:p>
                  <w:pPr>
                    <w:adjustRightInd w:val="0"/>
                    <w:snapToGrid w:val="0"/>
                    <w:jc w:val="center"/>
                    <w:rPr>
                      <w:sz w:val="18"/>
                      <w:szCs w:val="18"/>
                      <w:lang w:val="zh-CN"/>
                    </w:rPr>
                  </w:pPr>
                  <w:r>
                    <w:rPr>
                      <w:sz w:val="18"/>
                      <w:szCs w:val="18"/>
                      <w:lang w:val="zh-CN"/>
                    </w:rPr>
                    <w:t>3</w:t>
                  </w:r>
                </w:p>
              </w:tc>
              <w:tc>
                <w:tcPr>
                  <w:tcW w:w="1753" w:type="dxa"/>
                  <w:tcBorders>
                    <w:top w:val="single" w:color="auto" w:sz="4" w:space="0"/>
                  </w:tcBorders>
                  <w:vAlign w:val="center"/>
                </w:tcPr>
                <w:p>
                  <w:pPr>
                    <w:adjustRightInd w:val="0"/>
                    <w:snapToGrid w:val="0"/>
                    <w:jc w:val="center"/>
                    <w:rPr>
                      <w:sz w:val="18"/>
                      <w:szCs w:val="18"/>
                      <w:lang w:val="zh-CN"/>
                    </w:rPr>
                  </w:pPr>
                  <w:r>
                    <w:rPr>
                      <w:sz w:val="18"/>
                      <w:szCs w:val="18"/>
                      <w:lang w:val="zh-CN"/>
                    </w:rPr>
                    <w:t>厂界西侧</w:t>
                  </w:r>
                </w:p>
              </w:tc>
              <w:tc>
                <w:tcPr>
                  <w:tcW w:w="1416" w:type="dxa"/>
                  <w:vAlign w:val="center"/>
                </w:tcPr>
                <w:p>
                  <w:pPr>
                    <w:adjustRightInd w:val="0"/>
                    <w:snapToGrid w:val="0"/>
                    <w:jc w:val="center"/>
                    <w:rPr>
                      <w:sz w:val="18"/>
                      <w:szCs w:val="18"/>
                      <w:u w:val="single"/>
                    </w:rPr>
                  </w:pPr>
                  <w:r>
                    <w:rPr>
                      <w:sz w:val="18"/>
                      <w:szCs w:val="18"/>
                      <w:u w:val="single"/>
                    </w:rPr>
                    <w:t>62</w:t>
                  </w:r>
                </w:p>
              </w:tc>
              <w:tc>
                <w:tcPr>
                  <w:tcW w:w="1416" w:type="dxa"/>
                  <w:vAlign w:val="center"/>
                </w:tcPr>
                <w:p>
                  <w:pPr>
                    <w:adjustRightInd w:val="0"/>
                    <w:snapToGrid w:val="0"/>
                    <w:jc w:val="center"/>
                    <w:rPr>
                      <w:sz w:val="18"/>
                      <w:szCs w:val="18"/>
                      <w:u w:val="single"/>
                    </w:rPr>
                  </w:pPr>
                  <w:r>
                    <w:rPr>
                      <w:sz w:val="18"/>
                      <w:szCs w:val="18"/>
                      <w:u w:val="single"/>
                    </w:rPr>
                    <w:t>32.43</w:t>
                  </w:r>
                </w:p>
              </w:tc>
              <w:tc>
                <w:tcPr>
                  <w:tcW w:w="1416" w:type="dxa"/>
                  <w:vAlign w:val="center"/>
                </w:tcPr>
                <w:p>
                  <w:pPr>
                    <w:adjustRightInd w:val="0"/>
                    <w:snapToGrid w:val="0"/>
                    <w:jc w:val="center"/>
                    <w:rPr>
                      <w:sz w:val="18"/>
                      <w:szCs w:val="18"/>
                      <w:u w:val="single"/>
                    </w:rPr>
                  </w:pPr>
                  <w:r>
                    <w:rPr>
                      <w:sz w:val="18"/>
                      <w:szCs w:val="18"/>
                      <w:u w:val="single"/>
                    </w:rPr>
                    <w:t>62.00</w:t>
                  </w:r>
                </w:p>
              </w:tc>
              <w:tc>
                <w:tcPr>
                  <w:tcW w:w="1421" w:type="dxa"/>
                  <w:vAlign w:val="center"/>
                </w:tcPr>
                <w:p>
                  <w:pPr>
                    <w:adjustRightInd w:val="0"/>
                    <w:snapToGrid w:val="0"/>
                    <w:jc w:val="center"/>
                    <w:rPr>
                      <w:sz w:val="18"/>
                      <w:szCs w:val="18"/>
                      <w:u w:val="single"/>
                    </w:rPr>
                  </w:pPr>
                  <w:r>
                    <w:rPr>
                      <w:sz w:val="18"/>
                      <w:szCs w:val="18"/>
                      <w:u w:val="single"/>
                    </w:rPr>
                    <w:t>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Pr>
              <w:tc>
                <w:tcPr>
                  <w:tcW w:w="1079" w:type="dxa"/>
                  <w:vAlign w:val="center"/>
                </w:tcPr>
                <w:p>
                  <w:pPr>
                    <w:adjustRightInd w:val="0"/>
                    <w:snapToGrid w:val="0"/>
                    <w:jc w:val="center"/>
                    <w:rPr>
                      <w:sz w:val="18"/>
                      <w:szCs w:val="18"/>
                      <w:lang w:val="zh-CN"/>
                    </w:rPr>
                  </w:pPr>
                  <w:r>
                    <w:rPr>
                      <w:sz w:val="18"/>
                      <w:szCs w:val="18"/>
                      <w:lang w:val="zh-CN"/>
                    </w:rPr>
                    <w:t>4</w:t>
                  </w:r>
                </w:p>
              </w:tc>
              <w:tc>
                <w:tcPr>
                  <w:tcW w:w="1753" w:type="dxa"/>
                  <w:vAlign w:val="center"/>
                </w:tcPr>
                <w:p>
                  <w:pPr>
                    <w:adjustRightInd w:val="0"/>
                    <w:snapToGrid w:val="0"/>
                    <w:jc w:val="center"/>
                    <w:rPr>
                      <w:sz w:val="18"/>
                      <w:szCs w:val="18"/>
                      <w:lang w:val="zh-CN"/>
                    </w:rPr>
                  </w:pPr>
                  <w:r>
                    <w:rPr>
                      <w:sz w:val="18"/>
                      <w:szCs w:val="18"/>
                      <w:lang w:val="zh-CN"/>
                    </w:rPr>
                    <w:t>厂界北侧</w:t>
                  </w:r>
                </w:p>
              </w:tc>
              <w:tc>
                <w:tcPr>
                  <w:tcW w:w="1416" w:type="dxa"/>
                  <w:vAlign w:val="center"/>
                </w:tcPr>
                <w:p>
                  <w:pPr>
                    <w:adjustRightInd w:val="0"/>
                    <w:snapToGrid w:val="0"/>
                    <w:jc w:val="center"/>
                    <w:rPr>
                      <w:sz w:val="18"/>
                      <w:szCs w:val="18"/>
                      <w:u w:val="single"/>
                    </w:rPr>
                  </w:pPr>
                  <w:r>
                    <w:rPr>
                      <w:sz w:val="18"/>
                      <w:szCs w:val="18"/>
                      <w:u w:val="single"/>
                    </w:rPr>
                    <w:t>63</w:t>
                  </w:r>
                </w:p>
              </w:tc>
              <w:tc>
                <w:tcPr>
                  <w:tcW w:w="1416" w:type="dxa"/>
                  <w:vAlign w:val="center"/>
                </w:tcPr>
                <w:p>
                  <w:pPr>
                    <w:adjustRightInd w:val="0"/>
                    <w:snapToGrid w:val="0"/>
                    <w:jc w:val="center"/>
                    <w:rPr>
                      <w:sz w:val="18"/>
                      <w:szCs w:val="18"/>
                      <w:u w:val="single"/>
                    </w:rPr>
                  </w:pPr>
                  <w:r>
                    <w:rPr>
                      <w:sz w:val="18"/>
                      <w:szCs w:val="18"/>
                      <w:u w:val="single"/>
                    </w:rPr>
                    <w:t>32.01</w:t>
                  </w:r>
                </w:p>
              </w:tc>
              <w:tc>
                <w:tcPr>
                  <w:tcW w:w="1416" w:type="dxa"/>
                  <w:vAlign w:val="center"/>
                </w:tcPr>
                <w:p>
                  <w:pPr>
                    <w:adjustRightInd w:val="0"/>
                    <w:snapToGrid w:val="0"/>
                    <w:jc w:val="center"/>
                    <w:rPr>
                      <w:sz w:val="18"/>
                      <w:szCs w:val="18"/>
                      <w:u w:val="single"/>
                    </w:rPr>
                  </w:pPr>
                  <w:r>
                    <w:rPr>
                      <w:sz w:val="18"/>
                      <w:szCs w:val="18"/>
                      <w:u w:val="single"/>
                    </w:rPr>
                    <w:t>63.00</w:t>
                  </w:r>
                </w:p>
              </w:tc>
              <w:tc>
                <w:tcPr>
                  <w:tcW w:w="1421" w:type="dxa"/>
                  <w:vAlign w:val="center"/>
                </w:tcPr>
                <w:p>
                  <w:pPr>
                    <w:adjustRightInd w:val="0"/>
                    <w:snapToGrid w:val="0"/>
                    <w:jc w:val="center"/>
                    <w:rPr>
                      <w:sz w:val="18"/>
                      <w:szCs w:val="18"/>
                      <w:u w:val="single"/>
                    </w:rPr>
                  </w:pPr>
                  <w:r>
                    <w:rPr>
                      <w:sz w:val="18"/>
                      <w:szCs w:val="18"/>
                      <w:u w:val="single"/>
                    </w:rPr>
                    <w:t>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Pr>
              <w:tc>
                <w:tcPr>
                  <w:tcW w:w="8501" w:type="dxa"/>
                  <w:gridSpan w:val="6"/>
                  <w:vAlign w:val="center"/>
                </w:tcPr>
                <w:p>
                  <w:pPr>
                    <w:adjustRightInd w:val="0"/>
                    <w:snapToGrid w:val="0"/>
                    <w:rPr>
                      <w:sz w:val="18"/>
                      <w:szCs w:val="18"/>
                      <w:u w:val="single"/>
                    </w:rPr>
                  </w:pPr>
                  <w:r>
                    <w:rPr>
                      <w:sz w:val="18"/>
                      <w:szCs w:val="18"/>
                      <w:u w:val="single"/>
                    </w:rPr>
                    <w:t>注：①背景值引用自《柳河木王</w:t>
                  </w:r>
                  <w:r>
                    <w:rPr>
                      <w:rFonts w:hint="eastAsia"/>
                      <w:sz w:val="18"/>
                      <w:szCs w:val="18"/>
                      <w:u w:val="single"/>
                      <w:lang w:eastAsia="zh-CN"/>
                    </w:rPr>
                    <w:t>家具</w:t>
                  </w:r>
                  <w:r>
                    <w:rPr>
                      <w:sz w:val="18"/>
                      <w:szCs w:val="18"/>
                      <w:u w:val="single"/>
                    </w:rPr>
                    <w:t>制造有限公司年产6万件板式</w:t>
                  </w:r>
                  <w:r>
                    <w:rPr>
                      <w:rFonts w:hint="eastAsia"/>
                      <w:sz w:val="18"/>
                      <w:szCs w:val="18"/>
                      <w:u w:val="single"/>
                      <w:lang w:eastAsia="zh-CN"/>
                    </w:rPr>
                    <w:t>家具</w:t>
                  </w:r>
                  <w:r>
                    <w:rPr>
                      <w:sz w:val="18"/>
                      <w:szCs w:val="18"/>
                      <w:u w:val="single"/>
                    </w:rPr>
                    <w:t>移地扩建项目竣工环境保护验收监测报告》（JLYY-WT20230228009，2023年2月）厂界昼间监测数据，监测期间全厂板式家具生产线满负荷运行，多台电子锯、排钻、铣型机、中央除尘系统及风机等设备同时运行，故背景值较高；L</w:t>
                  </w:r>
                  <w:r>
                    <w:rPr>
                      <w:sz w:val="18"/>
                      <w:szCs w:val="18"/>
                      <w:u w:val="single"/>
                      <w:vertAlign w:val="subscript"/>
                    </w:rPr>
                    <w:t>叠</w:t>
                  </w:r>
                  <w:r>
                    <w:rPr>
                      <w:sz w:val="18"/>
                      <w:szCs w:val="18"/>
                      <w:u w:val="single"/>
                    </w:rPr>
                    <w:t>=10×lg</w:t>
                  </w:r>
                  <w:r>
                    <w:rPr>
                      <w:rFonts w:hint="eastAsia"/>
                      <w:sz w:val="18"/>
                      <w:szCs w:val="18"/>
                      <w:u w:val="single"/>
                    </w:rPr>
                    <w:t>（</w:t>
                  </w:r>
                  <w:r>
                    <w:rPr>
                      <w:sz w:val="18"/>
                      <w:szCs w:val="18"/>
                      <w:u w:val="single"/>
                    </w:rPr>
                    <w:t>10</w:t>
                  </w:r>
                  <w:r>
                    <w:rPr>
                      <w:sz w:val="18"/>
                      <w:szCs w:val="18"/>
                      <w:u w:val="single"/>
                      <w:vertAlign w:val="superscript"/>
                    </w:rPr>
                    <w:t>L背/10</w:t>
                  </w:r>
                  <w:r>
                    <w:rPr>
                      <w:sz w:val="18"/>
                      <w:szCs w:val="18"/>
                      <w:u w:val="single"/>
                    </w:rPr>
                    <w:t>+10</w:t>
                  </w:r>
                  <w:r>
                    <w:rPr>
                      <w:sz w:val="18"/>
                      <w:szCs w:val="18"/>
                      <w:u w:val="single"/>
                      <w:vertAlign w:val="superscript"/>
                    </w:rPr>
                    <w:t>L贡/10</w:t>
                  </w:r>
                  <w:r>
                    <w:rPr>
                      <w:rFonts w:hint="eastAsia"/>
                      <w:sz w:val="18"/>
                      <w:szCs w:val="18"/>
                      <w:u w:val="single"/>
                    </w:rPr>
                    <w:t>）</w:t>
                  </w:r>
                  <w:r>
                    <w:rPr>
                      <w:sz w:val="18"/>
                      <w:szCs w:val="18"/>
                      <w:u w:val="single"/>
                    </w:rPr>
                    <w:t>精确计算</w:t>
                  </w:r>
                  <w:r>
                    <w:rPr>
                      <w:rFonts w:hint="eastAsia"/>
                      <w:sz w:val="18"/>
                      <w:szCs w:val="18"/>
                      <w:u w:val="single"/>
                    </w:rPr>
                    <w:t>。</w:t>
                  </w:r>
                </w:p>
                <w:p>
                  <w:pPr>
                    <w:adjustRightInd w:val="0"/>
                    <w:snapToGrid w:val="0"/>
                    <w:ind w:firstLine="360" w:firstLineChars="200"/>
                    <w:rPr>
                      <w:sz w:val="18"/>
                      <w:szCs w:val="18"/>
                      <w:u w:val="single"/>
                    </w:rPr>
                  </w:pPr>
                  <w:r>
                    <w:rPr>
                      <w:sz w:val="18"/>
                      <w:szCs w:val="18"/>
                      <w:u w:val="single"/>
                    </w:rPr>
                    <w:t>②本项目噪声贡献值远低于背景值（差值≥16dB），叠加后厂界噪声增量≤0.08dB，人耳无法感知，对厂界声环境无实质性影响；</w:t>
                  </w:r>
                </w:p>
                <w:p>
                  <w:pPr>
                    <w:adjustRightInd w:val="0"/>
                    <w:snapToGrid w:val="0"/>
                    <w:ind w:firstLine="360" w:firstLineChars="200"/>
                    <w:rPr>
                      <w:sz w:val="18"/>
                      <w:szCs w:val="18"/>
                    </w:rPr>
                  </w:pPr>
                  <w:r>
                    <w:rPr>
                      <w:sz w:val="18"/>
                      <w:szCs w:val="18"/>
                      <w:u w:val="single"/>
                    </w:rPr>
                    <w:t>③本项目仅昼间运行，夜间不生产，故仅预测昼间噪声。</w:t>
                  </w:r>
                </w:p>
              </w:tc>
            </w:tr>
          </w:tbl>
          <w:p>
            <w:pPr>
              <w:spacing w:line="360" w:lineRule="auto"/>
              <w:ind w:firstLine="420" w:firstLineChars="200"/>
              <w:jc w:val="left"/>
            </w:pPr>
            <w:r>
              <w:t>由上表可知，本项目投产后，全厂主要噪声经距离衰减后，本项目厂界噪声值可以满足《工业企业厂界环境噪声排放标准》（GB12348-2008）中3类标准。</w:t>
            </w:r>
          </w:p>
          <w:p>
            <w:pPr>
              <w:spacing w:line="360" w:lineRule="auto"/>
              <w:ind w:firstLine="420" w:firstLineChars="200"/>
              <w:jc w:val="left"/>
            </w:pPr>
            <w:r>
              <w:t>5、噪声防护措施</w:t>
            </w:r>
          </w:p>
          <w:p>
            <w:pPr>
              <w:spacing w:line="360" w:lineRule="auto"/>
              <w:ind w:firstLine="420" w:firstLineChars="200"/>
              <w:jc w:val="left"/>
              <w:rPr>
                <w:u w:val="single"/>
              </w:rPr>
            </w:pPr>
            <w:r>
              <w:rPr>
                <w:u w:val="single"/>
              </w:rPr>
              <w:t>本项目噪声主要来源于循环泵、加油泵、引风机及燃烧器等设备。为有效控制噪声影响，从以下方面采取防治措施：</w:t>
            </w:r>
          </w:p>
          <w:p>
            <w:pPr>
              <w:spacing w:line="360" w:lineRule="auto"/>
              <w:ind w:firstLine="420" w:firstLineChars="200"/>
              <w:jc w:val="left"/>
              <w:rPr>
                <w:u w:val="single"/>
              </w:rPr>
            </w:pPr>
            <w:r>
              <w:rPr>
                <w:u w:val="single"/>
              </w:rPr>
              <w:t>（1）源头降噪措施：选用低噪声设备；引风机安装阻抗复合消声器（消声量≥15dB（A）），减少空气动力性噪声；循环泵及加油泵设弹簧减振基础并采用柔性管道连接，降低振动传递和流体脉动噪声；燃烧器选用低噪声型并设隔声罩。</w:t>
            </w:r>
          </w:p>
          <w:p>
            <w:pPr>
              <w:spacing w:line="360" w:lineRule="auto"/>
              <w:ind w:firstLine="420" w:firstLineChars="200"/>
              <w:jc w:val="left"/>
              <w:rPr>
                <w:u w:val="single"/>
              </w:rPr>
            </w:pPr>
            <w:r>
              <w:rPr>
                <w:u w:val="single"/>
              </w:rPr>
              <w:t>（2）传播途径降噪：锅炉房采用240mm砖混结构封闭厂房，隔声量不低于20dB（A），窗户采用双层中空玻璃隔声窗，门采用防火隔声门；引风机独立设置隔声罩（钢板+吸声材料结构，隔声量≥10dB（A））；风机进出口管道采用软连接，减少振动传声。</w:t>
            </w:r>
          </w:p>
          <w:p>
            <w:pPr>
              <w:spacing w:line="360" w:lineRule="auto"/>
              <w:ind w:firstLine="420" w:firstLineChars="200"/>
              <w:jc w:val="left"/>
              <w:rPr>
                <w:u w:val="single"/>
              </w:rPr>
            </w:pPr>
            <w:r>
              <w:rPr>
                <w:u w:val="single"/>
              </w:rPr>
              <w:t>（3）平面布局优化：高噪声设备集中布置于锅炉房中部，充分利用距离衰减降低厂界噪声。</w:t>
            </w:r>
          </w:p>
          <w:p>
            <w:pPr>
              <w:spacing w:line="360" w:lineRule="auto"/>
              <w:ind w:firstLine="420" w:firstLineChars="200"/>
              <w:jc w:val="left"/>
              <w:rPr>
                <w:u w:val="single"/>
              </w:rPr>
            </w:pPr>
            <w:r>
              <w:rPr>
                <w:u w:val="single"/>
              </w:rPr>
              <w:t>（4）运行时段管理：锅炉房仅昼间运行（年运行100天、每天4小时），夜间不运行。</w:t>
            </w:r>
          </w:p>
          <w:p>
            <w:pPr>
              <w:spacing w:line="360" w:lineRule="auto"/>
              <w:ind w:firstLine="420" w:firstLineChars="200"/>
              <w:jc w:val="left"/>
              <w:rPr>
                <w:u w:val="single"/>
              </w:rPr>
            </w:pPr>
            <w:r>
              <w:rPr>
                <w:u w:val="single"/>
              </w:rPr>
              <w:t>（5）绿化降噪：厂界四周加强绿化，种植乔木、灌木搭配形成隔声林带，辅助削减噪声传播。</w:t>
            </w:r>
          </w:p>
          <w:p>
            <w:pPr>
              <w:spacing w:line="360" w:lineRule="auto"/>
              <w:ind w:firstLine="420" w:firstLineChars="200"/>
              <w:jc w:val="left"/>
              <w:rPr>
                <w:u w:val="single"/>
              </w:rPr>
            </w:pPr>
            <w:r>
              <w:rPr>
                <w:u w:val="single"/>
              </w:rPr>
              <w:t>通过采取以上综合降噪措施，厂界噪声能够满足《工业企业厂界环境噪声排放标准》（GB12348-2008）3类标准要求，噪声防治措施可行。</w:t>
            </w:r>
          </w:p>
          <w:p>
            <w:pPr>
              <w:spacing w:line="360" w:lineRule="auto"/>
              <w:ind w:firstLine="420" w:firstLineChars="200"/>
              <w:jc w:val="left"/>
            </w:pPr>
            <w:r>
              <w:t>6、监测要求</w:t>
            </w:r>
          </w:p>
          <w:p>
            <w:pPr>
              <w:spacing w:line="360" w:lineRule="auto"/>
              <w:ind w:firstLine="420" w:firstLineChars="200"/>
              <w:jc w:val="left"/>
            </w:pPr>
            <w:r>
              <w:rPr>
                <w:rFonts w:hint="eastAsia"/>
              </w:rPr>
              <w:t>根据</w:t>
            </w:r>
            <w:r>
              <w:t>《排污许可证申请与核发技术规范 工业噪声》（HJ1301-2023），确定本项目噪声自行监测方案，详见表28。</w:t>
            </w:r>
          </w:p>
          <w:p>
            <w:pPr>
              <w:jc w:val="center"/>
              <w:rPr>
                <w:b/>
                <w:bCs/>
              </w:rPr>
            </w:pPr>
            <w:r>
              <w:rPr>
                <w:b/>
                <w:bCs/>
              </w:rPr>
              <w:t>表28  噪声监测点位布设情况</w:t>
            </w:r>
          </w:p>
          <w:tbl>
            <w:tblPr>
              <w:tblStyle w:val="26"/>
              <w:tblW w:w="8501" w:type="dxa"/>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044"/>
              <w:gridCol w:w="1698"/>
              <w:gridCol w:w="2753"/>
              <w:gridCol w:w="3006"/>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044" w:type="dxa"/>
                  <w:vAlign w:val="center"/>
                </w:tcPr>
                <w:p>
                  <w:pPr>
                    <w:adjustRightInd w:val="0"/>
                    <w:snapToGrid w:val="0"/>
                    <w:jc w:val="center"/>
                    <w:rPr>
                      <w:sz w:val="18"/>
                      <w:szCs w:val="18"/>
                    </w:rPr>
                  </w:pPr>
                  <w:r>
                    <w:rPr>
                      <w:sz w:val="18"/>
                      <w:szCs w:val="18"/>
                    </w:rPr>
                    <w:t>序号</w:t>
                  </w:r>
                </w:p>
              </w:tc>
              <w:tc>
                <w:tcPr>
                  <w:tcW w:w="1698" w:type="dxa"/>
                  <w:vAlign w:val="center"/>
                </w:tcPr>
                <w:p>
                  <w:pPr>
                    <w:adjustRightInd w:val="0"/>
                    <w:snapToGrid w:val="0"/>
                    <w:jc w:val="center"/>
                    <w:rPr>
                      <w:sz w:val="18"/>
                      <w:szCs w:val="18"/>
                    </w:rPr>
                  </w:pPr>
                  <w:r>
                    <w:rPr>
                      <w:sz w:val="18"/>
                      <w:szCs w:val="18"/>
                    </w:rPr>
                    <w:t>监测点位</w:t>
                  </w:r>
                </w:p>
              </w:tc>
              <w:tc>
                <w:tcPr>
                  <w:tcW w:w="2753" w:type="dxa"/>
                  <w:vAlign w:val="center"/>
                </w:tcPr>
                <w:p>
                  <w:pPr>
                    <w:adjustRightInd w:val="0"/>
                    <w:snapToGrid w:val="0"/>
                    <w:jc w:val="center"/>
                    <w:rPr>
                      <w:sz w:val="18"/>
                      <w:szCs w:val="18"/>
                    </w:rPr>
                  </w:pPr>
                  <w:r>
                    <w:rPr>
                      <w:sz w:val="18"/>
                      <w:szCs w:val="18"/>
                    </w:rPr>
                    <w:t>监测项目</w:t>
                  </w:r>
                </w:p>
              </w:tc>
              <w:tc>
                <w:tcPr>
                  <w:tcW w:w="3006" w:type="dxa"/>
                  <w:vAlign w:val="center"/>
                </w:tcPr>
                <w:p>
                  <w:pPr>
                    <w:adjustRightInd w:val="0"/>
                    <w:snapToGrid w:val="0"/>
                    <w:jc w:val="center"/>
                    <w:rPr>
                      <w:sz w:val="18"/>
                      <w:szCs w:val="18"/>
                    </w:rPr>
                  </w:pPr>
                  <w:r>
                    <w:rPr>
                      <w:sz w:val="18"/>
                      <w:szCs w:val="18"/>
                    </w:rPr>
                    <w:t>监测频次</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044" w:type="dxa"/>
                  <w:vAlign w:val="center"/>
                </w:tcPr>
                <w:p>
                  <w:pPr>
                    <w:adjustRightInd w:val="0"/>
                    <w:snapToGrid w:val="0"/>
                    <w:jc w:val="center"/>
                    <w:rPr>
                      <w:sz w:val="18"/>
                      <w:szCs w:val="18"/>
                    </w:rPr>
                  </w:pPr>
                  <w:r>
                    <w:rPr>
                      <w:sz w:val="18"/>
                      <w:szCs w:val="18"/>
                    </w:rPr>
                    <w:t>1#</w:t>
                  </w:r>
                </w:p>
              </w:tc>
              <w:tc>
                <w:tcPr>
                  <w:tcW w:w="1698" w:type="dxa"/>
                  <w:vAlign w:val="center"/>
                </w:tcPr>
                <w:p>
                  <w:pPr>
                    <w:adjustRightInd w:val="0"/>
                    <w:snapToGrid w:val="0"/>
                    <w:jc w:val="center"/>
                    <w:rPr>
                      <w:sz w:val="18"/>
                      <w:szCs w:val="18"/>
                    </w:rPr>
                  </w:pPr>
                  <w:r>
                    <w:rPr>
                      <w:sz w:val="18"/>
                      <w:szCs w:val="18"/>
                    </w:rPr>
                    <w:t>厂界</w:t>
                  </w:r>
                </w:p>
              </w:tc>
              <w:tc>
                <w:tcPr>
                  <w:tcW w:w="2753" w:type="dxa"/>
                  <w:vAlign w:val="center"/>
                </w:tcPr>
                <w:p>
                  <w:pPr>
                    <w:adjustRightInd w:val="0"/>
                    <w:snapToGrid w:val="0"/>
                    <w:jc w:val="center"/>
                    <w:rPr>
                      <w:sz w:val="18"/>
                      <w:szCs w:val="18"/>
                    </w:rPr>
                  </w:pPr>
                  <w:r>
                    <w:rPr>
                      <w:sz w:val="18"/>
                      <w:szCs w:val="18"/>
                    </w:rPr>
                    <w:t>等效连续A声级</w:t>
                  </w:r>
                </w:p>
              </w:tc>
              <w:tc>
                <w:tcPr>
                  <w:tcW w:w="3006" w:type="dxa"/>
                  <w:vAlign w:val="center"/>
                </w:tcPr>
                <w:p>
                  <w:pPr>
                    <w:adjustRightInd w:val="0"/>
                    <w:snapToGrid w:val="0"/>
                    <w:jc w:val="center"/>
                    <w:rPr>
                      <w:sz w:val="18"/>
                      <w:szCs w:val="18"/>
                    </w:rPr>
                  </w:pPr>
                  <w:r>
                    <w:rPr>
                      <w:sz w:val="18"/>
                      <w:szCs w:val="18"/>
                    </w:rPr>
                    <w:t>季度</w:t>
                  </w:r>
                </w:p>
              </w:tc>
            </w:tr>
          </w:tbl>
          <w:p>
            <w:pPr>
              <w:spacing w:line="360" w:lineRule="auto"/>
              <w:ind w:firstLine="420" w:firstLineChars="200"/>
              <w:jc w:val="left"/>
            </w:pPr>
            <w:r>
              <w:t>四、固体废物</w:t>
            </w:r>
          </w:p>
          <w:p>
            <w:pPr>
              <w:spacing w:line="360" w:lineRule="auto"/>
              <w:ind w:firstLine="420" w:firstLineChars="200"/>
              <w:jc w:val="left"/>
            </w:pPr>
            <w:r>
              <w:t>1、污染源强核算</w:t>
            </w:r>
          </w:p>
          <w:p>
            <w:pPr>
              <w:spacing w:line="360" w:lineRule="auto"/>
              <w:ind w:firstLine="420" w:firstLineChars="200"/>
              <w:jc w:val="left"/>
            </w:pPr>
            <w:r>
              <w:t>本项目所产生的固体废物主要为除尘灰、灰渣、废布袋、废导热油。</w:t>
            </w:r>
          </w:p>
          <w:p>
            <w:pPr>
              <w:spacing w:line="360" w:lineRule="auto"/>
              <w:ind w:firstLine="420" w:firstLineChars="200"/>
              <w:jc w:val="left"/>
            </w:pPr>
            <w:r>
              <w:t>（1）除尘灰</w:t>
            </w:r>
          </w:p>
          <w:p>
            <w:pPr>
              <w:spacing w:line="360" w:lineRule="auto"/>
              <w:ind w:firstLine="420" w:firstLineChars="200"/>
              <w:jc w:val="left"/>
              <w:rPr>
                <w:u w:val="single"/>
              </w:rPr>
            </w:pPr>
            <w:r>
              <w:rPr>
                <w:u w:val="single"/>
              </w:rPr>
              <w:t>项目除尘灰产生量为</w:t>
            </w:r>
            <w:r>
              <w:rPr>
                <w:rFonts w:hint="eastAsia"/>
                <w:u w:val="single"/>
              </w:rPr>
              <w:t>0.38</w:t>
            </w:r>
            <w:r>
              <w:rPr>
                <w:u w:val="single"/>
              </w:rPr>
              <w:t>t/a，统一收集后袋装暂存项目锅炉房内，定期赠予附近农户用作肥料。</w:t>
            </w:r>
          </w:p>
          <w:p>
            <w:pPr>
              <w:spacing w:line="360" w:lineRule="auto"/>
              <w:ind w:firstLine="420" w:firstLineChars="200"/>
              <w:jc w:val="left"/>
            </w:pPr>
            <w:r>
              <w:t>（2）炉灰</w:t>
            </w:r>
          </w:p>
          <w:p>
            <w:pPr>
              <w:spacing w:line="360" w:lineRule="auto"/>
              <w:ind w:firstLine="420" w:firstLineChars="200"/>
              <w:jc w:val="left"/>
            </w:pPr>
            <w:r>
              <w:t>根据《污染源源强核算技术指南 锅炉》（HJ991-2018），本项目炉灰产生量采用物料衡算法计算，计算公式为：</w:t>
            </w:r>
          </w:p>
          <w:p>
            <w:pPr>
              <w:spacing w:line="360" w:lineRule="auto"/>
              <w:ind w:firstLine="480" w:firstLineChars="200"/>
              <w:jc w:val="center"/>
            </w:pPr>
            <w:r>
              <w:rPr>
                <w:rFonts w:ascii="Times New Roman" w:hAnsi="Times New Roman" w:eastAsia="宋体" w:cs="Times New Roman"/>
                <w:kern w:val="2"/>
                <w:position w:val="-30"/>
                <w:sz w:val="24"/>
                <w:szCs w:val="22"/>
                <w:lang w:val="zh-CN" w:eastAsia="zh-CN" w:bidi="ar-SA"/>
              </w:rPr>
              <w:object>
                <v:shape id="_x0000_i1032" o:spt="75" type="#_x0000_t75" style="height:31.3pt;width:125.85pt;" o:ole="t" fillcolor="#FFFFFF" filled="f" o:preferrelative="t" stroked="f" coordsize="21600,21600">
                  <v:path/>
                  <v:fill on="f" color2="#FFFFFF" focussize="0,0"/>
                  <v:stroke on="f"/>
                  <v:imagedata r:id="rId14" gain="65536f" blacklevel="0f" gamma="0" o:title=""/>
                  <o:lock v:ext="edit" position="f" selection="f" grouping="f" rotation="f" cropping="f" text="f" aspectratio="t"/>
                  <w10:wrap type="none"/>
                  <w10:anchorlock/>
                </v:shape>
                <o:OLEObject Type="Embed" ProgID="" ShapeID="_x0000_i1032" DrawAspect="Content" ObjectID="_1468075728" r:id="rId13">
                  <o:LockedField>false</o:LockedField>
                </o:OLEObject>
              </w:object>
            </w:r>
          </w:p>
          <w:p>
            <w:pPr>
              <w:spacing w:line="360" w:lineRule="auto"/>
              <w:ind w:firstLine="420" w:firstLineChars="200"/>
              <w:jc w:val="left"/>
            </w:pPr>
            <w:r>
              <w:t>式中：E</w:t>
            </w:r>
            <w:r>
              <w:rPr>
                <w:vertAlign w:val="subscript"/>
              </w:rPr>
              <w:t>hz</w:t>
            </w:r>
            <w:r>
              <w:t>——核算时段内灰渣产生量，t；</w:t>
            </w:r>
          </w:p>
          <w:p>
            <w:pPr>
              <w:spacing w:line="360" w:lineRule="auto"/>
              <w:ind w:firstLine="1050" w:firstLineChars="500"/>
              <w:jc w:val="left"/>
            </w:pPr>
            <w:r>
              <w:t>R——核算时段内锅炉燃料耗量；取值25t。</w:t>
            </w:r>
          </w:p>
          <w:p>
            <w:pPr>
              <w:spacing w:line="360" w:lineRule="auto"/>
              <w:ind w:firstLine="1050" w:firstLineChars="500"/>
              <w:jc w:val="left"/>
            </w:pPr>
            <w:r>
              <w:t>A</w:t>
            </w:r>
            <w:r>
              <w:rPr>
                <w:vertAlign w:val="subscript"/>
              </w:rPr>
              <w:t>ar</w:t>
            </w:r>
            <w:r>
              <w:t>——收到基灰分的质量分数；</w:t>
            </w:r>
            <w:r>
              <w:rPr>
                <w:u w:val="single"/>
              </w:rPr>
              <w:t>取值</w:t>
            </w:r>
            <w:r>
              <w:rPr>
                <w:rFonts w:hint="eastAsia"/>
                <w:u w:val="single"/>
              </w:rPr>
              <w:t>2.76</w:t>
            </w:r>
            <w:r>
              <w:rPr>
                <w:u w:val="single"/>
              </w:rPr>
              <w:t>%。收到基灰分与干燥基灰分的换算公式为Aar=Ad×（100-Mt）/100</w:t>
            </w:r>
            <w:r>
              <w:rPr>
                <w:rFonts w:hint="eastAsia"/>
                <w:u w:val="single"/>
              </w:rPr>
              <w:t>，</w:t>
            </w:r>
            <w:r>
              <w:rPr>
                <w:u w:val="single"/>
              </w:rPr>
              <w:t>代入</w:t>
            </w:r>
            <w:r>
              <w:rPr>
                <w:rFonts w:hint="eastAsia"/>
                <w:u w:val="single"/>
              </w:rPr>
              <w:t>前文生物质颗粒成分</w:t>
            </w:r>
            <w:r>
              <w:rPr>
                <w:u w:val="single"/>
              </w:rPr>
              <w:t>数据（全水分Mt=5.33%，Ad=2.92%）</w:t>
            </w:r>
            <w:r>
              <w:rPr>
                <w:rFonts w:hint="eastAsia"/>
                <w:u w:val="single"/>
              </w:rPr>
              <w:t>，</w:t>
            </w:r>
            <w:r>
              <w:rPr>
                <w:u w:val="single"/>
              </w:rPr>
              <w:t>Aar=2.92×（100-5.33）/100≈2.92×0.9467≈2.76%。</w:t>
            </w:r>
          </w:p>
          <w:p>
            <w:pPr>
              <w:wordWrap w:val="0"/>
              <w:spacing w:line="360" w:lineRule="auto"/>
              <w:ind w:firstLine="1050" w:firstLineChars="500"/>
              <w:jc w:val="left"/>
            </w:pPr>
            <w:r>
              <w:t>q</w:t>
            </w:r>
            <w:r>
              <w:rPr>
                <w:vertAlign w:val="subscript"/>
              </w:rPr>
              <w:t>4</w:t>
            </w:r>
            <w:r>
              <w:t>——锅炉机械不完全燃烧热损失；根据《污染源源强核算技术指南 锅炉》（HJ991-2018）附录B中“表B.1 锅炉机械不完全燃烧热损失的一般取值”，本项目导热油炉为往复炉排炉，本次按最不利取值，即q</w:t>
            </w:r>
            <w:r>
              <w:rPr>
                <w:vertAlign w:val="subscript"/>
              </w:rPr>
              <w:t>4</w:t>
            </w:r>
            <w:r>
              <w:t>取值7%；</w:t>
            </w:r>
          </w:p>
          <w:p>
            <w:pPr>
              <w:wordWrap w:val="0"/>
              <w:spacing w:line="360" w:lineRule="auto"/>
              <w:ind w:firstLine="1050" w:firstLineChars="500"/>
              <w:jc w:val="left"/>
              <w:rPr>
                <w:i/>
                <w:iCs/>
                <w:u w:val="single"/>
              </w:rPr>
            </w:pPr>
            <w:r>
              <w:t>Q</w:t>
            </w:r>
            <w:r>
              <w:rPr>
                <w:vertAlign w:val="subscript"/>
              </w:rPr>
              <w:t>net，ar</w:t>
            </w:r>
            <w:r>
              <w:t>——收到基低位发热量，kJ/kg；</w:t>
            </w:r>
            <w:r>
              <w:rPr>
                <w:u w:val="single"/>
              </w:rPr>
              <w:t>根据前文生物质颗粒成分一览表，Qnet,ar=4124Kcal/kg×4.1816≈17246kJ/kg</w:t>
            </w:r>
          </w:p>
          <w:p>
            <w:pPr>
              <w:spacing w:line="360" w:lineRule="auto"/>
              <w:ind w:firstLine="420" w:firstLineChars="200"/>
              <w:jc w:val="left"/>
            </w:pPr>
            <w:r>
              <w:t>经计算</w:t>
            </w:r>
            <w:r>
              <w:rPr>
                <w:u w:val="single"/>
              </w:rPr>
              <w:t>，E</w:t>
            </w:r>
            <w:r>
              <w:rPr>
                <w:u w:val="single"/>
                <w:vertAlign w:val="subscript"/>
              </w:rPr>
              <w:t>hz</w:t>
            </w:r>
            <w:r>
              <w:rPr>
                <w:u w:val="single"/>
              </w:rPr>
              <w:t>=</w:t>
            </w:r>
            <w:r>
              <w:rPr>
                <w:rFonts w:hint="eastAsia"/>
                <w:u w:val="single"/>
              </w:rPr>
              <w:t>1.58</w:t>
            </w:r>
            <w:r>
              <w:rPr>
                <w:u w:val="single"/>
              </w:rPr>
              <w:t>t/a，故炉灰产生量为</w:t>
            </w:r>
            <w:r>
              <w:rPr>
                <w:rFonts w:hint="eastAsia"/>
                <w:u w:val="single"/>
              </w:rPr>
              <w:t>1.58</w:t>
            </w:r>
            <w:r>
              <w:rPr>
                <w:u w:val="single"/>
              </w:rPr>
              <w:t>t/a。</w:t>
            </w:r>
            <w:r>
              <w:t>炉灰统一收集后袋装暂存项目锅炉房内，定期赠予附近农户用作肥料。</w:t>
            </w:r>
          </w:p>
          <w:p>
            <w:pPr>
              <w:spacing w:line="360" w:lineRule="auto"/>
              <w:ind w:firstLine="420" w:firstLineChars="200"/>
              <w:jc w:val="left"/>
            </w:pPr>
            <w:r>
              <w:t>（3）废布袋</w:t>
            </w:r>
          </w:p>
          <w:p>
            <w:pPr>
              <w:spacing w:line="360" w:lineRule="auto"/>
              <w:ind w:firstLine="420" w:firstLineChars="200"/>
              <w:jc w:val="left"/>
            </w:pPr>
            <w:r>
              <w:t>本项目废布袋产生量约为0.10t/a，集中收集后定期交由厂家回收。</w:t>
            </w:r>
          </w:p>
          <w:p>
            <w:pPr>
              <w:spacing w:line="360" w:lineRule="auto"/>
              <w:ind w:firstLine="420" w:firstLineChars="200"/>
              <w:jc w:val="left"/>
            </w:pPr>
            <w:r>
              <w:t>（4）废导热油</w:t>
            </w:r>
          </w:p>
          <w:p>
            <w:pPr>
              <w:spacing w:line="360" w:lineRule="auto"/>
              <w:ind w:firstLine="420" w:firstLineChars="200"/>
              <w:jc w:val="left"/>
              <w:rPr>
                <w:u w:val="single"/>
              </w:rPr>
            </w:pPr>
            <w:r>
              <w:rPr>
                <w:u w:val="single"/>
              </w:rPr>
              <w:t>本项目导热油炉内导热油长期高温运行会发生热裂解和氧化，性能逐渐劣化，影响传热效果。本项目导热油每两年更换一次，每次更换量约2.00t，平均产生量为1.00t/a，属于危险废物（废物类别HW08废矿物油与含矿物油废物，废物代码900-249-08）。更换时采用专用200L闭口铁桶密闭收集，桶顶与液面之间保留100mm以上空间，桶体张贴符合《危险废物识别标志设置技术规范》（HJ1276-2022）要求的危险废物标签，暂存于厂区现有危废暂存间，委托吉林省高深环保科技有限公司处置。</w:t>
            </w:r>
          </w:p>
          <w:p>
            <w:pPr>
              <w:spacing w:line="360" w:lineRule="auto"/>
              <w:ind w:firstLine="420" w:firstLineChars="200"/>
              <w:jc w:val="left"/>
              <w:rPr>
                <w:u w:val="single"/>
              </w:rPr>
            </w:pPr>
            <w:r>
              <w:rPr>
                <w:u w:val="single"/>
              </w:rPr>
              <w:t>（5）废机油</w:t>
            </w:r>
          </w:p>
          <w:p>
            <w:pPr>
              <w:spacing w:line="360" w:lineRule="auto"/>
              <w:ind w:firstLine="420" w:firstLineChars="200"/>
              <w:jc w:val="left"/>
              <w:rPr>
                <w:u w:val="single"/>
              </w:rPr>
            </w:pPr>
            <w:r>
              <w:rPr>
                <w:u w:val="single"/>
              </w:rPr>
              <w:t>本项目锅炉房内配备引风机1台、循环泵1台、加油泵1台等转动设备，日常维护、检修过程中会产生少量废机油，属于危险废物（废物类别HW08废矿物油与含矿物油废物，废物代码900-214-08）。根据同类设备维护经验，本项目废机油产生量约0.03t/a，采用专用容器密闭收集，暂存于厂区现有危废暂存间，委托吉林省高深环保科技有限公司处置。</w:t>
            </w:r>
          </w:p>
          <w:p>
            <w:pPr>
              <w:spacing w:line="360" w:lineRule="auto"/>
              <w:ind w:firstLine="420" w:firstLineChars="200"/>
              <w:jc w:val="left"/>
              <w:rPr>
                <w:u w:val="single"/>
              </w:rPr>
            </w:pPr>
            <w:r>
              <w:rPr>
                <w:u w:val="single"/>
              </w:rPr>
              <w:t>（6）含油废抹布</w:t>
            </w:r>
          </w:p>
          <w:p>
            <w:pPr>
              <w:spacing w:line="360" w:lineRule="auto"/>
              <w:ind w:firstLine="420" w:firstLineChars="200"/>
              <w:jc w:val="left"/>
              <w:rPr>
                <w:u w:val="single"/>
              </w:rPr>
            </w:pPr>
            <w:r>
              <w:rPr>
                <w:u w:val="single"/>
              </w:rPr>
              <w:t>设备维护、检修过程中会产生少量沾染机油的废抹布，产生量约0.01t/a。根据《国家危险废物名录（2025年版）》，含油废抹布属于危险废物（废物类别HW49其他废物，废物代码900-041-49）。根据《国家危险废物名录（2025年版）》附录“危险废物豁免管理清单”，废弃的含油抹布、劳保用品（废物代码900-041-49）全部环节豁免，豁免条件为“混入生活垃圾”，豁免内容包括“全过程不按危险废物管理”。本项目含油废抹布产生量极少，可混入生活垃圾由环卫部门统一清运处置。为进一步降低环境风险，建议含油废抹布在厂区内分类收集后暂存于危废暂存间，最终混入生活垃圾处置。</w:t>
            </w:r>
          </w:p>
          <w:p>
            <w:pPr>
              <w:spacing w:line="360" w:lineRule="auto"/>
              <w:ind w:firstLine="420" w:firstLineChars="200"/>
              <w:jc w:val="left"/>
              <w:rPr>
                <w:u w:val="single"/>
              </w:rPr>
            </w:pPr>
            <w:r>
              <w:rPr>
                <w:u w:val="single"/>
              </w:rPr>
              <w:t>（7）废油桶</w:t>
            </w:r>
          </w:p>
          <w:p>
            <w:pPr>
              <w:spacing w:line="360" w:lineRule="auto"/>
              <w:ind w:firstLine="420" w:firstLineChars="200"/>
              <w:jc w:val="left"/>
              <w:rPr>
                <w:u w:val="single"/>
              </w:rPr>
            </w:pPr>
            <w:r>
              <w:rPr>
                <w:u w:val="single"/>
              </w:rPr>
              <w:t>本项目导热油更换及设备维护过程中会产生少量废油桶（导热油桶、机油桶），产生量约0.02t/a，属于危险废物（废物类别HW08废矿物油与含矿物油废物，废物代码900-249-08）。废油桶应加盖密闭，暂存于厂区现有危废暂存间，分区贮存，委托吉林省高深环保科技有限公司处置。</w:t>
            </w:r>
          </w:p>
          <w:p>
            <w:pPr>
              <w:snapToGrid w:val="0"/>
              <w:jc w:val="center"/>
              <w:rPr>
                <w:b/>
                <w:bCs/>
              </w:rPr>
            </w:pPr>
          </w:p>
          <w:p>
            <w:pPr>
              <w:snapToGrid w:val="0"/>
              <w:jc w:val="center"/>
              <w:rPr>
                <w:b/>
                <w:bCs/>
              </w:rPr>
            </w:pPr>
          </w:p>
          <w:p>
            <w:pPr>
              <w:snapToGrid w:val="0"/>
              <w:jc w:val="center"/>
              <w:rPr>
                <w:b/>
                <w:bCs/>
              </w:rPr>
            </w:pPr>
          </w:p>
          <w:p>
            <w:pPr>
              <w:snapToGrid w:val="0"/>
              <w:jc w:val="center"/>
              <w:rPr>
                <w:b/>
                <w:bCs/>
              </w:rPr>
            </w:pPr>
          </w:p>
          <w:p>
            <w:pPr>
              <w:snapToGrid w:val="0"/>
              <w:jc w:val="center"/>
              <w:rPr>
                <w:b/>
                <w:bCs/>
              </w:rPr>
            </w:pPr>
          </w:p>
          <w:p>
            <w:pPr>
              <w:snapToGrid w:val="0"/>
              <w:jc w:val="center"/>
              <w:rPr>
                <w:b/>
                <w:bCs/>
              </w:rPr>
            </w:pPr>
          </w:p>
          <w:p>
            <w:pPr>
              <w:snapToGrid w:val="0"/>
              <w:jc w:val="center"/>
              <w:rPr>
                <w:b/>
                <w:bCs/>
              </w:rPr>
            </w:pPr>
          </w:p>
          <w:p>
            <w:pPr>
              <w:snapToGrid w:val="0"/>
              <w:jc w:val="center"/>
              <w:rPr>
                <w:b/>
                <w:bCs/>
              </w:rPr>
            </w:pPr>
          </w:p>
          <w:p>
            <w:pPr>
              <w:snapToGrid w:val="0"/>
              <w:jc w:val="center"/>
              <w:rPr>
                <w:b/>
                <w:bCs/>
              </w:rPr>
            </w:pPr>
            <w:r>
              <w:rPr>
                <w:b/>
                <w:bCs/>
              </w:rPr>
              <w:t>表29  本项目固体废物产生情况一览表</w:t>
            </w:r>
          </w:p>
          <w:tbl>
            <w:tblPr>
              <w:tblStyle w:val="26"/>
              <w:tblW w:w="83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08"/>
              <w:gridCol w:w="866"/>
              <w:gridCol w:w="944"/>
              <w:gridCol w:w="1010"/>
              <w:gridCol w:w="1161"/>
              <w:gridCol w:w="37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8" w:type="dxa"/>
                  <w:tcBorders>
                    <w:top w:val="single" w:color="auto" w:sz="12" w:space="0"/>
                    <w:left w:val="nil"/>
                  </w:tcBorders>
                  <w:vAlign w:val="center"/>
                </w:tcPr>
                <w:p>
                  <w:pPr>
                    <w:adjustRightInd w:val="0"/>
                    <w:snapToGrid w:val="0"/>
                    <w:jc w:val="center"/>
                    <w:rPr>
                      <w:sz w:val="18"/>
                      <w:szCs w:val="18"/>
                    </w:rPr>
                  </w:pPr>
                  <w:r>
                    <w:rPr>
                      <w:sz w:val="18"/>
                      <w:szCs w:val="18"/>
                    </w:rPr>
                    <w:t>序号</w:t>
                  </w:r>
                </w:p>
              </w:tc>
              <w:tc>
                <w:tcPr>
                  <w:tcW w:w="866" w:type="dxa"/>
                  <w:tcBorders>
                    <w:top w:val="single" w:color="auto" w:sz="12" w:space="0"/>
                  </w:tcBorders>
                  <w:vAlign w:val="center"/>
                </w:tcPr>
                <w:p>
                  <w:pPr>
                    <w:adjustRightInd w:val="0"/>
                    <w:snapToGrid w:val="0"/>
                    <w:jc w:val="center"/>
                    <w:rPr>
                      <w:sz w:val="18"/>
                      <w:szCs w:val="18"/>
                    </w:rPr>
                  </w:pPr>
                  <w:r>
                    <w:rPr>
                      <w:sz w:val="18"/>
                      <w:szCs w:val="18"/>
                    </w:rPr>
                    <w:t>名称</w:t>
                  </w:r>
                </w:p>
              </w:tc>
              <w:tc>
                <w:tcPr>
                  <w:tcW w:w="944" w:type="dxa"/>
                  <w:tcBorders>
                    <w:top w:val="single" w:color="auto" w:sz="12" w:space="0"/>
                  </w:tcBorders>
                  <w:vAlign w:val="center"/>
                </w:tcPr>
                <w:p>
                  <w:pPr>
                    <w:adjustRightInd w:val="0"/>
                    <w:snapToGrid w:val="0"/>
                    <w:jc w:val="center"/>
                    <w:rPr>
                      <w:sz w:val="18"/>
                      <w:szCs w:val="18"/>
                    </w:rPr>
                  </w:pPr>
                  <w:r>
                    <w:rPr>
                      <w:sz w:val="18"/>
                      <w:szCs w:val="18"/>
                    </w:rPr>
                    <w:t>数量（t/a）</w:t>
                  </w:r>
                </w:p>
              </w:tc>
              <w:tc>
                <w:tcPr>
                  <w:tcW w:w="1010" w:type="dxa"/>
                  <w:tcBorders>
                    <w:top w:val="single" w:color="auto" w:sz="12" w:space="0"/>
                    <w:right w:val="nil"/>
                  </w:tcBorders>
                  <w:vAlign w:val="center"/>
                </w:tcPr>
                <w:p>
                  <w:pPr>
                    <w:adjustRightInd w:val="0"/>
                    <w:snapToGrid w:val="0"/>
                    <w:jc w:val="center"/>
                    <w:rPr>
                      <w:sz w:val="18"/>
                      <w:szCs w:val="18"/>
                    </w:rPr>
                  </w:pPr>
                  <w:r>
                    <w:rPr>
                      <w:sz w:val="18"/>
                      <w:szCs w:val="18"/>
                    </w:rPr>
                    <w:t>种类</w:t>
                  </w:r>
                </w:p>
              </w:tc>
              <w:tc>
                <w:tcPr>
                  <w:tcW w:w="1161" w:type="dxa"/>
                  <w:tcBorders>
                    <w:top w:val="single" w:color="auto" w:sz="12" w:space="0"/>
                    <w:right w:val="nil"/>
                  </w:tcBorders>
                  <w:vAlign w:val="center"/>
                </w:tcPr>
                <w:p>
                  <w:pPr>
                    <w:adjustRightInd w:val="0"/>
                    <w:snapToGrid w:val="0"/>
                    <w:jc w:val="center"/>
                    <w:rPr>
                      <w:sz w:val="18"/>
                      <w:szCs w:val="18"/>
                    </w:rPr>
                  </w:pPr>
                  <w:r>
                    <w:rPr>
                      <w:sz w:val="18"/>
                      <w:szCs w:val="18"/>
                    </w:rPr>
                    <w:t>代码</w:t>
                  </w:r>
                </w:p>
              </w:tc>
              <w:tc>
                <w:tcPr>
                  <w:tcW w:w="3718" w:type="dxa"/>
                  <w:tcBorders>
                    <w:top w:val="single" w:color="auto" w:sz="12" w:space="0"/>
                    <w:right w:val="nil"/>
                  </w:tcBorders>
                  <w:vAlign w:val="center"/>
                </w:tcPr>
                <w:p>
                  <w:pPr>
                    <w:adjustRightInd w:val="0"/>
                    <w:snapToGrid w:val="0"/>
                    <w:jc w:val="center"/>
                    <w:rPr>
                      <w:sz w:val="18"/>
                      <w:szCs w:val="18"/>
                      <w:u w:val="single"/>
                    </w:rPr>
                  </w:pPr>
                  <w:r>
                    <w:rPr>
                      <w:sz w:val="18"/>
                      <w:szCs w:val="18"/>
                      <w:u w:val="single"/>
                    </w:rPr>
                    <w:t>暂存方式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8" w:type="dxa"/>
                  <w:tcBorders>
                    <w:left w:val="nil"/>
                  </w:tcBorders>
                  <w:vAlign w:val="center"/>
                </w:tcPr>
                <w:p>
                  <w:pPr>
                    <w:adjustRightInd w:val="0"/>
                    <w:snapToGrid w:val="0"/>
                    <w:jc w:val="center"/>
                    <w:rPr>
                      <w:sz w:val="18"/>
                      <w:szCs w:val="18"/>
                    </w:rPr>
                  </w:pPr>
                  <w:r>
                    <w:rPr>
                      <w:sz w:val="18"/>
                      <w:szCs w:val="18"/>
                    </w:rPr>
                    <w:t>1</w:t>
                  </w:r>
                </w:p>
              </w:tc>
              <w:tc>
                <w:tcPr>
                  <w:tcW w:w="866" w:type="dxa"/>
                  <w:vAlign w:val="center"/>
                </w:tcPr>
                <w:p>
                  <w:pPr>
                    <w:adjustRightInd w:val="0"/>
                    <w:snapToGrid w:val="0"/>
                    <w:jc w:val="center"/>
                    <w:rPr>
                      <w:sz w:val="18"/>
                      <w:szCs w:val="18"/>
                    </w:rPr>
                  </w:pPr>
                  <w:r>
                    <w:rPr>
                      <w:sz w:val="18"/>
                      <w:szCs w:val="18"/>
                    </w:rPr>
                    <w:t>除尘灰</w:t>
                  </w:r>
                </w:p>
              </w:tc>
              <w:tc>
                <w:tcPr>
                  <w:tcW w:w="944" w:type="dxa"/>
                  <w:vAlign w:val="center"/>
                </w:tcPr>
                <w:p>
                  <w:pPr>
                    <w:adjustRightInd w:val="0"/>
                    <w:snapToGrid w:val="0"/>
                    <w:jc w:val="center"/>
                    <w:rPr>
                      <w:sz w:val="18"/>
                      <w:szCs w:val="18"/>
                    </w:rPr>
                  </w:pPr>
                  <w:r>
                    <w:rPr>
                      <w:rFonts w:hint="eastAsia"/>
                      <w:sz w:val="18"/>
                      <w:szCs w:val="18"/>
                    </w:rPr>
                    <w:t>0.38</w:t>
                  </w:r>
                </w:p>
              </w:tc>
              <w:tc>
                <w:tcPr>
                  <w:tcW w:w="1010" w:type="dxa"/>
                  <w:tcBorders>
                    <w:right w:val="nil"/>
                  </w:tcBorders>
                  <w:vAlign w:val="center"/>
                </w:tcPr>
                <w:p>
                  <w:pPr>
                    <w:adjustRightInd w:val="0"/>
                    <w:snapToGrid w:val="0"/>
                    <w:jc w:val="center"/>
                    <w:rPr>
                      <w:sz w:val="18"/>
                      <w:szCs w:val="18"/>
                    </w:rPr>
                  </w:pPr>
                  <w:r>
                    <w:rPr>
                      <w:sz w:val="18"/>
                      <w:szCs w:val="18"/>
                    </w:rPr>
                    <w:t>一般固废</w:t>
                  </w:r>
                </w:p>
              </w:tc>
              <w:tc>
                <w:tcPr>
                  <w:tcW w:w="1161" w:type="dxa"/>
                  <w:tcBorders>
                    <w:right w:val="nil"/>
                  </w:tcBorders>
                  <w:vAlign w:val="center"/>
                </w:tcPr>
                <w:p>
                  <w:pPr>
                    <w:adjustRightInd w:val="0"/>
                    <w:snapToGrid w:val="0"/>
                    <w:jc w:val="center"/>
                    <w:rPr>
                      <w:sz w:val="18"/>
                      <w:szCs w:val="18"/>
                    </w:rPr>
                  </w:pPr>
                  <w:r>
                    <w:rPr>
                      <w:sz w:val="18"/>
                      <w:szCs w:val="18"/>
                    </w:rPr>
                    <w:t>900-099-S59</w:t>
                  </w:r>
                </w:p>
              </w:tc>
              <w:tc>
                <w:tcPr>
                  <w:tcW w:w="3718" w:type="dxa"/>
                  <w:tcBorders>
                    <w:right w:val="nil"/>
                  </w:tcBorders>
                  <w:vAlign w:val="center"/>
                </w:tcPr>
                <w:p>
                  <w:pPr>
                    <w:adjustRightInd w:val="0"/>
                    <w:snapToGrid w:val="0"/>
                    <w:jc w:val="center"/>
                    <w:rPr>
                      <w:sz w:val="18"/>
                      <w:szCs w:val="18"/>
                      <w:u w:val="single"/>
                    </w:rPr>
                  </w:pPr>
                  <w:r>
                    <w:rPr>
                      <w:sz w:val="18"/>
                      <w:szCs w:val="18"/>
                      <w:u w:val="single"/>
                    </w:rPr>
                    <w:t>袋装暂存于锅炉房内灰渣暂存区（5m</w:t>
                  </w:r>
                  <w:r>
                    <w:rPr>
                      <w:sz w:val="18"/>
                      <w:szCs w:val="18"/>
                      <w:u w:val="single"/>
                      <w:vertAlign w:val="superscript"/>
                    </w:rPr>
                    <w:t>2</w:t>
                  </w:r>
                  <w:r>
                    <w:rPr>
                      <w:sz w:val="18"/>
                      <w:szCs w:val="18"/>
                      <w:u w:val="single"/>
                    </w:rPr>
                    <w:t>），最大暂存量约1.1t，定期赠予附近农户用作肥料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8" w:type="dxa"/>
                  <w:tcBorders>
                    <w:left w:val="nil"/>
                  </w:tcBorders>
                  <w:vAlign w:val="center"/>
                </w:tcPr>
                <w:p>
                  <w:pPr>
                    <w:adjustRightInd w:val="0"/>
                    <w:snapToGrid w:val="0"/>
                    <w:jc w:val="center"/>
                    <w:rPr>
                      <w:sz w:val="18"/>
                      <w:szCs w:val="18"/>
                    </w:rPr>
                  </w:pPr>
                  <w:r>
                    <w:rPr>
                      <w:sz w:val="18"/>
                      <w:szCs w:val="18"/>
                    </w:rPr>
                    <w:t>2</w:t>
                  </w:r>
                </w:p>
              </w:tc>
              <w:tc>
                <w:tcPr>
                  <w:tcW w:w="866" w:type="dxa"/>
                  <w:vAlign w:val="center"/>
                </w:tcPr>
                <w:p>
                  <w:pPr>
                    <w:adjustRightInd w:val="0"/>
                    <w:snapToGrid w:val="0"/>
                    <w:jc w:val="center"/>
                    <w:rPr>
                      <w:sz w:val="18"/>
                      <w:szCs w:val="18"/>
                    </w:rPr>
                  </w:pPr>
                  <w:r>
                    <w:rPr>
                      <w:sz w:val="18"/>
                      <w:szCs w:val="18"/>
                    </w:rPr>
                    <w:t>炉灰</w:t>
                  </w:r>
                </w:p>
              </w:tc>
              <w:tc>
                <w:tcPr>
                  <w:tcW w:w="944" w:type="dxa"/>
                  <w:vAlign w:val="center"/>
                </w:tcPr>
                <w:p>
                  <w:pPr>
                    <w:adjustRightInd w:val="0"/>
                    <w:snapToGrid w:val="0"/>
                    <w:jc w:val="center"/>
                    <w:rPr>
                      <w:sz w:val="18"/>
                      <w:szCs w:val="18"/>
                    </w:rPr>
                  </w:pPr>
                  <w:r>
                    <w:rPr>
                      <w:rFonts w:hint="eastAsia"/>
                      <w:sz w:val="18"/>
                      <w:szCs w:val="18"/>
                    </w:rPr>
                    <w:t>1.58</w:t>
                  </w:r>
                </w:p>
              </w:tc>
              <w:tc>
                <w:tcPr>
                  <w:tcW w:w="1010" w:type="dxa"/>
                  <w:tcBorders>
                    <w:right w:val="nil"/>
                  </w:tcBorders>
                  <w:vAlign w:val="center"/>
                </w:tcPr>
                <w:p>
                  <w:pPr>
                    <w:adjustRightInd w:val="0"/>
                    <w:snapToGrid w:val="0"/>
                    <w:jc w:val="center"/>
                    <w:rPr>
                      <w:sz w:val="18"/>
                      <w:szCs w:val="18"/>
                    </w:rPr>
                  </w:pPr>
                  <w:r>
                    <w:rPr>
                      <w:sz w:val="18"/>
                      <w:szCs w:val="18"/>
                    </w:rPr>
                    <w:t>一般固废</w:t>
                  </w:r>
                </w:p>
              </w:tc>
              <w:tc>
                <w:tcPr>
                  <w:tcW w:w="1161" w:type="dxa"/>
                  <w:tcBorders>
                    <w:right w:val="nil"/>
                  </w:tcBorders>
                  <w:vAlign w:val="center"/>
                </w:tcPr>
                <w:p>
                  <w:pPr>
                    <w:adjustRightInd w:val="0"/>
                    <w:snapToGrid w:val="0"/>
                    <w:jc w:val="center"/>
                    <w:rPr>
                      <w:sz w:val="18"/>
                      <w:szCs w:val="18"/>
                    </w:rPr>
                  </w:pPr>
                  <w:r>
                    <w:rPr>
                      <w:sz w:val="18"/>
                      <w:szCs w:val="18"/>
                    </w:rPr>
                    <w:t>900-099-S03</w:t>
                  </w:r>
                </w:p>
              </w:tc>
              <w:tc>
                <w:tcPr>
                  <w:tcW w:w="3718" w:type="dxa"/>
                  <w:tcBorders>
                    <w:right w:val="nil"/>
                  </w:tcBorders>
                  <w:vAlign w:val="center"/>
                </w:tcPr>
                <w:p>
                  <w:pPr>
                    <w:adjustRightInd w:val="0"/>
                    <w:snapToGrid w:val="0"/>
                    <w:jc w:val="center"/>
                    <w:rPr>
                      <w:sz w:val="18"/>
                      <w:szCs w:val="18"/>
                      <w:u w:val="single"/>
                    </w:rPr>
                  </w:pPr>
                  <w:r>
                    <w:rPr>
                      <w:sz w:val="18"/>
                      <w:szCs w:val="18"/>
                      <w:u w:val="single"/>
                    </w:rPr>
                    <w:t>袋装暂存于锅炉房内灰渣暂存区（5m</w:t>
                  </w:r>
                  <w:r>
                    <w:rPr>
                      <w:sz w:val="18"/>
                      <w:szCs w:val="18"/>
                      <w:u w:val="single"/>
                      <w:vertAlign w:val="superscript"/>
                    </w:rPr>
                    <w:t>2</w:t>
                  </w:r>
                  <w:r>
                    <w:rPr>
                      <w:sz w:val="18"/>
                      <w:szCs w:val="18"/>
                      <w:u w:val="single"/>
                    </w:rPr>
                    <w:t>），最大暂存量约2.4t，定期赠予附近农户用作肥料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8" w:type="dxa"/>
                  <w:tcBorders>
                    <w:left w:val="nil"/>
                  </w:tcBorders>
                  <w:vAlign w:val="center"/>
                </w:tcPr>
                <w:p>
                  <w:pPr>
                    <w:adjustRightInd w:val="0"/>
                    <w:snapToGrid w:val="0"/>
                    <w:jc w:val="center"/>
                    <w:rPr>
                      <w:sz w:val="18"/>
                      <w:szCs w:val="18"/>
                    </w:rPr>
                  </w:pPr>
                  <w:r>
                    <w:rPr>
                      <w:sz w:val="18"/>
                      <w:szCs w:val="18"/>
                    </w:rPr>
                    <w:t>3</w:t>
                  </w:r>
                </w:p>
              </w:tc>
              <w:tc>
                <w:tcPr>
                  <w:tcW w:w="866" w:type="dxa"/>
                  <w:vAlign w:val="center"/>
                </w:tcPr>
                <w:p>
                  <w:pPr>
                    <w:adjustRightInd w:val="0"/>
                    <w:snapToGrid w:val="0"/>
                    <w:jc w:val="center"/>
                    <w:rPr>
                      <w:sz w:val="18"/>
                      <w:szCs w:val="18"/>
                    </w:rPr>
                  </w:pPr>
                  <w:r>
                    <w:rPr>
                      <w:sz w:val="18"/>
                      <w:szCs w:val="18"/>
                    </w:rPr>
                    <w:t>废布袋</w:t>
                  </w:r>
                </w:p>
              </w:tc>
              <w:tc>
                <w:tcPr>
                  <w:tcW w:w="944" w:type="dxa"/>
                  <w:vAlign w:val="center"/>
                </w:tcPr>
                <w:p>
                  <w:pPr>
                    <w:adjustRightInd w:val="0"/>
                    <w:snapToGrid w:val="0"/>
                    <w:jc w:val="center"/>
                    <w:rPr>
                      <w:sz w:val="18"/>
                      <w:szCs w:val="18"/>
                    </w:rPr>
                  </w:pPr>
                  <w:r>
                    <w:rPr>
                      <w:sz w:val="18"/>
                      <w:szCs w:val="18"/>
                    </w:rPr>
                    <w:t>0.10</w:t>
                  </w:r>
                </w:p>
              </w:tc>
              <w:tc>
                <w:tcPr>
                  <w:tcW w:w="1010" w:type="dxa"/>
                  <w:tcBorders>
                    <w:right w:val="nil"/>
                  </w:tcBorders>
                  <w:vAlign w:val="center"/>
                </w:tcPr>
                <w:p>
                  <w:pPr>
                    <w:adjustRightInd w:val="0"/>
                    <w:snapToGrid w:val="0"/>
                    <w:jc w:val="center"/>
                    <w:rPr>
                      <w:sz w:val="18"/>
                      <w:szCs w:val="18"/>
                    </w:rPr>
                  </w:pPr>
                  <w:r>
                    <w:rPr>
                      <w:sz w:val="18"/>
                      <w:szCs w:val="18"/>
                    </w:rPr>
                    <w:t>一般固废</w:t>
                  </w:r>
                </w:p>
              </w:tc>
              <w:tc>
                <w:tcPr>
                  <w:tcW w:w="1161" w:type="dxa"/>
                  <w:tcBorders>
                    <w:right w:val="nil"/>
                  </w:tcBorders>
                  <w:vAlign w:val="center"/>
                </w:tcPr>
                <w:p>
                  <w:pPr>
                    <w:adjustRightInd w:val="0"/>
                    <w:snapToGrid w:val="0"/>
                    <w:jc w:val="center"/>
                    <w:rPr>
                      <w:sz w:val="18"/>
                      <w:szCs w:val="18"/>
                    </w:rPr>
                  </w:pPr>
                  <w:r>
                    <w:rPr>
                      <w:sz w:val="18"/>
                      <w:szCs w:val="18"/>
                    </w:rPr>
                    <w:t>900-009-S59</w:t>
                  </w:r>
                </w:p>
              </w:tc>
              <w:tc>
                <w:tcPr>
                  <w:tcW w:w="3718" w:type="dxa"/>
                  <w:tcBorders>
                    <w:right w:val="nil"/>
                  </w:tcBorders>
                  <w:vAlign w:val="center"/>
                </w:tcPr>
                <w:p>
                  <w:pPr>
                    <w:adjustRightInd w:val="0"/>
                    <w:snapToGrid w:val="0"/>
                    <w:jc w:val="center"/>
                    <w:rPr>
                      <w:sz w:val="18"/>
                      <w:szCs w:val="18"/>
                      <w:u w:val="single"/>
                    </w:rPr>
                  </w:pPr>
                  <w:r>
                    <w:rPr>
                      <w:sz w:val="18"/>
                      <w:szCs w:val="18"/>
                      <w:u w:val="single"/>
                    </w:rPr>
                    <w:t>定期交由厂家回收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8" w:type="dxa"/>
                  <w:tcBorders>
                    <w:left w:val="nil"/>
                  </w:tcBorders>
                  <w:vAlign w:val="center"/>
                </w:tcPr>
                <w:p>
                  <w:pPr>
                    <w:adjustRightInd w:val="0"/>
                    <w:snapToGrid w:val="0"/>
                    <w:jc w:val="center"/>
                    <w:rPr>
                      <w:sz w:val="18"/>
                      <w:szCs w:val="18"/>
                      <w:u w:val="single"/>
                    </w:rPr>
                  </w:pPr>
                  <w:r>
                    <w:rPr>
                      <w:sz w:val="18"/>
                      <w:szCs w:val="18"/>
                      <w:u w:val="single"/>
                    </w:rPr>
                    <w:t>4</w:t>
                  </w:r>
                </w:p>
              </w:tc>
              <w:tc>
                <w:tcPr>
                  <w:tcW w:w="866" w:type="dxa"/>
                  <w:vAlign w:val="center"/>
                </w:tcPr>
                <w:p>
                  <w:pPr>
                    <w:adjustRightInd w:val="0"/>
                    <w:snapToGrid w:val="0"/>
                    <w:jc w:val="center"/>
                    <w:rPr>
                      <w:sz w:val="18"/>
                      <w:szCs w:val="18"/>
                      <w:u w:val="single"/>
                    </w:rPr>
                  </w:pPr>
                  <w:r>
                    <w:rPr>
                      <w:sz w:val="18"/>
                      <w:szCs w:val="18"/>
                      <w:u w:val="single"/>
                    </w:rPr>
                    <w:t>废导热油</w:t>
                  </w:r>
                </w:p>
              </w:tc>
              <w:tc>
                <w:tcPr>
                  <w:tcW w:w="944" w:type="dxa"/>
                  <w:vAlign w:val="center"/>
                </w:tcPr>
                <w:p>
                  <w:pPr>
                    <w:adjustRightInd w:val="0"/>
                    <w:snapToGrid w:val="0"/>
                    <w:jc w:val="center"/>
                    <w:rPr>
                      <w:sz w:val="18"/>
                      <w:szCs w:val="18"/>
                      <w:u w:val="single"/>
                    </w:rPr>
                  </w:pPr>
                  <w:r>
                    <w:rPr>
                      <w:sz w:val="18"/>
                      <w:szCs w:val="18"/>
                      <w:u w:val="single"/>
                    </w:rPr>
                    <w:t>1.00</w:t>
                  </w:r>
                </w:p>
              </w:tc>
              <w:tc>
                <w:tcPr>
                  <w:tcW w:w="1010" w:type="dxa"/>
                  <w:tcBorders>
                    <w:right w:val="nil"/>
                  </w:tcBorders>
                  <w:vAlign w:val="center"/>
                </w:tcPr>
                <w:p>
                  <w:pPr>
                    <w:adjustRightInd w:val="0"/>
                    <w:snapToGrid w:val="0"/>
                    <w:jc w:val="center"/>
                    <w:rPr>
                      <w:sz w:val="18"/>
                      <w:szCs w:val="18"/>
                      <w:u w:val="single"/>
                    </w:rPr>
                  </w:pPr>
                  <w:r>
                    <w:rPr>
                      <w:sz w:val="18"/>
                      <w:szCs w:val="18"/>
                      <w:u w:val="single"/>
                    </w:rPr>
                    <w:t>危险废物</w:t>
                  </w:r>
                </w:p>
              </w:tc>
              <w:tc>
                <w:tcPr>
                  <w:tcW w:w="1161" w:type="dxa"/>
                  <w:tcBorders>
                    <w:right w:val="nil"/>
                  </w:tcBorders>
                  <w:vAlign w:val="center"/>
                </w:tcPr>
                <w:p>
                  <w:pPr>
                    <w:adjustRightInd w:val="0"/>
                    <w:snapToGrid w:val="0"/>
                    <w:jc w:val="center"/>
                    <w:rPr>
                      <w:sz w:val="18"/>
                      <w:szCs w:val="18"/>
                      <w:u w:val="single"/>
                    </w:rPr>
                  </w:pPr>
                  <w:r>
                    <w:rPr>
                      <w:sz w:val="18"/>
                      <w:szCs w:val="18"/>
                      <w:u w:val="single"/>
                    </w:rPr>
                    <w:t>900-249-08</w:t>
                  </w:r>
                </w:p>
              </w:tc>
              <w:tc>
                <w:tcPr>
                  <w:tcW w:w="3718" w:type="dxa"/>
                  <w:tcBorders>
                    <w:right w:val="nil"/>
                  </w:tcBorders>
                  <w:vAlign w:val="center"/>
                </w:tcPr>
                <w:p>
                  <w:pPr>
                    <w:adjustRightInd w:val="0"/>
                    <w:snapToGrid w:val="0"/>
                    <w:jc w:val="center"/>
                    <w:rPr>
                      <w:sz w:val="18"/>
                      <w:szCs w:val="18"/>
                      <w:u w:val="single"/>
                    </w:rPr>
                  </w:pPr>
                  <w:r>
                    <w:rPr>
                      <w:sz w:val="18"/>
                      <w:szCs w:val="18"/>
                      <w:u w:val="single"/>
                    </w:rPr>
                    <w:t>专用200L闭口铁桶密闭收集（桶顶留100mm以上空间），暂存于厂区现有危废暂存间（25m</w:t>
                  </w:r>
                  <w:r>
                    <w:rPr>
                      <w:sz w:val="18"/>
                      <w:szCs w:val="18"/>
                      <w:u w:val="single"/>
                      <w:vertAlign w:val="superscript"/>
                    </w:rPr>
                    <w:t>2</w:t>
                  </w:r>
                  <w:r>
                    <w:rPr>
                      <w:sz w:val="18"/>
                      <w:szCs w:val="18"/>
                      <w:u w:val="single"/>
                    </w:rPr>
                    <w:t>），分区贮存，围堰有效容积≥0.5m</w:t>
                  </w:r>
                  <w:r>
                    <w:rPr>
                      <w:sz w:val="18"/>
                      <w:szCs w:val="18"/>
                      <w:u w:val="single"/>
                      <w:vertAlign w:val="superscript"/>
                    </w:rPr>
                    <w:t>3</w:t>
                  </w:r>
                  <w:r>
                    <w:rPr>
                      <w:sz w:val="18"/>
                      <w:szCs w:val="18"/>
                      <w:u w:val="single"/>
                    </w:rPr>
                    <w:t>，设导流槽及收集池，委托吉林省高深环保科技有限公司处置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8" w:type="dxa"/>
                  <w:tcBorders>
                    <w:left w:val="nil"/>
                  </w:tcBorders>
                  <w:vAlign w:val="center"/>
                </w:tcPr>
                <w:p>
                  <w:pPr>
                    <w:adjustRightInd w:val="0"/>
                    <w:snapToGrid w:val="0"/>
                    <w:jc w:val="center"/>
                    <w:rPr>
                      <w:sz w:val="18"/>
                      <w:szCs w:val="18"/>
                      <w:u w:val="single"/>
                    </w:rPr>
                  </w:pPr>
                  <w:r>
                    <w:rPr>
                      <w:sz w:val="18"/>
                      <w:szCs w:val="18"/>
                      <w:u w:val="single"/>
                    </w:rPr>
                    <w:t>5</w:t>
                  </w:r>
                </w:p>
              </w:tc>
              <w:tc>
                <w:tcPr>
                  <w:tcW w:w="866" w:type="dxa"/>
                  <w:vAlign w:val="center"/>
                </w:tcPr>
                <w:p>
                  <w:pPr>
                    <w:adjustRightInd w:val="0"/>
                    <w:snapToGrid w:val="0"/>
                    <w:jc w:val="center"/>
                    <w:rPr>
                      <w:sz w:val="18"/>
                      <w:szCs w:val="18"/>
                      <w:u w:val="single"/>
                    </w:rPr>
                  </w:pPr>
                  <w:r>
                    <w:rPr>
                      <w:sz w:val="18"/>
                      <w:szCs w:val="18"/>
                      <w:u w:val="single"/>
                    </w:rPr>
                    <w:t>废机油</w:t>
                  </w:r>
                </w:p>
              </w:tc>
              <w:tc>
                <w:tcPr>
                  <w:tcW w:w="944" w:type="dxa"/>
                  <w:vAlign w:val="center"/>
                </w:tcPr>
                <w:p>
                  <w:pPr>
                    <w:adjustRightInd w:val="0"/>
                    <w:snapToGrid w:val="0"/>
                    <w:jc w:val="center"/>
                    <w:rPr>
                      <w:sz w:val="18"/>
                      <w:szCs w:val="18"/>
                      <w:u w:val="single"/>
                    </w:rPr>
                  </w:pPr>
                  <w:r>
                    <w:rPr>
                      <w:sz w:val="18"/>
                      <w:szCs w:val="18"/>
                      <w:u w:val="single"/>
                    </w:rPr>
                    <w:t>0.03</w:t>
                  </w:r>
                </w:p>
              </w:tc>
              <w:tc>
                <w:tcPr>
                  <w:tcW w:w="1010" w:type="dxa"/>
                  <w:tcBorders>
                    <w:right w:val="nil"/>
                  </w:tcBorders>
                  <w:vAlign w:val="center"/>
                </w:tcPr>
                <w:p>
                  <w:pPr>
                    <w:adjustRightInd w:val="0"/>
                    <w:snapToGrid w:val="0"/>
                    <w:jc w:val="center"/>
                    <w:rPr>
                      <w:sz w:val="18"/>
                      <w:szCs w:val="18"/>
                      <w:u w:val="single"/>
                    </w:rPr>
                  </w:pPr>
                  <w:r>
                    <w:rPr>
                      <w:sz w:val="18"/>
                      <w:szCs w:val="18"/>
                      <w:u w:val="single"/>
                    </w:rPr>
                    <w:t>危险废物</w:t>
                  </w:r>
                </w:p>
              </w:tc>
              <w:tc>
                <w:tcPr>
                  <w:tcW w:w="1161" w:type="dxa"/>
                  <w:tcBorders>
                    <w:right w:val="nil"/>
                  </w:tcBorders>
                  <w:vAlign w:val="center"/>
                </w:tcPr>
                <w:p>
                  <w:pPr>
                    <w:adjustRightInd w:val="0"/>
                    <w:snapToGrid w:val="0"/>
                    <w:jc w:val="center"/>
                    <w:rPr>
                      <w:sz w:val="18"/>
                      <w:szCs w:val="18"/>
                      <w:u w:val="single"/>
                    </w:rPr>
                  </w:pPr>
                  <w:r>
                    <w:rPr>
                      <w:sz w:val="18"/>
                      <w:szCs w:val="18"/>
                      <w:u w:val="single"/>
                    </w:rPr>
                    <w:t>900-214-08</w:t>
                  </w:r>
                </w:p>
              </w:tc>
              <w:tc>
                <w:tcPr>
                  <w:tcW w:w="3718" w:type="dxa"/>
                  <w:tcBorders>
                    <w:right w:val="nil"/>
                  </w:tcBorders>
                  <w:vAlign w:val="center"/>
                </w:tcPr>
                <w:p>
                  <w:pPr>
                    <w:adjustRightInd w:val="0"/>
                    <w:snapToGrid w:val="0"/>
                    <w:jc w:val="center"/>
                    <w:rPr>
                      <w:sz w:val="18"/>
                      <w:szCs w:val="18"/>
                      <w:u w:val="single"/>
                    </w:rPr>
                  </w:pPr>
                  <w:r>
                    <w:rPr>
                      <w:sz w:val="18"/>
                      <w:szCs w:val="18"/>
                      <w:u w:val="single"/>
                    </w:rPr>
                    <w:t>专用容器密闭收集，暂存于厂区现有危废暂存间，分区贮存，委托吉林省高深环保科技有限公司处置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8" w:type="dxa"/>
                  <w:tcBorders>
                    <w:left w:val="nil"/>
                  </w:tcBorders>
                  <w:vAlign w:val="center"/>
                </w:tcPr>
                <w:p>
                  <w:pPr>
                    <w:adjustRightInd w:val="0"/>
                    <w:snapToGrid w:val="0"/>
                    <w:jc w:val="center"/>
                    <w:rPr>
                      <w:sz w:val="18"/>
                      <w:szCs w:val="18"/>
                      <w:u w:val="single"/>
                    </w:rPr>
                  </w:pPr>
                  <w:r>
                    <w:rPr>
                      <w:sz w:val="18"/>
                      <w:szCs w:val="18"/>
                      <w:u w:val="single"/>
                    </w:rPr>
                    <w:t>6</w:t>
                  </w:r>
                </w:p>
              </w:tc>
              <w:tc>
                <w:tcPr>
                  <w:tcW w:w="866" w:type="dxa"/>
                  <w:vAlign w:val="center"/>
                </w:tcPr>
                <w:p>
                  <w:pPr>
                    <w:adjustRightInd w:val="0"/>
                    <w:snapToGrid w:val="0"/>
                    <w:jc w:val="center"/>
                    <w:rPr>
                      <w:sz w:val="18"/>
                      <w:szCs w:val="18"/>
                      <w:u w:val="single"/>
                    </w:rPr>
                  </w:pPr>
                  <w:r>
                    <w:rPr>
                      <w:sz w:val="18"/>
                      <w:szCs w:val="18"/>
                      <w:u w:val="single"/>
                    </w:rPr>
                    <w:t>含油废抹布</w:t>
                  </w:r>
                </w:p>
              </w:tc>
              <w:tc>
                <w:tcPr>
                  <w:tcW w:w="944" w:type="dxa"/>
                  <w:vAlign w:val="center"/>
                </w:tcPr>
                <w:p>
                  <w:pPr>
                    <w:adjustRightInd w:val="0"/>
                    <w:snapToGrid w:val="0"/>
                    <w:jc w:val="center"/>
                    <w:rPr>
                      <w:sz w:val="18"/>
                      <w:szCs w:val="18"/>
                      <w:u w:val="single"/>
                    </w:rPr>
                  </w:pPr>
                  <w:r>
                    <w:rPr>
                      <w:sz w:val="18"/>
                      <w:szCs w:val="18"/>
                      <w:u w:val="single"/>
                    </w:rPr>
                    <w:t>0.01</w:t>
                  </w:r>
                </w:p>
              </w:tc>
              <w:tc>
                <w:tcPr>
                  <w:tcW w:w="1010" w:type="dxa"/>
                  <w:tcBorders>
                    <w:right w:val="nil"/>
                  </w:tcBorders>
                  <w:vAlign w:val="center"/>
                </w:tcPr>
                <w:p>
                  <w:pPr>
                    <w:adjustRightInd w:val="0"/>
                    <w:snapToGrid w:val="0"/>
                    <w:jc w:val="center"/>
                    <w:rPr>
                      <w:sz w:val="18"/>
                      <w:szCs w:val="18"/>
                      <w:u w:val="single"/>
                    </w:rPr>
                  </w:pPr>
                  <w:r>
                    <w:rPr>
                      <w:sz w:val="18"/>
                      <w:szCs w:val="18"/>
                      <w:u w:val="single"/>
                    </w:rPr>
                    <w:t>危险废物</w:t>
                  </w:r>
                </w:p>
              </w:tc>
              <w:tc>
                <w:tcPr>
                  <w:tcW w:w="1161" w:type="dxa"/>
                  <w:tcBorders>
                    <w:right w:val="nil"/>
                  </w:tcBorders>
                  <w:vAlign w:val="center"/>
                </w:tcPr>
                <w:p>
                  <w:pPr>
                    <w:adjustRightInd w:val="0"/>
                    <w:snapToGrid w:val="0"/>
                    <w:jc w:val="center"/>
                    <w:rPr>
                      <w:sz w:val="18"/>
                      <w:szCs w:val="18"/>
                      <w:u w:val="single"/>
                    </w:rPr>
                  </w:pPr>
                  <w:r>
                    <w:rPr>
                      <w:sz w:val="18"/>
                      <w:szCs w:val="18"/>
                      <w:u w:val="single"/>
                    </w:rPr>
                    <w:t>900-041-49</w:t>
                  </w:r>
                </w:p>
              </w:tc>
              <w:tc>
                <w:tcPr>
                  <w:tcW w:w="3718" w:type="dxa"/>
                  <w:tcBorders>
                    <w:right w:val="nil"/>
                  </w:tcBorders>
                  <w:vAlign w:val="center"/>
                </w:tcPr>
                <w:p>
                  <w:pPr>
                    <w:adjustRightInd w:val="0"/>
                    <w:snapToGrid w:val="0"/>
                    <w:jc w:val="center"/>
                    <w:rPr>
                      <w:sz w:val="18"/>
                      <w:szCs w:val="18"/>
                      <w:u w:val="single"/>
                    </w:rPr>
                  </w:pPr>
                  <w:r>
                    <w:rPr>
                      <w:sz w:val="18"/>
                      <w:szCs w:val="18"/>
                      <w:u w:val="single"/>
                    </w:rPr>
                    <w:t>专用容器收集，暂存于厂区现有危废暂存间，分区贮存，委托吉林省高深环保科技有限公司处置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8" w:type="dxa"/>
                  <w:tcBorders>
                    <w:left w:val="nil"/>
                  </w:tcBorders>
                  <w:vAlign w:val="center"/>
                </w:tcPr>
                <w:p>
                  <w:pPr>
                    <w:adjustRightInd w:val="0"/>
                    <w:snapToGrid w:val="0"/>
                    <w:jc w:val="center"/>
                    <w:rPr>
                      <w:sz w:val="18"/>
                      <w:szCs w:val="18"/>
                      <w:u w:val="single"/>
                    </w:rPr>
                  </w:pPr>
                  <w:r>
                    <w:rPr>
                      <w:sz w:val="18"/>
                      <w:szCs w:val="18"/>
                      <w:u w:val="single"/>
                    </w:rPr>
                    <w:t>7</w:t>
                  </w:r>
                </w:p>
              </w:tc>
              <w:tc>
                <w:tcPr>
                  <w:tcW w:w="866" w:type="dxa"/>
                  <w:vAlign w:val="center"/>
                </w:tcPr>
                <w:p>
                  <w:pPr>
                    <w:adjustRightInd w:val="0"/>
                    <w:snapToGrid w:val="0"/>
                    <w:jc w:val="center"/>
                    <w:rPr>
                      <w:sz w:val="18"/>
                      <w:szCs w:val="18"/>
                      <w:u w:val="single"/>
                    </w:rPr>
                  </w:pPr>
                  <w:r>
                    <w:rPr>
                      <w:sz w:val="18"/>
                      <w:szCs w:val="18"/>
                      <w:u w:val="single"/>
                    </w:rPr>
                    <w:t>废油桶</w:t>
                  </w:r>
                </w:p>
              </w:tc>
              <w:tc>
                <w:tcPr>
                  <w:tcW w:w="944" w:type="dxa"/>
                  <w:vAlign w:val="center"/>
                </w:tcPr>
                <w:p>
                  <w:pPr>
                    <w:adjustRightInd w:val="0"/>
                    <w:snapToGrid w:val="0"/>
                    <w:jc w:val="center"/>
                    <w:rPr>
                      <w:sz w:val="18"/>
                      <w:szCs w:val="18"/>
                      <w:u w:val="single"/>
                    </w:rPr>
                  </w:pPr>
                  <w:r>
                    <w:rPr>
                      <w:sz w:val="18"/>
                      <w:szCs w:val="18"/>
                      <w:u w:val="single"/>
                    </w:rPr>
                    <w:t>0.02</w:t>
                  </w:r>
                </w:p>
              </w:tc>
              <w:tc>
                <w:tcPr>
                  <w:tcW w:w="1010" w:type="dxa"/>
                  <w:tcBorders>
                    <w:right w:val="nil"/>
                  </w:tcBorders>
                  <w:vAlign w:val="center"/>
                </w:tcPr>
                <w:p>
                  <w:pPr>
                    <w:adjustRightInd w:val="0"/>
                    <w:snapToGrid w:val="0"/>
                    <w:jc w:val="center"/>
                    <w:rPr>
                      <w:sz w:val="18"/>
                      <w:szCs w:val="18"/>
                      <w:u w:val="single"/>
                    </w:rPr>
                  </w:pPr>
                  <w:r>
                    <w:rPr>
                      <w:sz w:val="18"/>
                      <w:szCs w:val="18"/>
                      <w:u w:val="single"/>
                    </w:rPr>
                    <w:t>危险废物</w:t>
                  </w:r>
                </w:p>
              </w:tc>
              <w:tc>
                <w:tcPr>
                  <w:tcW w:w="1161" w:type="dxa"/>
                  <w:tcBorders>
                    <w:right w:val="nil"/>
                  </w:tcBorders>
                  <w:vAlign w:val="center"/>
                </w:tcPr>
                <w:p>
                  <w:pPr>
                    <w:adjustRightInd w:val="0"/>
                    <w:snapToGrid w:val="0"/>
                    <w:jc w:val="center"/>
                    <w:rPr>
                      <w:sz w:val="18"/>
                      <w:szCs w:val="18"/>
                      <w:u w:val="single"/>
                    </w:rPr>
                  </w:pPr>
                  <w:r>
                    <w:rPr>
                      <w:sz w:val="18"/>
                      <w:szCs w:val="18"/>
                      <w:u w:val="single"/>
                    </w:rPr>
                    <w:t>900-249-08</w:t>
                  </w:r>
                </w:p>
              </w:tc>
              <w:tc>
                <w:tcPr>
                  <w:tcW w:w="3718" w:type="dxa"/>
                  <w:tcBorders>
                    <w:right w:val="nil"/>
                  </w:tcBorders>
                  <w:vAlign w:val="center"/>
                </w:tcPr>
                <w:p>
                  <w:pPr>
                    <w:adjustRightInd w:val="0"/>
                    <w:snapToGrid w:val="0"/>
                    <w:jc w:val="center"/>
                    <w:rPr>
                      <w:sz w:val="18"/>
                      <w:szCs w:val="18"/>
                      <w:u w:val="single"/>
                    </w:rPr>
                  </w:pPr>
                  <w:r>
                    <w:rPr>
                      <w:sz w:val="18"/>
                      <w:szCs w:val="18"/>
                      <w:u w:val="single"/>
                    </w:rPr>
                    <w:t>暂存于厂区现有危废暂存间，分区贮存，委托吉林省高深环保科技有限公司处置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74" w:type="dxa"/>
                  <w:gridSpan w:val="2"/>
                  <w:tcBorders>
                    <w:left w:val="nil"/>
                  </w:tcBorders>
                  <w:vAlign w:val="center"/>
                </w:tcPr>
                <w:p>
                  <w:pPr>
                    <w:adjustRightInd w:val="0"/>
                    <w:snapToGrid w:val="0"/>
                    <w:jc w:val="center"/>
                    <w:rPr>
                      <w:sz w:val="18"/>
                      <w:szCs w:val="18"/>
                    </w:rPr>
                  </w:pPr>
                  <w:r>
                    <w:rPr>
                      <w:sz w:val="18"/>
                      <w:szCs w:val="18"/>
                    </w:rPr>
                    <w:t>合计</w:t>
                  </w:r>
                </w:p>
              </w:tc>
              <w:tc>
                <w:tcPr>
                  <w:tcW w:w="944" w:type="dxa"/>
                  <w:tcBorders>
                    <w:right w:val="nil"/>
                  </w:tcBorders>
                  <w:vAlign w:val="center"/>
                </w:tcPr>
                <w:p>
                  <w:pPr>
                    <w:adjustRightInd w:val="0"/>
                    <w:snapToGrid w:val="0"/>
                    <w:jc w:val="center"/>
                    <w:rPr>
                      <w:sz w:val="18"/>
                      <w:szCs w:val="18"/>
                    </w:rPr>
                  </w:pPr>
                  <w:r>
                    <w:rPr>
                      <w:rFonts w:hint="eastAsia"/>
                      <w:sz w:val="18"/>
                      <w:szCs w:val="18"/>
                    </w:rPr>
                    <w:t>3.12</w:t>
                  </w:r>
                </w:p>
              </w:tc>
              <w:tc>
                <w:tcPr>
                  <w:tcW w:w="1010" w:type="dxa"/>
                  <w:tcBorders>
                    <w:right w:val="nil"/>
                  </w:tcBorders>
                  <w:vAlign w:val="center"/>
                </w:tcPr>
                <w:p>
                  <w:pPr>
                    <w:adjustRightInd w:val="0"/>
                    <w:snapToGrid w:val="0"/>
                    <w:jc w:val="center"/>
                    <w:rPr>
                      <w:sz w:val="18"/>
                      <w:szCs w:val="18"/>
                    </w:rPr>
                  </w:pPr>
                  <w:r>
                    <w:rPr>
                      <w:sz w:val="18"/>
                      <w:szCs w:val="18"/>
                    </w:rPr>
                    <w:t>/</w:t>
                  </w:r>
                </w:p>
              </w:tc>
              <w:tc>
                <w:tcPr>
                  <w:tcW w:w="1161" w:type="dxa"/>
                  <w:tcBorders>
                    <w:right w:val="nil"/>
                  </w:tcBorders>
                  <w:vAlign w:val="center"/>
                </w:tcPr>
                <w:p>
                  <w:pPr>
                    <w:adjustRightInd w:val="0"/>
                    <w:snapToGrid w:val="0"/>
                    <w:jc w:val="center"/>
                    <w:rPr>
                      <w:sz w:val="18"/>
                      <w:szCs w:val="18"/>
                    </w:rPr>
                  </w:pPr>
                  <w:r>
                    <w:rPr>
                      <w:sz w:val="18"/>
                      <w:szCs w:val="18"/>
                    </w:rPr>
                    <w:t>/</w:t>
                  </w:r>
                </w:p>
              </w:tc>
              <w:tc>
                <w:tcPr>
                  <w:tcW w:w="3718" w:type="dxa"/>
                  <w:tcBorders>
                    <w:right w:val="nil"/>
                  </w:tcBorders>
                  <w:vAlign w:val="center"/>
                </w:tcPr>
                <w:p>
                  <w:pPr>
                    <w:adjustRightInd w:val="0"/>
                    <w:snapToGrid w:val="0"/>
                    <w:jc w:val="center"/>
                    <w:rPr>
                      <w:sz w:val="18"/>
                      <w:szCs w:val="18"/>
                    </w:rPr>
                  </w:pP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07" w:type="dxa"/>
                  <w:gridSpan w:val="6"/>
                  <w:tcBorders>
                    <w:left w:val="nil"/>
                    <w:bottom w:val="single" w:color="auto" w:sz="12" w:space="0"/>
                    <w:right w:val="nil"/>
                  </w:tcBorders>
                  <w:vAlign w:val="center"/>
                </w:tcPr>
                <w:p>
                  <w:pPr>
                    <w:adjustRightInd w:val="0"/>
                    <w:snapToGrid w:val="0"/>
                    <w:rPr>
                      <w:sz w:val="18"/>
                      <w:szCs w:val="18"/>
                      <w:u w:val="single"/>
                    </w:rPr>
                  </w:pPr>
                  <w:r>
                    <w:rPr>
                      <w:sz w:val="18"/>
                      <w:szCs w:val="18"/>
                      <w:u w:val="single"/>
                    </w:rPr>
                    <w:t>注：①本项目运行100天，灰渣产生速率约为0.0</w:t>
                  </w:r>
                  <w:r>
                    <w:rPr>
                      <w:rFonts w:hint="eastAsia"/>
                      <w:sz w:val="18"/>
                      <w:szCs w:val="18"/>
                      <w:u w:val="single"/>
                    </w:rPr>
                    <w:t>196</w:t>
                  </w:r>
                  <w:r>
                    <w:rPr>
                      <w:sz w:val="18"/>
                      <w:szCs w:val="18"/>
                      <w:u w:val="single"/>
                    </w:rPr>
                    <w:t>t/d。综合考虑清运周期（约每2个月清运一次），灰渣暂存区最大暂存量约</w:t>
                  </w:r>
                  <w:r>
                    <w:rPr>
                      <w:rFonts w:hint="eastAsia"/>
                      <w:sz w:val="18"/>
                      <w:szCs w:val="18"/>
                      <w:u w:val="single"/>
                    </w:rPr>
                    <w:t>1.2</w:t>
                  </w:r>
                  <w:r>
                    <w:rPr>
                      <w:sz w:val="18"/>
                      <w:szCs w:val="18"/>
                      <w:u w:val="single"/>
                    </w:rPr>
                    <w:t>t（约</w:t>
                  </w:r>
                  <w:r>
                    <w:rPr>
                      <w:rFonts w:hint="eastAsia"/>
                      <w:sz w:val="18"/>
                      <w:szCs w:val="18"/>
                      <w:u w:val="single"/>
                    </w:rPr>
                    <w:t>24</w:t>
                  </w:r>
                  <w:r>
                    <w:rPr>
                      <w:sz w:val="18"/>
                      <w:szCs w:val="18"/>
                      <w:u w:val="single"/>
                    </w:rPr>
                    <w:t>袋，每袋50kg），暂存区面积5m</w:t>
                  </w:r>
                  <w:r>
                    <w:rPr>
                      <w:sz w:val="18"/>
                      <w:szCs w:val="18"/>
                      <w:u w:val="single"/>
                      <w:vertAlign w:val="superscript"/>
                    </w:rPr>
                    <w:t>2</w:t>
                  </w:r>
                  <w:r>
                    <w:rPr>
                      <w:sz w:val="18"/>
                      <w:szCs w:val="18"/>
                      <w:u w:val="single"/>
                    </w:rPr>
                    <w:t>可满足暂存需求。</w:t>
                  </w:r>
                </w:p>
                <w:p>
                  <w:pPr>
                    <w:adjustRightInd w:val="0"/>
                    <w:snapToGrid w:val="0"/>
                    <w:ind w:firstLine="360" w:firstLineChars="200"/>
                    <w:rPr>
                      <w:sz w:val="18"/>
                      <w:szCs w:val="18"/>
                      <w:u w:val="single"/>
                    </w:rPr>
                  </w:pPr>
                  <w:r>
                    <w:rPr>
                      <w:sz w:val="18"/>
                      <w:szCs w:val="18"/>
                      <w:u w:val="single"/>
                    </w:rPr>
                    <w:t>②含油废抹布产生量约0.01t/a，根据《国家危险废物名录（2025年版）》危险废物豁免管理清单，废弃的含油抹布、劳保用品（废物代码900-041-49）全部环节豁免，豁免条件为“混入生活垃圾”，豁免内容包括“全过程不按危险废物管理”。本项目含油废抹布产生量极少，可混入生活垃圾由环卫部门统一清运处置，但仍建议在厂区内分类收集后按危险废物管理要求暂存，最终混入生活垃圾处置，以降低环境风险。</w:t>
                  </w:r>
                </w:p>
              </w:tc>
            </w:tr>
          </w:tbl>
          <w:p>
            <w:pPr>
              <w:spacing w:line="360" w:lineRule="auto"/>
              <w:ind w:firstLine="420" w:firstLineChars="200"/>
              <w:jc w:val="left"/>
              <w:rPr>
                <w:u w:val="single"/>
              </w:rPr>
            </w:pPr>
            <w:r>
              <w:rPr>
                <w:u w:val="single"/>
              </w:rPr>
              <w:t>2、灰渣存贮方式及最大存贮量</w:t>
            </w:r>
          </w:p>
          <w:p>
            <w:pPr>
              <w:spacing w:line="360" w:lineRule="auto"/>
              <w:ind w:firstLine="420" w:firstLineChars="200"/>
              <w:jc w:val="left"/>
              <w:rPr>
                <w:u w:val="single"/>
              </w:rPr>
            </w:pPr>
            <w:r>
              <w:rPr>
                <w:u w:val="single"/>
              </w:rPr>
              <w:t>炉灰和除尘灰排出后立即采用专用防潮编织袋（内衬塑料薄膜）袋装，装袋时袋口与排料口紧密连接，装袋完成后及时封口，确保无扬尘逸散。袋装灰渣暂存于封闭锅炉房内的专用灰渣暂存区（面积约5m</w:t>
            </w:r>
            <w:r>
              <w:rPr>
                <w:u w:val="single"/>
                <w:vertAlign w:val="superscript"/>
              </w:rPr>
              <w:t>2</w:t>
            </w:r>
            <w:r>
              <w:rPr>
                <w:u w:val="single"/>
              </w:rPr>
              <w:t>），不设露天堆场，避免风力扬尘和雨水冲刷。暂存区地面硬化处理，灰渣袋码放整齐，码放高度不超过3层，定期清扫，保持环境整洁。</w:t>
            </w:r>
          </w:p>
          <w:p>
            <w:pPr>
              <w:spacing w:line="360" w:lineRule="auto"/>
              <w:ind w:firstLine="420" w:firstLineChars="200"/>
              <w:jc w:val="left"/>
              <w:rPr>
                <w:u w:val="single"/>
              </w:rPr>
            </w:pPr>
            <w:r>
              <w:rPr>
                <w:u w:val="single"/>
              </w:rPr>
              <w:t>本项目除尘灰及炉灰合计产生量约</w:t>
            </w:r>
            <w:r>
              <w:rPr>
                <w:rFonts w:hint="eastAsia"/>
                <w:u w:val="single"/>
              </w:rPr>
              <w:t>1.96</w:t>
            </w:r>
            <w:r>
              <w:rPr>
                <w:u w:val="single"/>
              </w:rPr>
              <w:t>t/a，年运行100天，灰渣产生速率约为0.0</w:t>
            </w:r>
            <w:r>
              <w:rPr>
                <w:rFonts w:hint="eastAsia"/>
                <w:u w:val="single"/>
              </w:rPr>
              <w:t>196</w:t>
            </w:r>
            <w:r>
              <w:rPr>
                <w:u w:val="single"/>
              </w:rPr>
              <w:t>t/d。综合考虑灰渣外运周期（企业目前约每2个月清运一次），灰渣暂存区最大暂存量约</w:t>
            </w:r>
            <w:r>
              <w:rPr>
                <w:rFonts w:hint="eastAsia"/>
                <w:u w:val="single"/>
              </w:rPr>
              <w:t>1.2</w:t>
            </w:r>
            <w:r>
              <w:rPr>
                <w:u w:val="single"/>
              </w:rPr>
              <w:t>t（约</w:t>
            </w:r>
            <w:r>
              <w:rPr>
                <w:rFonts w:hint="eastAsia"/>
                <w:u w:val="single"/>
              </w:rPr>
              <w:t>24</w:t>
            </w:r>
            <w:r>
              <w:rPr>
                <w:u w:val="single"/>
              </w:rPr>
              <w:t>袋，每袋50kg），现有灰渣暂存区（5m</w:t>
            </w:r>
            <w:r>
              <w:rPr>
                <w:u w:val="single"/>
                <w:vertAlign w:val="superscript"/>
              </w:rPr>
              <w:t>2</w:t>
            </w:r>
            <w:r>
              <w:rPr>
                <w:u w:val="single"/>
              </w:rPr>
              <w:t>，可码放约80袋）可满足暂存需求。</w:t>
            </w:r>
          </w:p>
          <w:p>
            <w:pPr>
              <w:spacing w:line="360" w:lineRule="auto"/>
              <w:ind w:firstLine="420" w:firstLineChars="200"/>
              <w:jc w:val="left"/>
              <w:rPr>
                <w:u w:val="single"/>
              </w:rPr>
            </w:pPr>
            <w:r>
              <w:rPr>
                <w:u w:val="single"/>
              </w:rPr>
              <w:t>3、废导热油存贮方式及分区存贮要求</w:t>
            </w:r>
          </w:p>
          <w:p>
            <w:pPr>
              <w:spacing w:line="360" w:lineRule="auto"/>
              <w:ind w:firstLine="420" w:firstLineChars="200"/>
              <w:jc w:val="left"/>
              <w:rPr>
                <w:u w:val="single"/>
              </w:rPr>
            </w:pPr>
            <w:r>
              <w:rPr>
                <w:u w:val="single"/>
              </w:rPr>
              <w:t>（1）存贮方式</w:t>
            </w:r>
          </w:p>
          <w:p>
            <w:pPr>
              <w:spacing w:line="360" w:lineRule="auto"/>
              <w:ind w:firstLine="420" w:firstLineChars="200"/>
              <w:jc w:val="left"/>
              <w:rPr>
                <w:u w:val="single"/>
              </w:rPr>
            </w:pPr>
            <w:r>
              <w:rPr>
                <w:u w:val="single"/>
              </w:rPr>
              <w:t>废导热油更换时采用专用200L闭口铁桶密闭收集，装桶时容器顶部与液体表面之间保留100mm以上空间，防止受热膨胀溢出。桶体完整无损，桶盖密封良好，桶体表面张贴符合《危险废物识别标志设置技术规范》（HJ1276-2022）要求的危险废物标签，注明废物名称、代码、主要成分、危险特性、产生日期、重量、产生单位等信息。</w:t>
            </w:r>
          </w:p>
          <w:p>
            <w:pPr>
              <w:spacing w:line="360" w:lineRule="auto"/>
              <w:ind w:firstLine="420" w:firstLineChars="200"/>
              <w:jc w:val="left"/>
              <w:rPr>
                <w:u w:val="single"/>
              </w:rPr>
            </w:pPr>
            <w:r>
              <w:rPr>
                <w:u w:val="single"/>
              </w:rPr>
              <w:t>（2）分区存贮要求</w:t>
            </w:r>
          </w:p>
          <w:p>
            <w:pPr>
              <w:spacing w:line="360" w:lineRule="auto"/>
              <w:ind w:firstLine="420" w:firstLineChars="200"/>
              <w:jc w:val="left"/>
              <w:rPr>
                <w:u w:val="single"/>
              </w:rPr>
            </w:pPr>
            <w:r>
              <w:rPr>
                <w:u w:val="single"/>
              </w:rPr>
              <w:t>根据《危险废物贮存污染控制标准》（GB18597-2023）要求，不同类别、特性的危险废物应分区存放，并有明显的分区标志，分区之间可通过隔板、隔墙等方式进行隔离。本项目废导热油（HW08液态易燃物）、废机油（HW08液态易燃物）、废油桶（HW08固态沾染物）及含油废抹布（HW49其他废物）应分类分区贮存，避免禁忌反应。</w:t>
            </w:r>
          </w:p>
          <w:p>
            <w:pPr>
              <w:spacing w:line="360" w:lineRule="auto"/>
              <w:ind w:firstLine="420" w:firstLineChars="200"/>
              <w:jc w:val="left"/>
              <w:rPr>
                <w:u w:val="single"/>
              </w:rPr>
            </w:pPr>
            <w:r>
              <w:rPr>
                <w:u w:val="single"/>
              </w:rPr>
              <w:t>危废暂存间内液态危废贮存分区外围设置堵截泄漏的围堰或防漏裙脚，围堰有效容积不应低于对应贮存区域最大液态废物容器容积或液态废物总储量1/10（二者取较大值）。本项目单桶废导热油容积为0.2m</w:t>
            </w:r>
            <w:r>
              <w:rPr>
                <w:u w:val="single"/>
                <w:vertAlign w:val="superscript"/>
              </w:rPr>
              <w:t>3</w:t>
            </w:r>
            <w:r>
              <w:rPr>
                <w:u w:val="single"/>
              </w:rPr>
              <w:t>，废机油单桶容积约0.05m</w:t>
            </w:r>
            <w:r>
              <w:rPr>
                <w:u w:val="single"/>
                <w:vertAlign w:val="superscript"/>
              </w:rPr>
              <w:t>3</w:t>
            </w:r>
            <w:r>
              <w:rPr>
                <w:u w:val="single"/>
              </w:rPr>
              <w:t>，实际设计围堰有效容积≥0.5m</w:t>
            </w:r>
            <w:r>
              <w:rPr>
                <w:u w:val="single"/>
                <w:vertAlign w:val="superscript"/>
              </w:rPr>
              <w:t>3</w:t>
            </w:r>
            <w:r>
              <w:rPr>
                <w:u w:val="single"/>
              </w:rPr>
              <w:t>，满足标准要求。</w:t>
            </w:r>
          </w:p>
          <w:p>
            <w:pPr>
              <w:spacing w:line="360" w:lineRule="auto"/>
              <w:ind w:firstLine="420" w:firstLineChars="200"/>
              <w:jc w:val="left"/>
              <w:rPr>
                <w:u w:val="single"/>
              </w:rPr>
            </w:pPr>
            <w:r>
              <w:rPr>
                <w:u w:val="single"/>
              </w:rPr>
              <w:t>4、危废暂存间依托可行性分析</w:t>
            </w:r>
          </w:p>
          <w:p>
            <w:pPr>
              <w:spacing w:line="360" w:lineRule="auto"/>
              <w:ind w:firstLine="420" w:firstLineChars="200"/>
              <w:jc w:val="left"/>
              <w:rPr>
                <w:u w:val="single"/>
              </w:rPr>
            </w:pPr>
            <w:r>
              <w:rPr>
                <w:u w:val="single"/>
              </w:rPr>
              <w:t>本项目废导热油产生量为1.00t/a，废机油产生量为0.03t/a，含油废抹布产生量约0.01t/a，废油桶产生量约0.02t/a，产生/更换时分类收集后暂存于厂区现有危废暂存间，定期委托吉林省高深环保科技有限公司处置（含油废抹布按豁免管理要求混入生活垃圾处置）。</w:t>
            </w:r>
          </w:p>
          <w:p>
            <w:pPr>
              <w:spacing w:line="360" w:lineRule="auto"/>
              <w:ind w:firstLine="420" w:firstLineChars="200"/>
              <w:jc w:val="left"/>
              <w:rPr>
                <w:u w:val="single"/>
              </w:rPr>
            </w:pPr>
            <w:r>
              <w:rPr>
                <w:u w:val="single"/>
              </w:rPr>
              <w:t>（1）危废暂存间基本情况</w:t>
            </w:r>
          </w:p>
          <w:p>
            <w:pPr>
              <w:spacing w:line="360" w:lineRule="auto"/>
              <w:ind w:firstLine="420" w:firstLineChars="200"/>
              <w:jc w:val="left"/>
              <w:rPr>
                <w:u w:val="single"/>
              </w:rPr>
            </w:pPr>
            <w:r>
              <w:rPr>
                <w:u w:val="single"/>
              </w:rPr>
              <w:t>厂区现有危废暂存间位于厂区北侧，建筑面积25m</w:t>
            </w:r>
            <w:r>
              <w:rPr>
                <w:u w:val="single"/>
                <w:vertAlign w:val="superscript"/>
              </w:rPr>
              <w:t>2</w:t>
            </w:r>
            <w:r>
              <w:rPr>
                <w:u w:val="single"/>
              </w:rPr>
              <w:t>，按照《危险废物贮存污染控制标准》（GB18597-2023）要求建设，已采取重点防渗处理（渗透系数≤1.0×10</w:t>
            </w:r>
            <w:r>
              <w:rPr>
                <w:u w:val="single"/>
                <w:vertAlign w:val="superscript"/>
              </w:rPr>
              <w:t>-10</w:t>
            </w:r>
            <w:r>
              <w:rPr>
                <w:u w:val="single"/>
              </w:rPr>
              <w:t>cm/s），具备防风、防晒、防雨、防漏、防渗、防腐等“六防”措施，设有明显的危险废物标识标志，已建立完善的危废管理台账及转移联单制度。该危废暂存间已随全厂项目通过竣工环保验收，并纳入企业现有排污许可及突发环境事件应急预案管理体系。</w:t>
            </w:r>
          </w:p>
          <w:p>
            <w:pPr>
              <w:spacing w:line="360" w:lineRule="auto"/>
              <w:ind w:firstLine="420" w:firstLineChars="200"/>
              <w:jc w:val="left"/>
              <w:rPr>
                <w:u w:val="single"/>
              </w:rPr>
            </w:pPr>
            <w:r>
              <w:rPr>
                <w:u w:val="single"/>
              </w:rPr>
              <w:t>（2）依托可行性分析</w:t>
            </w:r>
          </w:p>
          <w:p>
            <w:pPr>
              <w:spacing w:line="360" w:lineRule="auto"/>
              <w:ind w:firstLine="420" w:firstLineChars="200"/>
              <w:jc w:val="left"/>
              <w:rPr>
                <w:u w:val="single"/>
              </w:rPr>
            </w:pPr>
            <w:r>
              <w:rPr>
                <w:u w:val="single"/>
              </w:rPr>
              <w:t>①容量可行性：现有危废暂存间面积为25m</w:t>
            </w:r>
            <w:r>
              <w:rPr>
                <w:u w:val="single"/>
                <w:vertAlign w:val="superscript"/>
              </w:rPr>
              <w:t>2</w:t>
            </w:r>
            <w:r>
              <w:rPr>
                <w:u w:val="single"/>
              </w:rPr>
              <w:t>，设计贮存能力约15t。经核算，全厂现有危废（废漆渣、喷漆废液、废油漆桶、废活性炭等）定期转运周期内最大暂存量约6~8t，剩余贮存能力约7~9t。本项目废导热油最大暂存量约1.00t（采用200L闭口铁桶，约需5~6桶，占地面积约2~3m</w:t>
            </w:r>
            <w:r>
              <w:rPr>
                <w:u w:val="single"/>
                <w:vertAlign w:val="superscript"/>
              </w:rPr>
              <w:t>2</w:t>
            </w:r>
            <w:r>
              <w:rPr>
                <w:u w:val="single"/>
              </w:rPr>
              <w:t>），废机油最大暂存量约0.03t（约1~2桶，占地面积约0.5m</w:t>
            </w:r>
            <w:r>
              <w:rPr>
                <w:u w:val="single"/>
                <w:vertAlign w:val="superscript"/>
              </w:rPr>
              <w:t>2</w:t>
            </w:r>
            <w:r>
              <w:rPr>
                <w:u w:val="single"/>
              </w:rPr>
              <w:t>），含油废抹布及废油桶占地面积约0.5m</w:t>
            </w:r>
            <w:r>
              <w:rPr>
                <w:u w:val="single"/>
                <w:vertAlign w:val="superscript"/>
              </w:rPr>
              <w:t>2</w:t>
            </w:r>
            <w:r>
              <w:rPr>
                <w:u w:val="single"/>
              </w:rPr>
              <w:t>，现有危废间剩余空间可满足本项目新增危废的暂存需求。</w:t>
            </w:r>
          </w:p>
          <w:p>
            <w:pPr>
              <w:spacing w:line="360" w:lineRule="auto"/>
              <w:ind w:firstLine="420" w:firstLineChars="200"/>
              <w:jc w:val="left"/>
              <w:rPr>
                <w:u w:val="single"/>
              </w:rPr>
            </w:pPr>
            <w:r>
              <w:rPr>
                <w:u w:val="single"/>
              </w:rPr>
              <w:t>②类别相容性分析：本项目产生的废导热油、废机油、废油桶属于HW08废矿物油与含矿物油废物（废物代码分别为900-249-08、900-214-08、900-249-08），含油废抹布属于HW49其他废物（废物代码900-041-49），与现有危废（HW12染料涂料废物、HW49其他废物等）应分类分区贮存。其中HW08与HW12、HW49不存在禁忌反应，分区贮存满足相容性要求。</w:t>
            </w:r>
          </w:p>
          <w:p>
            <w:pPr>
              <w:spacing w:line="360" w:lineRule="auto"/>
              <w:ind w:firstLine="420" w:firstLineChars="200"/>
              <w:jc w:val="left"/>
              <w:rPr>
                <w:u w:val="single"/>
              </w:rPr>
            </w:pPr>
            <w:r>
              <w:rPr>
                <w:u w:val="single"/>
              </w:rPr>
              <w:t>③管理能力依托：企业已建立完善的危险废物管理制度，已与吉林省高深环保科技有限公司签订危废处置合同，定期清运，危废暂存时间不超过一年。现有管理人员熟悉危废管理流程，具备台账管理、转移联单执行等能力，可依托现有管理体系对本项目废导热油、废机油及废油桶实施规范化管理。</w:t>
            </w:r>
          </w:p>
          <w:p>
            <w:pPr>
              <w:spacing w:line="360" w:lineRule="auto"/>
              <w:ind w:firstLine="420" w:firstLineChars="200"/>
              <w:jc w:val="left"/>
              <w:rPr>
                <w:u w:val="single"/>
              </w:rPr>
            </w:pPr>
            <w:r>
              <w:rPr>
                <w:u w:val="single"/>
              </w:rPr>
              <w:t>（3）依托结论</w:t>
            </w:r>
          </w:p>
          <w:p>
            <w:pPr>
              <w:spacing w:line="360" w:lineRule="auto"/>
              <w:ind w:firstLine="420" w:firstLineChars="200"/>
              <w:jc w:val="left"/>
            </w:pPr>
            <w:r>
              <w:rPr>
                <w:u w:val="single"/>
              </w:rPr>
              <w:t>综上所述，本项目废导热油、废机油、废油桶及含油废抹布依托厂区现有25m</w:t>
            </w:r>
            <w:r>
              <w:rPr>
                <w:u w:val="single"/>
                <w:vertAlign w:val="superscript"/>
              </w:rPr>
              <w:t>2</w:t>
            </w:r>
            <w:r>
              <w:rPr>
                <w:u w:val="single"/>
              </w:rPr>
              <w:t>危废暂存间暂存，在容量、类别相容性、管理能力等方面均具备可行性，满足《危险废物贮存污染控制标准》（GB18597-2023）及《危险废物转移管理办法》等相关要求。</w:t>
            </w:r>
          </w:p>
          <w:p>
            <w:pPr>
              <w:spacing w:line="360" w:lineRule="auto"/>
              <w:ind w:firstLine="420" w:firstLineChars="200"/>
              <w:jc w:val="left"/>
              <w:rPr>
                <w:u w:val="single"/>
              </w:rPr>
            </w:pPr>
            <w:r>
              <w:rPr>
                <w:u w:val="single"/>
              </w:rPr>
              <w:t>5、监测及固体废物管理要求</w:t>
            </w:r>
          </w:p>
          <w:p>
            <w:pPr>
              <w:spacing w:line="360" w:lineRule="auto"/>
              <w:ind w:firstLine="420" w:firstLineChars="200"/>
              <w:jc w:val="left"/>
              <w:rPr>
                <w:u w:val="single"/>
              </w:rPr>
            </w:pPr>
            <w:r>
              <w:rPr>
                <w:u w:val="single"/>
              </w:rPr>
              <w:t>根据《排污许可证申请与核发技术规范 锅炉》（HJ953-2018）中的相关内容，未对固体废物排放情况做出自行监测要求，故本项目不制定固体废物监测方案，但须在日常生产管理过程中记录固体废物产生量、处置量及去向和贮存量，危险废物管理应严格执行危险废物转移联单制度，建立危险废物管理台账，如实记录废导热油、废机油、废油桶及含油废抹布的产生、贮存、转移和处置情况，台账保存期限不少于5年。</w:t>
            </w:r>
          </w:p>
          <w:p>
            <w:pPr>
              <w:spacing w:line="360" w:lineRule="auto"/>
              <w:ind w:firstLine="420" w:firstLineChars="200"/>
              <w:jc w:val="left"/>
            </w:pPr>
            <w:r>
              <w:t>五、地下水、土壤影响分析</w:t>
            </w:r>
          </w:p>
          <w:p>
            <w:pPr>
              <w:spacing w:line="360" w:lineRule="auto"/>
              <w:ind w:firstLine="420" w:firstLineChars="200"/>
              <w:jc w:val="left"/>
            </w:pPr>
            <w:r>
              <w:t>本项目正常运营情况下，对土壤和地下水环境基本无影响。本项目只有一小部分粉尘排入大气中，并且不含金属元素，影响范围较小，不会对地下水、土壤产生明显影响。本项目源头控制主要为对有组织废气设烟气净化装置处理，废气经处理后高空排放，通过采取以上措施，能够最大限度减少粉尘的排放，可有效防治粉尘对地下水和土壤环境的污染。</w:t>
            </w:r>
          </w:p>
          <w:p>
            <w:pPr>
              <w:spacing w:line="360" w:lineRule="auto"/>
              <w:ind w:firstLine="420" w:firstLineChars="200"/>
              <w:jc w:val="left"/>
              <w:rPr>
                <w:u w:val="single"/>
              </w:rPr>
            </w:pPr>
            <w:r>
              <w:rPr>
                <w:u w:val="single"/>
              </w:rPr>
              <w:t>六、环境风险</w:t>
            </w:r>
          </w:p>
          <w:p>
            <w:pPr>
              <w:spacing w:line="360" w:lineRule="auto"/>
              <w:ind w:firstLine="420" w:firstLineChars="200"/>
              <w:jc w:val="left"/>
              <w:rPr>
                <w:u w:val="single"/>
              </w:rPr>
            </w:pPr>
            <w:r>
              <w:rPr>
                <w:u w:val="single"/>
              </w:rPr>
              <w:t>1、</w:t>
            </w:r>
            <w:r>
              <w:rPr>
                <w:rFonts w:hint="eastAsia"/>
                <w:u w:val="single"/>
              </w:rPr>
              <w:t>风险</w:t>
            </w:r>
            <w:r>
              <w:rPr>
                <w:u w:val="single"/>
              </w:rPr>
              <w:t>物质</w:t>
            </w:r>
          </w:p>
          <w:p>
            <w:pPr>
              <w:spacing w:line="360" w:lineRule="auto"/>
              <w:ind w:firstLine="420" w:firstLineChars="200"/>
              <w:jc w:val="left"/>
              <w:rPr>
                <w:u w:val="single"/>
              </w:rPr>
            </w:pPr>
            <w:r>
              <w:rPr>
                <w:u w:val="single"/>
              </w:rPr>
              <w:t>本项目涉及的</w:t>
            </w:r>
            <w:r>
              <w:rPr>
                <w:rFonts w:hint="eastAsia"/>
                <w:u w:val="single"/>
              </w:rPr>
              <w:t>风险</w:t>
            </w:r>
            <w:r>
              <w:rPr>
                <w:u w:val="single"/>
              </w:rPr>
              <w:t>物质包括有机热载体液相炉循环系统中的在线导热油以及运行过程中产生的废导热油、废机油、含油废抹布、废油桶等危险废物，主要危险物质特性及存在量详见表32。</w:t>
            </w:r>
          </w:p>
          <w:p>
            <w:pPr>
              <w:snapToGrid w:val="0"/>
              <w:jc w:val="center"/>
              <w:rPr>
                <w:b/>
                <w:bCs/>
                <w:u w:val="single"/>
              </w:rPr>
            </w:pPr>
          </w:p>
          <w:p>
            <w:pPr>
              <w:snapToGrid w:val="0"/>
              <w:jc w:val="center"/>
              <w:rPr>
                <w:b/>
                <w:bCs/>
                <w:u w:val="single"/>
              </w:rPr>
            </w:pPr>
          </w:p>
          <w:p>
            <w:pPr>
              <w:snapToGrid w:val="0"/>
              <w:jc w:val="center"/>
              <w:rPr>
                <w:b/>
                <w:bCs/>
                <w:u w:val="single"/>
              </w:rPr>
            </w:pPr>
          </w:p>
          <w:p>
            <w:pPr>
              <w:snapToGrid w:val="0"/>
              <w:jc w:val="center"/>
              <w:rPr>
                <w:b/>
                <w:bCs/>
                <w:u w:val="single"/>
              </w:rPr>
            </w:pPr>
          </w:p>
          <w:p>
            <w:pPr>
              <w:snapToGrid w:val="0"/>
              <w:jc w:val="center"/>
              <w:rPr>
                <w:b/>
                <w:bCs/>
                <w:u w:val="single"/>
              </w:rPr>
            </w:pPr>
          </w:p>
          <w:p>
            <w:pPr>
              <w:snapToGrid w:val="0"/>
              <w:jc w:val="center"/>
              <w:rPr>
                <w:b/>
                <w:bCs/>
                <w:u w:val="single"/>
              </w:rPr>
            </w:pPr>
          </w:p>
          <w:p>
            <w:pPr>
              <w:snapToGrid w:val="0"/>
              <w:jc w:val="center"/>
              <w:rPr>
                <w:b/>
                <w:bCs/>
                <w:u w:val="single"/>
              </w:rPr>
            </w:pPr>
            <w:r>
              <w:rPr>
                <w:b/>
                <w:bCs/>
                <w:u w:val="single"/>
              </w:rPr>
              <w:t>表29  本项目风险物质一览表</w:t>
            </w:r>
          </w:p>
          <w:tbl>
            <w:tblPr>
              <w:tblStyle w:val="26"/>
              <w:tblW w:w="8499"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518"/>
              <w:gridCol w:w="1117"/>
              <w:gridCol w:w="1198"/>
              <w:gridCol w:w="1688"/>
              <w:gridCol w:w="989"/>
              <w:gridCol w:w="974"/>
              <w:gridCol w:w="517"/>
              <w:gridCol w:w="682"/>
              <w:gridCol w:w="816"/>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6" w:hRule="atLeast"/>
                <w:jc w:val="center"/>
              </w:trPr>
              <w:tc>
                <w:tcPr>
                  <w:tcW w:w="518" w:type="dxa"/>
                  <w:tcBorders>
                    <w:tl2br w:val="nil"/>
                    <w:tr2bl w:val="nil"/>
                  </w:tcBorders>
                  <w:vAlign w:val="center"/>
                </w:tcPr>
                <w:p>
                  <w:pPr>
                    <w:adjustRightInd w:val="0"/>
                    <w:snapToGrid w:val="0"/>
                    <w:jc w:val="center"/>
                    <w:rPr>
                      <w:sz w:val="15"/>
                      <w:szCs w:val="15"/>
                      <w:u w:val="single"/>
                    </w:rPr>
                  </w:pPr>
                  <w:r>
                    <w:rPr>
                      <w:sz w:val="15"/>
                      <w:szCs w:val="15"/>
                      <w:u w:val="single"/>
                    </w:rPr>
                    <w:t>序号</w:t>
                  </w:r>
                </w:p>
              </w:tc>
              <w:tc>
                <w:tcPr>
                  <w:tcW w:w="1117" w:type="dxa"/>
                  <w:tcBorders>
                    <w:tl2br w:val="nil"/>
                    <w:tr2bl w:val="nil"/>
                  </w:tcBorders>
                  <w:vAlign w:val="center"/>
                </w:tcPr>
                <w:p>
                  <w:pPr>
                    <w:adjustRightInd w:val="0"/>
                    <w:snapToGrid w:val="0"/>
                    <w:jc w:val="center"/>
                    <w:rPr>
                      <w:sz w:val="15"/>
                      <w:szCs w:val="15"/>
                      <w:u w:val="single"/>
                    </w:rPr>
                  </w:pPr>
                  <w:r>
                    <w:rPr>
                      <w:sz w:val="15"/>
                      <w:szCs w:val="15"/>
                      <w:u w:val="single"/>
                    </w:rPr>
                    <w:t>危险物质名称</w:t>
                  </w:r>
                </w:p>
              </w:tc>
              <w:tc>
                <w:tcPr>
                  <w:tcW w:w="1198" w:type="dxa"/>
                  <w:tcBorders>
                    <w:tl2br w:val="nil"/>
                    <w:tr2bl w:val="nil"/>
                  </w:tcBorders>
                  <w:vAlign w:val="center"/>
                </w:tcPr>
                <w:p>
                  <w:pPr>
                    <w:adjustRightInd w:val="0"/>
                    <w:snapToGrid w:val="0"/>
                    <w:jc w:val="center"/>
                    <w:rPr>
                      <w:sz w:val="15"/>
                      <w:szCs w:val="15"/>
                      <w:u w:val="single"/>
                    </w:rPr>
                  </w:pPr>
                  <w:r>
                    <w:rPr>
                      <w:sz w:val="15"/>
                      <w:szCs w:val="15"/>
                      <w:u w:val="single"/>
                    </w:rPr>
                    <w:t>主要成分</w:t>
                  </w:r>
                </w:p>
              </w:tc>
              <w:tc>
                <w:tcPr>
                  <w:tcW w:w="1688" w:type="dxa"/>
                  <w:tcBorders>
                    <w:tl2br w:val="nil"/>
                    <w:tr2bl w:val="nil"/>
                  </w:tcBorders>
                  <w:vAlign w:val="center"/>
                </w:tcPr>
                <w:p>
                  <w:pPr>
                    <w:adjustRightInd w:val="0"/>
                    <w:snapToGrid w:val="0"/>
                    <w:jc w:val="center"/>
                    <w:rPr>
                      <w:sz w:val="15"/>
                      <w:szCs w:val="15"/>
                      <w:u w:val="single"/>
                    </w:rPr>
                  </w:pPr>
                  <w:r>
                    <w:rPr>
                      <w:sz w:val="15"/>
                      <w:szCs w:val="15"/>
                      <w:u w:val="single"/>
                    </w:rPr>
                    <w:t>存在位置</w:t>
                  </w:r>
                </w:p>
              </w:tc>
              <w:tc>
                <w:tcPr>
                  <w:tcW w:w="989" w:type="dxa"/>
                  <w:tcBorders>
                    <w:tl2br w:val="nil"/>
                    <w:tr2bl w:val="nil"/>
                  </w:tcBorders>
                  <w:vAlign w:val="center"/>
                </w:tcPr>
                <w:p>
                  <w:pPr>
                    <w:adjustRightInd w:val="0"/>
                    <w:snapToGrid w:val="0"/>
                    <w:jc w:val="center"/>
                    <w:rPr>
                      <w:sz w:val="15"/>
                      <w:szCs w:val="15"/>
                      <w:u w:val="single"/>
                    </w:rPr>
                  </w:pPr>
                  <w:r>
                    <w:rPr>
                      <w:sz w:val="15"/>
                      <w:szCs w:val="15"/>
                      <w:u w:val="single"/>
                    </w:rPr>
                    <w:t>最大存在量</w:t>
                  </w:r>
                </w:p>
                <w:p>
                  <w:pPr>
                    <w:adjustRightInd w:val="0"/>
                    <w:snapToGrid w:val="0"/>
                    <w:jc w:val="center"/>
                    <w:rPr>
                      <w:sz w:val="15"/>
                      <w:szCs w:val="15"/>
                      <w:u w:val="single"/>
                    </w:rPr>
                  </w:pPr>
                  <w:r>
                    <w:rPr>
                      <w:sz w:val="15"/>
                      <w:szCs w:val="15"/>
                      <w:u w:val="single"/>
                    </w:rPr>
                    <w:t>（t）</w:t>
                  </w:r>
                </w:p>
              </w:tc>
              <w:tc>
                <w:tcPr>
                  <w:tcW w:w="974" w:type="dxa"/>
                  <w:tcBorders>
                    <w:tl2br w:val="nil"/>
                    <w:tr2bl w:val="nil"/>
                  </w:tcBorders>
                  <w:vAlign w:val="center"/>
                </w:tcPr>
                <w:p>
                  <w:pPr>
                    <w:adjustRightInd w:val="0"/>
                    <w:snapToGrid w:val="0"/>
                    <w:jc w:val="center"/>
                    <w:rPr>
                      <w:sz w:val="15"/>
                      <w:szCs w:val="15"/>
                      <w:u w:val="single"/>
                    </w:rPr>
                  </w:pPr>
                  <w:r>
                    <w:rPr>
                      <w:sz w:val="15"/>
                      <w:szCs w:val="15"/>
                      <w:u w:val="single"/>
                    </w:rPr>
                    <w:t>形态</w:t>
                  </w:r>
                </w:p>
              </w:tc>
              <w:tc>
                <w:tcPr>
                  <w:tcW w:w="517" w:type="dxa"/>
                  <w:tcBorders>
                    <w:tl2br w:val="nil"/>
                    <w:tr2bl w:val="nil"/>
                  </w:tcBorders>
                  <w:vAlign w:val="center"/>
                </w:tcPr>
                <w:p>
                  <w:pPr>
                    <w:adjustRightInd w:val="0"/>
                    <w:snapToGrid w:val="0"/>
                    <w:jc w:val="center"/>
                    <w:rPr>
                      <w:sz w:val="15"/>
                      <w:szCs w:val="15"/>
                      <w:u w:val="single"/>
                    </w:rPr>
                  </w:pPr>
                  <w:r>
                    <w:rPr>
                      <w:sz w:val="15"/>
                      <w:szCs w:val="15"/>
                      <w:u w:val="single"/>
                    </w:rPr>
                    <w:t>危险特性</w:t>
                  </w:r>
                </w:p>
              </w:tc>
              <w:tc>
                <w:tcPr>
                  <w:tcW w:w="682" w:type="dxa"/>
                  <w:tcBorders>
                    <w:tl2br w:val="nil"/>
                    <w:tr2bl w:val="nil"/>
                  </w:tcBorders>
                  <w:vAlign w:val="center"/>
                </w:tcPr>
                <w:p>
                  <w:pPr>
                    <w:adjustRightInd w:val="0"/>
                    <w:snapToGrid w:val="0"/>
                    <w:jc w:val="center"/>
                    <w:rPr>
                      <w:sz w:val="15"/>
                      <w:szCs w:val="15"/>
                      <w:u w:val="single"/>
                    </w:rPr>
                  </w:pPr>
                  <w:r>
                    <w:rPr>
                      <w:sz w:val="15"/>
                      <w:szCs w:val="15"/>
                      <w:u w:val="single"/>
                    </w:rPr>
                    <w:t>临界量（t）</w:t>
                  </w:r>
                </w:p>
              </w:tc>
              <w:tc>
                <w:tcPr>
                  <w:tcW w:w="816" w:type="dxa"/>
                  <w:tcBorders>
                    <w:tl2br w:val="nil"/>
                    <w:tr2bl w:val="nil"/>
                  </w:tcBorders>
                  <w:vAlign w:val="center"/>
                </w:tcPr>
                <w:p>
                  <w:pPr>
                    <w:adjustRightInd w:val="0"/>
                    <w:snapToGrid w:val="0"/>
                    <w:jc w:val="center"/>
                    <w:rPr>
                      <w:sz w:val="15"/>
                      <w:szCs w:val="15"/>
                      <w:u w:val="single"/>
                    </w:rPr>
                  </w:pPr>
                  <w:r>
                    <w:rPr>
                      <w:sz w:val="15"/>
                      <w:szCs w:val="15"/>
                      <w:u w:val="single"/>
                    </w:rPr>
                    <w:t>Q值</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518" w:type="dxa"/>
                  <w:tcBorders>
                    <w:tl2br w:val="nil"/>
                    <w:tr2bl w:val="nil"/>
                  </w:tcBorders>
                  <w:vAlign w:val="center"/>
                </w:tcPr>
                <w:p>
                  <w:pPr>
                    <w:adjustRightInd w:val="0"/>
                    <w:snapToGrid w:val="0"/>
                    <w:jc w:val="center"/>
                    <w:rPr>
                      <w:sz w:val="15"/>
                      <w:szCs w:val="15"/>
                      <w:u w:val="single"/>
                    </w:rPr>
                  </w:pPr>
                  <w:r>
                    <w:rPr>
                      <w:sz w:val="15"/>
                      <w:szCs w:val="15"/>
                      <w:u w:val="single"/>
                    </w:rPr>
                    <w:t>1</w:t>
                  </w:r>
                </w:p>
              </w:tc>
              <w:tc>
                <w:tcPr>
                  <w:tcW w:w="1117" w:type="dxa"/>
                  <w:tcBorders>
                    <w:tl2br w:val="nil"/>
                    <w:tr2bl w:val="nil"/>
                  </w:tcBorders>
                  <w:vAlign w:val="center"/>
                </w:tcPr>
                <w:p>
                  <w:pPr>
                    <w:adjustRightInd w:val="0"/>
                    <w:snapToGrid w:val="0"/>
                    <w:jc w:val="center"/>
                    <w:rPr>
                      <w:sz w:val="15"/>
                      <w:szCs w:val="15"/>
                      <w:u w:val="single"/>
                    </w:rPr>
                  </w:pPr>
                  <w:r>
                    <w:rPr>
                      <w:sz w:val="15"/>
                      <w:szCs w:val="15"/>
                      <w:u w:val="single"/>
                    </w:rPr>
                    <w:t>在线导热油</w:t>
                  </w:r>
                </w:p>
              </w:tc>
              <w:tc>
                <w:tcPr>
                  <w:tcW w:w="1198" w:type="dxa"/>
                  <w:tcBorders>
                    <w:tl2br w:val="nil"/>
                    <w:tr2bl w:val="nil"/>
                  </w:tcBorders>
                  <w:vAlign w:val="center"/>
                </w:tcPr>
                <w:p>
                  <w:pPr>
                    <w:adjustRightInd w:val="0"/>
                    <w:snapToGrid w:val="0"/>
                    <w:jc w:val="center"/>
                    <w:rPr>
                      <w:sz w:val="15"/>
                      <w:szCs w:val="15"/>
                      <w:u w:val="single"/>
                    </w:rPr>
                  </w:pPr>
                  <w:r>
                    <w:rPr>
                      <w:sz w:val="15"/>
                      <w:szCs w:val="15"/>
                      <w:u w:val="single"/>
                    </w:rPr>
                    <w:t>芳烃类、烷烃类混合物</w:t>
                  </w:r>
                </w:p>
              </w:tc>
              <w:tc>
                <w:tcPr>
                  <w:tcW w:w="1688" w:type="dxa"/>
                  <w:tcBorders>
                    <w:tl2br w:val="nil"/>
                    <w:tr2bl w:val="nil"/>
                  </w:tcBorders>
                  <w:vAlign w:val="center"/>
                </w:tcPr>
                <w:p>
                  <w:pPr>
                    <w:adjustRightInd w:val="0"/>
                    <w:snapToGrid w:val="0"/>
                    <w:jc w:val="center"/>
                    <w:rPr>
                      <w:sz w:val="15"/>
                      <w:szCs w:val="15"/>
                      <w:u w:val="single"/>
                    </w:rPr>
                  </w:pPr>
                  <w:r>
                    <w:rPr>
                      <w:sz w:val="15"/>
                      <w:szCs w:val="15"/>
                      <w:u w:val="single"/>
                    </w:rPr>
                    <w:t>锅炉盘管、循环管路、用热设备、高位膨胀槽</w:t>
                  </w:r>
                </w:p>
              </w:tc>
              <w:tc>
                <w:tcPr>
                  <w:tcW w:w="989" w:type="dxa"/>
                  <w:tcBorders>
                    <w:tl2br w:val="nil"/>
                    <w:tr2bl w:val="nil"/>
                  </w:tcBorders>
                  <w:vAlign w:val="center"/>
                </w:tcPr>
                <w:p>
                  <w:pPr>
                    <w:adjustRightInd w:val="0"/>
                    <w:snapToGrid w:val="0"/>
                    <w:jc w:val="center"/>
                    <w:rPr>
                      <w:sz w:val="15"/>
                      <w:szCs w:val="15"/>
                      <w:u w:val="single"/>
                    </w:rPr>
                  </w:pPr>
                  <w:r>
                    <w:rPr>
                      <w:sz w:val="15"/>
                      <w:szCs w:val="15"/>
                      <w:u w:val="single"/>
                    </w:rPr>
                    <w:t>2.00</w:t>
                  </w:r>
                </w:p>
              </w:tc>
              <w:tc>
                <w:tcPr>
                  <w:tcW w:w="974" w:type="dxa"/>
                  <w:tcBorders>
                    <w:tl2br w:val="nil"/>
                    <w:tr2bl w:val="nil"/>
                  </w:tcBorders>
                  <w:vAlign w:val="center"/>
                </w:tcPr>
                <w:p>
                  <w:pPr>
                    <w:adjustRightInd w:val="0"/>
                    <w:snapToGrid w:val="0"/>
                    <w:jc w:val="center"/>
                    <w:rPr>
                      <w:sz w:val="15"/>
                      <w:szCs w:val="15"/>
                      <w:u w:val="single"/>
                    </w:rPr>
                  </w:pPr>
                  <w:r>
                    <w:rPr>
                      <w:sz w:val="15"/>
                      <w:szCs w:val="15"/>
                      <w:u w:val="single"/>
                    </w:rPr>
                    <w:t>液态（高温约270℃）</w:t>
                  </w:r>
                </w:p>
              </w:tc>
              <w:tc>
                <w:tcPr>
                  <w:tcW w:w="517" w:type="dxa"/>
                  <w:tcBorders>
                    <w:tl2br w:val="nil"/>
                    <w:tr2bl w:val="nil"/>
                  </w:tcBorders>
                  <w:vAlign w:val="center"/>
                </w:tcPr>
                <w:p>
                  <w:pPr>
                    <w:adjustRightInd w:val="0"/>
                    <w:snapToGrid w:val="0"/>
                    <w:jc w:val="center"/>
                    <w:rPr>
                      <w:sz w:val="15"/>
                      <w:szCs w:val="15"/>
                      <w:u w:val="single"/>
                    </w:rPr>
                  </w:pPr>
                  <w:r>
                    <w:rPr>
                      <w:sz w:val="15"/>
                      <w:szCs w:val="15"/>
                      <w:u w:val="single"/>
                    </w:rPr>
                    <w:t>可燃</w:t>
                  </w:r>
                </w:p>
                <w:p>
                  <w:pPr>
                    <w:adjustRightInd w:val="0"/>
                    <w:snapToGrid w:val="0"/>
                    <w:jc w:val="center"/>
                    <w:rPr>
                      <w:sz w:val="15"/>
                      <w:szCs w:val="15"/>
                      <w:u w:val="single"/>
                    </w:rPr>
                  </w:pPr>
                  <w:r>
                    <w:rPr>
                      <w:sz w:val="15"/>
                      <w:szCs w:val="15"/>
                      <w:u w:val="single"/>
                    </w:rPr>
                    <w:t>高温</w:t>
                  </w:r>
                </w:p>
              </w:tc>
              <w:tc>
                <w:tcPr>
                  <w:tcW w:w="682" w:type="dxa"/>
                  <w:tcBorders>
                    <w:tl2br w:val="nil"/>
                    <w:tr2bl w:val="nil"/>
                  </w:tcBorders>
                  <w:vAlign w:val="center"/>
                </w:tcPr>
                <w:p>
                  <w:pPr>
                    <w:adjustRightInd w:val="0"/>
                    <w:snapToGrid w:val="0"/>
                    <w:jc w:val="center"/>
                    <w:rPr>
                      <w:sz w:val="15"/>
                      <w:szCs w:val="15"/>
                      <w:u w:val="single"/>
                    </w:rPr>
                  </w:pPr>
                  <w:r>
                    <w:rPr>
                      <w:sz w:val="15"/>
                      <w:szCs w:val="15"/>
                      <w:u w:val="single"/>
                    </w:rPr>
                    <w:t>2500</w:t>
                  </w:r>
                </w:p>
              </w:tc>
              <w:tc>
                <w:tcPr>
                  <w:tcW w:w="816" w:type="dxa"/>
                  <w:tcBorders>
                    <w:tl2br w:val="nil"/>
                    <w:tr2bl w:val="nil"/>
                  </w:tcBorders>
                  <w:vAlign w:val="center"/>
                </w:tcPr>
                <w:p>
                  <w:pPr>
                    <w:adjustRightInd w:val="0"/>
                    <w:snapToGrid w:val="0"/>
                    <w:jc w:val="center"/>
                    <w:rPr>
                      <w:sz w:val="15"/>
                      <w:szCs w:val="15"/>
                      <w:u w:val="single"/>
                    </w:rPr>
                  </w:pPr>
                  <w:r>
                    <w:rPr>
                      <w:sz w:val="15"/>
                      <w:szCs w:val="15"/>
                      <w:u w:val="single"/>
                    </w:rPr>
                    <w:t>0.0008</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518" w:type="dxa"/>
                  <w:tcBorders>
                    <w:tl2br w:val="nil"/>
                    <w:tr2bl w:val="nil"/>
                  </w:tcBorders>
                  <w:vAlign w:val="center"/>
                </w:tcPr>
                <w:p>
                  <w:pPr>
                    <w:adjustRightInd w:val="0"/>
                    <w:snapToGrid w:val="0"/>
                    <w:jc w:val="center"/>
                    <w:rPr>
                      <w:sz w:val="15"/>
                      <w:szCs w:val="15"/>
                      <w:u w:val="single"/>
                    </w:rPr>
                  </w:pPr>
                  <w:r>
                    <w:rPr>
                      <w:sz w:val="15"/>
                      <w:szCs w:val="15"/>
                      <w:u w:val="single"/>
                    </w:rPr>
                    <w:t>2</w:t>
                  </w:r>
                </w:p>
              </w:tc>
              <w:tc>
                <w:tcPr>
                  <w:tcW w:w="1117" w:type="dxa"/>
                  <w:tcBorders>
                    <w:tl2br w:val="nil"/>
                    <w:tr2bl w:val="nil"/>
                  </w:tcBorders>
                  <w:vAlign w:val="center"/>
                </w:tcPr>
                <w:p>
                  <w:pPr>
                    <w:adjustRightInd w:val="0"/>
                    <w:snapToGrid w:val="0"/>
                    <w:jc w:val="center"/>
                    <w:rPr>
                      <w:sz w:val="15"/>
                      <w:szCs w:val="15"/>
                      <w:u w:val="single"/>
                    </w:rPr>
                  </w:pPr>
                  <w:r>
                    <w:rPr>
                      <w:sz w:val="15"/>
                      <w:szCs w:val="15"/>
                      <w:u w:val="single"/>
                    </w:rPr>
                    <w:t>废导热油</w:t>
                  </w:r>
                </w:p>
              </w:tc>
              <w:tc>
                <w:tcPr>
                  <w:tcW w:w="1198" w:type="dxa"/>
                  <w:tcBorders>
                    <w:tl2br w:val="nil"/>
                    <w:tr2bl w:val="nil"/>
                  </w:tcBorders>
                  <w:vAlign w:val="center"/>
                </w:tcPr>
                <w:p>
                  <w:pPr>
                    <w:adjustRightInd w:val="0"/>
                    <w:snapToGrid w:val="0"/>
                    <w:jc w:val="center"/>
                    <w:rPr>
                      <w:sz w:val="15"/>
                      <w:szCs w:val="15"/>
                      <w:u w:val="single"/>
                    </w:rPr>
                  </w:pPr>
                  <w:r>
                    <w:rPr>
                      <w:sz w:val="15"/>
                      <w:szCs w:val="15"/>
                      <w:u w:val="single"/>
                    </w:rPr>
                    <w:t>芳烃类、烷烃类混合物（劣化）</w:t>
                  </w:r>
                </w:p>
              </w:tc>
              <w:tc>
                <w:tcPr>
                  <w:tcW w:w="1688" w:type="dxa"/>
                  <w:tcBorders>
                    <w:tl2br w:val="nil"/>
                    <w:tr2bl w:val="nil"/>
                  </w:tcBorders>
                  <w:vAlign w:val="center"/>
                </w:tcPr>
                <w:p>
                  <w:pPr>
                    <w:adjustRightInd w:val="0"/>
                    <w:snapToGrid w:val="0"/>
                    <w:jc w:val="center"/>
                    <w:rPr>
                      <w:sz w:val="15"/>
                      <w:szCs w:val="15"/>
                      <w:u w:val="single"/>
                    </w:rPr>
                  </w:pPr>
                  <w:r>
                    <w:rPr>
                      <w:sz w:val="15"/>
                      <w:szCs w:val="15"/>
                      <w:u w:val="single"/>
                    </w:rPr>
                    <w:t>危废暂存间</w:t>
                  </w:r>
                </w:p>
                <w:p>
                  <w:pPr>
                    <w:adjustRightInd w:val="0"/>
                    <w:snapToGrid w:val="0"/>
                    <w:jc w:val="center"/>
                    <w:rPr>
                      <w:sz w:val="15"/>
                      <w:szCs w:val="15"/>
                      <w:u w:val="single"/>
                    </w:rPr>
                  </w:pPr>
                  <w:r>
                    <w:rPr>
                      <w:sz w:val="15"/>
                      <w:szCs w:val="15"/>
                      <w:u w:val="single"/>
                    </w:rPr>
                    <w:t>（200L闭口铁桶）</w:t>
                  </w:r>
                </w:p>
              </w:tc>
              <w:tc>
                <w:tcPr>
                  <w:tcW w:w="989" w:type="dxa"/>
                  <w:tcBorders>
                    <w:tl2br w:val="nil"/>
                    <w:tr2bl w:val="nil"/>
                  </w:tcBorders>
                  <w:vAlign w:val="center"/>
                </w:tcPr>
                <w:p>
                  <w:pPr>
                    <w:adjustRightInd w:val="0"/>
                    <w:snapToGrid w:val="0"/>
                    <w:jc w:val="center"/>
                    <w:rPr>
                      <w:sz w:val="15"/>
                      <w:szCs w:val="15"/>
                      <w:u w:val="single"/>
                    </w:rPr>
                  </w:pPr>
                  <w:r>
                    <w:rPr>
                      <w:sz w:val="15"/>
                      <w:szCs w:val="15"/>
                      <w:u w:val="single"/>
                    </w:rPr>
                    <w:t>1.00</w:t>
                  </w:r>
                </w:p>
              </w:tc>
              <w:tc>
                <w:tcPr>
                  <w:tcW w:w="974" w:type="dxa"/>
                  <w:tcBorders>
                    <w:tl2br w:val="nil"/>
                    <w:tr2bl w:val="nil"/>
                  </w:tcBorders>
                  <w:vAlign w:val="center"/>
                </w:tcPr>
                <w:p>
                  <w:pPr>
                    <w:adjustRightInd w:val="0"/>
                    <w:snapToGrid w:val="0"/>
                    <w:jc w:val="center"/>
                    <w:rPr>
                      <w:sz w:val="15"/>
                      <w:szCs w:val="15"/>
                      <w:u w:val="single"/>
                    </w:rPr>
                  </w:pPr>
                  <w:r>
                    <w:rPr>
                      <w:sz w:val="15"/>
                      <w:szCs w:val="15"/>
                      <w:u w:val="single"/>
                    </w:rPr>
                    <w:t>液态（常温）</w:t>
                  </w:r>
                </w:p>
              </w:tc>
              <w:tc>
                <w:tcPr>
                  <w:tcW w:w="517" w:type="dxa"/>
                  <w:tcBorders>
                    <w:tl2br w:val="nil"/>
                    <w:tr2bl w:val="nil"/>
                  </w:tcBorders>
                  <w:vAlign w:val="center"/>
                </w:tcPr>
                <w:p>
                  <w:pPr>
                    <w:adjustRightInd w:val="0"/>
                    <w:snapToGrid w:val="0"/>
                    <w:jc w:val="center"/>
                    <w:rPr>
                      <w:sz w:val="15"/>
                      <w:szCs w:val="15"/>
                      <w:u w:val="single"/>
                    </w:rPr>
                  </w:pPr>
                  <w:r>
                    <w:rPr>
                      <w:sz w:val="15"/>
                      <w:szCs w:val="15"/>
                      <w:u w:val="single"/>
                    </w:rPr>
                    <w:t>可燃</w:t>
                  </w:r>
                </w:p>
              </w:tc>
              <w:tc>
                <w:tcPr>
                  <w:tcW w:w="682" w:type="dxa"/>
                  <w:tcBorders>
                    <w:tl2br w:val="nil"/>
                    <w:tr2bl w:val="nil"/>
                  </w:tcBorders>
                  <w:vAlign w:val="center"/>
                </w:tcPr>
                <w:p>
                  <w:pPr>
                    <w:adjustRightInd w:val="0"/>
                    <w:snapToGrid w:val="0"/>
                    <w:jc w:val="center"/>
                    <w:rPr>
                      <w:sz w:val="15"/>
                      <w:szCs w:val="15"/>
                      <w:u w:val="single"/>
                    </w:rPr>
                  </w:pPr>
                  <w:r>
                    <w:rPr>
                      <w:sz w:val="15"/>
                      <w:szCs w:val="15"/>
                      <w:u w:val="single"/>
                    </w:rPr>
                    <w:t>2500</w:t>
                  </w:r>
                </w:p>
              </w:tc>
              <w:tc>
                <w:tcPr>
                  <w:tcW w:w="816" w:type="dxa"/>
                  <w:tcBorders>
                    <w:tl2br w:val="nil"/>
                    <w:tr2bl w:val="nil"/>
                  </w:tcBorders>
                  <w:vAlign w:val="center"/>
                </w:tcPr>
                <w:p>
                  <w:pPr>
                    <w:adjustRightInd w:val="0"/>
                    <w:snapToGrid w:val="0"/>
                    <w:jc w:val="center"/>
                    <w:rPr>
                      <w:sz w:val="15"/>
                      <w:szCs w:val="15"/>
                      <w:u w:val="single"/>
                    </w:rPr>
                  </w:pPr>
                  <w:r>
                    <w:rPr>
                      <w:sz w:val="15"/>
                      <w:szCs w:val="15"/>
                      <w:u w:val="single"/>
                    </w:rPr>
                    <w:t>0.0004</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518" w:type="dxa"/>
                  <w:tcBorders>
                    <w:tl2br w:val="nil"/>
                    <w:tr2bl w:val="nil"/>
                  </w:tcBorders>
                  <w:vAlign w:val="center"/>
                </w:tcPr>
                <w:p>
                  <w:pPr>
                    <w:adjustRightInd w:val="0"/>
                    <w:snapToGrid w:val="0"/>
                    <w:jc w:val="center"/>
                    <w:rPr>
                      <w:sz w:val="15"/>
                      <w:szCs w:val="15"/>
                      <w:u w:val="single"/>
                    </w:rPr>
                  </w:pPr>
                  <w:r>
                    <w:rPr>
                      <w:sz w:val="15"/>
                      <w:szCs w:val="15"/>
                      <w:u w:val="single"/>
                    </w:rPr>
                    <w:t>3</w:t>
                  </w:r>
                </w:p>
              </w:tc>
              <w:tc>
                <w:tcPr>
                  <w:tcW w:w="1117" w:type="dxa"/>
                  <w:tcBorders>
                    <w:tl2br w:val="nil"/>
                    <w:tr2bl w:val="nil"/>
                  </w:tcBorders>
                  <w:vAlign w:val="center"/>
                </w:tcPr>
                <w:p>
                  <w:pPr>
                    <w:adjustRightInd w:val="0"/>
                    <w:snapToGrid w:val="0"/>
                    <w:jc w:val="center"/>
                    <w:rPr>
                      <w:sz w:val="15"/>
                      <w:szCs w:val="15"/>
                      <w:u w:val="single"/>
                    </w:rPr>
                  </w:pPr>
                  <w:r>
                    <w:rPr>
                      <w:sz w:val="15"/>
                      <w:szCs w:val="15"/>
                      <w:u w:val="single"/>
                    </w:rPr>
                    <w:t>废机油</w:t>
                  </w:r>
                </w:p>
              </w:tc>
              <w:tc>
                <w:tcPr>
                  <w:tcW w:w="1198" w:type="dxa"/>
                  <w:tcBorders>
                    <w:tl2br w:val="nil"/>
                    <w:tr2bl w:val="nil"/>
                  </w:tcBorders>
                  <w:vAlign w:val="center"/>
                </w:tcPr>
                <w:p>
                  <w:pPr>
                    <w:adjustRightInd w:val="0"/>
                    <w:snapToGrid w:val="0"/>
                    <w:jc w:val="center"/>
                    <w:rPr>
                      <w:sz w:val="15"/>
                      <w:szCs w:val="15"/>
                      <w:u w:val="single"/>
                    </w:rPr>
                  </w:pPr>
                  <w:r>
                    <w:rPr>
                      <w:sz w:val="15"/>
                      <w:szCs w:val="15"/>
                      <w:u w:val="single"/>
                    </w:rPr>
                    <w:t>矿物油</w:t>
                  </w:r>
                </w:p>
              </w:tc>
              <w:tc>
                <w:tcPr>
                  <w:tcW w:w="1688" w:type="dxa"/>
                  <w:tcBorders>
                    <w:tl2br w:val="nil"/>
                    <w:tr2bl w:val="nil"/>
                  </w:tcBorders>
                  <w:vAlign w:val="center"/>
                </w:tcPr>
                <w:p>
                  <w:pPr>
                    <w:adjustRightInd w:val="0"/>
                    <w:snapToGrid w:val="0"/>
                    <w:jc w:val="center"/>
                    <w:rPr>
                      <w:sz w:val="15"/>
                      <w:szCs w:val="15"/>
                      <w:u w:val="single"/>
                    </w:rPr>
                  </w:pPr>
                  <w:r>
                    <w:rPr>
                      <w:sz w:val="15"/>
                      <w:szCs w:val="15"/>
                      <w:u w:val="single"/>
                    </w:rPr>
                    <w:t>危废暂存间</w:t>
                  </w:r>
                </w:p>
                <w:p>
                  <w:pPr>
                    <w:adjustRightInd w:val="0"/>
                    <w:snapToGrid w:val="0"/>
                    <w:jc w:val="center"/>
                    <w:rPr>
                      <w:sz w:val="15"/>
                      <w:szCs w:val="15"/>
                      <w:u w:val="single"/>
                    </w:rPr>
                  </w:pPr>
                  <w:r>
                    <w:rPr>
                      <w:sz w:val="15"/>
                      <w:szCs w:val="15"/>
                      <w:u w:val="single"/>
                    </w:rPr>
                    <w:t>（专用容器）</w:t>
                  </w:r>
                </w:p>
              </w:tc>
              <w:tc>
                <w:tcPr>
                  <w:tcW w:w="989" w:type="dxa"/>
                  <w:tcBorders>
                    <w:tl2br w:val="nil"/>
                    <w:tr2bl w:val="nil"/>
                  </w:tcBorders>
                  <w:vAlign w:val="center"/>
                </w:tcPr>
                <w:p>
                  <w:pPr>
                    <w:adjustRightInd w:val="0"/>
                    <w:snapToGrid w:val="0"/>
                    <w:jc w:val="center"/>
                    <w:rPr>
                      <w:sz w:val="15"/>
                      <w:szCs w:val="15"/>
                      <w:u w:val="single"/>
                    </w:rPr>
                  </w:pPr>
                  <w:r>
                    <w:rPr>
                      <w:sz w:val="15"/>
                      <w:szCs w:val="15"/>
                      <w:u w:val="single"/>
                    </w:rPr>
                    <w:t>0.03</w:t>
                  </w:r>
                </w:p>
              </w:tc>
              <w:tc>
                <w:tcPr>
                  <w:tcW w:w="974" w:type="dxa"/>
                  <w:tcBorders>
                    <w:tl2br w:val="nil"/>
                    <w:tr2bl w:val="nil"/>
                  </w:tcBorders>
                  <w:vAlign w:val="center"/>
                </w:tcPr>
                <w:p>
                  <w:pPr>
                    <w:adjustRightInd w:val="0"/>
                    <w:snapToGrid w:val="0"/>
                    <w:jc w:val="center"/>
                    <w:rPr>
                      <w:sz w:val="15"/>
                      <w:szCs w:val="15"/>
                      <w:u w:val="single"/>
                    </w:rPr>
                  </w:pPr>
                  <w:r>
                    <w:rPr>
                      <w:sz w:val="15"/>
                      <w:szCs w:val="15"/>
                      <w:u w:val="single"/>
                    </w:rPr>
                    <w:t>液态（常温）</w:t>
                  </w:r>
                </w:p>
              </w:tc>
              <w:tc>
                <w:tcPr>
                  <w:tcW w:w="517" w:type="dxa"/>
                  <w:tcBorders>
                    <w:tl2br w:val="nil"/>
                    <w:tr2bl w:val="nil"/>
                  </w:tcBorders>
                  <w:vAlign w:val="center"/>
                </w:tcPr>
                <w:p>
                  <w:pPr>
                    <w:adjustRightInd w:val="0"/>
                    <w:snapToGrid w:val="0"/>
                    <w:jc w:val="center"/>
                    <w:rPr>
                      <w:sz w:val="15"/>
                      <w:szCs w:val="15"/>
                      <w:u w:val="single"/>
                    </w:rPr>
                  </w:pPr>
                  <w:r>
                    <w:rPr>
                      <w:sz w:val="15"/>
                      <w:szCs w:val="15"/>
                      <w:u w:val="single"/>
                    </w:rPr>
                    <w:t>可燃</w:t>
                  </w:r>
                </w:p>
              </w:tc>
              <w:tc>
                <w:tcPr>
                  <w:tcW w:w="682" w:type="dxa"/>
                  <w:tcBorders>
                    <w:tl2br w:val="nil"/>
                    <w:tr2bl w:val="nil"/>
                  </w:tcBorders>
                  <w:vAlign w:val="center"/>
                </w:tcPr>
                <w:p>
                  <w:pPr>
                    <w:adjustRightInd w:val="0"/>
                    <w:snapToGrid w:val="0"/>
                    <w:jc w:val="center"/>
                    <w:rPr>
                      <w:sz w:val="15"/>
                      <w:szCs w:val="15"/>
                      <w:u w:val="single"/>
                    </w:rPr>
                  </w:pPr>
                  <w:r>
                    <w:rPr>
                      <w:sz w:val="15"/>
                      <w:szCs w:val="15"/>
                      <w:u w:val="single"/>
                    </w:rPr>
                    <w:t>2500</w:t>
                  </w:r>
                </w:p>
              </w:tc>
              <w:tc>
                <w:tcPr>
                  <w:tcW w:w="816" w:type="dxa"/>
                  <w:tcBorders>
                    <w:tl2br w:val="nil"/>
                    <w:tr2bl w:val="nil"/>
                  </w:tcBorders>
                  <w:vAlign w:val="center"/>
                </w:tcPr>
                <w:p>
                  <w:pPr>
                    <w:adjustRightInd w:val="0"/>
                    <w:snapToGrid w:val="0"/>
                    <w:jc w:val="center"/>
                    <w:rPr>
                      <w:sz w:val="15"/>
                      <w:szCs w:val="15"/>
                      <w:u w:val="single"/>
                    </w:rPr>
                  </w:pPr>
                  <w:r>
                    <w:rPr>
                      <w:sz w:val="15"/>
                      <w:szCs w:val="15"/>
                      <w:u w:val="single"/>
                    </w:rPr>
                    <w:t>0.000012</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518" w:type="dxa"/>
                  <w:tcBorders>
                    <w:tl2br w:val="nil"/>
                    <w:tr2bl w:val="nil"/>
                  </w:tcBorders>
                  <w:vAlign w:val="center"/>
                </w:tcPr>
                <w:p>
                  <w:pPr>
                    <w:adjustRightInd w:val="0"/>
                    <w:snapToGrid w:val="0"/>
                    <w:jc w:val="center"/>
                    <w:rPr>
                      <w:sz w:val="15"/>
                      <w:szCs w:val="15"/>
                      <w:u w:val="single"/>
                    </w:rPr>
                  </w:pPr>
                  <w:r>
                    <w:rPr>
                      <w:sz w:val="15"/>
                      <w:szCs w:val="15"/>
                      <w:u w:val="single"/>
                    </w:rPr>
                    <w:t>4</w:t>
                  </w:r>
                </w:p>
              </w:tc>
              <w:tc>
                <w:tcPr>
                  <w:tcW w:w="1117" w:type="dxa"/>
                  <w:tcBorders>
                    <w:tl2br w:val="nil"/>
                    <w:tr2bl w:val="nil"/>
                  </w:tcBorders>
                  <w:vAlign w:val="center"/>
                </w:tcPr>
                <w:p>
                  <w:pPr>
                    <w:adjustRightInd w:val="0"/>
                    <w:snapToGrid w:val="0"/>
                    <w:jc w:val="center"/>
                    <w:rPr>
                      <w:sz w:val="15"/>
                      <w:szCs w:val="15"/>
                      <w:u w:val="single"/>
                    </w:rPr>
                  </w:pPr>
                  <w:r>
                    <w:rPr>
                      <w:sz w:val="15"/>
                      <w:szCs w:val="15"/>
                      <w:u w:val="single"/>
                    </w:rPr>
                    <w:t>含油废抹布</w:t>
                  </w:r>
                </w:p>
              </w:tc>
              <w:tc>
                <w:tcPr>
                  <w:tcW w:w="1198" w:type="dxa"/>
                  <w:tcBorders>
                    <w:tl2br w:val="nil"/>
                    <w:tr2bl w:val="nil"/>
                  </w:tcBorders>
                  <w:vAlign w:val="center"/>
                </w:tcPr>
                <w:p>
                  <w:pPr>
                    <w:adjustRightInd w:val="0"/>
                    <w:snapToGrid w:val="0"/>
                    <w:jc w:val="center"/>
                    <w:rPr>
                      <w:sz w:val="15"/>
                      <w:szCs w:val="15"/>
                      <w:u w:val="single"/>
                    </w:rPr>
                  </w:pPr>
                  <w:r>
                    <w:rPr>
                      <w:sz w:val="15"/>
                      <w:szCs w:val="15"/>
                      <w:u w:val="single"/>
                    </w:rPr>
                    <w:t>纤维、矿物油</w:t>
                  </w:r>
                </w:p>
              </w:tc>
              <w:tc>
                <w:tcPr>
                  <w:tcW w:w="1688" w:type="dxa"/>
                  <w:tcBorders>
                    <w:tl2br w:val="nil"/>
                    <w:tr2bl w:val="nil"/>
                  </w:tcBorders>
                  <w:vAlign w:val="center"/>
                </w:tcPr>
                <w:p>
                  <w:pPr>
                    <w:adjustRightInd w:val="0"/>
                    <w:snapToGrid w:val="0"/>
                    <w:jc w:val="center"/>
                    <w:rPr>
                      <w:sz w:val="15"/>
                      <w:szCs w:val="15"/>
                      <w:u w:val="single"/>
                    </w:rPr>
                  </w:pPr>
                  <w:r>
                    <w:rPr>
                      <w:sz w:val="15"/>
                      <w:szCs w:val="15"/>
                      <w:u w:val="single"/>
                    </w:rPr>
                    <w:t>危废暂存间</w:t>
                  </w:r>
                </w:p>
                <w:p>
                  <w:pPr>
                    <w:adjustRightInd w:val="0"/>
                    <w:snapToGrid w:val="0"/>
                    <w:jc w:val="center"/>
                    <w:rPr>
                      <w:sz w:val="15"/>
                      <w:szCs w:val="15"/>
                      <w:u w:val="single"/>
                    </w:rPr>
                  </w:pPr>
                  <w:r>
                    <w:rPr>
                      <w:sz w:val="15"/>
                      <w:szCs w:val="15"/>
                      <w:u w:val="single"/>
                    </w:rPr>
                    <w:t>（专用容器）</w:t>
                  </w:r>
                </w:p>
              </w:tc>
              <w:tc>
                <w:tcPr>
                  <w:tcW w:w="989" w:type="dxa"/>
                  <w:tcBorders>
                    <w:tl2br w:val="nil"/>
                    <w:tr2bl w:val="nil"/>
                  </w:tcBorders>
                  <w:vAlign w:val="center"/>
                </w:tcPr>
                <w:p>
                  <w:pPr>
                    <w:adjustRightInd w:val="0"/>
                    <w:snapToGrid w:val="0"/>
                    <w:jc w:val="center"/>
                    <w:rPr>
                      <w:sz w:val="15"/>
                      <w:szCs w:val="15"/>
                      <w:u w:val="single"/>
                    </w:rPr>
                  </w:pPr>
                  <w:r>
                    <w:rPr>
                      <w:sz w:val="15"/>
                      <w:szCs w:val="15"/>
                      <w:u w:val="single"/>
                    </w:rPr>
                    <w:t>0.01</w:t>
                  </w:r>
                </w:p>
              </w:tc>
              <w:tc>
                <w:tcPr>
                  <w:tcW w:w="974" w:type="dxa"/>
                  <w:tcBorders>
                    <w:tl2br w:val="nil"/>
                    <w:tr2bl w:val="nil"/>
                  </w:tcBorders>
                  <w:vAlign w:val="center"/>
                </w:tcPr>
                <w:p>
                  <w:pPr>
                    <w:adjustRightInd w:val="0"/>
                    <w:snapToGrid w:val="0"/>
                    <w:jc w:val="center"/>
                    <w:rPr>
                      <w:sz w:val="15"/>
                      <w:szCs w:val="15"/>
                      <w:u w:val="single"/>
                    </w:rPr>
                  </w:pPr>
                  <w:r>
                    <w:rPr>
                      <w:sz w:val="15"/>
                      <w:szCs w:val="15"/>
                      <w:u w:val="single"/>
                    </w:rPr>
                    <w:t>固态（沾染）</w:t>
                  </w:r>
                </w:p>
              </w:tc>
              <w:tc>
                <w:tcPr>
                  <w:tcW w:w="517" w:type="dxa"/>
                  <w:tcBorders>
                    <w:tl2br w:val="nil"/>
                    <w:tr2bl w:val="nil"/>
                  </w:tcBorders>
                  <w:vAlign w:val="center"/>
                </w:tcPr>
                <w:p>
                  <w:pPr>
                    <w:adjustRightInd w:val="0"/>
                    <w:snapToGrid w:val="0"/>
                    <w:jc w:val="center"/>
                    <w:rPr>
                      <w:sz w:val="15"/>
                      <w:szCs w:val="15"/>
                      <w:u w:val="single"/>
                    </w:rPr>
                  </w:pPr>
                  <w:r>
                    <w:rPr>
                      <w:sz w:val="15"/>
                      <w:szCs w:val="15"/>
                      <w:u w:val="single"/>
                    </w:rPr>
                    <w:t>可燃</w:t>
                  </w:r>
                </w:p>
              </w:tc>
              <w:tc>
                <w:tcPr>
                  <w:tcW w:w="682" w:type="dxa"/>
                  <w:tcBorders>
                    <w:tl2br w:val="nil"/>
                    <w:tr2bl w:val="nil"/>
                  </w:tcBorders>
                  <w:vAlign w:val="center"/>
                </w:tcPr>
                <w:p>
                  <w:pPr>
                    <w:adjustRightInd w:val="0"/>
                    <w:snapToGrid w:val="0"/>
                    <w:jc w:val="center"/>
                    <w:rPr>
                      <w:sz w:val="15"/>
                      <w:szCs w:val="15"/>
                      <w:u w:val="single"/>
                    </w:rPr>
                  </w:pPr>
                  <w:r>
                    <w:rPr>
                      <w:sz w:val="15"/>
                      <w:szCs w:val="15"/>
                      <w:u w:val="single"/>
                    </w:rPr>
                    <w:t>/</w:t>
                  </w:r>
                </w:p>
              </w:tc>
              <w:tc>
                <w:tcPr>
                  <w:tcW w:w="816" w:type="dxa"/>
                  <w:tcBorders>
                    <w:tl2br w:val="nil"/>
                    <w:tr2bl w:val="nil"/>
                  </w:tcBorders>
                  <w:vAlign w:val="center"/>
                </w:tcPr>
                <w:p>
                  <w:pPr>
                    <w:adjustRightInd w:val="0"/>
                    <w:snapToGrid w:val="0"/>
                    <w:jc w:val="center"/>
                    <w:rPr>
                      <w:sz w:val="15"/>
                      <w:szCs w:val="15"/>
                      <w:u w:val="single"/>
                    </w:rPr>
                  </w:pPr>
                  <w:r>
                    <w:rPr>
                      <w:sz w:val="15"/>
                      <w:szCs w:val="15"/>
                      <w:u w:val="single"/>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518" w:type="dxa"/>
                  <w:tcBorders>
                    <w:tl2br w:val="nil"/>
                    <w:tr2bl w:val="nil"/>
                  </w:tcBorders>
                  <w:vAlign w:val="center"/>
                </w:tcPr>
                <w:p>
                  <w:pPr>
                    <w:adjustRightInd w:val="0"/>
                    <w:snapToGrid w:val="0"/>
                    <w:jc w:val="center"/>
                    <w:rPr>
                      <w:sz w:val="15"/>
                      <w:szCs w:val="15"/>
                      <w:u w:val="single"/>
                    </w:rPr>
                  </w:pPr>
                  <w:r>
                    <w:rPr>
                      <w:sz w:val="15"/>
                      <w:szCs w:val="15"/>
                      <w:u w:val="single"/>
                    </w:rPr>
                    <w:t>5</w:t>
                  </w:r>
                </w:p>
              </w:tc>
              <w:tc>
                <w:tcPr>
                  <w:tcW w:w="1117" w:type="dxa"/>
                  <w:tcBorders>
                    <w:tl2br w:val="nil"/>
                    <w:tr2bl w:val="nil"/>
                  </w:tcBorders>
                  <w:vAlign w:val="center"/>
                </w:tcPr>
                <w:p>
                  <w:pPr>
                    <w:adjustRightInd w:val="0"/>
                    <w:snapToGrid w:val="0"/>
                    <w:jc w:val="center"/>
                    <w:rPr>
                      <w:sz w:val="15"/>
                      <w:szCs w:val="15"/>
                      <w:u w:val="single"/>
                    </w:rPr>
                  </w:pPr>
                  <w:r>
                    <w:rPr>
                      <w:sz w:val="15"/>
                      <w:szCs w:val="15"/>
                      <w:u w:val="single"/>
                    </w:rPr>
                    <w:t>废油桶</w:t>
                  </w:r>
                </w:p>
              </w:tc>
              <w:tc>
                <w:tcPr>
                  <w:tcW w:w="1198" w:type="dxa"/>
                  <w:tcBorders>
                    <w:tl2br w:val="nil"/>
                    <w:tr2bl w:val="nil"/>
                  </w:tcBorders>
                  <w:vAlign w:val="center"/>
                </w:tcPr>
                <w:p>
                  <w:pPr>
                    <w:adjustRightInd w:val="0"/>
                    <w:snapToGrid w:val="0"/>
                    <w:jc w:val="center"/>
                    <w:rPr>
                      <w:sz w:val="15"/>
                      <w:szCs w:val="15"/>
                      <w:u w:val="single"/>
                    </w:rPr>
                  </w:pPr>
                  <w:r>
                    <w:rPr>
                      <w:sz w:val="15"/>
                      <w:szCs w:val="15"/>
                      <w:u w:val="single"/>
                    </w:rPr>
                    <w:t>铁、矿物油</w:t>
                  </w:r>
                </w:p>
              </w:tc>
              <w:tc>
                <w:tcPr>
                  <w:tcW w:w="1688" w:type="dxa"/>
                  <w:tcBorders>
                    <w:tl2br w:val="nil"/>
                    <w:tr2bl w:val="nil"/>
                  </w:tcBorders>
                  <w:vAlign w:val="center"/>
                </w:tcPr>
                <w:p>
                  <w:pPr>
                    <w:adjustRightInd w:val="0"/>
                    <w:snapToGrid w:val="0"/>
                    <w:jc w:val="center"/>
                    <w:rPr>
                      <w:sz w:val="15"/>
                      <w:szCs w:val="15"/>
                      <w:u w:val="single"/>
                    </w:rPr>
                  </w:pPr>
                  <w:r>
                    <w:rPr>
                      <w:sz w:val="15"/>
                      <w:szCs w:val="15"/>
                      <w:u w:val="single"/>
                    </w:rPr>
                    <w:t>危废暂存间</w:t>
                  </w:r>
                </w:p>
              </w:tc>
              <w:tc>
                <w:tcPr>
                  <w:tcW w:w="989" w:type="dxa"/>
                  <w:tcBorders>
                    <w:tl2br w:val="nil"/>
                    <w:tr2bl w:val="nil"/>
                  </w:tcBorders>
                  <w:vAlign w:val="center"/>
                </w:tcPr>
                <w:p>
                  <w:pPr>
                    <w:adjustRightInd w:val="0"/>
                    <w:snapToGrid w:val="0"/>
                    <w:jc w:val="center"/>
                    <w:rPr>
                      <w:sz w:val="15"/>
                      <w:szCs w:val="15"/>
                      <w:u w:val="single"/>
                    </w:rPr>
                  </w:pPr>
                  <w:r>
                    <w:rPr>
                      <w:sz w:val="15"/>
                      <w:szCs w:val="15"/>
                      <w:u w:val="single"/>
                    </w:rPr>
                    <w:t>0.02</w:t>
                  </w:r>
                </w:p>
              </w:tc>
              <w:tc>
                <w:tcPr>
                  <w:tcW w:w="974" w:type="dxa"/>
                  <w:tcBorders>
                    <w:tl2br w:val="nil"/>
                    <w:tr2bl w:val="nil"/>
                  </w:tcBorders>
                  <w:vAlign w:val="center"/>
                </w:tcPr>
                <w:p>
                  <w:pPr>
                    <w:adjustRightInd w:val="0"/>
                    <w:snapToGrid w:val="0"/>
                    <w:jc w:val="center"/>
                    <w:rPr>
                      <w:sz w:val="15"/>
                      <w:szCs w:val="15"/>
                      <w:u w:val="single"/>
                    </w:rPr>
                  </w:pPr>
                  <w:r>
                    <w:rPr>
                      <w:sz w:val="15"/>
                      <w:szCs w:val="15"/>
                      <w:u w:val="single"/>
                    </w:rPr>
                    <w:t>固态（沾染）</w:t>
                  </w:r>
                </w:p>
              </w:tc>
              <w:tc>
                <w:tcPr>
                  <w:tcW w:w="517" w:type="dxa"/>
                  <w:tcBorders>
                    <w:tl2br w:val="nil"/>
                    <w:tr2bl w:val="nil"/>
                  </w:tcBorders>
                  <w:vAlign w:val="center"/>
                </w:tcPr>
                <w:p>
                  <w:pPr>
                    <w:adjustRightInd w:val="0"/>
                    <w:snapToGrid w:val="0"/>
                    <w:jc w:val="center"/>
                    <w:rPr>
                      <w:sz w:val="15"/>
                      <w:szCs w:val="15"/>
                      <w:u w:val="single"/>
                    </w:rPr>
                  </w:pPr>
                  <w:r>
                    <w:rPr>
                      <w:sz w:val="15"/>
                      <w:szCs w:val="15"/>
                      <w:u w:val="single"/>
                    </w:rPr>
                    <w:t>可燃</w:t>
                  </w:r>
                </w:p>
              </w:tc>
              <w:tc>
                <w:tcPr>
                  <w:tcW w:w="682" w:type="dxa"/>
                  <w:tcBorders>
                    <w:tl2br w:val="nil"/>
                    <w:tr2bl w:val="nil"/>
                  </w:tcBorders>
                  <w:vAlign w:val="center"/>
                </w:tcPr>
                <w:p>
                  <w:pPr>
                    <w:adjustRightInd w:val="0"/>
                    <w:snapToGrid w:val="0"/>
                    <w:jc w:val="center"/>
                    <w:rPr>
                      <w:sz w:val="15"/>
                      <w:szCs w:val="15"/>
                      <w:u w:val="single"/>
                    </w:rPr>
                  </w:pPr>
                  <w:r>
                    <w:rPr>
                      <w:sz w:val="15"/>
                      <w:szCs w:val="15"/>
                      <w:u w:val="single"/>
                    </w:rPr>
                    <w:t>/</w:t>
                  </w:r>
                </w:p>
              </w:tc>
              <w:tc>
                <w:tcPr>
                  <w:tcW w:w="816" w:type="dxa"/>
                  <w:tcBorders>
                    <w:tl2br w:val="nil"/>
                    <w:tr2bl w:val="nil"/>
                  </w:tcBorders>
                  <w:vAlign w:val="center"/>
                </w:tcPr>
                <w:p>
                  <w:pPr>
                    <w:adjustRightInd w:val="0"/>
                    <w:snapToGrid w:val="0"/>
                    <w:jc w:val="center"/>
                    <w:rPr>
                      <w:sz w:val="15"/>
                      <w:szCs w:val="15"/>
                      <w:u w:val="single"/>
                    </w:rPr>
                  </w:pPr>
                  <w:r>
                    <w:rPr>
                      <w:sz w:val="15"/>
                      <w:szCs w:val="15"/>
                      <w:u w:val="single"/>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518" w:type="dxa"/>
                  <w:tcBorders>
                    <w:tl2br w:val="nil"/>
                    <w:tr2bl w:val="nil"/>
                  </w:tcBorders>
                  <w:vAlign w:val="center"/>
                </w:tcPr>
                <w:p>
                  <w:pPr>
                    <w:adjustRightInd w:val="0"/>
                    <w:snapToGrid w:val="0"/>
                    <w:jc w:val="center"/>
                    <w:rPr>
                      <w:sz w:val="15"/>
                      <w:szCs w:val="15"/>
                      <w:u w:val="single"/>
                    </w:rPr>
                  </w:pPr>
                  <w:r>
                    <w:rPr>
                      <w:sz w:val="15"/>
                      <w:szCs w:val="15"/>
                      <w:u w:val="single"/>
                    </w:rPr>
                    <w:t>合计</w:t>
                  </w:r>
                </w:p>
              </w:tc>
              <w:tc>
                <w:tcPr>
                  <w:tcW w:w="1117" w:type="dxa"/>
                  <w:tcBorders>
                    <w:tl2br w:val="nil"/>
                    <w:tr2bl w:val="nil"/>
                  </w:tcBorders>
                  <w:vAlign w:val="center"/>
                </w:tcPr>
                <w:p>
                  <w:pPr>
                    <w:adjustRightInd w:val="0"/>
                    <w:snapToGrid w:val="0"/>
                    <w:jc w:val="center"/>
                    <w:rPr>
                      <w:sz w:val="15"/>
                      <w:szCs w:val="15"/>
                      <w:u w:val="single"/>
                    </w:rPr>
                  </w:pPr>
                </w:p>
              </w:tc>
              <w:tc>
                <w:tcPr>
                  <w:tcW w:w="1198" w:type="dxa"/>
                  <w:tcBorders>
                    <w:tl2br w:val="nil"/>
                    <w:tr2bl w:val="nil"/>
                  </w:tcBorders>
                  <w:vAlign w:val="center"/>
                </w:tcPr>
                <w:p>
                  <w:pPr>
                    <w:adjustRightInd w:val="0"/>
                    <w:snapToGrid w:val="0"/>
                    <w:jc w:val="center"/>
                    <w:rPr>
                      <w:sz w:val="15"/>
                      <w:szCs w:val="15"/>
                      <w:u w:val="single"/>
                    </w:rPr>
                  </w:pPr>
                </w:p>
              </w:tc>
              <w:tc>
                <w:tcPr>
                  <w:tcW w:w="1688" w:type="dxa"/>
                  <w:tcBorders>
                    <w:tl2br w:val="nil"/>
                    <w:tr2bl w:val="nil"/>
                  </w:tcBorders>
                  <w:vAlign w:val="center"/>
                </w:tcPr>
                <w:p>
                  <w:pPr>
                    <w:adjustRightInd w:val="0"/>
                    <w:snapToGrid w:val="0"/>
                    <w:jc w:val="center"/>
                    <w:rPr>
                      <w:sz w:val="15"/>
                      <w:szCs w:val="15"/>
                      <w:u w:val="single"/>
                    </w:rPr>
                  </w:pPr>
                </w:p>
              </w:tc>
              <w:tc>
                <w:tcPr>
                  <w:tcW w:w="989" w:type="dxa"/>
                  <w:tcBorders>
                    <w:tl2br w:val="nil"/>
                    <w:tr2bl w:val="nil"/>
                  </w:tcBorders>
                  <w:vAlign w:val="center"/>
                </w:tcPr>
                <w:p>
                  <w:pPr>
                    <w:adjustRightInd w:val="0"/>
                    <w:snapToGrid w:val="0"/>
                    <w:jc w:val="center"/>
                    <w:rPr>
                      <w:sz w:val="15"/>
                      <w:szCs w:val="15"/>
                      <w:u w:val="single"/>
                    </w:rPr>
                  </w:pPr>
                  <w:r>
                    <w:rPr>
                      <w:sz w:val="15"/>
                      <w:szCs w:val="15"/>
                      <w:u w:val="single"/>
                    </w:rPr>
                    <w:t>约3.06</w:t>
                  </w:r>
                </w:p>
              </w:tc>
              <w:tc>
                <w:tcPr>
                  <w:tcW w:w="974" w:type="dxa"/>
                  <w:tcBorders>
                    <w:tl2br w:val="nil"/>
                    <w:tr2bl w:val="nil"/>
                  </w:tcBorders>
                  <w:vAlign w:val="center"/>
                </w:tcPr>
                <w:p>
                  <w:pPr>
                    <w:adjustRightInd w:val="0"/>
                    <w:snapToGrid w:val="0"/>
                    <w:jc w:val="center"/>
                    <w:rPr>
                      <w:sz w:val="15"/>
                      <w:szCs w:val="15"/>
                      <w:u w:val="single"/>
                    </w:rPr>
                  </w:pPr>
                </w:p>
              </w:tc>
              <w:tc>
                <w:tcPr>
                  <w:tcW w:w="517" w:type="dxa"/>
                  <w:tcBorders>
                    <w:tl2br w:val="nil"/>
                    <w:tr2bl w:val="nil"/>
                  </w:tcBorders>
                  <w:vAlign w:val="center"/>
                </w:tcPr>
                <w:p>
                  <w:pPr>
                    <w:adjustRightInd w:val="0"/>
                    <w:snapToGrid w:val="0"/>
                    <w:jc w:val="center"/>
                    <w:rPr>
                      <w:sz w:val="15"/>
                      <w:szCs w:val="15"/>
                      <w:u w:val="single"/>
                    </w:rPr>
                  </w:pPr>
                </w:p>
              </w:tc>
              <w:tc>
                <w:tcPr>
                  <w:tcW w:w="682" w:type="dxa"/>
                  <w:tcBorders>
                    <w:tl2br w:val="nil"/>
                    <w:tr2bl w:val="nil"/>
                  </w:tcBorders>
                  <w:vAlign w:val="center"/>
                </w:tcPr>
                <w:p>
                  <w:pPr>
                    <w:adjustRightInd w:val="0"/>
                    <w:snapToGrid w:val="0"/>
                    <w:jc w:val="center"/>
                    <w:rPr>
                      <w:sz w:val="15"/>
                      <w:szCs w:val="15"/>
                      <w:u w:val="single"/>
                    </w:rPr>
                  </w:pPr>
                </w:p>
              </w:tc>
              <w:tc>
                <w:tcPr>
                  <w:tcW w:w="816" w:type="dxa"/>
                  <w:tcBorders>
                    <w:tl2br w:val="nil"/>
                    <w:tr2bl w:val="nil"/>
                  </w:tcBorders>
                  <w:vAlign w:val="center"/>
                </w:tcPr>
                <w:p>
                  <w:pPr>
                    <w:adjustRightInd w:val="0"/>
                    <w:snapToGrid w:val="0"/>
                    <w:jc w:val="center"/>
                    <w:rPr>
                      <w:sz w:val="15"/>
                      <w:szCs w:val="15"/>
                      <w:u w:val="single"/>
                    </w:rPr>
                  </w:pPr>
                  <w:r>
                    <w:rPr>
                      <w:sz w:val="15"/>
                      <w:szCs w:val="15"/>
                      <w:u w:val="single"/>
                    </w:rPr>
                    <w:t>0.0012</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8499" w:type="dxa"/>
                  <w:gridSpan w:val="9"/>
                  <w:tcBorders>
                    <w:tl2br w:val="nil"/>
                    <w:tr2bl w:val="nil"/>
                  </w:tcBorders>
                  <w:vAlign w:val="center"/>
                </w:tcPr>
                <w:p>
                  <w:pPr>
                    <w:adjustRightInd w:val="0"/>
                    <w:snapToGrid w:val="0"/>
                    <w:rPr>
                      <w:sz w:val="15"/>
                      <w:szCs w:val="15"/>
                      <w:u w:val="single"/>
                    </w:rPr>
                  </w:pPr>
                  <w:r>
                    <w:rPr>
                      <w:sz w:val="15"/>
                      <w:szCs w:val="15"/>
                      <w:u w:val="single"/>
                    </w:rPr>
                    <w:t>注：①导热油（油类物质）临界量根据《建设项目环境风险评价技术导则》（HJ169-2018）附录B中“油类物质（矿物油类，如石油、汽油、柴油等；生物柴油等）”的临界量2500t执行。</w:t>
                  </w:r>
                </w:p>
                <w:p>
                  <w:pPr>
                    <w:adjustRightInd w:val="0"/>
                    <w:snapToGrid w:val="0"/>
                    <w:ind w:firstLine="300" w:firstLineChars="200"/>
                    <w:rPr>
                      <w:sz w:val="15"/>
                      <w:szCs w:val="15"/>
                      <w:u w:val="single"/>
                    </w:rPr>
                  </w:pPr>
                  <w:r>
                    <w:rPr>
                      <w:sz w:val="15"/>
                      <w:szCs w:val="15"/>
                      <w:u w:val="single"/>
                    </w:rPr>
                    <w:t>②含油废抹布、废油桶为沾染危险废物的包装物及沾染物，根据HJ169-2018附录B不再单独计算Q值。</w:t>
                  </w:r>
                </w:p>
                <w:p>
                  <w:pPr>
                    <w:adjustRightInd w:val="0"/>
                    <w:snapToGrid w:val="0"/>
                    <w:ind w:firstLine="300" w:firstLineChars="200"/>
                    <w:rPr>
                      <w:sz w:val="15"/>
                      <w:szCs w:val="15"/>
                      <w:u w:val="single"/>
                    </w:rPr>
                  </w:pPr>
                  <w:r>
                    <w:rPr>
                      <w:sz w:val="15"/>
                      <w:szCs w:val="15"/>
                      <w:u w:val="single"/>
                    </w:rPr>
                    <w:t>③废导热油产生量为1.0t/a（按两年更换一次，每次2.0t折算），最大暂存量为更换后即时暂存量（2.0t/次，约10桶），本次按年度平均暂存量1.0t计；废机油最大暂存量0.03t。</w:t>
                  </w:r>
                </w:p>
              </w:tc>
            </w:tr>
          </w:tbl>
          <w:p>
            <w:pPr>
              <w:spacing w:line="360" w:lineRule="auto"/>
              <w:ind w:firstLine="420" w:firstLineChars="200"/>
              <w:jc w:val="left"/>
              <w:rPr>
                <w:u w:val="single"/>
              </w:rPr>
            </w:pPr>
            <w:r>
              <w:rPr>
                <w:u w:val="single"/>
              </w:rPr>
              <w:t>Q=2.0/2500+1.0/2500+0.03/2500=0.0008+0.0004+0.000012=0.001212&lt;1</w:t>
            </w:r>
          </w:p>
          <w:p>
            <w:pPr>
              <w:spacing w:line="360" w:lineRule="auto"/>
              <w:ind w:firstLine="420" w:firstLineChars="200"/>
              <w:jc w:val="left"/>
              <w:rPr>
                <w:u w:val="single"/>
              </w:rPr>
            </w:pPr>
            <w:r>
              <w:rPr>
                <w:u w:val="single"/>
              </w:rPr>
              <w:t>根据《建设项目环境风险评价技术导则》（HJ169-2018）附录C.1.1的规定，当Q＜1时，环境风险潜势为I，评价工作等级为简单分析。本项目环境风险等级较低。</w:t>
            </w:r>
          </w:p>
          <w:p>
            <w:pPr>
              <w:spacing w:line="360" w:lineRule="auto"/>
              <w:ind w:firstLine="420" w:firstLineChars="200"/>
              <w:jc w:val="left"/>
              <w:rPr>
                <w:u w:val="single"/>
              </w:rPr>
            </w:pPr>
            <w:r>
              <w:rPr>
                <w:u w:val="single"/>
              </w:rPr>
              <w:t>2、风险源分布情况</w:t>
            </w:r>
          </w:p>
          <w:p>
            <w:pPr>
              <w:spacing w:line="360" w:lineRule="auto"/>
              <w:ind w:firstLine="420" w:firstLineChars="200"/>
              <w:jc w:val="left"/>
              <w:rPr>
                <w:u w:val="single"/>
              </w:rPr>
            </w:pPr>
            <w:r>
              <w:rPr>
                <w:u w:val="single"/>
              </w:rPr>
              <w:t>本项目风险源主要分布在锅炉房（建筑面积30m</w:t>
            </w:r>
            <w:r>
              <w:rPr>
                <w:u w:val="single"/>
                <w:vertAlign w:val="superscript"/>
              </w:rPr>
              <w:t>2</w:t>
            </w:r>
            <w:r>
              <w:rPr>
                <w:u w:val="single"/>
              </w:rPr>
              <w:t>）及现有危废暂存间（建筑面积25m</w:t>
            </w:r>
            <w:r>
              <w:rPr>
                <w:u w:val="single"/>
                <w:vertAlign w:val="superscript"/>
              </w:rPr>
              <w:t>2</w:t>
            </w:r>
            <w:r>
              <w:rPr>
                <w:u w:val="single"/>
              </w:rPr>
              <w:t>）两个区域，具体风险源分布情况详见表33。</w:t>
            </w:r>
          </w:p>
          <w:p>
            <w:pPr>
              <w:snapToGrid w:val="0"/>
              <w:jc w:val="center"/>
              <w:rPr>
                <w:b/>
                <w:bCs/>
                <w:u w:val="single"/>
              </w:rPr>
            </w:pPr>
            <w:r>
              <w:rPr>
                <w:b/>
                <w:bCs/>
                <w:u w:val="single"/>
              </w:rPr>
              <w:t>表29  本项目危险物质一览表</w:t>
            </w:r>
          </w:p>
          <w:tbl>
            <w:tblPr>
              <w:tblStyle w:val="26"/>
              <w:tblW w:w="8501"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169"/>
              <w:gridCol w:w="1491"/>
              <w:gridCol w:w="2470"/>
              <w:gridCol w:w="1501"/>
              <w:gridCol w:w="1870"/>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169" w:type="dxa"/>
                  <w:tcBorders>
                    <w:tl2br w:val="nil"/>
                    <w:tr2bl w:val="nil"/>
                  </w:tcBorders>
                  <w:vAlign w:val="center"/>
                </w:tcPr>
                <w:p>
                  <w:pPr>
                    <w:adjustRightInd w:val="0"/>
                    <w:snapToGrid w:val="0"/>
                    <w:jc w:val="center"/>
                    <w:rPr>
                      <w:sz w:val="18"/>
                      <w:szCs w:val="18"/>
                      <w:u w:val="single"/>
                    </w:rPr>
                  </w:pPr>
                  <w:r>
                    <w:rPr>
                      <w:sz w:val="18"/>
                      <w:szCs w:val="18"/>
                      <w:u w:val="single"/>
                    </w:rPr>
                    <w:t>风险源区域</w:t>
                  </w:r>
                </w:p>
              </w:tc>
              <w:tc>
                <w:tcPr>
                  <w:tcW w:w="1491" w:type="dxa"/>
                  <w:tcBorders>
                    <w:tl2br w:val="nil"/>
                    <w:tr2bl w:val="nil"/>
                  </w:tcBorders>
                  <w:vAlign w:val="center"/>
                </w:tcPr>
                <w:p>
                  <w:pPr>
                    <w:adjustRightInd w:val="0"/>
                    <w:snapToGrid w:val="0"/>
                    <w:jc w:val="center"/>
                    <w:rPr>
                      <w:sz w:val="18"/>
                      <w:szCs w:val="18"/>
                      <w:u w:val="single"/>
                    </w:rPr>
                  </w:pPr>
                  <w:r>
                    <w:rPr>
                      <w:sz w:val="18"/>
                      <w:szCs w:val="18"/>
                      <w:u w:val="single"/>
                    </w:rPr>
                    <w:t>风险物质</w:t>
                  </w:r>
                </w:p>
              </w:tc>
              <w:tc>
                <w:tcPr>
                  <w:tcW w:w="2470" w:type="dxa"/>
                  <w:tcBorders>
                    <w:tl2br w:val="nil"/>
                    <w:tr2bl w:val="nil"/>
                  </w:tcBorders>
                  <w:vAlign w:val="center"/>
                </w:tcPr>
                <w:p>
                  <w:pPr>
                    <w:adjustRightInd w:val="0"/>
                    <w:snapToGrid w:val="0"/>
                    <w:jc w:val="center"/>
                    <w:rPr>
                      <w:sz w:val="18"/>
                      <w:szCs w:val="18"/>
                      <w:u w:val="single"/>
                    </w:rPr>
                  </w:pPr>
                  <w:r>
                    <w:rPr>
                      <w:sz w:val="18"/>
                      <w:szCs w:val="18"/>
                      <w:u w:val="single"/>
                    </w:rPr>
                    <w:t>分布位置</w:t>
                  </w:r>
                </w:p>
              </w:tc>
              <w:tc>
                <w:tcPr>
                  <w:tcW w:w="1501" w:type="dxa"/>
                  <w:tcBorders>
                    <w:tl2br w:val="nil"/>
                    <w:tr2bl w:val="nil"/>
                  </w:tcBorders>
                  <w:vAlign w:val="center"/>
                </w:tcPr>
                <w:p>
                  <w:pPr>
                    <w:adjustRightInd w:val="0"/>
                    <w:snapToGrid w:val="0"/>
                    <w:jc w:val="center"/>
                    <w:rPr>
                      <w:sz w:val="18"/>
                      <w:szCs w:val="18"/>
                      <w:u w:val="single"/>
                    </w:rPr>
                  </w:pPr>
                  <w:r>
                    <w:rPr>
                      <w:sz w:val="18"/>
                      <w:szCs w:val="18"/>
                      <w:u w:val="single"/>
                    </w:rPr>
                    <w:t>最大存在量</w:t>
                  </w:r>
                </w:p>
              </w:tc>
              <w:tc>
                <w:tcPr>
                  <w:tcW w:w="1870" w:type="dxa"/>
                  <w:tcBorders>
                    <w:tl2br w:val="nil"/>
                    <w:tr2bl w:val="nil"/>
                  </w:tcBorders>
                  <w:vAlign w:val="center"/>
                </w:tcPr>
                <w:p>
                  <w:pPr>
                    <w:adjustRightInd w:val="0"/>
                    <w:snapToGrid w:val="0"/>
                    <w:jc w:val="center"/>
                    <w:rPr>
                      <w:sz w:val="18"/>
                      <w:szCs w:val="18"/>
                      <w:u w:val="single"/>
                    </w:rPr>
                  </w:pPr>
                  <w:r>
                    <w:rPr>
                      <w:sz w:val="18"/>
                      <w:szCs w:val="18"/>
                      <w:u w:val="single"/>
                    </w:rPr>
                    <w:t>存在形式</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169" w:type="dxa"/>
                  <w:vMerge w:val="restart"/>
                  <w:tcBorders>
                    <w:tl2br w:val="nil"/>
                    <w:tr2bl w:val="nil"/>
                  </w:tcBorders>
                  <w:vAlign w:val="center"/>
                </w:tcPr>
                <w:p>
                  <w:pPr>
                    <w:adjustRightInd w:val="0"/>
                    <w:snapToGrid w:val="0"/>
                    <w:jc w:val="center"/>
                    <w:rPr>
                      <w:sz w:val="18"/>
                      <w:szCs w:val="18"/>
                      <w:u w:val="single"/>
                    </w:rPr>
                  </w:pPr>
                  <w:r>
                    <w:rPr>
                      <w:sz w:val="18"/>
                      <w:szCs w:val="18"/>
                      <w:u w:val="single"/>
                    </w:rPr>
                    <w:t>锅炉房</w:t>
                  </w:r>
                </w:p>
              </w:tc>
              <w:tc>
                <w:tcPr>
                  <w:tcW w:w="1491" w:type="dxa"/>
                  <w:tcBorders>
                    <w:tl2br w:val="nil"/>
                    <w:tr2bl w:val="nil"/>
                  </w:tcBorders>
                  <w:vAlign w:val="center"/>
                </w:tcPr>
                <w:p>
                  <w:pPr>
                    <w:adjustRightInd w:val="0"/>
                    <w:snapToGrid w:val="0"/>
                    <w:jc w:val="center"/>
                    <w:rPr>
                      <w:sz w:val="18"/>
                      <w:szCs w:val="18"/>
                      <w:u w:val="single"/>
                    </w:rPr>
                  </w:pPr>
                  <w:r>
                    <w:rPr>
                      <w:sz w:val="18"/>
                      <w:szCs w:val="18"/>
                      <w:u w:val="single"/>
                    </w:rPr>
                    <w:t>在线导热油</w:t>
                  </w:r>
                </w:p>
              </w:tc>
              <w:tc>
                <w:tcPr>
                  <w:tcW w:w="2470" w:type="dxa"/>
                  <w:tcBorders>
                    <w:tl2br w:val="nil"/>
                    <w:tr2bl w:val="nil"/>
                  </w:tcBorders>
                  <w:vAlign w:val="center"/>
                </w:tcPr>
                <w:p>
                  <w:pPr>
                    <w:adjustRightInd w:val="0"/>
                    <w:snapToGrid w:val="0"/>
                    <w:jc w:val="center"/>
                    <w:rPr>
                      <w:sz w:val="18"/>
                      <w:szCs w:val="18"/>
                      <w:u w:val="single"/>
                    </w:rPr>
                  </w:pPr>
                  <w:r>
                    <w:rPr>
                      <w:sz w:val="18"/>
                      <w:szCs w:val="18"/>
                      <w:u w:val="single"/>
                    </w:rPr>
                    <w:t>有机热载体炉本体盘管内部</w:t>
                  </w:r>
                </w:p>
              </w:tc>
              <w:tc>
                <w:tcPr>
                  <w:tcW w:w="1501" w:type="dxa"/>
                  <w:tcBorders>
                    <w:tl2br w:val="nil"/>
                    <w:tr2bl w:val="nil"/>
                  </w:tcBorders>
                  <w:vAlign w:val="center"/>
                </w:tcPr>
                <w:p>
                  <w:pPr>
                    <w:adjustRightInd w:val="0"/>
                    <w:snapToGrid w:val="0"/>
                    <w:jc w:val="center"/>
                    <w:rPr>
                      <w:sz w:val="18"/>
                      <w:szCs w:val="18"/>
                      <w:u w:val="single"/>
                    </w:rPr>
                  </w:pPr>
                  <w:r>
                    <w:rPr>
                      <w:sz w:val="18"/>
                      <w:szCs w:val="18"/>
                      <w:u w:val="single"/>
                    </w:rPr>
                    <w:t>约1.5t</w:t>
                  </w:r>
                </w:p>
              </w:tc>
              <w:tc>
                <w:tcPr>
                  <w:tcW w:w="1870" w:type="dxa"/>
                  <w:tcBorders>
                    <w:tl2br w:val="nil"/>
                    <w:tr2bl w:val="nil"/>
                  </w:tcBorders>
                  <w:vAlign w:val="center"/>
                </w:tcPr>
                <w:p>
                  <w:pPr>
                    <w:adjustRightInd w:val="0"/>
                    <w:snapToGrid w:val="0"/>
                    <w:jc w:val="center"/>
                    <w:rPr>
                      <w:sz w:val="18"/>
                      <w:szCs w:val="18"/>
                      <w:u w:val="single"/>
                    </w:rPr>
                  </w:pPr>
                  <w:r>
                    <w:rPr>
                      <w:sz w:val="18"/>
                      <w:szCs w:val="18"/>
                      <w:u w:val="single"/>
                    </w:rPr>
                    <w:t>高温液态（约270℃），闭路循环</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169" w:type="dxa"/>
                  <w:vMerge w:val="continue"/>
                  <w:tcBorders>
                    <w:tl2br w:val="nil"/>
                    <w:tr2bl w:val="nil"/>
                  </w:tcBorders>
                  <w:vAlign w:val="center"/>
                </w:tcPr>
                <w:p>
                  <w:pPr>
                    <w:adjustRightInd w:val="0"/>
                    <w:snapToGrid w:val="0"/>
                    <w:jc w:val="center"/>
                    <w:rPr>
                      <w:sz w:val="18"/>
                      <w:szCs w:val="18"/>
                      <w:u w:val="single"/>
                    </w:rPr>
                  </w:pPr>
                </w:p>
              </w:tc>
              <w:tc>
                <w:tcPr>
                  <w:tcW w:w="1491" w:type="dxa"/>
                  <w:tcBorders>
                    <w:tl2br w:val="nil"/>
                    <w:tr2bl w:val="nil"/>
                  </w:tcBorders>
                  <w:vAlign w:val="center"/>
                </w:tcPr>
                <w:p>
                  <w:pPr>
                    <w:adjustRightInd w:val="0"/>
                    <w:snapToGrid w:val="0"/>
                    <w:jc w:val="center"/>
                    <w:rPr>
                      <w:sz w:val="18"/>
                      <w:szCs w:val="18"/>
                      <w:u w:val="single"/>
                    </w:rPr>
                  </w:pPr>
                  <w:r>
                    <w:rPr>
                      <w:sz w:val="18"/>
                      <w:szCs w:val="18"/>
                      <w:u w:val="single"/>
                    </w:rPr>
                    <w:t>在线导热油</w:t>
                  </w:r>
                </w:p>
              </w:tc>
              <w:tc>
                <w:tcPr>
                  <w:tcW w:w="2470" w:type="dxa"/>
                  <w:tcBorders>
                    <w:tl2br w:val="nil"/>
                    <w:tr2bl w:val="nil"/>
                  </w:tcBorders>
                  <w:vAlign w:val="center"/>
                </w:tcPr>
                <w:p>
                  <w:pPr>
                    <w:adjustRightInd w:val="0"/>
                    <w:snapToGrid w:val="0"/>
                    <w:jc w:val="center"/>
                    <w:rPr>
                      <w:sz w:val="18"/>
                      <w:szCs w:val="18"/>
                      <w:u w:val="single"/>
                    </w:rPr>
                  </w:pPr>
                  <w:r>
                    <w:rPr>
                      <w:sz w:val="18"/>
                      <w:szCs w:val="18"/>
                      <w:u w:val="single"/>
                    </w:rPr>
                    <w:t>导热油循环供油/回油管路中</w:t>
                  </w:r>
                </w:p>
              </w:tc>
              <w:tc>
                <w:tcPr>
                  <w:tcW w:w="1501" w:type="dxa"/>
                  <w:tcBorders>
                    <w:tl2br w:val="nil"/>
                    <w:tr2bl w:val="nil"/>
                  </w:tcBorders>
                  <w:vAlign w:val="center"/>
                </w:tcPr>
                <w:p>
                  <w:pPr>
                    <w:adjustRightInd w:val="0"/>
                    <w:snapToGrid w:val="0"/>
                    <w:jc w:val="center"/>
                    <w:rPr>
                      <w:sz w:val="18"/>
                      <w:szCs w:val="18"/>
                      <w:u w:val="single"/>
                    </w:rPr>
                  </w:pPr>
                  <w:r>
                    <w:rPr>
                      <w:sz w:val="18"/>
                      <w:szCs w:val="18"/>
                      <w:u w:val="single"/>
                    </w:rPr>
                    <w:t>约0.4t</w:t>
                  </w:r>
                </w:p>
              </w:tc>
              <w:tc>
                <w:tcPr>
                  <w:tcW w:w="1870" w:type="dxa"/>
                  <w:tcBorders>
                    <w:tl2br w:val="nil"/>
                    <w:tr2bl w:val="nil"/>
                  </w:tcBorders>
                  <w:vAlign w:val="center"/>
                </w:tcPr>
                <w:p>
                  <w:pPr>
                    <w:adjustRightInd w:val="0"/>
                    <w:snapToGrid w:val="0"/>
                    <w:jc w:val="center"/>
                    <w:rPr>
                      <w:sz w:val="18"/>
                      <w:szCs w:val="18"/>
                      <w:u w:val="single"/>
                    </w:rPr>
                  </w:pPr>
                  <w:r>
                    <w:rPr>
                      <w:sz w:val="18"/>
                      <w:szCs w:val="18"/>
                      <w:u w:val="single"/>
                    </w:rPr>
                    <w:t>高温液态，闭路循环</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169" w:type="dxa"/>
                  <w:vMerge w:val="continue"/>
                  <w:tcBorders>
                    <w:tl2br w:val="nil"/>
                    <w:tr2bl w:val="nil"/>
                  </w:tcBorders>
                  <w:vAlign w:val="center"/>
                </w:tcPr>
                <w:p>
                  <w:pPr>
                    <w:adjustRightInd w:val="0"/>
                    <w:snapToGrid w:val="0"/>
                    <w:jc w:val="center"/>
                    <w:rPr>
                      <w:sz w:val="18"/>
                      <w:szCs w:val="18"/>
                      <w:u w:val="single"/>
                    </w:rPr>
                  </w:pPr>
                </w:p>
              </w:tc>
              <w:tc>
                <w:tcPr>
                  <w:tcW w:w="1491" w:type="dxa"/>
                  <w:tcBorders>
                    <w:tl2br w:val="nil"/>
                    <w:tr2bl w:val="nil"/>
                  </w:tcBorders>
                  <w:vAlign w:val="center"/>
                </w:tcPr>
                <w:p>
                  <w:pPr>
                    <w:adjustRightInd w:val="0"/>
                    <w:snapToGrid w:val="0"/>
                    <w:jc w:val="center"/>
                    <w:rPr>
                      <w:sz w:val="18"/>
                      <w:szCs w:val="18"/>
                      <w:u w:val="single"/>
                    </w:rPr>
                  </w:pPr>
                  <w:r>
                    <w:rPr>
                      <w:sz w:val="18"/>
                      <w:szCs w:val="18"/>
                      <w:u w:val="single"/>
                    </w:rPr>
                    <w:t>在线导热油</w:t>
                  </w:r>
                </w:p>
              </w:tc>
              <w:tc>
                <w:tcPr>
                  <w:tcW w:w="2470" w:type="dxa"/>
                  <w:tcBorders>
                    <w:tl2br w:val="nil"/>
                    <w:tr2bl w:val="nil"/>
                  </w:tcBorders>
                  <w:vAlign w:val="center"/>
                </w:tcPr>
                <w:p>
                  <w:pPr>
                    <w:adjustRightInd w:val="0"/>
                    <w:snapToGrid w:val="0"/>
                    <w:jc w:val="center"/>
                    <w:rPr>
                      <w:sz w:val="18"/>
                      <w:szCs w:val="18"/>
                      <w:u w:val="single"/>
                    </w:rPr>
                  </w:pPr>
                  <w:r>
                    <w:rPr>
                      <w:sz w:val="18"/>
                      <w:szCs w:val="18"/>
                      <w:u w:val="single"/>
                    </w:rPr>
                    <w:t>用热设备内部（热压机等）</w:t>
                  </w:r>
                </w:p>
              </w:tc>
              <w:tc>
                <w:tcPr>
                  <w:tcW w:w="1501" w:type="dxa"/>
                  <w:tcBorders>
                    <w:tl2br w:val="nil"/>
                    <w:tr2bl w:val="nil"/>
                  </w:tcBorders>
                  <w:vAlign w:val="center"/>
                </w:tcPr>
                <w:p>
                  <w:pPr>
                    <w:adjustRightInd w:val="0"/>
                    <w:snapToGrid w:val="0"/>
                    <w:jc w:val="center"/>
                    <w:rPr>
                      <w:sz w:val="18"/>
                      <w:szCs w:val="18"/>
                      <w:u w:val="single"/>
                    </w:rPr>
                  </w:pPr>
                  <w:r>
                    <w:rPr>
                      <w:sz w:val="18"/>
                      <w:szCs w:val="18"/>
                      <w:u w:val="single"/>
                    </w:rPr>
                    <w:t>约0.05t</w:t>
                  </w:r>
                </w:p>
              </w:tc>
              <w:tc>
                <w:tcPr>
                  <w:tcW w:w="1870" w:type="dxa"/>
                  <w:tcBorders>
                    <w:tl2br w:val="nil"/>
                    <w:tr2bl w:val="nil"/>
                  </w:tcBorders>
                  <w:vAlign w:val="center"/>
                </w:tcPr>
                <w:p>
                  <w:pPr>
                    <w:adjustRightInd w:val="0"/>
                    <w:snapToGrid w:val="0"/>
                    <w:jc w:val="center"/>
                    <w:rPr>
                      <w:sz w:val="18"/>
                      <w:szCs w:val="18"/>
                      <w:u w:val="single"/>
                    </w:rPr>
                  </w:pPr>
                  <w:r>
                    <w:rPr>
                      <w:sz w:val="18"/>
                      <w:szCs w:val="18"/>
                      <w:u w:val="single"/>
                    </w:rPr>
                    <w:t>高温液态</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169" w:type="dxa"/>
                  <w:vMerge w:val="continue"/>
                  <w:tcBorders>
                    <w:tl2br w:val="nil"/>
                    <w:tr2bl w:val="nil"/>
                  </w:tcBorders>
                  <w:vAlign w:val="center"/>
                </w:tcPr>
                <w:p>
                  <w:pPr>
                    <w:adjustRightInd w:val="0"/>
                    <w:snapToGrid w:val="0"/>
                    <w:jc w:val="center"/>
                    <w:rPr>
                      <w:sz w:val="18"/>
                      <w:szCs w:val="18"/>
                      <w:u w:val="single"/>
                    </w:rPr>
                  </w:pPr>
                </w:p>
              </w:tc>
              <w:tc>
                <w:tcPr>
                  <w:tcW w:w="1491" w:type="dxa"/>
                  <w:tcBorders>
                    <w:tl2br w:val="nil"/>
                    <w:tr2bl w:val="nil"/>
                  </w:tcBorders>
                  <w:vAlign w:val="center"/>
                </w:tcPr>
                <w:p>
                  <w:pPr>
                    <w:adjustRightInd w:val="0"/>
                    <w:snapToGrid w:val="0"/>
                    <w:jc w:val="center"/>
                    <w:rPr>
                      <w:sz w:val="18"/>
                      <w:szCs w:val="18"/>
                      <w:u w:val="single"/>
                    </w:rPr>
                  </w:pPr>
                  <w:r>
                    <w:rPr>
                      <w:sz w:val="18"/>
                      <w:szCs w:val="18"/>
                      <w:u w:val="single"/>
                    </w:rPr>
                    <w:t>在线导热油</w:t>
                  </w:r>
                </w:p>
              </w:tc>
              <w:tc>
                <w:tcPr>
                  <w:tcW w:w="2470" w:type="dxa"/>
                  <w:tcBorders>
                    <w:tl2br w:val="nil"/>
                    <w:tr2bl w:val="nil"/>
                  </w:tcBorders>
                  <w:vAlign w:val="center"/>
                </w:tcPr>
                <w:p>
                  <w:pPr>
                    <w:adjustRightInd w:val="0"/>
                    <w:snapToGrid w:val="0"/>
                    <w:jc w:val="center"/>
                    <w:rPr>
                      <w:sz w:val="18"/>
                      <w:szCs w:val="18"/>
                      <w:u w:val="single"/>
                    </w:rPr>
                  </w:pPr>
                  <w:r>
                    <w:rPr>
                      <w:sz w:val="18"/>
                      <w:szCs w:val="18"/>
                      <w:u w:val="single"/>
                    </w:rPr>
                    <w:t>高位膨胀槽</w:t>
                  </w:r>
                </w:p>
              </w:tc>
              <w:tc>
                <w:tcPr>
                  <w:tcW w:w="1501" w:type="dxa"/>
                  <w:tcBorders>
                    <w:tl2br w:val="nil"/>
                    <w:tr2bl w:val="nil"/>
                  </w:tcBorders>
                  <w:vAlign w:val="center"/>
                </w:tcPr>
                <w:p>
                  <w:pPr>
                    <w:adjustRightInd w:val="0"/>
                    <w:snapToGrid w:val="0"/>
                    <w:jc w:val="center"/>
                    <w:rPr>
                      <w:sz w:val="18"/>
                      <w:szCs w:val="18"/>
                      <w:u w:val="single"/>
                    </w:rPr>
                  </w:pPr>
                  <w:r>
                    <w:rPr>
                      <w:sz w:val="18"/>
                      <w:szCs w:val="18"/>
                      <w:u w:val="single"/>
                    </w:rPr>
                    <w:t>约0.05t</w:t>
                  </w:r>
                </w:p>
              </w:tc>
              <w:tc>
                <w:tcPr>
                  <w:tcW w:w="1870" w:type="dxa"/>
                  <w:tcBorders>
                    <w:tl2br w:val="nil"/>
                    <w:tr2bl w:val="nil"/>
                  </w:tcBorders>
                  <w:vAlign w:val="center"/>
                </w:tcPr>
                <w:p>
                  <w:pPr>
                    <w:adjustRightInd w:val="0"/>
                    <w:snapToGrid w:val="0"/>
                    <w:jc w:val="center"/>
                    <w:rPr>
                      <w:sz w:val="18"/>
                      <w:szCs w:val="18"/>
                      <w:u w:val="single"/>
                    </w:rPr>
                  </w:pPr>
                  <w:r>
                    <w:rPr>
                      <w:sz w:val="18"/>
                      <w:szCs w:val="18"/>
                      <w:u w:val="single"/>
                    </w:rPr>
                    <w:t>高温液态</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169" w:type="dxa"/>
                  <w:vMerge w:val="continue"/>
                  <w:tcBorders>
                    <w:tl2br w:val="nil"/>
                    <w:tr2bl w:val="nil"/>
                  </w:tcBorders>
                  <w:vAlign w:val="center"/>
                </w:tcPr>
                <w:p>
                  <w:pPr>
                    <w:adjustRightInd w:val="0"/>
                    <w:snapToGrid w:val="0"/>
                    <w:jc w:val="center"/>
                    <w:rPr>
                      <w:sz w:val="18"/>
                      <w:szCs w:val="18"/>
                      <w:u w:val="single"/>
                    </w:rPr>
                  </w:pPr>
                </w:p>
              </w:tc>
              <w:tc>
                <w:tcPr>
                  <w:tcW w:w="1491" w:type="dxa"/>
                  <w:tcBorders>
                    <w:tl2br w:val="nil"/>
                    <w:tr2bl w:val="nil"/>
                  </w:tcBorders>
                  <w:vAlign w:val="center"/>
                </w:tcPr>
                <w:p>
                  <w:pPr>
                    <w:adjustRightInd w:val="0"/>
                    <w:snapToGrid w:val="0"/>
                    <w:jc w:val="center"/>
                    <w:rPr>
                      <w:sz w:val="18"/>
                      <w:szCs w:val="18"/>
                      <w:u w:val="single"/>
                    </w:rPr>
                  </w:pPr>
                  <w:r>
                    <w:rPr>
                      <w:sz w:val="18"/>
                      <w:szCs w:val="18"/>
                      <w:u w:val="single"/>
                    </w:rPr>
                    <w:t>生物质成型燃料</w:t>
                  </w:r>
                </w:p>
              </w:tc>
              <w:tc>
                <w:tcPr>
                  <w:tcW w:w="2470" w:type="dxa"/>
                  <w:tcBorders>
                    <w:tl2br w:val="nil"/>
                    <w:tr2bl w:val="nil"/>
                  </w:tcBorders>
                  <w:vAlign w:val="center"/>
                </w:tcPr>
                <w:p>
                  <w:pPr>
                    <w:adjustRightInd w:val="0"/>
                    <w:snapToGrid w:val="0"/>
                    <w:jc w:val="center"/>
                    <w:rPr>
                      <w:sz w:val="18"/>
                      <w:szCs w:val="18"/>
                      <w:u w:val="single"/>
                    </w:rPr>
                  </w:pPr>
                  <w:r>
                    <w:rPr>
                      <w:sz w:val="18"/>
                      <w:szCs w:val="18"/>
                      <w:u w:val="single"/>
                    </w:rPr>
                    <w:t>锅炉房燃料堆放区</w:t>
                  </w:r>
                </w:p>
              </w:tc>
              <w:tc>
                <w:tcPr>
                  <w:tcW w:w="1501" w:type="dxa"/>
                  <w:tcBorders>
                    <w:tl2br w:val="nil"/>
                    <w:tr2bl w:val="nil"/>
                  </w:tcBorders>
                  <w:vAlign w:val="center"/>
                </w:tcPr>
                <w:p>
                  <w:pPr>
                    <w:adjustRightInd w:val="0"/>
                    <w:snapToGrid w:val="0"/>
                    <w:jc w:val="center"/>
                    <w:rPr>
                      <w:sz w:val="18"/>
                      <w:szCs w:val="18"/>
                      <w:u w:val="single"/>
                    </w:rPr>
                  </w:pPr>
                  <w:r>
                    <w:rPr>
                      <w:sz w:val="18"/>
                      <w:szCs w:val="18"/>
                      <w:u w:val="single"/>
                    </w:rPr>
                    <w:t>约5t</w:t>
                  </w:r>
                </w:p>
              </w:tc>
              <w:tc>
                <w:tcPr>
                  <w:tcW w:w="1870" w:type="dxa"/>
                  <w:tcBorders>
                    <w:tl2br w:val="nil"/>
                    <w:tr2bl w:val="nil"/>
                  </w:tcBorders>
                  <w:vAlign w:val="center"/>
                </w:tcPr>
                <w:p>
                  <w:pPr>
                    <w:adjustRightInd w:val="0"/>
                    <w:snapToGrid w:val="0"/>
                    <w:jc w:val="center"/>
                    <w:rPr>
                      <w:sz w:val="18"/>
                      <w:szCs w:val="18"/>
                      <w:u w:val="single"/>
                    </w:rPr>
                  </w:pPr>
                  <w:r>
                    <w:rPr>
                      <w:sz w:val="18"/>
                      <w:szCs w:val="18"/>
                      <w:u w:val="single"/>
                    </w:rPr>
                    <w:t>固态可燃物</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169" w:type="dxa"/>
                  <w:vMerge w:val="restart"/>
                  <w:tcBorders>
                    <w:tl2br w:val="nil"/>
                    <w:tr2bl w:val="nil"/>
                  </w:tcBorders>
                  <w:vAlign w:val="center"/>
                </w:tcPr>
                <w:p>
                  <w:pPr>
                    <w:adjustRightInd w:val="0"/>
                    <w:snapToGrid w:val="0"/>
                    <w:jc w:val="center"/>
                    <w:rPr>
                      <w:sz w:val="18"/>
                      <w:szCs w:val="18"/>
                      <w:u w:val="single"/>
                    </w:rPr>
                  </w:pPr>
                  <w:r>
                    <w:rPr>
                      <w:sz w:val="18"/>
                      <w:szCs w:val="18"/>
                      <w:u w:val="single"/>
                    </w:rPr>
                    <w:t>危废暂存间</w:t>
                  </w:r>
                </w:p>
              </w:tc>
              <w:tc>
                <w:tcPr>
                  <w:tcW w:w="1491" w:type="dxa"/>
                  <w:tcBorders>
                    <w:tl2br w:val="nil"/>
                    <w:tr2bl w:val="nil"/>
                  </w:tcBorders>
                  <w:vAlign w:val="center"/>
                </w:tcPr>
                <w:p>
                  <w:pPr>
                    <w:adjustRightInd w:val="0"/>
                    <w:snapToGrid w:val="0"/>
                    <w:jc w:val="center"/>
                    <w:rPr>
                      <w:sz w:val="18"/>
                      <w:szCs w:val="18"/>
                      <w:u w:val="single"/>
                    </w:rPr>
                  </w:pPr>
                  <w:r>
                    <w:rPr>
                      <w:sz w:val="18"/>
                      <w:szCs w:val="18"/>
                      <w:u w:val="single"/>
                    </w:rPr>
                    <w:t>废导热油</w:t>
                  </w:r>
                </w:p>
              </w:tc>
              <w:tc>
                <w:tcPr>
                  <w:tcW w:w="2470" w:type="dxa"/>
                  <w:tcBorders>
                    <w:tl2br w:val="nil"/>
                    <w:tr2bl w:val="nil"/>
                  </w:tcBorders>
                  <w:vAlign w:val="center"/>
                </w:tcPr>
                <w:p>
                  <w:pPr>
                    <w:adjustRightInd w:val="0"/>
                    <w:snapToGrid w:val="0"/>
                    <w:jc w:val="center"/>
                    <w:rPr>
                      <w:sz w:val="18"/>
                      <w:szCs w:val="18"/>
                      <w:u w:val="single"/>
                    </w:rPr>
                  </w:pPr>
                  <w:r>
                    <w:rPr>
                      <w:sz w:val="18"/>
                      <w:szCs w:val="18"/>
                      <w:u w:val="single"/>
                    </w:rPr>
                    <w:t>液态危废贮存区（200L铁桶）</w:t>
                  </w:r>
                </w:p>
              </w:tc>
              <w:tc>
                <w:tcPr>
                  <w:tcW w:w="1501" w:type="dxa"/>
                  <w:tcBorders>
                    <w:tl2br w:val="nil"/>
                    <w:tr2bl w:val="nil"/>
                  </w:tcBorders>
                  <w:vAlign w:val="center"/>
                </w:tcPr>
                <w:p>
                  <w:pPr>
                    <w:adjustRightInd w:val="0"/>
                    <w:snapToGrid w:val="0"/>
                    <w:jc w:val="center"/>
                    <w:rPr>
                      <w:sz w:val="18"/>
                      <w:szCs w:val="18"/>
                      <w:u w:val="single"/>
                    </w:rPr>
                  </w:pPr>
                  <w:r>
                    <w:rPr>
                      <w:sz w:val="18"/>
                      <w:szCs w:val="18"/>
                      <w:u w:val="single"/>
                    </w:rPr>
                    <w:t>1.0~2.0t（约5~10桶）</w:t>
                  </w:r>
                </w:p>
              </w:tc>
              <w:tc>
                <w:tcPr>
                  <w:tcW w:w="1870" w:type="dxa"/>
                  <w:tcBorders>
                    <w:tl2br w:val="nil"/>
                    <w:tr2bl w:val="nil"/>
                  </w:tcBorders>
                  <w:vAlign w:val="center"/>
                </w:tcPr>
                <w:p>
                  <w:pPr>
                    <w:adjustRightInd w:val="0"/>
                    <w:snapToGrid w:val="0"/>
                    <w:jc w:val="center"/>
                    <w:rPr>
                      <w:sz w:val="18"/>
                      <w:szCs w:val="18"/>
                      <w:u w:val="single"/>
                    </w:rPr>
                  </w:pPr>
                  <w:r>
                    <w:rPr>
                      <w:sz w:val="18"/>
                      <w:szCs w:val="18"/>
                      <w:u w:val="single"/>
                    </w:rPr>
                    <w:t>液态，桶装密闭</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169" w:type="dxa"/>
                  <w:vMerge w:val="continue"/>
                  <w:tcBorders>
                    <w:tl2br w:val="nil"/>
                    <w:tr2bl w:val="nil"/>
                  </w:tcBorders>
                  <w:vAlign w:val="center"/>
                </w:tcPr>
                <w:p>
                  <w:pPr>
                    <w:adjustRightInd w:val="0"/>
                    <w:snapToGrid w:val="0"/>
                    <w:jc w:val="center"/>
                    <w:rPr>
                      <w:sz w:val="18"/>
                      <w:szCs w:val="18"/>
                      <w:u w:val="single"/>
                    </w:rPr>
                  </w:pPr>
                </w:p>
              </w:tc>
              <w:tc>
                <w:tcPr>
                  <w:tcW w:w="1491" w:type="dxa"/>
                  <w:tcBorders>
                    <w:tl2br w:val="nil"/>
                    <w:tr2bl w:val="nil"/>
                  </w:tcBorders>
                  <w:vAlign w:val="center"/>
                </w:tcPr>
                <w:p>
                  <w:pPr>
                    <w:adjustRightInd w:val="0"/>
                    <w:snapToGrid w:val="0"/>
                    <w:jc w:val="center"/>
                    <w:rPr>
                      <w:sz w:val="18"/>
                      <w:szCs w:val="18"/>
                      <w:u w:val="single"/>
                    </w:rPr>
                  </w:pPr>
                  <w:r>
                    <w:rPr>
                      <w:sz w:val="18"/>
                      <w:szCs w:val="18"/>
                      <w:u w:val="single"/>
                    </w:rPr>
                    <w:t>废机油</w:t>
                  </w:r>
                </w:p>
              </w:tc>
              <w:tc>
                <w:tcPr>
                  <w:tcW w:w="2470" w:type="dxa"/>
                  <w:tcBorders>
                    <w:tl2br w:val="nil"/>
                    <w:tr2bl w:val="nil"/>
                  </w:tcBorders>
                  <w:vAlign w:val="center"/>
                </w:tcPr>
                <w:p>
                  <w:pPr>
                    <w:adjustRightInd w:val="0"/>
                    <w:snapToGrid w:val="0"/>
                    <w:jc w:val="center"/>
                    <w:rPr>
                      <w:sz w:val="18"/>
                      <w:szCs w:val="18"/>
                      <w:u w:val="single"/>
                    </w:rPr>
                  </w:pPr>
                  <w:r>
                    <w:rPr>
                      <w:sz w:val="18"/>
                      <w:szCs w:val="18"/>
                      <w:u w:val="single"/>
                    </w:rPr>
                    <w:t>液态危废贮存区（专用容器）</w:t>
                  </w:r>
                </w:p>
              </w:tc>
              <w:tc>
                <w:tcPr>
                  <w:tcW w:w="1501" w:type="dxa"/>
                  <w:tcBorders>
                    <w:tl2br w:val="nil"/>
                    <w:tr2bl w:val="nil"/>
                  </w:tcBorders>
                  <w:vAlign w:val="center"/>
                </w:tcPr>
                <w:p>
                  <w:pPr>
                    <w:adjustRightInd w:val="0"/>
                    <w:snapToGrid w:val="0"/>
                    <w:jc w:val="center"/>
                    <w:rPr>
                      <w:sz w:val="18"/>
                      <w:szCs w:val="18"/>
                      <w:u w:val="single"/>
                    </w:rPr>
                  </w:pPr>
                  <w:r>
                    <w:rPr>
                      <w:sz w:val="18"/>
                      <w:szCs w:val="18"/>
                      <w:u w:val="single"/>
                    </w:rPr>
                    <w:t>0.03t（约1~2桶）</w:t>
                  </w:r>
                </w:p>
              </w:tc>
              <w:tc>
                <w:tcPr>
                  <w:tcW w:w="1870" w:type="dxa"/>
                  <w:tcBorders>
                    <w:tl2br w:val="nil"/>
                    <w:tr2bl w:val="nil"/>
                  </w:tcBorders>
                  <w:vAlign w:val="center"/>
                </w:tcPr>
                <w:p>
                  <w:pPr>
                    <w:adjustRightInd w:val="0"/>
                    <w:snapToGrid w:val="0"/>
                    <w:jc w:val="center"/>
                    <w:rPr>
                      <w:sz w:val="18"/>
                      <w:szCs w:val="18"/>
                      <w:u w:val="single"/>
                    </w:rPr>
                  </w:pPr>
                  <w:r>
                    <w:rPr>
                      <w:sz w:val="18"/>
                      <w:szCs w:val="18"/>
                      <w:u w:val="single"/>
                    </w:rPr>
                    <w:t>液态，桶装密闭</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169" w:type="dxa"/>
                  <w:vMerge w:val="continue"/>
                  <w:tcBorders>
                    <w:tl2br w:val="nil"/>
                    <w:tr2bl w:val="nil"/>
                  </w:tcBorders>
                  <w:vAlign w:val="center"/>
                </w:tcPr>
                <w:p>
                  <w:pPr>
                    <w:adjustRightInd w:val="0"/>
                    <w:snapToGrid w:val="0"/>
                    <w:jc w:val="center"/>
                    <w:rPr>
                      <w:sz w:val="18"/>
                      <w:szCs w:val="18"/>
                      <w:u w:val="single"/>
                    </w:rPr>
                  </w:pPr>
                </w:p>
              </w:tc>
              <w:tc>
                <w:tcPr>
                  <w:tcW w:w="1491" w:type="dxa"/>
                  <w:tcBorders>
                    <w:tl2br w:val="nil"/>
                    <w:tr2bl w:val="nil"/>
                  </w:tcBorders>
                  <w:vAlign w:val="center"/>
                </w:tcPr>
                <w:p>
                  <w:pPr>
                    <w:adjustRightInd w:val="0"/>
                    <w:snapToGrid w:val="0"/>
                    <w:jc w:val="center"/>
                    <w:rPr>
                      <w:sz w:val="18"/>
                      <w:szCs w:val="18"/>
                      <w:u w:val="single"/>
                    </w:rPr>
                  </w:pPr>
                  <w:r>
                    <w:rPr>
                      <w:sz w:val="18"/>
                      <w:szCs w:val="18"/>
                      <w:u w:val="single"/>
                    </w:rPr>
                    <w:t>含油废抹布</w:t>
                  </w:r>
                </w:p>
              </w:tc>
              <w:tc>
                <w:tcPr>
                  <w:tcW w:w="2470" w:type="dxa"/>
                  <w:tcBorders>
                    <w:tl2br w:val="nil"/>
                    <w:tr2bl w:val="nil"/>
                  </w:tcBorders>
                  <w:vAlign w:val="center"/>
                </w:tcPr>
                <w:p>
                  <w:pPr>
                    <w:adjustRightInd w:val="0"/>
                    <w:snapToGrid w:val="0"/>
                    <w:jc w:val="center"/>
                    <w:rPr>
                      <w:sz w:val="18"/>
                      <w:szCs w:val="18"/>
                      <w:u w:val="single"/>
                    </w:rPr>
                  </w:pPr>
                  <w:r>
                    <w:rPr>
                      <w:sz w:val="18"/>
                      <w:szCs w:val="18"/>
                      <w:u w:val="single"/>
                    </w:rPr>
                    <w:t>固态危废贮存区（专用容器）</w:t>
                  </w:r>
                </w:p>
              </w:tc>
              <w:tc>
                <w:tcPr>
                  <w:tcW w:w="1501" w:type="dxa"/>
                  <w:tcBorders>
                    <w:tl2br w:val="nil"/>
                    <w:tr2bl w:val="nil"/>
                  </w:tcBorders>
                  <w:vAlign w:val="center"/>
                </w:tcPr>
                <w:p>
                  <w:pPr>
                    <w:adjustRightInd w:val="0"/>
                    <w:snapToGrid w:val="0"/>
                    <w:jc w:val="center"/>
                    <w:rPr>
                      <w:sz w:val="18"/>
                      <w:szCs w:val="18"/>
                      <w:u w:val="single"/>
                    </w:rPr>
                  </w:pPr>
                  <w:r>
                    <w:rPr>
                      <w:sz w:val="18"/>
                      <w:szCs w:val="18"/>
                      <w:u w:val="single"/>
                    </w:rPr>
                    <w:t>0.01t</w:t>
                  </w:r>
                </w:p>
              </w:tc>
              <w:tc>
                <w:tcPr>
                  <w:tcW w:w="1870" w:type="dxa"/>
                  <w:tcBorders>
                    <w:tl2br w:val="nil"/>
                    <w:tr2bl w:val="nil"/>
                  </w:tcBorders>
                  <w:vAlign w:val="center"/>
                </w:tcPr>
                <w:p>
                  <w:pPr>
                    <w:adjustRightInd w:val="0"/>
                    <w:snapToGrid w:val="0"/>
                    <w:jc w:val="center"/>
                    <w:rPr>
                      <w:sz w:val="18"/>
                      <w:szCs w:val="18"/>
                      <w:u w:val="single"/>
                    </w:rPr>
                  </w:pPr>
                  <w:r>
                    <w:rPr>
                      <w:sz w:val="18"/>
                      <w:szCs w:val="18"/>
                      <w:u w:val="single"/>
                    </w:rPr>
                    <w:t>固态，袋装</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169" w:type="dxa"/>
                  <w:vMerge w:val="continue"/>
                  <w:tcBorders>
                    <w:tl2br w:val="nil"/>
                    <w:tr2bl w:val="nil"/>
                  </w:tcBorders>
                  <w:vAlign w:val="center"/>
                </w:tcPr>
                <w:p>
                  <w:pPr>
                    <w:adjustRightInd w:val="0"/>
                    <w:snapToGrid w:val="0"/>
                    <w:jc w:val="center"/>
                    <w:rPr>
                      <w:sz w:val="18"/>
                      <w:szCs w:val="18"/>
                      <w:u w:val="single"/>
                    </w:rPr>
                  </w:pPr>
                </w:p>
              </w:tc>
              <w:tc>
                <w:tcPr>
                  <w:tcW w:w="1491" w:type="dxa"/>
                  <w:tcBorders>
                    <w:tl2br w:val="nil"/>
                    <w:tr2bl w:val="nil"/>
                  </w:tcBorders>
                  <w:vAlign w:val="center"/>
                </w:tcPr>
                <w:p>
                  <w:pPr>
                    <w:adjustRightInd w:val="0"/>
                    <w:snapToGrid w:val="0"/>
                    <w:jc w:val="center"/>
                    <w:rPr>
                      <w:sz w:val="18"/>
                      <w:szCs w:val="18"/>
                      <w:u w:val="single"/>
                    </w:rPr>
                  </w:pPr>
                  <w:r>
                    <w:rPr>
                      <w:sz w:val="18"/>
                      <w:szCs w:val="18"/>
                      <w:u w:val="single"/>
                    </w:rPr>
                    <w:t>废油桶</w:t>
                  </w:r>
                </w:p>
              </w:tc>
              <w:tc>
                <w:tcPr>
                  <w:tcW w:w="2470" w:type="dxa"/>
                  <w:tcBorders>
                    <w:tl2br w:val="nil"/>
                    <w:tr2bl w:val="nil"/>
                  </w:tcBorders>
                  <w:vAlign w:val="center"/>
                </w:tcPr>
                <w:p>
                  <w:pPr>
                    <w:adjustRightInd w:val="0"/>
                    <w:snapToGrid w:val="0"/>
                    <w:jc w:val="center"/>
                    <w:rPr>
                      <w:sz w:val="18"/>
                      <w:szCs w:val="18"/>
                      <w:u w:val="single"/>
                    </w:rPr>
                  </w:pPr>
                  <w:r>
                    <w:rPr>
                      <w:sz w:val="18"/>
                      <w:szCs w:val="18"/>
                      <w:u w:val="single"/>
                    </w:rPr>
                    <w:t>固态危废贮存区</w:t>
                  </w:r>
                </w:p>
              </w:tc>
              <w:tc>
                <w:tcPr>
                  <w:tcW w:w="1501" w:type="dxa"/>
                  <w:tcBorders>
                    <w:tl2br w:val="nil"/>
                    <w:tr2bl w:val="nil"/>
                  </w:tcBorders>
                  <w:vAlign w:val="center"/>
                </w:tcPr>
                <w:p>
                  <w:pPr>
                    <w:adjustRightInd w:val="0"/>
                    <w:snapToGrid w:val="0"/>
                    <w:jc w:val="center"/>
                    <w:rPr>
                      <w:sz w:val="18"/>
                      <w:szCs w:val="18"/>
                      <w:u w:val="single"/>
                    </w:rPr>
                  </w:pPr>
                  <w:r>
                    <w:rPr>
                      <w:sz w:val="18"/>
                      <w:szCs w:val="18"/>
                      <w:u w:val="single"/>
                    </w:rPr>
                    <w:t>0.02t</w:t>
                  </w:r>
                </w:p>
              </w:tc>
              <w:tc>
                <w:tcPr>
                  <w:tcW w:w="1870" w:type="dxa"/>
                  <w:tcBorders>
                    <w:tl2br w:val="nil"/>
                    <w:tr2bl w:val="nil"/>
                  </w:tcBorders>
                  <w:vAlign w:val="center"/>
                </w:tcPr>
                <w:p>
                  <w:pPr>
                    <w:adjustRightInd w:val="0"/>
                    <w:snapToGrid w:val="0"/>
                    <w:jc w:val="center"/>
                    <w:rPr>
                      <w:sz w:val="18"/>
                      <w:szCs w:val="18"/>
                      <w:u w:val="single"/>
                    </w:rPr>
                  </w:pPr>
                  <w:r>
                    <w:rPr>
                      <w:sz w:val="18"/>
                      <w:szCs w:val="18"/>
                      <w:u w:val="single"/>
                    </w:rPr>
                    <w:t>固态，加盖密闭</w:t>
                  </w:r>
                </w:p>
              </w:tc>
            </w:tr>
          </w:tbl>
          <w:p>
            <w:pPr>
              <w:spacing w:line="360" w:lineRule="auto"/>
              <w:ind w:firstLine="420" w:firstLineChars="200"/>
              <w:jc w:val="left"/>
              <w:rPr>
                <w:u w:val="single"/>
              </w:rPr>
            </w:pPr>
            <w:r>
              <w:rPr>
                <w:u w:val="single"/>
              </w:rPr>
              <w:t>全部在线导热油及危险废物均位于厂区现有厂界范围内。导热油由专业罐车运输公司负责运输进厂并注入系统，废导热油及废机油由处置单位派车入厂装运，不涉及厂外自行运输环节。</w:t>
            </w:r>
          </w:p>
          <w:p>
            <w:pPr>
              <w:spacing w:line="360" w:lineRule="auto"/>
              <w:ind w:firstLine="420" w:firstLineChars="200"/>
              <w:jc w:val="left"/>
              <w:rPr>
                <w:u w:val="single"/>
              </w:rPr>
            </w:pPr>
            <w:r>
              <w:rPr>
                <w:u w:val="single"/>
              </w:rPr>
              <w:t>3、可能影响途径</w:t>
            </w:r>
          </w:p>
          <w:p>
            <w:pPr>
              <w:spacing w:line="360" w:lineRule="auto"/>
              <w:ind w:firstLine="420" w:firstLineChars="200"/>
              <w:jc w:val="left"/>
              <w:rPr>
                <w:u w:val="single"/>
              </w:rPr>
            </w:pPr>
            <w:r>
              <w:rPr>
                <w:u w:val="single"/>
              </w:rPr>
              <w:t>本项目可能发生的环境风险事故类型为导热油泄漏、废机油泄漏及泄漏引发的火灾事故。</w:t>
            </w:r>
          </w:p>
          <w:p>
            <w:pPr>
              <w:spacing w:line="360" w:lineRule="auto"/>
              <w:ind w:firstLine="420" w:firstLineChars="200"/>
              <w:jc w:val="left"/>
              <w:rPr>
                <w:u w:val="single"/>
              </w:rPr>
            </w:pPr>
            <w:r>
              <w:rPr>
                <w:u w:val="single"/>
              </w:rPr>
              <w:t>（1）导热油泄漏影响途径</w:t>
            </w:r>
          </w:p>
          <w:p>
            <w:pPr>
              <w:spacing w:line="360" w:lineRule="auto"/>
              <w:ind w:firstLine="420" w:firstLineChars="200"/>
              <w:jc w:val="left"/>
              <w:rPr>
                <w:u w:val="single"/>
              </w:rPr>
            </w:pPr>
            <w:r>
              <w:rPr>
                <w:u w:val="single"/>
              </w:rPr>
              <w:t>①锅炉房内在线导热油泄漏</w:t>
            </w:r>
          </w:p>
          <w:p>
            <w:pPr>
              <w:spacing w:line="360" w:lineRule="auto"/>
              <w:ind w:firstLine="420" w:firstLineChars="200"/>
              <w:jc w:val="left"/>
              <w:rPr>
                <w:u w:val="single"/>
              </w:rPr>
            </w:pPr>
            <w:r>
              <w:rPr>
                <w:u w:val="single"/>
              </w:rPr>
              <w:t>在炉管腐蚀破裂（高温运行工况下因材质缺陷、腐蚀减薄或超温过热）、管路法兰接口松动、阀门损坏等情况下可能发生在线导热油泄漏。泄漏的高温导热油（约270℃）在系统压力下喷射溢出，遇空气可能产生油雾，部分挥发性有机物（VOCs）逸散至锅炉房内空气中，对操作人员健康及室内空气质量造成短期影响。</w:t>
            </w:r>
          </w:p>
          <w:p>
            <w:pPr>
              <w:spacing w:line="360" w:lineRule="auto"/>
              <w:ind w:firstLine="420" w:firstLineChars="200"/>
              <w:jc w:val="left"/>
              <w:rPr>
                <w:u w:val="single"/>
              </w:rPr>
            </w:pPr>
            <w:r>
              <w:rPr>
                <w:u w:val="single"/>
              </w:rPr>
              <w:t>泄漏事故拦截与收集：锅炉房内有机热载体炉本体及导热油循环管路下方设有防渗混凝土围堰（有效容积4.0m</w:t>
            </w:r>
            <w:r>
              <w:rPr>
                <w:u w:val="single"/>
                <w:vertAlign w:val="superscript"/>
              </w:rPr>
              <w:t>3</w:t>
            </w:r>
            <w:r>
              <w:rPr>
                <w:u w:val="single"/>
              </w:rPr>
              <w:t>，大于导热油最大在线量约2.4m</w:t>
            </w:r>
            <w:r>
              <w:rPr>
                <w:u w:val="single"/>
                <w:vertAlign w:val="superscript"/>
              </w:rPr>
              <w:t>3</w:t>
            </w:r>
            <w:r>
              <w:rPr>
                <w:u w:val="single"/>
              </w:rPr>
              <w:t>），确保泄漏的导热油全部被拦截在围堰范围内，不会进入锅炉房其他区域及外环境。导热油系统设有温度、压力在线监控仪表及DCS联锁保护系统，一旦发生炉管破裂导致系统压力突降，控制系统在数秒内自动关闭锅炉加热系统及紧急切断阀，停止导热油循环泵运行，泄漏量可得到有效控制。围堰内无排水口，避免泄漏物通过排水系统外排。</w:t>
            </w:r>
          </w:p>
          <w:p>
            <w:pPr>
              <w:spacing w:line="360" w:lineRule="auto"/>
              <w:ind w:firstLine="420" w:firstLineChars="200"/>
              <w:jc w:val="left"/>
              <w:rPr>
                <w:u w:val="single"/>
              </w:rPr>
            </w:pPr>
            <w:r>
              <w:rPr>
                <w:u w:val="single"/>
              </w:rPr>
              <w:t>②危废暂存间内废导热油泄漏</w:t>
            </w:r>
          </w:p>
          <w:p>
            <w:pPr>
              <w:spacing w:line="360" w:lineRule="auto"/>
              <w:ind w:firstLine="420" w:firstLineChars="200"/>
              <w:jc w:val="left"/>
              <w:rPr>
                <w:u w:val="single"/>
              </w:rPr>
            </w:pPr>
            <w:r>
              <w:rPr>
                <w:u w:val="single"/>
              </w:rPr>
              <w:t>废导热油采用200L闭口铁桶存放于危废暂存间液态危废贮存区，若铁桶因腐蚀、碰撞等原因发生破损，废导热油可能泄漏至危废间地面。危废暂存间地面已进行重点防渗处理（渗透系数≤1.0×10</w:t>
            </w:r>
            <w:r>
              <w:rPr>
                <w:u w:val="single"/>
                <w:vertAlign w:val="superscript"/>
              </w:rPr>
              <w:t>-10</w:t>
            </w:r>
            <w:r>
              <w:rPr>
                <w:u w:val="single"/>
              </w:rPr>
              <w:t>cm/s），液态危废贮存分区设有围堰（有效容积≥0.5m</w:t>
            </w:r>
            <w:r>
              <w:rPr>
                <w:u w:val="single"/>
                <w:vertAlign w:val="superscript"/>
              </w:rPr>
              <w:t>3</w:t>
            </w:r>
            <w:r>
              <w:rPr>
                <w:u w:val="single"/>
              </w:rPr>
              <w:t>）及导流槽、收集池，单桶泄漏量（0.2m³）可被完全拦截，不进入其他危废分区及外环境。</w:t>
            </w:r>
          </w:p>
          <w:p>
            <w:pPr>
              <w:spacing w:line="360" w:lineRule="auto"/>
              <w:ind w:firstLine="420" w:firstLineChars="200"/>
              <w:jc w:val="left"/>
              <w:rPr>
                <w:u w:val="single"/>
              </w:rPr>
            </w:pPr>
            <w:r>
              <w:rPr>
                <w:u w:val="single"/>
              </w:rPr>
              <w:t>③废机油泄漏</w:t>
            </w:r>
          </w:p>
          <w:p>
            <w:pPr>
              <w:spacing w:line="360" w:lineRule="auto"/>
              <w:ind w:firstLine="420" w:firstLineChars="200"/>
              <w:jc w:val="left"/>
              <w:rPr>
                <w:u w:val="single"/>
              </w:rPr>
            </w:pPr>
            <w:r>
              <w:rPr>
                <w:u w:val="single"/>
              </w:rPr>
              <w:t>废机油采用专用容器密闭收集后暂存于危废暂存间液态危废贮存区，若容器破损发生泄漏，泄漏量较小（单桶≤0.05m³），可被液态危废贮存分区围堰有效拦截。</w:t>
            </w:r>
          </w:p>
          <w:p>
            <w:pPr>
              <w:spacing w:line="360" w:lineRule="auto"/>
              <w:ind w:firstLine="420" w:firstLineChars="200"/>
              <w:jc w:val="left"/>
              <w:rPr>
                <w:u w:val="single"/>
              </w:rPr>
            </w:pPr>
            <w:r>
              <w:rPr>
                <w:u w:val="single"/>
              </w:rPr>
              <w:t>④对地下水、土壤影响分析</w:t>
            </w:r>
          </w:p>
          <w:p>
            <w:pPr>
              <w:spacing w:line="360" w:lineRule="auto"/>
              <w:ind w:firstLine="420" w:firstLineChars="200"/>
              <w:jc w:val="left"/>
              <w:rPr>
                <w:u w:val="single"/>
              </w:rPr>
            </w:pPr>
            <w:r>
              <w:rPr>
                <w:u w:val="single"/>
              </w:rPr>
              <w:t>锅炉房围堰内及危废暂存间地面均已进行防渗处理（锅炉房渗透系数≤1.0×10</w:t>
            </w:r>
            <w:r>
              <w:rPr>
                <w:u w:val="single"/>
                <w:vertAlign w:val="superscript"/>
              </w:rPr>
              <w:t>-7</w:t>
            </w:r>
            <w:r>
              <w:rPr>
                <w:u w:val="single"/>
              </w:rPr>
              <w:t>cm/s，危废间渗透系数≤1.0×10</w:t>
            </w:r>
            <w:r>
              <w:rPr>
                <w:u w:val="single"/>
                <w:vertAlign w:val="superscript"/>
              </w:rPr>
              <w:t>-10</w:t>
            </w:r>
            <w:r>
              <w:rPr>
                <w:u w:val="single"/>
              </w:rPr>
              <w:t>cm/s），泄漏的导热油/废机油被围堰拦截，无入渗途径，不会对地下水、土壤造成污染。</w:t>
            </w:r>
          </w:p>
          <w:p>
            <w:pPr>
              <w:spacing w:line="360" w:lineRule="auto"/>
              <w:ind w:firstLine="420" w:firstLineChars="200"/>
              <w:jc w:val="left"/>
              <w:rPr>
                <w:u w:val="single"/>
              </w:rPr>
            </w:pPr>
            <w:r>
              <w:rPr>
                <w:u w:val="single"/>
              </w:rPr>
              <w:t>（2）废油桶、含油废抹布影响途径</w:t>
            </w:r>
          </w:p>
          <w:p>
            <w:pPr>
              <w:spacing w:line="360" w:lineRule="auto"/>
              <w:ind w:firstLine="420" w:firstLineChars="200"/>
              <w:jc w:val="left"/>
              <w:rPr>
                <w:u w:val="single"/>
              </w:rPr>
            </w:pPr>
            <w:r>
              <w:rPr>
                <w:u w:val="single"/>
              </w:rPr>
              <w:t>废油桶若未加盖密闭或发生破损，桶壁残留矿物油可能挥发产生少量油气（VOCs），对危废间内空气质量造成轻微影响，影响范围仅限于危废间内部。含油废抹布若随意堆放或未及时处置，残留矿物油可能渗漏，但在危废间防渗地面及规范管理条件下，无外泄途径。</w:t>
            </w:r>
          </w:p>
          <w:p>
            <w:pPr>
              <w:spacing w:line="360" w:lineRule="auto"/>
              <w:ind w:firstLine="420" w:firstLineChars="200"/>
              <w:jc w:val="left"/>
              <w:rPr>
                <w:u w:val="single"/>
              </w:rPr>
            </w:pPr>
            <w:r>
              <w:rPr>
                <w:u w:val="single"/>
              </w:rPr>
              <w:t>（3）火灾事故影响途径</w:t>
            </w:r>
          </w:p>
          <w:p>
            <w:pPr>
              <w:spacing w:line="360" w:lineRule="auto"/>
              <w:ind w:firstLine="420" w:firstLineChars="200"/>
              <w:jc w:val="left"/>
              <w:rPr>
                <w:u w:val="single"/>
              </w:rPr>
            </w:pPr>
            <w:r>
              <w:rPr>
                <w:u w:val="single"/>
              </w:rPr>
              <w:t>泄漏的导热油或废机油若遇明火、高温热表面或静电火花，可能引发火灾事故。导热油闪点≥180℃，自燃点≥350℃，常温下不易自燃，但在高温运行条件下（约270℃）发生泄漏时，闪点以下泄漏物遇点火源仍可能被引燃。</w:t>
            </w:r>
          </w:p>
          <w:p>
            <w:pPr>
              <w:spacing w:line="360" w:lineRule="auto"/>
              <w:ind w:firstLine="420" w:firstLineChars="200"/>
              <w:jc w:val="left"/>
              <w:rPr>
                <w:u w:val="single"/>
              </w:rPr>
            </w:pPr>
            <w:r>
              <w:rPr>
                <w:u w:val="single"/>
              </w:rPr>
              <w:t>①锅炉房内火灾控制</w:t>
            </w:r>
          </w:p>
          <w:p>
            <w:pPr>
              <w:spacing w:line="360" w:lineRule="auto"/>
              <w:ind w:firstLine="420" w:firstLineChars="200"/>
              <w:jc w:val="left"/>
              <w:rPr>
                <w:u w:val="single"/>
              </w:rPr>
            </w:pPr>
            <w:r>
              <w:rPr>
                <w:u w:val="single"/>
              </w:rPr>
              <w:t>锅炉房外墙为240mm砖混结构，具有≥2h耐火极限，可有效阻隔火势向外蔓延。房内配备足够数量的干粉灭火器及消防沙，可在火灾初期进行有效扑救（导热油火灾须使用干粉灭火器、二氧化碳灭火器或消防沙，严禁使用水、水基灭火器或泡沫灭火器直接灭火，否则可能导致热油飞溅、火势扩大）。围堰为不燃混凝土结构，可防止燃烧油品向外流淌形成流淌火。导热油系统设有紧急切断阀，泄漏发生后可在数秒内切断导热油循环及燃料供给，从源头控制火势发展。</w:t>
            </w:r>
          </w:p>
          <w:p>
            <w:pPr>
              <w:spacing w:line="360" w:lineRule="auto"/>
              <w:ind w:firstLine="420" w:firstLineChars="200"/>
              <w:jc w:val="left"/>
              <w:rPr>
                <w:u w:val="single"/>
              </w:rPr>
            </w:pPr>
            <w:r>
              <w:rPr>
                <w:u w:val="single"/>
              </w:rPr>
              <w:t>②危废暂存间内火灾控制</w:t>
            </w:r>
          </w:p>
          <w:p>
            <w:pPr>
              <w:spacing w:line="360" w:lineRule="auto"/>
              <w:ind w:firstLine="420" w:firstLineChars="200"/>
              <w:jc w:val="left"/>
              <w:rPr>
                <w:u w:val="single"/>
              </w:rPr>
            </w:pPr>
            <w:r>
              <w:rPr>
                <w:u w:val="single"/>
              </w:rPr>
              <w:t>危废暂存间为独立封闭建筑，与周边建筑保持安全防火间距，建筑耐火等级不低于二级。房内配备干粉灭火器及消防沙。废导热油及废机油单桶容量有限（最大0.2m³），泄漏量小，火势规模可控。液态危废贮存分区围堰可拦截消防废水和流淌火，确保火灾事故环境影响控制在危废间范围内。</w:t>
            </w:r>
          </w:p>
          <w:p>
            <w:pPr>
              <w:spacing w:line="360" w:lineRule="auto"/>
              <w:ind w:firstLine="420" w:firstLineChars="200"/>
              <w:jc w:val="left"/>
              <w:rPr>
                <w:u w:val="single"/>
              </w:rPr>
            </w:pPr>
            <w:r>
              <w:rPr>
                <w:u w:val="single"/>
              </w:rPr>
              <w:t>③火灾烟气影响</w:t>
            </w:r>
          </w:p>
          <w:p>
            <w:pPr>
              <w:spacing w:line="360" w:lineRule="auto"/>
              <w:ind w:firstLine="420" w:firstLineChars="200"/>
              <w:jc w:val="left"/>
              <w:rPr>
                <w:u w:val="single"/>
              </w:rPr>
            </w:pPr>
            <w:r>
              <w:rPr>
                <w:u w:val="single"/>
              </w:rPr>
              <w:t>火灾产生的燃烧烟气中主要含有一氧化碳、二氧化碳、氮氧化物及少量未完全燃烧的烃类物质，对下风向大气环境造成短期影响，主要影响范围为厂区及邻近区域。火灾事故应启动应急预案，及时疏散周边人员，并报告园区及生态环境主管部门。</w:t>
            </w:r>
          </w:p>
          <w:p>
            <w:pPr>
              <w:spacing w:line="360" w:lineRule="auto"/>
              <w:ind w:firstLine="420" w:firstLineChars="200"/>
              <w:jc w:val="left"/>
              <w:rPr>
                <w:u w:val="single"/>
              </w:rPr>
            </w:pPr>
            <w:r>
              <w:rPr>
                <w:u w:val="single"/>
              </w:rPr>
              <w:t>④消防废水影响</w:t>
            </w:r>
          </w:p>
          <w:p>
            <w:pPr>
              <w:spacing w:line="360" w:lineRule="auto"/>
              <w:ind w:firstLine="420" w:firstLineChars="200"/>
              <w:jc w:val="left"/>
              <w:rPr>
                <w:u w:val="single"/>
              </w:rPr>
            </w:pPr>
            <w:r>
              <w:rPr>
                <w:u w:val="single"/>
              </w:rPr>
              <w:t>消防用水量较小，被围堰拦截收集于围堰及收集池内，不会进入雨水管网或地表水体。事后委托有资质单位检测处置，达标后方可排放。</w:t>
            </w:r>
          </w:p>
          <w:p>
            <w:pPr>
              <w:spacing w:line="360" w:lineRule="auto"/>
              <w:ind w:firstLine="420" w:firstLineChars="200"/>
              <w:jc w:val="left"/>
              <w:rPr>
                <w:u w:val="single"/>
              </w:rPr>
            </w:pPr>
            <w:r>
              <w:rPr>
                <w:u w:val="single"/>
              </w:rPr>
              <w:t>（4）导热油高温氧化劣化事故</w:t>
            </w:r>
          </w:p>
          <w:p>
            <w:pPr>
              <w:spacing w:line="360" w:lineRule="auto"/>
              <w:ind w:firstLine="420" w:firstLineChars="200"/>
              <w:jc w:val="left"/>
              <w:rPr>
                <w:u w:val="single"/>
              </w:rPr>
            </w:pPr>
            <w:r>
              <w:rPr>
                <w:u w:val="single"/>
              </w:rPr>
              <w:t>导热油在长期高温运行条件下可能发生热氧化劣化，生成低沸物和高聚物，导致系统压力升高、传热效率下降。当系统压力超过安全阀设定值时，安全阀动作排放少量气相有机物，影响范围仅限于锅炉房内，对厂界外环境无影响。</w:t>
            </w:r>
          </w:p>
          <w:p>
            <w:pPr>
              <w:spacing w:line="360" w:lineRule="auto"/>
              <w:ind w:firstLine="420" w:firstLineChars="200"/>
              <w:jc w:val="left"/>
              <w:rPr>
                <w:u w:val="single"/>
              </w:rPr>
            </w:pPr>
            <w:r>
              <w:rPr>
                <w:u w:val="single"/>
              </w:rPr>
              <w:t>4、环境风险防范措施</w:t>
            </w:r>
          </w:p>
          <w:p>
            <w:pPr>
              <w:spacing w:line="360" w:lineRule="auto"/>
              <w:ind w:firstLine="420" w:firstLineChars="200"/>
              <w:jc w:val="left"/>
              <w:rPr>
                <w:u w:val="single"/>
              </w:rPr>
            </w:pPr>
            <w:r>
              <w:rPr>
                <w:u w:val="single"/>
              </w:rPr>
              <w:t>为有效防范导热油、废机油泄漏及火灾事故，从源头控制、过程控制和应急响应三个层面设置风险防范措施。</w:t>
            </w:r>
          </w:p>
          <w:p>
            <w:pPr>
              <w:spacing w:line="360" w:lineRule="auto"/>
              <w:ind w:firstLine="420" w:firstLineChars="200"/>
              <w:jc w:val="left"/>
              <w:rPr>
                <w:u w:val="single"/>
              </w:rPr>
            </w:pPr>
            <w:r>
              <w:rPr>
                <w:u w:val="single"/>
              </w:rPr>
              <w:t>（1）源头控制措施</w:t>
            </w:r>
          </w:p>
          <w:p>
            <w:pPr>
              <w:wordWrap w:val="0"/>
              <w:spacing w:line="360" w:lineRule="auto"/>
              <w:ind w:firstLine="420" w:firstLineChars="200"/>
              <w:jc w:val="left"/>
              <w:rPr>
                <w:u w:val="single"/>
              </w:rPr>
            </w:pPr>
            <w:r>
              <w:rPr>
                <w:u w:val="single"/>
              </w:rPr>
              <w:t>①设备本质安全：选用符合《有机热载体炉》（GB/T17410）国家标准要求的有机热载体炉及配套管路，盘管材质选用耐高温锅炉用无缝钢管（材质不低于20G），设计压力不低于1.6MPa，设计温度不低于350℃，确保设备本质安全。锅炉房内电气设备选用防爆型（ExdⅡBT4）。</w:t>
            </w:r>
          </w:p>
          <w:p>
            <w:pPr>
              <w:spacing w:line="360" w:lineRule="auto"/>
              <w:ind w:firstLine="420" w:firstLineChars="200"/>
              <w:jc w:val="left"/>
              <w:rPr>
                <w:u w:val="single"/>
              </w:rPr>
            </w:pPr>
            <w:r>
              <w:rPr>
                <w:u w:val="single"/>
              </w:rPr>
              <w:t>②导热油选型：选用热稳定性好、闪点高（≥200℃）、自燃点高（≥400℃）、抗氧化性强的优质合成型导热油，减少因导热油劣化产生的系统腐蚀风险。新导热油入厂时应核验产品质量证明文件及检验报告。</w:t>
            </w:r>
          </w:p>
          <w:p>
            <w:pPr>
              <w:spacing w:line="360" w:lineRule="auto"/>
              <w:ind w:firstLine="420" w:firstLineChars="200"/>
              <w:jc w:val="left"/>
              <w:rPr>
                <w:u w:val="single"/>
              </w:rPr>
            </w:pPr>
            <w:r>
              <w:rPr>
                <w:u w:val="single"/>
              </w:rPr>
              <w:t>③在线监控与联锁保护：设置完善的温度、压力在线监控仪表（包括炉膛温度、导热油出口温度、回油温度、系统压力等关键参数）及超温超压报警联锁保护装置（DCS系统），当运行参数超出设定值时自动报警并启动联锁保护，自动关闭加热系统并切断燃料供给，防止因超温导致炉管过热损坏。</w:t>
            </w:r>
          </w:p>
          <w:p>
            <w:pPr>
              <w:spacing w:line="360" w:lineRule="auto"/>
              <w:ind w:firstLine="420" w:firstLineChars="200"/>
              <w:jc w:val="left"/>
              <w:rPr>
                <w:u w:val="single"/>
              </w:rPr>
            </w:pPr>
            <w:r>
              <w:rPr>
                <w:u w:val="single"/>
              </w:rPr>
              <w:t>④初始运行脱水脱气：系统运行初期和检修后重新注油时，严格按照操作规程进行脱水脱气处理（升温至110~120℃恒温脱水脱气，直至膨胀罐无气体排出），避免水分急速汽化导致系统压力骤升。</w:t>
            </w:r>
          </w:p>
          <w:p>
            <w:pPr>
              <w:spacing w:line="360" w:lineRule="auto"/>
              <w:ind w:firstLine="420" w:firstLineChars="200"/>
              <w:jc w:val="left"/>
              <w:rPr>
                <w:u w:val="single"/>
              </w:rPr>
            </w:pPr>
            <w:r>
              <w:rPr>
                <w:u w:val="single"/>
              </w:rPr>
              <w:t>（2）过程控制措施</w:t>
            </w:r>
          </w:p>
          <w:p>
            <w:pPr>
              <w:spacing w:line="360" w:lineRule="auto"/>
              <w:ind w:firstLine="420" w:firstLineChars="200"/>
              <w:jc w:val="left"/>
              <w:rPr>
                <w:u w:val="single"/>
              </w:rPr>
            </w:pPr>
            <w:r>
              <w:rPr>
                <w:u w:val="single"/>
              </w:rPr>
              <w:t>①锅炉房围堰设置：锅炉房内有机热载体炉本体及导热油循环管路下方设置防渗混凝土围堰，围堰高度不低于200mm，围堰内净面积约20m</w:t>
            </w:r>
            <w:r>
              <w:rPr>
                <w:u w:val="single"/>
                <w:vertAlign w:val="superscript"/>
              </w:rPr>
              <w:t>2</w:t>
            </w:r>
            <w:r>
              <w:rPr>
                <w:u w:val="single"/>
              </w:rPr>
              <w:t>，有效容积约4.0m</w:t>
            </w:r>
            <w:r>
              <w:rPr>
                <w:u w:val="single"/>
                <w:vertAlign w:val="superscript"/>
              </w:rPr>
              <w:t>3</w:t>
            </w:r>
            <w:r>
              <w:rPr>
                <w:u w:val="single"/>
              </w:rPr>
              <w:t>，大于导热油最大在线量（2.0t，换算约2.4m</w:t>
            </w:r>
            <w:r>
              <w:rPr>
                <w:u w:val="single"/>
                <w:vertAlign w:val="superscript"/>
              </w:rPr>
              <w:t>3</w:t>
            </w:r>
            <w:r>
              <w:rPr>
                <w:u w:val="single"/>
              </w:rPr>
              <w:t>），确保泄漏的导热油全部被拦截在围堰范围内。围堰内壁涂刷防渗涂层（环氧树脂类，厚度≥2mm），渗透系数不大于1.0×10</w:t>
            </w:r>
            <w:r>
              <w:rPr>
                <w:u w:val="single"/>
                <w:vertAlign w:val="superscript"/>
              </w:rPr>
              <w:t>-7</w:t>
            </w:r>
            <w:r>
              <w:rPr>
                <w:u w:val="single"/>
              </w:rPr>
              <w:t>cm/s，防止油品渗入地下。围堰内无排水口，避免泄漏物通过排水系统外排。</w:t>
            </w:r>
          </w:p>
          <w:p>
            <w:pPr>
              <w:spacing w:line="360" w:lineRule="auto"/>
              <w:ind w:firstLine="420" w:firstLineChars="200"/>
              <w:jc w:val="left"/>
              <w:rPr>
                <w:u w:val="single"/>
              </w:rPr>
            </w:pPr>
            <w:r>
              <w:rPr>
                <w:u w:val="single"/>
              </w:rPr>
              <w:t>②危废暂存间防渗及围堰：危废暂存间建筑面积25m</w:t>
            </w:r>
            <w:r>
              <w:rPr>
                <w:u w:val="single"/>
                <w:vertAlign w:val="superscript"/>
              </w:rPr>
              <w:t>2</w:t>
            </w:r>
            <w:r>
              <w:rPr>
                <w:u w:val="single"/>
              </w:rPr>
              <w:t>，已按照《危险废物贮存污染控制标准》（GB18597-2023）要求采取重点防渗处理（渗透系数≤1.0×10</w:t>
            </w:r>
            <w:r>
              <w:rPr>
                <w:u w:val="single"/>
                <w:vertAlign w:val="superscript"/>
              </w:rPr>
              <w:t>-10</w:t>
            </w:r>
            <w:r>
              <w:rPr>
                <w:u w:val="single"/>
              </w:rPr>
              <w:t>cm/s），具备防风、防晒、防雨、防漏、防渗、防腐等“六防”措施。液态危废贮存分区设置围堰（有效容积≥0.5m</w:t>
            </w:r>
            <w:r>
              <w:rPr>
                <w:u w:val="single"/>
                <w:vertAlign w:val="superscript"/>
              </w:rPr>
              <w:t>3</w:t>
            </w:r>
            <w:r>
              <w:rPr>
                <w:u w:val="single"/>
              </w:rPr>
              <w:t>，大于单桶最大容积0.2m</w:t>
            </w:r>
            <w:r>
              <w:rPr>
                <w:u w:val="single"/>
                <w:vertAlign w:val="superscript"/>
              </w:rPr>
              <w:t>3</w:t>
            </w:r>
            <w:r>
              <w:rPr>
                <w:u w:val="single"/>
              </w:rPr>
              <w:t>及液态废物总储量1/10），设置导流槽和收集池，确保泄漏液体可及时导入收集设施，不外溢。不同类别危险废物（HW08液态、HW08固态、HW49固态）分区贮存，分区之间设隔板隔离。</w:t>
            </w:r>
          </w:p>
          <w:p>
            <w:pPr>
              <w:spacing w:line="360" w:lineRule="auto"/>
              <w:ind w:firstLine="420" w:firstLineChars="200"/>
              <w:jc w:val="left"/>
              <w:rPr>
                <w:u w:val="single"/>
              </w:rPr>
            </w:pPr>
            <w:r>
              <w:rPr>
                <w:u w:val="single"/>
              </w:rPr>
              <w:t>③废导热油/废机油存贮要求：废导热油更换时采用专用200L闭口铁桶密闭收集，桶顶与液面之间保留100mm以上空间，桶体完整无损，桶盖密封良好，桶体张贴符合《危险废物识别标志设置技术规范》（HJ1276-2022）要求的危险废物标签。废机油采用专用容器密闭收集。含油废抹布采用专用容器收集后暂存于固态危废贮存区。废油桶加盖密闭，防止残留油品挥发。各类危废分区存放，标识清晰。</w:t>
            </w:r>
          </w:p>
          <w:p>
            <w:pPr>
              <w:spacing w:line="360" w:lineRule="auto"/>
              <w:ind w:firstLine="420" w:firstLineChars="200"/>
              <w:jc w:val="left"/>
              <w:rPr>
                <w:u w:val="single"/>
              </w:rPr>
            </w:pPr>
            <w:r>
              <w:rPr>
                <w:u w:val="single"/>
              </w:rPr>
              <w:t>④消防设施配置：锅炉房设置防火墙（耐火极限≥3h）、防火门（甲级），配置干粉灭火器（MFZ/ABC8型，不少于4具）、消防沙（不少于1m</w:t>
            </w:r>
            <w:r>
              <w:rPr>
                <w:u w:val="single"/>
                <w:vertAlign w:val="superscript"/>
              </w:rPr>
              <w:t>3</w:t>
            </w:r>
            <w:r>
              <w:rPr>
                <w:u w:val="single"/>
              </w:rPr>
              <w:t>）、灭火毯（不少于2条）等消防器材，数量和布置满足《建筑灭火器配置设计规范》（GB50140）要求。危废暂存间配置干粉灭火器（不少于2具）及消防沙（不少于0.5m</w:t>
            </w:r>
            <w:r>
              <w:rPr>
                <w:u w:val="single"/>
                <w:vertAlign w:val="superscript"/>
              </w:rPr>
              <w:t>3</w:t>
            </w:r>
            <w:r>
              <w:rPr>
                <w:u w:val="single"/>
              </w:rPr>
              <w:t>）。</w:t>
            </w:r>
          </w:p>
          <w:p>
            <w:pPr>
              <w:spacing w:line="360" w:lineRule="auto"/>
              <w:ind w:firstLine="420" w:firstLineChars="200"/>
              <w:jc w:val="left"/>
              <w:rPr>
                <w:u w:val="single"/>
              </w:rPr>
            </w:pPr>
            <w:r>
              <w:rPr>
                <w:u w:val="single"/>
              </w:rPr>
              <w:t>⑤可燃气体报警：在锅炉房内可能产生油气积聚的区域（导热油炉本体周围、高位膨胀槽附近）设置可燃气体报警装置（检测介质为可燃气体，量程0~100%LEL），并与防爆通风系统联动，确保油气浓度超标（≥25%LEL）时自动启动排风系统。</w:t>
            </w:r>
          </w:p>
          <w:p>
            <w:pPr>
              <w:spacing w:line="360" w:lineRule="auto"/>
              <w:ind w:firstLine="420" w:firstLineChars="200"/>
              <w:jc w:val="left"/>
              <w:rPr>
                <w:u w:val="single"/>
              </w:rPr>
            </w:pPr>
            <w:r>
              <w:rPr>
                <w:u w:val="single"/>
              </w:rPr>
              <w:t>⑥紧急切断系统：导热油系统设置紧急切断阀，安装于导热油出口管道及回油管道上，温度、压力等关键安全参数接入DCS系统实现超限联锁保护。紧急切断阀采用气动或电动执行机构，具备现场手动和远程控制功能，确保在断电或控制系统故障时可手动操作。</w:t>
            </w:r>
          </w:p>
          <w:p>
            <w:pPr>
              <w:spacing w:line="360" w:lineRule="auto"/>
              <w:ind w:firstLine="420" w:firstLineChars="200"/>
              <w:jc w:val="left"/>
              <w:rPr>
                <w:u w:val="single"/>
              </w:rPr>
            </w:pPr>
            <w:r>
              <w:rPr>
                <w:u w:val="single"/>
              </w:rPr>
              <w:t>⑦防静电措施：管道系统设置可靠的静电接地和跨接措施（接地电阻≤4Ω），防止静电积聚引发火灾。</w:t>
            </w:r>
          </w:p>
          <w:p>
            <w:pPr>
              <w:spacing w:line="360" w:lineRule="auto"/>
              <w:ind w:firstLine="420" w:firstLineChars="200"/>
              <w:jc w:val="left"/>
              <w:rPr>
                <w:u w:val="single"/>
              </w:rPr>
            </w:pPr>
            <w:r>
              <w:rPr>
                <w:u w:val="single"/>
              </w:rPr>
              <w:t>（3）应急响应措施</w:t>
            </w:r>
          </w:p>
          <w:p>
            <w:pPr>
              <w:spacing w:line="360" w:lineRule="auto"/>
              <w:ind w:firstLine="420" w:firstLineChars="200"/>
              <w:jc w:val="left"/>
              <w:rPr>
                <w:u w:val="single"/>
              </w:rPr>
            </w:pPr>
            <w:r>
              <w:rPr>
                <w:u w:val="single"/>
              </w:rPr>
              <w:t>①应急预案编制与修订：企业应按照《突发环境事件应急预案管理暂行办法》及《企业事业单位突发环境事件应急预案备案管理办法（试行）》要求，编制突发环境事件应急预案并报当地生态环境主管部门备案，明确导热油泄漏、废机油泄漏、火灾等事故情景下的应急处置程序。本项目实施后，企业应及时对现有应急预案进行修订（涉及新增风险源及风险物质，属于重大变化，须重新备案），将本项目涉及的导热油系统、废导热油、废机油、含油废抹布、废油桶等风险源纳入全厂突发环境事件应急预案管理体系，并与园区环境风险应急预案衔接联动。</w:t>
            </w:r>
          </w:p>
          <w:p>
            <w:pPr>
              <w:spacing w:line="360" w:lineRule="auto"/>
              <w:ind w:firstLine="420" w:firstLineChars="200"/>
              <w:jc w:val="left"/>
              <w:rPr>
                <w:u w:val="single"/>
              </w:rPr>
            </w:pPr>
            <w:r>
              <w:rPr>
                <w:u w:val="single"/>
              </w:rPr>
              <w:t>②应急物资配备：配备吸油毡（不少于20kg）、防爆泵、备用空桶（不少于5只）、移动式灭火器、防毒面具、防护手套等应急物资并定期检查维护，确保完好有效。锅炉房应急物资存放于锅炉房东侧相邻车间内专用应急物资柜（距离≤10m，标识清晰），危废间应急物资存放于危废间入口处专用应急物资柜内，确保应急时能够迅速取用。</w:t>
            </w:r>
          </w:p>
          <w:p>
            <w:pPr>
              <w:spacing w:line="360" w:lineRule="auto"/>
              <w:ind w:firstLine="420" w:firstLineChars="200"/>
              <w:jc w:val="left"/>
              <w:rPr>
                <w:u w:val="single"/>
              </w:rPr>
            </w:pPr>
            <w:r>
              <w:rPr>
                <w:u w:val="single"/>
              </w:rPr>
              <w:t>③应急演练：每半年至少组织一次导热油泄漏专项应急演练（含泄漏封堵、人员疏散、消防灭火、废液回收等科目），每年至少组织一次综合应急演练（含多科目协同、信息报告、外部联动等），确保岗位员工熟悉应急预案内容，掌握应急处置操作技能，演练记录归档保存。</w:t>
            </w:r>
          </w:p>
          <w:p>
            <w:pPr>
              <w:spacing w:line="360" w:lineRule="auto"/>
              <w:ind w:firstLine="420" w:firstLineChars="200"/>
              <w:jc w:val="left"/>
              <w:rPr>
                <w:u w:val="single"/>
              </w:rPr>
            </w:pPr>
            <w:r>
              <w:rPr>
                <w:u w:val="single"/>
              </w:rPr>
              <w:t>④泄漏应急处置流程：发现泄漏后，立即关闭锅炉加热系统、切断紧急切断阀，停止导热油循环泵运行，对泄漏点采取堵漏措施，利用围堰将泄漏物拦截在限定区域，使用吸油毡吸附回收泄漏的导热油/废机油。回收的废导热油、废机油及沾染油类的废物（含吸油毡）作为危险废物委托有资质单位规范处置，严禁随意排放。</w:t>
            </w:r>
          </w:p>
          <w:p>
            <w:pPr>
              <w:spacing w:line="360" w:lineRule="auto"/>
              <w:ind w:firstLine="420" w:firstLineChars="200"/>
              <w:jc w:val="left"/>
              <w:rPr>
                <w:u w:val="single"/>
              </w:rPr>
            </w:pPr>
            <w:r>
              <w:rPr>
                <w:u w:val="single"/>
              </w:rPr>
              <w:t>⑤火灾应急处置流程：发生火灾后，第一责任人应在3分钟内启动现场处置，立即启动火灾报警系统，第一时间使用干粉灭火器对准火焰根部喷射扑救初期火灾，同步使用消防沙围堵和覆盖灭火。严禁使用水、水基灭火器或泡沫灭火器直接灭火。立即关闭锅炉加热系统及紧急切断阀，切断燃料和导热油循环供给。火势较大无法控制时，立即疏散人员并拨打119报警。消防废水被围堰拦截收集，事后委托有资质单位检测处置，严禁排入雨水管网或外环境。</w:t>
            </w:r>
          </w:p>
          <w:p>
            <w:pPr>
              <w:spacing w:line="360" w:lineRule="auto"/>
              <w:ind w:firstLine="420" w:firstLineChars="200"/>
              <w:jc w:val="left"/>
              <w:rPr>
                <w:u w:val="single"/>
              </w:rPr>
            </w:pPr>
            <w:r>
              <w:rPr>
                <w:u w:val="single"/>
              </w:rPr>
              <w:t>⑥事故报告：事故发生后1小时内向当地生态环境主管部门报告，事故原因未查清、整改措施未落实不恢复运行。</w:t>
            </w:r>
          </w:p>
          <w:p>
            <w:pPr>
              <w:spacing w:line="360" w:lineRule="auto"/>
              <w:ind w:firstLine="420" w:firstLineChars="200"/>
              <w:jc w:val="left"/>
              <w:rPr>
                <w:u w:val="single"/>
              </w:rPr>
            </w:pPr>
            <w:r>
              <w:rPr>
                <w:u w:val="single"/>
              </w:rPr>
              <w:t>5、结论</w:t>
            </w:r>
          </w:p>
          <w:p>
            <w:pPr>
              <w:spacing w:line="360" w:lineRule="auto"/>
              <w:ind w:firstLine="420" w:firstLineChars="200"/>
              <w:jc w:val="left"/>
              <w:rPr>
                <w:u w:val="single"/>
              </w:rPr>
            </w:pPr>
            <w:r>
              <w:rPr>
                <w:u w:val="single"/>
              </w:rPr>
              <w:t>本项目危险物质在线导热油、废导热油、废机油最大存在总量约3.03t，远低于HJ169-2018附录B中油类物质2500t的临界量，经计算Q≈0.0012＜1，环境风险潜势为I，环境风险等级较低。</w:t>
            </w:r>
          </w:p>
          <w:p>
            <w:pPr>
              <w:spacing w:line="360" w:lineRule="auto"/>
              <w:ind w:firstLine="420" w:firstLineChars="200"/>
              <w:jc w:val="left"/>
              <w:rPr>
                <w:u w:val="single"/>
              </w:rPr>
            </w:pPr>
            <w:r>
              <w:rPr>
                <w:u w:val="single"/>
              </w:rPr>
              <w:t>在落实以下防范措施后，环境风险可接受：锅炉房围堰设置（有效容积4.0m</w:t>
            </w:r>
            <w:r>
              <w:rPr>
                <w:u w:val="single"/>
                <w:vertAlign w:val="superscript"/>
              </w:rPr>
              <w:t>3</w:t>
            </w:r>
            <w:r>
              <w:rPr>
                <w:u w:val="single"/>
              </w:rPr>
              <w:t>，大于导热油最大在线量2.4m</w:t>
            </w:r>
            <w:r>
              <w:rPr>
                <w:u w:val="single"/>
                <w:vertAlign w:val="superscript"/>
              </w:rPr>
              <w:t>3</w:t>
            </w:r>
            <w:r>
              <w:rPr>
                <w:u w:val="single"/>
              </w:rPr>
              <w:t>，拦截率100%）、危废暂存间围堰（有效容积0.5m</w:t>
            </w:r>
            <w:r>
              <w:rPr>
                <w:u w:val="single"/>
                <w:vertAlign w:val="superscript"/>
              </w:rPr>
              <w:t>3</w:t>
            </w:r>
            <w:r>
              <w:rPr>
                <w:u w:val="single"/>
              </w:rPr>
              <w:t>，大于单桶最大容积0.2m</w:t>
            </w:r>
            <w:r>
              <w:rPr>
                <w:u w:val="single"/>
                <w:vertAlign w:val="superscript"/>
              </w:rPr>
              <w:t>3</w:t>
            </w:r>
            <w:r>
              <w:rPr>
                <w:u w:val="single"/>
              </w:rPr>
              <w:t>，拦截率100%）、重点防渗处理、DCS超限联锁保护、紧急切断阀、可燃气体报警、干粉灭火器及消防沙配备、应急预案编制及备案、应急演练、事故报告等。</w:t>
            </w:r>
          </w:p>
          <w:p>
            <w:pPr>
              <w:spacing w:line="360" w:lineRule="auto"/>
              <w:ind w:firstLine="420" w:firstLineChars="200"/>
              <w:jc w:val="left"/>
              <w:rPr>
                <w:u w:val="single"/>
              </w:rPr>
            </w:pPr>
            <w:r>
              <w:rPr>
                <w:u w:val="single"/>
              </w:rPr>
              <w:t>导热油泄漏及废机油泄漏可被有效控制在锅炉房围堰及危废暂存间围堰范围内，不进入外环境，不会对地表水、地下水和土壤造成污染。火灾事故影响范围主要集中在厂区内部，在落实消防设施配置及应急预案的前提下，事故环境影响可控。本项目环境风险可接受。</w:t>
            </w:r>
          </w:p>
          <w:p>
            <w:pPr>
              <w:spacing w:line="360" w:lineRule="auto"/>
              <w:ind w:firstLine="420" w:firstLineChars="200"/>
              <w:jc w:val="left"/>
            </w:pPr>
            <w:r>
              <w:t>七、环保投资</w:t>
            </w:r>
          </w:p>
          <w:p>
            <w:pPr>
              <w:spacing w:line="360" w:lineRule="auto"/>
              <w:ind w:firstLine="420" w:firstLineChars="200"/>
              <w:jc w:val="left"/>
            </w:pPr>
            <w:r>
              <w:t>本工程总投资</w:t>
            </w:r>
            <w:r>
              <w:rPr>
                <w:szCs w:val="21"/>
                <w:u w:val="single"/>
              </w:rPr>
              <w:t>20.00</w:t>
            </w:r>
            <w:r>
              <w:rPr>
                <w:u w:val="single"/>
              </w:rPr>
              <w:t>万元，环保投资为6.00万元，占总投资的30.00%。</w:t>
            </w:r>
            <w:r>
              <w:t>工程环保投资估算详见表30。</w:t>
            </w:r>
          </w:p>
          <w:p>
            <w:pPr>
              <w:jc w:val="center"/>
              <w:rPr>
                <w:b/>
                <w:bCs/>
              </w:rPr>
            </w:pPr>
            <w:r>
              <w:rPr>
                <w:b/>
                <w:bCs/>
              </w:rPr>
              <w:t>表30  本项目环保投资一览表</w:t>
            </w:r>
          </w:p>
          <w:tbl>
            <w:tblPr>
              <w:tblStyle w:val="26"/>
              <w:tblW w:w="8502" w:type="dxa"/>
              <w:jc w:val="center"/>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Layout w:type="fixed"/>
              <w:tblCellMar>
                <w:top w:w="0" w:type="dxa"/>
                <w:left w:w="108" w:type="dxa"/>
                <w:bottom w:w="0" w:type="dxa"/>
                <w:right w:w="108" w:type="dxa"/>
              </w:tblCellMar>
            </w:tblPr>
            <w:tblGrid>
              <w:gridCol w:w="1293"/>
              <w:gridCol w:w="5418"/>
              <w:gridCol w:w="1791"/>
            </w:tblGrid>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293" w:type="dxa"/>
                  <w:vAlign w:val="center"/>
                </w:tcPr>
                <w:p>
                  <w:pPr>
                    <w:adjustRightInd w:val="0"/>
                    <w:snapToGrid w:val="0"/>
                    <w:jc w:val="center"/>
                    <w:rPr>
                      <w:sz w:val="18"/>
                      <w:szCs w:val="18"/>
                    </w:rPr>
                  </w:pPr>
                  <w:r>
                    <w:rPr>
                      <w:sz w:val="18"/>
                      <w:szCs w:val="18"/>
                    </w:rPr>
                    <w:t>治理项目</w:t>
                  </w:r>
                </w:p>
              </w:tc>
              <w:tc>
                <w:tcPr>
                  <w:tcW w:w="5418" w:type="dxa"/>
                  <w:vAlign w:val="center"/>
                </w:tcPr>
                <w:p>
                  <w:pPr>
                    <w:adjustRightInd w:val="0"/>
                    <w:snapToGrid w:val="0"/>
                    <w:jc w:val="center"/>
                    <w:rPr>
                      <w:sz w:val="18"/>
                      <w:szCs w:val="18"/>
                    </w:rPr>
                  </w:pPr>
                  <w:r>
                    <w:rPr>
                      <w:sz w:val="18"/>
                      <w:szCs w:val="18"/>
                    </w:rPr>
                    <w:t>治理设施内容</w:t>
                  </w:r>
                </w:p>
              </w:tc>
              <w:tc>
                <w:tcPr>
                  <w:tcW w:w="1791" w:type="dxa"/>
                  <w:vAlign w:val="center"/>
                </w:tcPr>
                <w:p>
                  <w:pPr>
                    <w:adjustRightInd w:val="0"/>
                    <w:snapToGrid w:val="0"/>
                    <w:jc w:val="center"/>
                    <w:rPr>
                      <w:sz w:val="18"/>
                      <w:szCs w:val="18"/>
                    </w:rPr>
                  </w:pPr>
                  <w:r>
                    <w:rPr>
                      <w:sz w:val="18"/>
                      <w:szCs w:val="18"/>
                    </w:rPr>
                    <w:t>金额（万元）</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293" w:type="dxa"/>
                  <w:vAlign w:val="center"/>
                </w:tcPr>
                <w:p>
                  <w:pPr>
                    <w:adjustRightInd w:val="0"/>
                    <w:snapToGrid w:val="0"/>
                    <w:jc w:val="center"/>
                    <w:rPr>
                      <w:sz w:val="18"/>
                      <w:szCs w:val="18"/>
                    </w:rPr>
                  </w:pPr>
                  <w:r>
                    <w:rPr>
                      <w:sz w:val="18"/>
                      <w:szCs w:val="18"/>
                    </w:rPr>
                    <w:t>废气</w:t>
                  </w:r>
                </w:p>
              </w:tc>
              <w:tc>
                <w:tcPr>
                  <w:tcW w:w="5418" w:type="dxa"/>
                  <w:vAlign w:val="center"/>
                </w:tcPr>
                <w:p>
                  <w:pPr>
                    <w:adjustRightInd w:val="0"/>
                    <w:snapToGrid w:val="0"/>
                    <w:jc w:val="center"/>
                    <w:rPr>
                      <w:sz w:val="18"/>
                      <w:szCs w:val="18"/>
                    </w:rPr>
                  </w:pPr>
                  <w:r>
                    <w:rPr>
                      <w:sz w:val="18"/>
                      <w:szCs w:val="18"/>
                    </w:rPr>
                    <w:t>旋风除尘器、烟囱加高</w:t>
                  </w:r>
                </w:p>
              </w:tc>
              <w:tc>
                <w:tcPr>
                  <w:tcW w:w="1791" w:type="dxa"/>
                  <w:vAlign w:val="center"/>
                </w:tcPr>
                <w:p>
                  <w:pPr>
                    <w:adjustRightInd w:val="0"/>
                    <w:snapToGrid w:val="0"/>
                    <w:jc w:val="center"/>
                    <w:rPr>
                      <w:sz w:val="18"/>
                      <w:szCs w:val="18"/>
                    </w:rPr>
                  </w:pPr>
                  <w:r>
                    <w:rPr>
                      <w:sz w:val="18"/>
                      <w:szCs w:val="18"/>
                    </w:rPr>
                    <w:t>5.0</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293" w:type="dxa"/>
                  <w:vAlign w:val="center"/>
                </w:tcPr>
                <w:p>
                  <w:pPr>
                    <w:adjustRightInd w:val="0"/>
                    <w:snapToGrid w:val="0"/>
                    <w:jc w:val="center"/>
                    <w:rPr>
                      <w:sz w:val="18"/>
                      <w:szCs w:val="18"/>
                    </w:rPr>
                  </w:pPr>
                  <w:r>
                    <w:rPr>
                      <w:sz w:val="18"/>
                      <w:szCs w:val="18"/>
                    </w:rPr>
                    <w:t>噪声</w:t>
                  </w:r>
                </w:p>
              </w:tc>
              <w:tc>
                <w:tcPr>
                  <w:tcW w:w="5418" w:type="dxa"/>
                  <w:vAlign w:val="center"/>
                </w:tcPr>
                <w:p>
                  <w:pPr>
                    <w:adjustRightInd w:val="0"/>
                    <w:snapToGrid w:val="0"/>
                    <w:jc w:val="center"/>
                    <w:rPr>
                      <w:sz w:val="18"/>
                      <w:szCs w:val="18"/>
                    </w:rPr>
                  </w:pPr>
                  <w:r>
                    <w:rPr>
                      <w:sz w:val="18"/>
                      <w:szCs w:val="18"/>
                    </w:rPr>
                    <w:t>隔音材料，基础减振</w:t>
                  </w:r>
                </w:p>
              </w:tc>
              <w:tc>
                <w:tcPr>
                  <w:tcW w:w="1791" w:type="dxa"/>
                  <w:vAlign w:val="center"/>
                </w:tcPr>
                <w:p>
                  <w:pPr>
                    <w:adjustRightInd w:val="0"/>
                    <w:snapToGrid w:val="0"/>
                    <w:jc w:val="center"/>
                    <w:rPr>
                      <w:sz w:val="18"/>
                      <w:szCs w:val="18"/>
                    </w:rPr>
                  </w:pPr>
                  <w:r>
                    <w:rPr>
                      <w:sz w:val="18"/>
                      <w:szCs w:val="18"/>
                    </w:rPr>
                    <w:t>0.5</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293" w:type="dxa"/>
                  <w:vAlign w:val="center"/>
                </w:tcPr>
                <w:p>
                  <w:pPr>
                    <w:adjustRightInd w:val="0"/>
                    <w:snapToGrid w:val="0"/>
                    <w:jc w:val="center"/>
                    <w:rPr>
                      <w:sz w:val="18"/>
                      <w:szCs w:val="18"/>
                    </w:rPr>
                  </w:pPr>
                  <w:r>
                    <w:rPr>
                      <w:sz w:val="18"/>
                      <w:szCs w:val="18"/>
                    </w:rPr>
                    <w:t>固体废物</w:t>
                  </w:r>
                </w:p>
              </w:tc>
              <w:tc>
                <w:tcPr>
                  <w:tcW w:w="5418" w:type="dxa"/>
                  <w:vAlign w:val="center"/>
                </w:tcPr>
                <w:p>
                  <w:pPr>
                    <w:adjustRightInd w:val="0"/>
                    <w:snapToGrid w:val="0"/>
                    <w:jc w:val="center"/>
                    <w:rPr>
                      <w:sz w:val="18"/>
                      <w:szCs w:val="18"/>
                    </w:rPr>
                  </w:pPr>
                  <w:r>
                    <w:rPr>
                      <w:sz w:val="18"/>
                      <w:szCs w:val="18"/>
                    </w:rPr>
                    <w:t>集中清运</w:t>
                  </w:r>
                </w:p>
              </w:tc>
              <w:tc>
                <w:tcPr>
                  <w:tcW w:w="1791" w:type="dxa"/>
                  <w:vAlign w:val="center"/>
                </w:tcPr>
                <w:p>
                  <w:pPr>
                    <w:adjustRightInd w:val="0"/>
                    <w:snapToGrid w:val="0"/>
                    <w:jc w:val="center"/>
                    <w:rPr>
                      <w:sz w:val="18"/>
                      <w:szCs w:val="18"/>
                    </w:rPr>
                  </w:pPr>
                  <w:r>
                    <w:rPr>
                      <w:sz w:val="18"/>
                      <w:szCs w:val="18"/>
                    </w:rPr>
                    <w:t>0.5</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293" w:type="dxa"/>
                  <w:vAlign w:val="center"/>
                </w:tcPr>
                <w:p>
                  <w:pPr>
                    <w:adjustRightInd w:val="0"/>
                    <w:snapToGrid w:val="0"/>
                    <w:jc w:val="center"/>
                    <w:rPr>
                      <w:sz w:val="18"/>
                      <w:szCs w:val="18"/>
                    </w:rPr>
                  </w:pPr>
                  <w:r>
                    <w:rPr>
                      <w:sz w:val="18"/>
                      <w:szCs w:val="18"/>
                    </w:rPr>
                    <w:t>合计</w:t>
                  </w:r>
                </w:p>
              </w:tc>
              <w:tc>
                <w:tcPr>
                  <w:tcW w:w="5418" w:type="dxa"/>
                  <w:vAlign w:val="center"/>
                </w:tcPr>
                <w:p>
                  <w:pPr>
                    <w:adjustRightInd w:val="0"/>
                    <w:snapToGrid w:val="0"/>
                    <w:jc w:val="center"/>
                    <w:rPr>
                      <w:sz w:val="18"/>
                      <w:szCs w:val="18"/>
                    </w:rPr>
                  </w:pPr>
                </w:p>
              </w:tc>
              <w:tc>
                <w:tcPr>
                  <w:tcW w:w="1791" w:type="dxa"/>
                  <w:vAlign w:val="center"/>
                </w:tcPr>
                <w:p>
                  <w:pPr>
                    <w:adjustRightInd w:val="0"/>
                    <w:snapToGrid w:val="0"/>
                    <w:jc w:val="center"/>
                    <w:rPr>
                      <w:sz w:val="18"/>
                      <w:szCs w:val="18"/>
                    </w:rPr>
                  </w:pPr>
                  <w:r>
                    <w:rPr>
                      <w:sz w:val="18"/>
                      <w:szCs w:val="18"/>
                    </w:rPr>
                    <w:t>6.0</w:t>
                  </w:r>
                </w:p>
              </w:tc>
            </w:tr>
          </w:tbl>
          <w:p>
            <w:pPr>
              <w:spacing w:line="360" w:lineRule="auto"/>
              <w:ind w:firstLine="420" w:firstLineChars="200"/>
              <w:jc w:val="left"/>
            </w:pPr>
            <w:r>
              <w:t>八、“三同时”验收</w:t>
            </w:r>
          </w:p>
          <w:p>
            <w:pPr>
              <w:spacing w:line="360" w:lineRule="auto"/>
              <w:ind w:firstLine="420" w:firstLineChars="200"/>
              <w:jc w:val="left"/>
            </w:pPr>
            <w:r>
              <w:rPr>
                <w:lang w:val="zh-CN"/>
              </w:rPr>
              <w:t>本项目环境保护“三同时”验收</w:t>
            </w:r>
            <w:r>
              <w:t>详见</w:t>
            </w:r>
            <w:r>
              <w:rPr>
                <w:lang w:val="zh-CN"/>
              </w:rPr>
              <w:t>表</w:t>
            </w:r>
            <w:r>
              <w:t>31</w:t>
            </w:r>
            <w:r>
              <w:rPr>
                <w:lang w:val="zh-CN"/>
              </w:rPr>
              <w:t>。</w:t>
            </w:r>
          </w:p>
          <w:p>
            <w:pPr>
              <w:jc w:val="center"/>
              <w:rPr>
                <w:b/>
                <w:bCs/>
              </w:rPr>
            </w:pPr>
            <w:r>
              <w:rPr>
                <w:b/>
                <w:bCs/>
              </w:rPr>
              <w:t>表31  工程竣工环境保护验收“三同时”一览表</w:t>
            </w:r>
          </w:p>
          <w:tbl>
            <w:tblPr>
              <w:tblStyle w:val="26"/>
              <w:tblW w:w="8501" w:type="dxa"/>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676"/>
              <w:gridCol w:w="3508"/>
              <w:gridCol w:w="4317"/>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76" w:type="dxa"/>
                  <w:vAlign w:val="center"/>
                </w:tcPr>
                <w:p>
                  <w:pPr>
                    <w:adjustRightInd w:val="0"/>
                    <w:snapToGrid w:val="0"/>
                    <w:jc w:val="center"/>
                    <w:rPr>
                      <w:bCs/>
                      <w:iCs/>
                      <w:sz w:val="18"/>
                      <w:szCs w:val="18"/>
                    </w:rPr>
                  </w:pPr>
                  <w:r>
                    <w:rPr>
                      <w:bCs/>
                      <w:iCs/>
                      <w:sz w:val="18"/>
                      <w:szCs w:val="18"/>
                    </w:rPr>
                    <w:t>项目</w:t>
                  </w:r>
                </w:p>
              </w:tc>
              <w:tc>
                <w:tcPr>
                  <w:tcW w:w="3508" w:type="dxa"/>
                  <w:vAlign w:val="center"/>
                </w:tcPr>
                <w:p>
                  <w:pPr>
                    <w:adjustRightInd w:val="0"/>
                    <w:snapToGrid w:val="0"/>
                    <w:jc w:val="center"/>
                    <w:rPr>
                      <w:bCs/>
                      <w:iCs/>
                      <w:sz w:val="18"/>
                      <w:szCs w:val="18"/>
                    </w:rPr>
                  </w:pPr>
                  <w:r>
                    <w:rPr>
                      <w:bCs/>
                      <w:iCs/>
                      <w:sz w:val="18"/>
                      <w:szCs w:val="18"/>
                    </w:rPr>
                    <w:t>治理措施</w:t>
                  </w:r>
                </w:p>
              </w:tc>
              <w:tc>
                <w:tcPr>
                  <w:tcW w:w="4317" w:type="dxa"/>
                  <w:vAlign w:val="center"/>
                </w:tcPr>
                <w:p>
                  <w:pPr>
                    <w:adjustRightInd w:val="0"/>
                    <w:snapToGrid w:val="0"/>
                    <w:jc w:val="center"/>
                    <w:rPr>
                      <w:bCs/>
                      <w:iCs/>
                      <w:sz w:val="18"/>
                      <w:szCs w:val="18"/>
                    </w:rPr>
                  </w:pPr>
                  <w:r>
                    <w:rPr>
                      <w:bCs/>
                      <w:iCs/>
                      <w:sz w:val="18"/>
                      <w:szCs w:val="18"/>
                    </w:rPr>
                    <w:t>处理效果</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76" w:type="dxa"/>
                  <w:vAlign w:val="center"/>
                </w:tcPr>
                <w:p>
                  <w:pPr>
                    <w:adjustRightInd w:val="0"/>
                    <w:snapToGrid w:val="0"/>
                    <w:jc w:val="center"/>
                    <w:rPr>
                      <w:sz w:val="18"/>
                      <w:szCs w:val="18"/>
                    </w:rPr>
                  </w:pPr>
                  <w:r>
                    <w:rPr>
                      <w:sz w:val="18"/>
                      <w:szCs w:val="18"/>
                    </w:rPr>
                    <w:t>废水</w:t>
                  </w:r>
                </w:p>
              </w:tc>
              <w:tc>
                <w:tcPr>
                  <w:tcW w:w="3508" w:type="dxa"/>
                  <w:vAlign w:val="center"/>
                </w:tcPr>
                <w:p>
                  <w:pPr>
                    <w:adjustRightInd w:val="0"/>
                    <w:snapToGrid w:val="0"/>
                    <w:jc w:val="center"/>
                    <w:rPr>
                      <w:sz w:val="18"/>
                      <w:szCs w:val="18"/>
                    </w:rPr>
                  </w:pPr>
                  <w:r>
                    <w:rPr>
                      <w:sz w:val="18"/>
                      <w:szCs w:val="18"/>
                    </w:rPr>
                    <w:t>/</w:t>
                  </w:r>
                </w:p>
              </w:tc>
              <w:tc>
                <w:tcPr>
                  <w:tcW w:w="4317" w:type="dxa"/>
                  <w:vAlign w:val="center"/>
                </w:tcPr>
                <w:p>
                  <w:pPr>
                    <w:adjustRightInd w:val="0"/>
                    <w:snapToGrid w:val="0"/>
                    <w:jc w:val="center"/>
                    <w:rPr>
                      <w:bCs/>
                      <w:iCs/>
                      <w:sz w:val="18"/>
                      <w:szCs w:val="18"/>
                    </w:rPr>
                  </w:pPr>
                  <w:r>
                    <w:rPr>
                      <w:bCs/>
                      <w:iCs/>
                      <w:sz w:val="18"/>
                      <w:szCs w:val="18"/>
                    </w:rPr>
                    <w:t>不涉及用水，无废水产生</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76" w:type="dxa"/>
                  <w:vAlign w:val="center"/>
                </w:tcPr>
                <w:p>
                  <w:pPr>
                    <w:adjustRightInd w:val="0"/>
                    <w:snapToGrid w:val="0"/>
                    <w:jc w:val="center"/>
                    <w:rPr>
                      <w:bCs/>
                      <w:iCs/>
                      <w:sz w:val="18"/>
                      <w:szCs w:val="18"/>
                    </w:rPr>
                  </w:pPr>
                  <w:r>
                    <w:rPr>
                      <w:sz w:val="18"/>
                      <w:szCs w:val="18"/>
                    </w:rPr>
                    <w:t>废气</w:t>
                  </w:r>
                </w:p>
              </w:tc>
              <w:tc>
                <w:tcPr>
                  <w:tcW w:w="3508" w:type="dxa"/>
                  <w:vAlign w:val="center"/>
                </w:tcPr>
                <w:p>
                  <w:pPr>
                    <w:adjustRightInd w:val="0"/>
                    <w:snapToGrid w:val="0"/>
                    <w:jc w:val="center"/>
                    <w:rPr>
                      <w:bCs/>
                      <w:iCs/>
                      <w:sz w:val="18"/>
                      <w:szCs w:val="18"/>
                    </w:rPr>
                  </w:pPr>
                  <w:r>
                    <w:rPr>
                      <w:sz w:val="18"/>
                      <w:szCs w:val="18"/>
                    </w:rPr>
                    <w:t>锅炉烟气采用“旋风除尘+布袋除尘”两级除尘工艺，经处理后的锅炉烟气经30m高烟囱外排</w:t>
                  </w:r>
                </w:p>
              </w:tc>
              <w:tc>
                <w:tcPr>
                  <w:tcW w:w="4317" w:type="dxa"/>
                  <w:vAlign w:val="center"/>
                </w:tcPr>
                <w:p>
                  <w:pPr>
                    <w:adjustRightInd w:val="0"/>
                    <w:snapToGrid w:val="0"/>
                    <w:jc w:val="center"/>
                    <w:rPr>
                      <w:bCs/>
                      <w:iCs/>
                      <w:sz w:val="18"/>
                      <w:szCs w:val="18"/>
                    </w:rPr>
                  </w:pPr>
                  <w:r>
                    <w:rPr>
                      <w:bCs/>
                      <w:iCs/>
                      <w:sz w:val="18"/>
                      <w:szCs w:val="18"/>
                    </w:rPr>
                    <w:t>导热油炉烟气满足《锅炉大气污染物排放标准》（GB13271-2014）表2新建锅炉大气污染物排放浓度限值；颗粒物无组织排放浓度可以满足《大气污染物综合排放标准》（GB16297-1996）无组织排放监控浓度限值周界外浓度最高点要求</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76" w:type="dxa"/>
                  <w:vAlign w:val="center"/>
                </w:tcPr>
                <w:p>
                  <w:pPr>
                    <w:adjustRightInd w:val="0"/>
                    <w:snapToGrid w:val="0"/>
                    <w:jc w:val="center"/>
                    <w:rPr>
                      <w:bCs/>
                      <w:iCs/>
                      <w:sz w:val="18"/>
                      <w:szCs w:val="18"/>
                    </w:rPr>
                  </w:pPr>
                  <w:r>
                    <w:rPr>
                      <w:sz w:val="18"/>
                      <w:szCs w:val="18"/>
                    </w:rPr>
                    <w:t>噪声</w:t>
                  </w:r>
                </w:p>
              </w:tc>
              <w:tc>
                <w:tcPr>
                  <w:tcW w:w="3508" w:type="dxa"/>
                  <w:vAlign w:val="center"/>
                </w:tcPr>
                <w:p>
                  <w:pPr>
                    <w:adjustRightInd w:val="0"/>
                    <w:snapToGrid w:val="0"/>
                    <w:jc w:val="center"/>
                    <w:rPr>
                      <w:bCs/>
                      <w:iCs/>
                      <w:sz w:val="18"/>
                      <w:szCs w:val="18"/>
                    </w:rPr>
                  </w:pPr>
                  <w:r>
                    <w:rPr>
                      <w:sz w:val="18"/>
                      <w:szCs w:val="18"/>
                    </w:rPr>
                    <w:t>设置基础减振，降低噪声</w:t>
                  </w:r>
                </w:p>
              </w:tc>
              <w:tc>
                <w:tcPr>
                  <w:tcW w:w="4317" w:type="dxa"/>
                  <w:vAlign w:val="center"/>
                </w:tcPr>
                <w:p>
                  <w:pPr>
                    <w:adjustRightInd w:val="0"/>
                    <w:snapToGrid w:val="0"/>
                    <w:jc w:val="center"/>
                    <w:rPr>
                      <w:bCs/>
                      <w:iCs/>
                      <w:sz w:val="18"/>
                      <w:szCs w:val="18"/>
                    </w:rPr>
                  </w:pPr>
                  <w:r>
                    <w:rPr>
                      <w:bCs/>
                      <w:iCs/>
                      <w:sz w:val="18"/>
                      <w:szCs w:val="18"/>
                    </w:rPr>
                    <w:t>厂界外噪声满足《工业企业厂界环境噪声排放标准》（GB12348-2008）中3类标准要求</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76" w:type="dxa"/>
                  <w:vAlign w:val="center"/>
                </w:tcPr>
                <w:p>
                  <w:pPr>
                    <w:adjustRightInd w:val="0"/>
                    <w:snapToGrid w:val="0"/>
                    <w:jc w:val="center"/>
                    <w:rPr>
                      <w:bCs/>
                      <w:iCs/>
                      <w:sz w:val="18"/>
                      <w:szCs w:val="18"/>
                    </w:rPr>
                  </w:pPr>
                  <w:r>
                    <w:rPr>
                      <w:sz w:val="18"/>
                      <w:szCs w:val="18"/>
                    </w:rPr>
                    <w:t>固体废物</w:t>
                  </w:r>
                </w:p>
              </w:tc>
              <w:tc>
                <w:tcPr>
                  <w:tcW w:w="3508" w:type="dxa"/>
                  <w:vAlign w:val="center"/>
                </w:tcPr>
                <w:p>
                  <w:pPr>
                    <w:adjustRightInd w:val="0"/>
                    <w:snapToGrid w:val="0"/>
                    <w:jc w:val="center"/>
                    <w:rPr>
                      <w:bCs/>
                      <w:iCs/>
                      <w:sz w:val="18"/>
                      <w:szCs w:val="18"/>
                      <w:u w:val="single"/>
                    </w:rPr>
                  </w:pPr>
                  <w:r>
                    <w:rPr>
                      <w:bCs/>
                      <w:iCs/>
                      <w:sz w:val="18"/>
                      <w:szCs w:val="18"/>
                      <w:u w:val="single"/>
                    </w:rPr>
                    <w:t>除尘灰、炉灰袋装后定期送当地居民做有机肥；废布袋由厂家回收；废机油、废抹布、废油桶、废导热油依托厂区现有危废暂存间暂存，委托吉林省高深环保科技有限公司处置</w:t>
                  </w:r>
                </w:p>
              </w:tc>
              <w:tc>
                <w:tcPr>
                  <w:tcW w:w="4317" w:type="dxa"/>
                  <w:vAlign w:val="center"/>
                </w:tcPr>
                <w:p>
                  <w:pPr>
                    <w:adjustRightInd w:val="0"/>
                    <w:snapToGrid w:val="0"/>
                    <w:jc w:val="center"/>
                    <w:rPr>
                      <w:bCs/>
                      <w:iCs/>
                      <w:sz w:val="18"/>
                      <w:szCs w:val="18"/>
                    </w:rPr>
                  </w:pPr>
                  <w:r>
                    <w:rPr>
                      <w:bCs/>
                      <w:iCs/>
                      <w:sz w:val="18"/>
                      <w:szCs w:val="18"/>
                    </w:rPr>
                    <w:t>禁止随意丢弃，避免二次污染</w:t>
                  </w:r>
                </w:p>
              </w:tc>
            </w:tr>
          </w:tbl>
          <w:p>
            <w:pPr>
              <w:jc w:val="center"/>
              <w:rPr>
                <w:b/>
                <w:bCs/>
              </w:rPr>
            </w:pPr>
          </w:p>
          <w:p>
            <w:pPr>
              <w:spacing w:line="360" w:lineRule="auto"/>
              <w:ind w:firstLine="420" w:firstLineChars="200"/>
              <w:jc w:val="left"/>
              <w:rPr>
                <w:lang w:val="zh-CN"/>
              </w:rPr>
            </w:pPr>
          </w:p>
          <w:p>
            <w:pPr>
              <w:spacing w:line="360" w:lineRule="auto"/>
              <w:ind w:firstLine="420" w:firstLineChars="200"/>
              <w:jc w:val="left"/>
              <w:rPr>
                <w:lang w:val="zh-CN"/>
              </w:rPr>
            </w:pPr>
          </w:p>
          <w:p>
            <w:pPr>
              <w:spacing w:line="360" w:lineRule="auto"/>
              <w:ind w:firstLine="420" w:firstLineChars="200"/>
              <w:jc w:val="left"/>
              <w:rPr>
                <w:lang w:val="zh-CN"/>
              </w:rPr>
            </w:pPr>
          </w:p>
          <w:p>
            <w:pPr>
              <w:spacing w:line="360" w:lineRule="auto"/>
              <w:ind w:firstLine="420" w:firstLineChars="200"/>
              <w:jc w:val="left"/>
              <w:rPr>
                <w:lang w:val="zh-CN"/>
              </w:rPr>
            </w:pPr>
          </w:p>
          <w:p>
            <w:pPr>
              <w:spacing w:line="360" w:lineRule="auto"/>
              <w:ind w:firstLine="420" w:firstLineChars="200"/>
              <w:jc w:val="left"/>
              <w:rPr>
                <w:lang w:val="zh-CN"/>
              </w:rPr>
            </w:pPr>
          </w:p>
          <w:p>
            <w:pPr>
              <w:spacing w:line="360" w:lineRule="auto"/>
              <w:ind w:firstLine="420" w:firstLineChars="200"/>
              <w:jc w:val="left"/>
              <w:rPr>
                <w:lang w:val="zh-CN"/>
              </w:rPr>
            </w:pPr>
          </w:p>
          <w:p>
            <w:pPr>
              <w:spacing w:line="360" w:lineRule="auto"/>
              <w:ind w:firstLine="420" w:firstLineChars="200"/>
              <w:jc w:val="left"/>
              <w:rPr>
                <w:lang w:val="zh-CN"/>
              </w:rPr>
            </w:pPr>
          </w:p>
          <w:p>
            <w:pPr>
              <w:spacing w:line="360" w:lineRule="auto"/>
              <w:ind w:firstLine="420" w:firstLineChars="200"/>
              <w:jc w:val="left"/>
              <w:rPr>
                <w:lang w:val="zh-CN"/>
              </w:rPr>
            </w:pPr>
          </w:p>
          <w:p>
            <w:pPr>
              <w:spacing w:line="360" w:lineRule="auto"/>
              <w:ind w:firstLine="420" w:firstLineChars="200"/>
              <w:jc w:val="left"/>
              <w:rPr>
                <w:lang w:val="zh-CN"/>
              </w:rPr>
            </w:pPr>
          </w:p>
          <w:p>
            <w:pPr>
              <w:spacing w:line="360" w:lineRule="auto"/>
              <w:ind w:firstLine="420" w:firstLineChars="200"/>
              <w:jc w:val="left"/>
              <w:rPr>
                <w:lang w:val="zh-CN"/>
              </w:rPr>
            </w:pPr>
          </w:p>
          <w:p>
            <w:pPr>
              <w:spacing w:line="360" w:lineRule="auto"/>
              <w:ind w:firstLine="420" w:firstLineChars="200"/>
              <w:jc w:val="left"/>
              <w:rPr>
                <w:lang w:val="zh-CN"/>
              </w:rPr>
            </w:pPr>
          </w:p>
          <w:p>
            <w:pPr>
              <w:spacing w:line="360" w:lineRule="auto"/>
              <w:ind w:firstLine="420" w:firstLineChars="200"/>
              <w:jc w:val="left"/>
            </w:pPr>
          </w:p>
        </w:tc>
      </w:tr>
    </w:tbl>
    <w:p>
      <w:pPr>
        <w:pStyle w:val="2"/>
        <w:spacing w:before="0" w:after="0" w:line="240" w:lineRule="auto"/>
        <w:ind w:firstLine="148" w:firstLineChars="49"/>
        <w:jc w:val="center"/>
        <w:rPr>
          <w:bCs w:val="0"/>
          <w:kern w:val="2"/>
          <w:sz w:val="30"/>
          <w:szCs w:val="20"/>
        </w:rPr>
      </w:pPr>
      <w:bookmarkStart w:id="13" w:name="_Toc20866"/>
      <w:r>
        <w:rPr>
          <w:rFonts w:eastAsia="黑体"/>
          <w:snapToGrid w:val="0"/>
          <w:sz w:val="30"/>
          <w:szCs w:val="30"/>
        </w:rPr>
        <w:t>五、</w:t>
      </w:r>
      <w:bookmarkStart w:id="14" w:name="_Hlk54167917"/>
      <w:r>
        <w:rPr>
          <w:rFonts w:eastAsia="黑体"/>
          <w:snapToGrid w:val="0"/>
          <w:sz w:val="30"/>
          <w:szCs w:val="30"/>
        </w:rPr>
        <w:t>环境保护措施监督检查清单</w:t>
      </w:r>
      <w:bookmarkEnd w:id="13"/>
      <w:bookmarkEnd w:id="14"/>
    </w:p>
    <w:tbl>
      <w:tblPr>
        <w:tblStyle w:val="26"/>
        <w:tblW w:w="8800"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519"/>
        <w:gridCol w:w="1492"/>
        <w:gridCol w:w="1100"/>
        <w:gridCol w:w="1540"/>
        <w:gridCol w:w="3149"/>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519" w:type="dxa"/>
            <w:vAlign w:val="center"/>
          </w:tcPr>
          <w:p>
            <w:pPr>
              <w:adjustRightInd w:val="0"/>
              <w:snapToGrid w:val="0"/>
              <w:ind w:firstLine="840"/>
              <w:jc w:val="center"/>
              <w:rPr>
                <w:szCs w:val="21"/>
              </w:rPr>
            </w:pPr>
            <w:bookmarkStart w:id="15" w:name="_Toc7282"/>
            <w:r>
              <w:rPr>
                <w:rFonts w:ascii="Times New Roman" w:hAnsi="Times New Roman" w:eastAsia="宋体" w:cs="Times New Roman"/>
                <w:kern w:val="2"/>
                <w:sz w:val="21"/>
                <w:szCs w:val="22"/>
                <w:lang w:val="en-US" w:eastAsia="zh-CN" w:bidi="ar-SA"/>
              </w:rPr>
              <w:pict>
                <v:line id="_x0000_s1033" o:spid="_x0000_s1033" o:spt="20" style="position:absolute;left:0pt;margin-left:-4.15pt;margin-top:0.1pt;height:27.6pt;width:74.35pt;z-index:251659264;mso-width-relative:page;mso-height-relative:page;" fillcolor="#FFFFFF" filled="f" o:preferrelative="t" stroked="t" coordsize="21600,21600">
                  <v:path arrowok="t"/>
                  <v:fill on="f" color2="#FFFFFF" focussize="0,0"/>
                  <v:stroke weight="0.25pt" color="#000000" color2="#FFFFFF" miterlimit="2"/>
                  <v:imagedata gain="65536f" blacklevel="0f" gamma="0" o:title=""/>
                  <o:lock v:ext="edit" position="f" selection="f" grouping="f" rotation="f" cropping="f" text="f" aspectratio="f"/>
                </v:line>
              </w:pict>
            </w:r>
            <w:r>
              <w:rPr>
                <w:szCs w:val="21"/>
              </w:rPr>
              <w:t>内容</w:t>
            </w:r>
          </w:p>
          <w:p>
            <w:pPr>
              <w:adjustRightInd w:val="0"/>
              <w:snapToGrid w:val="0"/>
              <w:jc w:val="left"/>
              <w:rPr>
                <w:szCs w:val="21"/>
              </w:rPr>
            </w:pPr>
            <w:r>
              <w:rPr>
                <w:szCs w:val="21"/>
              </w:rPr>
              <w:t>要素</w:t>
            </w:r>
          </w:p>
        </w:tc>
        <w:tc>
          <w:tcPr>
            <w:tcW w:w="1492" w:type="dxa"/>
            <w:vAlign w:val="center"/>
          </w:tcPr>
          <w:p>
            <w:pPr>
              <w:adjustRightInd w:val="0"/>
              <w:snapToGrid w:val="0"/>
              <w:jc w:val="center"/>
              <w:rPr>
                <w:szCs w:val="21"/>
              </w:rPr>
            </w:pPr>
            <w:r>
              <w:rPr>
                <w:szCs w:val="21"/>
              </w:rPr>
              <w:t>排放口（编号、</w:t>
            </w:r>
          </w:p>
          <w:p>
            <w:pPr>
              <w:adjustRightInd w:val="0"/>
              <w:snapToGrid w:val="0"/>
              <w:jc w:val="center"/>
              <w:rPr>
                <w:szCs w:val="21"/>
              </w:rPr>
            </w:pPr>
            <w:r>
              <w:rPr>
                <w:szCs w:val="21"/>
              </w:rPr>
              <w:t>名称）/污染源</w:t>
            </w:r>
          </w:p>
        </w:tc>
        <w:tc>
          <w:tcPr>
            <w:tcW w:w="1100" w:type="dxa"/>
            <w:vAlign w:val="center"/>
          </w:tcPr>
          <w:p>
            <w:pPr>
              <w:adjustRightInd w:val="0"/>
              <w:snapToGrid w:val="0"/>
              <w:jc w:val="center"/>
              <w:rPr>
                <w:szCs w:val="21"/>
              </w:rPr>
            </w:pPr>
            <w:r>
              <w:rPr>
                <w:szCs w:val="21"/>
              </w:rPr>
              <w:t>污染物</w:t>
            </w:r>
          </w:p>
          <w:p>
            <w:pPr>
              <w:adjustRightInd w:val="0"/>
              <w:snapToGrid w:val="0"/>
              <w:jc w:val="center"/>
              <w:rPr>
                <w:szCs w:val="21"/>
              </w:rPr>
            </w:pPr>
            <w:r>
              <w:rPr>
                <w:szCs w:val="21"/>
              </w:rPr>
              <w:t>项目</w:t>
            </w:r>
          </w:p>
        </w:tc>
        <w:tc>
          <w:tcPr>
            <w:tcW w:w="1540" w:type="dxa"/>
            <w:vAlign w:val="center"/>
          </w:tcPr>
          <w:p>
            <w:pPr>
              <w:adjustRightInd w:val="0"/>
              <w:snapToGrid w:val="0"/>
              <w:jc w:val="center"/>
              <w:rPr>
                <w:szCs w:val="21"/>
              </w:rPr>
            </w:pPr>
            <w:r>
              <w:rPr>
                <w:szCs w:val="21"/>
              </w:rPr>
              <w:t>环境保护措施</w:t>
            </w:r>
          </w:p>
        </w:tc>
        <w:tc>
          <w:tcPr>
            <w:tcW w:w="3149" w:type="dxa"/>
            <w:vAlign w:val="center"/>
          </w:tcPr>
          <w:p>
            <w:pPr>
              <w:adjustRightInd w:val="0"/>
              <w:snapToGrid w:val="0"/>
              <w:jc w:val="center"/>
              <w:rPr>
                <w:szCs w:val="21"/>
              </w:rPr>
            </w:pPr>
            <w:r>
              <w:rPr>
                <w:szCs w:val="21"/>
              </w:rPr>
              <w:t>执行标准</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519" w:type="dxa"/>
            <w:vAlign w:val="center"/>
          </w:tcPr>
          <w:p>
            <w:pPr>
              <w:adjustRightInd w:val="0"/>
              <w:snapToGrid w:val="0"/>
              <w:jc w:val="center"/>
              <w:rPr>
                <w:szCs w:val="21"/>
              </w:rPr>
            </w:pPr>
            <w:r>
              <w:rPr>
                <w:szCs w:val="21"/>
              </w:rPr>
              <w:t>大气环境</w:t>
            </w:r>
          </w:p>
        </w:tc>
        <w:tc>
          <w:tcPr>
            <w:tcW w:w="1492" w:type="dxa"/>
            <w:vAlign w:val="center"/>
          </w:tcPr>
          <w:p>
            <w:pPr>
              <w:adjustRightInd w:val="0"/>
              <w:snapToGrid w:val="0"/>
              <w:jc w:val="center"/>
              <w:rPr>
                <w:szCs w:val="21"/>
              </w:rPr>
            </w:pPr>
            <w:r>
              <w:rPr>
                <w:szCs w:val="21"/>
              </w:rPr>
              <w:t>DA001/导热油炉烟气</w:t>
            </w:r>
          </w:p>
        </w:tc>
        <w:tc>
          <w:tcPr>
            <w:tcW w:w="1100" w:type="dxa"/>
            <w:vAlign w:val="center"/>
          </w:tcPr>
          <w:p>
            <w:pPr>
              <w:adjustRightInd w:val="0"/>
              <w:snapToGrid w:val="0"/>
              <w:jc w:val="center"/>
              <w:rPr>
                <w:szCs w:val="21"/>
              </w:rPr>
            </w:pPr>
            <w:r>
              <w:rPr>
                <w:szCs w:val="21"/>
              </w:rPr>
              <w:t>烟尘</w:t>
            </w:r>
          </w:p>
          <w:p>
            <w:pPr>
              <w:adjustRightInd w:val="0"/>
              <w:snapToGrid w:val="0"/>
              <w:jc w:val="center"/>
              <w:rPr>
                <w:szCs w:val="21"/>
              </w:rPr>
            </w:pPr>
            <w:r>
              <w:rPr>
                <w:szCs w:val="21"/>
              </w:rPr>
              <w:t>二氧化硫</w:t>
            </w:r>
          </w:p>
          <w:p>
            <w:pPr>
              <w:adjustRightInd w:val="0"/>
              <w:snapToGrid w:val="0"/>
              <w:jc w:val="center"/>
              <w:rPr>
                <w:szCs w:val="21"/>
              </w:rPr>
            </w:pPr>
            <w:r>
              <w:rPr>
                <w:szCs w:val="21"/>
              </w:rPr>
              <w:t>氮氧化物</w:t>
            </w:r>
          </w:p>
          <w:p>
            <w:pPr>
              <w:adjustRightInd w:val="0"/>
              <w:snapToGrid w:val="0"/>
              <w:jc w:val="center"/>
              <w:rPr>
                <w:szCs w:val="21"/>
              </w:rPr>
            </w:pPr>
            <w:r>
              <w:t>烟气黑度</w:t>
            </w:r>
          </w:p>
        </w:tc>
        <w:tc>
          <w:tcPr>
            <w:tcW w:w="1540" w:type="dxa"/>
            <w:vAlign w:val="center"/>
          </w:tcPr>
          <w:p>
            <w:pPr>
              <w:adjustRightInd w:val="0"/>
              <w:snapToGrid w:val="0"/>
              <w:jc w:val="center"/>
              <w:rPr>
                <w:szCs w:val="21"/>
              </w:rPr>
            </w:pPr>
            <w:r>
              <w:rPr>
                <w:szCs w:val="21"/>
              </w:rPr>
              <w:t>锅炉烟气采用“旋风除尘+布袋除尘”两级除尘工艺（依托现有布袋除尘器，新增旋风除尘器作为预处理设施），经处理后的锅炉烟气经30m高烟囱外排</w:t>
            </w:r>
          </w:p>
        </w:tc>
        <w:tc>
          <w:tcPr>
            <w:tcW w:w="3149" w:type="dxa"/>
            <w:vAlign w:val="center"/>
          </w:tcPr>
          <w:p>
            <w:pPr>
              <w:adjustRightInd w:val="0"/>
              <w:snapToGrid w:val="0"/>
              <w:jc w:val="center"/>
              <w:rPr>
                <w:szCs w:val="21"/>
              </w:rPr>
            </w:pPr>
            <w:r>
              <w:rPr>
                <w:szCs w:val="21"/>
              </w:rPr>
              <w:t>有组织：导热油炉烟气满足《锅炉大气污染物排放标准》（GB13271-2014）表2新建锅炉大气污染物排放浓度限值要求</w:t>
            </w:r>
          </w:p>
          <w:p>
            <w:pPr>
              <w:adjustRightInd w:val="0"/>
              <w:snapToGrid w:val="0"/>
              <w:jc w:val="center"/>
              <w:rPr>
                <w:szCs w:val="21"/>
              </w:rPr>
            </w:pPr>
            <w:r>
              <w:rPr>
                <w:szCs w:val="21"/>
              </w:rPr>
              <w:t>无组织：颗粒物无组织排放浓度可以满足《大气污染物综合排放标准》（GB16297-1996）无组织排放监控浓度限值周界外浓度最高点要求</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519" w:type="dxa"/>
            <w:vAlign w:val="center"/>
          </w:tcPr>
          <w:p>
            <w:pPr>
              <w:adjustRightInd w:val="0"/>
              <w:snapToGrid w:val="0"/>
              <w:jc w:val="center"/>
              <w:rPr>
                <w:szCs w:val="21"/>
              </w:rPr>
            </w:pPr>
            <w:r>
              <w:rPr>
                <w:szCs w:val="21"/>
              </w:rPr>
              <w:t>地表水环境</w:t>
            </w:r>
          </w:p>
        </w:tc>
        <w:tc>
          <w:tcPr>
            <w:tcW w:w="1492" w:type="dxa"/>
            <w:vAlign w:val="center"/>
          </w:tcPr>
          <w:p>
            <w:pPr>
              <w:adjustRightInd w:val="0"/>
              <w:snapToGrid w:val="0"/>
              <w:jc w:val="center"/>
              <w:rPr>
                <w:szCs w:val="21"/>
              </w:rPr>
            </w:pPr>
            <w:r>
              <w:rPr>
                <w:szCs w:val="21"/>
              </w:rPr>
              <w:t>/</w:t>
            </w:r>
          </w:p>
        </w:tc>
        <w:tc>
          <w:tcPr>
            <w:tcW w:w="1100" w:type="dxa"/>
            <w:vAlign w:val="center"/>
          </w:tcPr>
          <w:p>
            <w:pPr>
              <w:adjustRightInd w:val="0"/>
              <w:snapToGrid w:val="0"/>
              <w:jc w:val="center"/>
              <w:rPr>
                <w:szCs w:val="21"/>
              </w:rPr>
            </w:pPr>
            <w:r>
              <w:rPr>
                <w:szCs w:val="21"/>
              </w:rPr>
              <w:t>/</w:t>
            </w:r>
          </w:p>
        </w:tc>
        <w:tc>
          <w:tcPr>
            <w:tcW w:w="1540" w:type="dxa"/>
            <w:vAlign w:val="center"/>
          </w:tcPr>
          <w:p>
            <w:pPr>
              <w:adjustRightInd w:val="0"/>
              <w:snapToGrid w:val="0"/>
              <w:jc w:val="center"/>
              <w:rPr>
                <w:szCs w:val="21"/>
              </w:rPr>
            </w:pPr>
            <w:r>
              <w:rPr>
                <w:szCs w:val="21"/>
              </w:rPr>
              <w:t>/</w:t>
            </w:r>
          </w:p>
        </w:tc>
        <w:tc>
          <w:tcPr>
            <w:tcW w:w="3149" w:type="dxa"/>
            <w:vAlign w:val="center"/>
          </w:tcPr>
          <w:p>
            <w:pPr>
              <w:adjustRightInd w:val="0"/>
              <w:snapToGrid w:val="0"/>
              <w:jc w:val="center"/>
              <w:rPr>
                <w:szCs w:val="21"/>
              </w:rPr>
            </w:pPr>
            <w:r>
              <w:rPr>
                <w:szCs w:val="21"/>
              </w:rPr>
              <w:t>/</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519" w:type="dxa"/>
            <w:vAlign w:val="center"/>
          </w:tcPr>
          <w:p>
            <w:pPr>
              <w:adjustRightInd w:val="0"/>
              <w:snapToGrid w:val="0"/>
              <w:jc w:val="center"/>
              <w:rPr>
                <w:szCs w:val="21"/>
              </w:rPr>
            </w:pPr>
            <w:r>
              <w:rPr>
                <w:szCs w:val="21"/>
              </w:rPr>
              <w:t>声环境</w:t>
            </w:r>
          </w:p>
        </w:tc>
        <w:tc>
          <w:tcPr>
            <w:tcW w:w="1492" w:type="dxa"/>
            <w:vAlign w:val="center"/>
          </w:tcPr>
          <w:p>
            <w:pPr>
              <w:adjustRightInd w:val="0"/>
              <w:snapToGrid w:val="0"/>
              <w:jc w:val="center"/>
              <w:rPr>
                <w:szCs w:val="21"/>
              </w:rPr>
            </w:pPr>
            <w:r>
              <w:rPr>
                <w:szCs w:val="21"/>
              </w:rPr>
              <w:t>产噪设备</w:t>
            </w:r>
          </w:p>
        </w:tc>
        <w:tc>
          <w:tcPr>
            <w:tcW w:w="1100" w:type="dxa"/>
            <w:vAlign w:val="center"/>
          </w:tcPr>
          <w:p>
            <w:pPr>
              <w:adjustRightInd w:val="0"/>
              <w:snapToGrid w:val="0"/>
              <w:jc w:val="center"/>
              <w:rPr>
                <w:szCs w:val="21"/>
              </w:rPr>
            </w:pPr>
            <w:r>
              <w:rPr>
                <w:szCs w:val="21"/>
              </w:rPr>
              <w:t>噪声</w:t>
            </w:r>
          </w:p>
        </w:tc>
        <w:tc>
          <w:tcPr>
            <w:tcW w:w="1540" w:type="dxa"/>
            <w:vAlign w:val="center"/>
          </w:tcPr>
          <w:p>
            <w:pPr>
              <w:adjustRightInd w:val="0"/>
              <w:snapToGrid w:val="0"/>
              <w:jc w:val="center"/>
              <w:rPr>
                <w:szCs w:val="21"/>
              </w:rPr>
            </w:pPr>
            <w:r>
              <w:rPr>
                <w:szCs w:val="21"/>
              </w:rPr>
              <w:t>安装减震基座</w:t>
            </w:r>
          </w:p>
          <w:p>
            <w:pPr>
              <w:adjustRightInd w:val="0"/>
              <w:snapToGrid w:val="0"/>
              <w:jc w:val="center"/>
              <w:rPr>
                <w:szCs w:val="21"/>
              </w:rPr>
            </w:pPr>
            <w:r>
              <w:rPr>
                <w:szCs w:val="21"/>
              </w:rPr>
              <w:t>封闭门窗隔声</w:t>
            </w:r>
          </w:p>
        </w:tc>
        <w:tc>
          <w:tcPr>
            <w:tcW w:w="3149" w:type="dxa"/>
            <w:vAlign w:val="center"/>
          </w:tcPr>
          <w:p>
            <w:pPr>
              <w:adjustRightInd w:val="0"/>
              <w:snapToGrid w:val="0"/>
              <w:jc w:val="center"/>
              <w:rPr>
                <w:szCs w:val="21"/>
              </w:rPr>
            </w:pPr>
            <w:r>
              <w:rPr>
                <w:szCs w:val="21"/>
              </w:rPr>
              <w:t>满足《工业企业厂界环境噪声排放标准》（GB12348-2008）3类标准</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519" w:type="dxa"/>
            <w:vAlign w:val="center"/>
          </w:tcPr>
          <w:p>
            <w:pPr>
              <w:adjustRightInd w:val="0"/>
              <w:snapToGrid w:val="0"/>
              <w:jc w:val="center"/>
              <w:rPr>
                <w:szCs w:val="21"/>
              </w:rPr>
            </w:pPr>
            <w:r>
              <w:rPr>
                <w:szCs w:val="21"/>
              </w:rPr>
              <w:t>固体废物</w:t>
            </w:r>
          </w:p>
        </w:tc>
        <w:tc>
          <w:tcPr>
            <w:tcW w:w="7281" w:type="dxa"/>
            <w:gridSpan w:val="4"/>
            <w:vAlign w:val="center"/>
          </w:tcPr>
          <w:p>
            <w:pPr>
              <w:jc w:val="center"/>
              <w:rPr>
                <w:szCs w:val="21"/>
                <w:u w:val="single"/>
              </w:rPr>
            </w:pPr>
            <w:r>
              <w:rPr>
                <w:szCs w:val="21"/>
                <w:u w:val="single"/>
              </w:rPr>
              <w:t>除尘灰、炉灰袋装后定期送当地居民做有机肥；废布袋由厂家回收；废机油、废抹布、废油桶、废导热油依托厂区现有危废暂存间暂存，委托吉林省高深环保科技有限公司处置</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519" w:type="dxa"/>
            <w:vAlign w:val="center"/>
          </w:tcPr>
          <w:p>
            <w:pPr>
              <w:adjustRightInd w:val="0"/>
              <w:snapToGrid w:val="0"/>
              <w:jc w:val="center"/>
              <w:rPr>
                <w:szCs w:val="21"/>
              </w:rPr>
            </w:pPr>
            <w:r>
              <w:rPr>
                <w:szCs w:val="21"/>
              </w:rPr>
              <w:t>土壤及地下水</w:t>
            </w:r>
          </w:p>
          <w:p>
            <w:pPr>
              <w:adjustRightInd w:val="0"/>
              <w:snapToGrid w:val="0"/>
              <w:jc w:val="center"/>
              <w:rPr>
                <w:szCs w:val="21"/>
              </w:rPr>
            </w:pPr>
            <w:r>
              <w:rPr>
                <w:szCs w:val="21"/>
              </w:rPr>
              <w:t>污染防治措施</w:t>
            </w:r>
          </w:p>
        </w:tc>
        <w:tc>
          <w:tcPr>
            <w:tcW w:w="7281" w:type="dxa"/>
            <w:gridSpan w:val="4"/>
            <w:vAlign w:val="center"/>
          </w:tcPr>
          <w:p>
            <w:pPr>
              <w:adjustRightInd w:val="0"/>
              <w:snapToGrid w:val="0"/>
              <w:jc w:val="center"/>
              <w:rPr>
                <w:szCs w:val="21"/>
              </w:rPr>
            </w:pPr>
            <w:r>
              <w:rPr>
                <w:szCs w:val="21"/>
              </w:rPr>
              <w:t>无</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519" w:type="dxa"/>
            <w:vAlign w:val="center"/>
          </w:tcPr>
          <w:p>
            <w:pPr>
              <w:adjustRightInd w:val="0"/>
              <w:snapToGrid w:val="0"/>
              <w:jc w:val="center"/>
              <w:rPr>
                <w:szCs w:val="21"/>
              </w:rPr>
            </w:pPr>
            <w:r>
              <w:rPr>
                <w:szCs w:val="21"/>
              </w:rPr>
              <w:t>生态保护措施</w:t>
            </w:r>
          </w:p>
        </w:tc>
        <w:tc>
          <w:tcPr>
            <w:tcW w:w="7281" w:type="dxa"/>
            <w:gridSpan w:val="4"/>
            <w:vAlign w:val="center"/>
          </w:tcPr>
          <w:p>
            <w:pPr>
              <w:adjustRightInd w:val="0"/>
              <w:snapToGrid w:val="0"/>
              <w:jc w:val="center"/>
              <w:rPr>
                <w:szCs w:val="21"/>
              </w:rPr>
            </w:pPr>
            <w:r>
              <w:rPr>
                <w:szCs w:val="21"/>
              </w:rPr>
              <w:t>无</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519" w:type="dxa"/>
            <w:vAlign w:val="center"/>
          </w:tcPr>
          <w:p>
            <w:pPr>
              <w:adjustRightInd w:val="0"/>
              <w:snapToGrid w:val="0"/>
              <w:jc w:val="center"/>
              <w:rPr>
                <w:spacing w:val="-8"/>
                <w:szCs w:val="21"/>
              </w:rPr>
            </w:pPr>
            <w:r>
              <w:rPr>
                <w:spacing w:val="-8"/>
                <w:szCs w:val="21"/>
              </w:rPr>
              <w:t>环境风险</w:t>
            </w:r>
          </w:p>
          <w:p>
            <w:pPr>
              <w:adjustRightInd w:val="0"/>
              <w:snapToGrid w:val="0"/>
              <w:jc w:val="center"/>
              <w:rPr>
                <w:spacing w:val="-8"/>
                <w:szCs w:val="21"/>
              </w:rPr>
            </w:pPr>
            <w:r>
              <w:rPr>
                <w:spacing w:val="-8"/>
                <w:szCs w:val="21"/>
              </w:rPr>
              <w:t>防范措施</w:t>
            </w:r>
          </w:p>
        </w:tc>
        <w:tc>
          <w:tcPr>
            <w:tcW w:w="7281" w:type="dxa"/>
            <w:gridSpan w:val="4"/>
            <w:vAlign w:val="center"/>
          </w:tcPr>
          <w:p>
            <w:pPr>
              <w:jc w:val="center"/>
              <w:rPr>
                <w:szCs w:val="21"/>
              </w:rPr>
            </w:pPr>
            <w:r>
              <w:rPr>
                <w:szCs w:val="21"/>
              </w:rPr>
              <w:t>本项目主要环境风险为导热油泄漏及引发的火灾事故。为有效防范环境风险，在源头控制方面，选用符合标准的设备及优质导热油，设置温度、压力在线监控和超温超压联锁保护，严防系统超温超压运行；在过程控制方面，锅炉房（30m</w:t>
            </w:r>
            <w:r>
              <w:rPr>
                <w:szCs w:val="21"/>
                <w:vertAlign w:val="superscript"/>
              </w:rPr>
              <w:t>2</w:t>
            </w:r>
            <w:r>
              <w:rPr>
                <w:szCs w:val="21"/>
              </w:rPr>
              <w:t>）内设置防渗围堰（有效容积4.0m</w:t>
            </w:r>
            <w:r>
              <w:rPr>
                <w:szCs w:val="21"/>
                <w:vertAlign w:val="superscript"/>
              </w:rPr>
              <w:t>3</w:t>
            </w:r>
            <w:r>
              <w:rPr>
                <w:szCs w:val="21"/>
              </w:rPr>
              <w:t>，大于导热油最大在线量3.5m</w:t>
            </w:r>
            <w:r>
              <w:rPr>
                <w:szCs w:val="21"/>
                <w:vertAlign w:val="superscript"/>
              </w:rPr>
              <w:t>3</w:t>
            </w:r>
            <w:r>
              <w:rPr>
                <w:szCs w:val="21"/>
              </w:rPr>
              <w:t>），确保泄漏物全部拦截不外溢，同时锅炉房实施硬化防渗、配备灭火器材、设置可燃气体报警和静电接地装置，并安装紧急切断阀；在应急响应方面，企业应编制突发环境事件应急预案并备案，配备吸油毡、防爆泵等应急物资，定期开展应急演练。</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519" w:type="dxa"/>
            <w:vAlign w:val="center"/>
          </w:tcPr>
          <w:p>
            <w:pPr>
              <w:adjustRightInd w:val="0"/>
              <w:snapToGrid w:val="0"/>
              <w:jc w:val="center"/>
              <w:rPr>
                <w:spacing w:val="-8"/>
                <w:szCs w:val="21"/>
              </w:rPr>
            </w:pPr>
            <w:r>
              <w:rPr>
                <w:spacing w:val="-8"/>
                <w:szCs w:val="21"/>
              </w:rPr>
              <w:t>其他环境</w:t>
            </w:r>
          </w:p>
          <w:p>
            <w:pPr>
              <w:adjustRightInd w:val="0"/>
              <w:snapToGrid w:val="0"/>
              <w:jc w:val="center"/>
              <w:rPr>
                <w:spacing w:val="-8"/>
                <w:szCs w:val="21"/>
              </w:rPr>
            </w:pPr>
            <w:r>
              <w:rPr>
                <w:spacing w:val="-8"/>
                <w:szCs w:val="21"/>
              </w:rPr>
              <w:t>管理要求</w:t>
            </w:r>
          </w:p>
        </w:tc>
        <w:tc>
          <w:tcPr>
            <w:tcW w:w="7281" w:type="dxa"/>
            <w:gridSpan w:val="4"/>
            <w:vAlign w:val="center"/>
          </w:tcPr>
          <w:p>
            <w:pPr>
              <w:adjustRightInd w:val="0"/>
              <w:snapToGrid w:val="0"/>
              <w:jc w:val="center"/>
              <w:rPr>
                <w:szCs w:val="21"/>
              </w:rPr>
            </w:pPr>
            <w:r>
              <w:rPr>
                <w:szCs w:val="21"/>
              </w:rPr>
              <w:t>企业建立环境管理体系，落实环保资金、例行监测制度，做好环境信息统计；根据《建设项目竣工环境保护验收暂行办法》中的相关规定，落实“三同时”验收；根据《排污许可管理办法》，在取得环评批复后，尽快落实排污许可制度。</w:t>
            </w:r>
          </w:p>
        </w:tc>
      </w:tr>
    </w:tbl>
    <w:p>
      <w:pPr>
        <w:spacing w:line="360" w:lineRule="auto"/>
        <w:ind w:firstLine="420" w:firstLineChars="200"/>
        <w:jc w:val="left"/>
      </w:pPr>
    </w:p>
    <w:p>
      <w:pPr>
        <w:spacing w:line="360" w:lineRule="auto"/>
        <w:ind w:firstLine="420" w:firstLineChars="200"/>
        <w:jc w:val="left"/>
      </w:pPr>
    </w:p>
    <w:p>
      <w:pPr>
        <w:spacing w:line="360" w:lineRule="auto"/>
        <w:ind w:firstLine="420" w:firstLineChars="200"/>
        <w:jc w:val="left"/>
      </w:pPr>
    </w:p>
    <w:p>
      <w:pPr>
        <w:spacing w:line="360" w:lineRule="auto"/>
        <w:ind w:firstLine="420" w:firstLineChars="200"/>
        <w:jc w:val="left"/>
      </w:pPr>
    </w:p>
    <w:p>
      <w:pPr>
        <w:spacing w:line="360" w:lineRule="auto"/>
        <w:ind w:firstLine="420" w:firstLineChars="200"/>
        <w:jc w:val="left"/>
      </w:pPr>
    </w:p>
    <w:p>
      <w:pPr>
        <w:pStyle w:val="2"/>
        <w:spacing w:before="0" w:after="0" w:line="240" w:lineRule="auto"/>
        <w:ind w:firstLine="148" w:firstLineChars="49"/>
        <w:jc w:val="center"/>
        <w:rPr>
          <w:bCs w:val="0"/>
          <w:kern w:val="2"/>
          <w:sz w:val="30"/>
          <w:szCs w:val="20"/>
        </w:rPr>
      </w:pPr>
      <w:r>
        <w:rPr>
          <w:rFonts w:eastAsia="黑体"/>
          <w:snapToGrid w:val="0"/>
          <w:sz w:val="30"/>
          <w:szCs w:val="30"/>
        </w:rPr>
        <w:t>六、结论</w:t>
      </w:r>
      <w:bookmarkEnd w:id="15"/>
    </w:p>
    <w:tbl>
      <w:tblPr>
        <w:tblStyle w:val="26"/>
        <w:tblW w:w="87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20" w:type="dxa"/>
            <w:vAlign w:val="top"/>
          </w:tcPr>
          <w:p>
            <w:pPr>
              <w:spacing w:line="360" w:lineRule="auto"/>
              <w:ind w:firstLine="420" w:firstLineChars="200"/>
              <w:jc w:val="left"/>
            </w:pPr>
            <w:r>
              <w:t>本项目建设符合国家产业政策，符合吉林省管控单元要求，通过现场踏查、工程分析、类比调查与污染防治措施的论证，项目在采取有效的污染防治措施后，各项污染物可实现达标排放，对环境影响较小。建设单位在建设及运营过程中应严格按照环境保护“三同时”，要求落实好环评报告中所提出各项环保措施。在建设单位积极落实报告表中所提出的各项污染防治措施，加强环境管理，保证治理措施正常运行的情况下，可以实现污染物达标排放。从环保角度考虑，该项目是可行的。</w:t>
            </w:r>
          </w:p>
          <w:p>
            <w:pPr>
              <w:spacing w:line="360" w:lineRule="auto"/>
              <w:ind w:firstLine="420" w:firstLineChars="200"/>
              <w:jc w:val="left"/>
            </w:pPr>
          </w:p>
          <w:p>
            <w:pPr>
              <w:spacing w:line="360" w:lineRule="auto"/>
              <w:ind w:firstLine="420" w:firstLineChars="200"/>
              <w:jc w:val="left"/>
            </w:pPr>
          </w:p>
          <w:p>
            <w:pPr>
              <w:spacing w:line="360" w:lineRule="auto"/>
              <w:ind w:firstLine="420" w:firstLineChars="200"/>
              <w:jc w:val="left"/>
            </w:pPr>
          </w:p>
          <w:p>
            <w:pPr>
              <w:spacing w:line="360" w:lineRule="auto"/>
              <w:ind w:firstLine="420" w:firstLineChars="200"/>
              <w:jc w:val="left"/>
            </w:pPr>
          </w:p>
          <w:p>
            <w:pPr>
              <w:spacing w:line="360" w:lineRule="auto"/>
              <w:ind w:firstLine="420" w:firstLineChars="200"/>
              <w:jc w:val="left"/>
            </w:pPr>
          </w:p>
          <w:p>
            <w:pPr>
              <w:spacing w:line="360" w:lineRule="auto"/>
              <w:ind w:firstLine="420" w:firstLineChars="200"/>
              <w:jc w:val="left"/>
            </w:pPr>
          </w:p>
          <w:p>
            <w:pPr>
              <w:spacing w:line="360" w:lineRule="auto"/>
              <w:ind w:firstLine="420" w:firstLineChars="200"/>
              <w:jc w:val="left"/>
            </w:pPr>
          </w:p>
          <w:p>
            <w:pPr>
              <w:spacing w:line="360" w:lineRule="auto"/>
              <w:ind w:firstLine="420" w:firstLineChars="200"/>
              <w:jc w:val="left"/>
            </w:pPr>
          </w:p>
          <w:p>
            <w:pPr>
              <w:spacing w:line="360" w:lineRule="auto"/>
              <w:ind w:firstLine="420" w:firstLineChars="200"/>
              <w:jc w:val="left"/>
            </w:pPr>
          </w:p>
          <w:p>
            <w:pPr>
              <w:spacing w:line="360" w:lineRule="auto"/>
              <w:ind w:firstLine="420" w:firstLineChars="200"/>
              <w:jc w:val="left"/>
            </w:pPr>
          </w:p>
          <w:p>
            <w:pPr>
              <w:spacing w:line="360" w:lineRule="auto"/>
              <w:ind w:firstLine="420" w:firstLineChars="200"/>
              <w:jc w:val="left"/>
            </w:pPr>
          </w:p>
          <w:p>
            <w:pPr>
              <w:spacing w:line="360" w:lineRule="auto"/>
              <w:ind w:firstLine="420" w:firstLineChars="200"/>
              <w:jc w:val="left"/>
            </w:pPr>
          </w:p>
          <w:p>
            <w:pPr>
              <w:spacing w:line="360" w:lineRule="auto"/>
              <w:ind w:firstLine="420" w:firstLineChars="200"/>
              <w:jc w:val="left"/>
            </w:pPr>
          </w:p>
          <w:p>
            <w:pPr>
              <w:spacing w:line="360" w:lineRule="auto"/>
              <w:ind w:firstLine="420" w:firstLineChars="200"/>
              <w:jc w:val="left"/>
            </w:pPr>
          </w:p>
          <w:p>
            <w:pPr>
              <w:spacing w:line="360" w:lineRule="auto"/>
              <w:ind w:firstLine="420" w:firstLineChars="200"/>
              <w:jc w:val="left"/>
            </w:pPr>
          </w:p>
          <w:p>
            <w:pPr>
              <w:spacing w:line="360" w:lineRule="auto"/>
              <w:ind w:firstLine="420" w:firstLineChars="200"/>
              <w:jc w:val="left"/>
            </w:pPr>
          </w:p>
          <w:p>
            <w:pPr>
              <w:spacing w:line="360" w:lineRule="auto"/>
              <w:ind w:firstLine="420" w:firstLineChars="200"/>
              <w:jc w:val="left"/>
            </w:pPr>
          </w:p>
          <w:p>
            <w:pPr>
              <w:spacing w:line="360" w:lineRule="auto"/>
              <w:ind w:firstLine="420" w:firstLineChars="200"/>
              <w:jc w:val="left"/>
            </w:pPr>
          </w:p>
        </w:tc>
      </w:tr>
    </w:tbl>
    <w:p>
      <w:pPr>
        <w:spacing w:line="360" w:lineRule="auto"/>
        <w:rPr>
          <w:sz w:val="24"/>
          <w:szCs w:val="24"/>
        </w:rPr>
      </w:pPr>
    </w:p>
    <w:p>
      <w:pPr>
        <w:spacing w:line="360" w:lineRule="auto"/>
        <w:rPr>
          <w:sz w:val="24"/>
          <w:szCs w:val="24"/>
        </w:rPr>
        <w:sectPr>
          <w:pgSz w:w="11906" w:h="16838"/>
          <w:pgMar w:top="1701" w:right="1701" w:bottom="1701" w:left="1701" w:header="851" w:footer="992" w:gutter="0"/>
          <w:cols w:space="0" w:num="1"/>
          <w:docGrid w:type="lines" w:linePitch="312" w:charSpace="0"/>
        </w:sectPr>
      </w:pPr>
    </w:p>
    <w:p>
      <w:pPr>
        <w:pStyle w:val="2"/>
        <w:spacing w:before="0" w:after="0" w:line="240" w:lineRule="auto"/>
        <w:ind w:firstLine="186" w:firstLineChars="49"/>
        <w:jc w:val="center"/>
        <w:rPr>
          <w:b w:val="0"/>
          <w:bCs w:val="0"/>
          <w:kern w:val="2"/>
          <w:sz w:val="30"/>
          <w:szCs w:val="20"/>
        </w:rPr>
      </w:pPr>
      <w:bookmarkStart w:id="16" w:name="_Toc4245"/>
      <w:r>
        <w:rPr>
          <w:rFonts w:eastAsia="方正小标宋_GBK"/>
          <w:b w:val="0"/>
          <w:bCs w:val="0"/>
          <w:snapToGrid w:val="0"/>
          <w:sz w:val="38"/>
          <w:szCs w:val="38"/>
        </w:rPr>
        <w:t>建设项目污染物排放量汇总表</w:t>
      </w:r>
      <w:bookmarkEnd w:id="16"/>
    </w:p>
    <w:tbl>
      <w:tblPr>
        <w:tblStyle w:val="26"/>
        <w:tblW w:w="13781" w:type="dxa"/>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098"/>
        <w:gridCol w:w="1828"/>
        <w:gridCol w:w="1520"/>
        <w:gridCol w:w="1186"/>
        <w:gridCol w:w="1613"/>
        <w:gridCol w:w="1473"/>
        <w:gridCol w:w="1673"/>
        <w:gridCol w:w="1874"/>
        <w:gridCol w:w="1516"/>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1098" w:type="dxa"/>
            <w:tcBorders>
              <w:tl2br w:val="single" w:color="auto" w:sz="4" w:space="0"/>
            </w:tcBorders>
            <w:tcMar>
              <w:left w:w="28" w:type="dxa"/>
              <w:right w:w="28" w:type="dxa"/>
            </w:tcMar>
            <w:vAlign w:val="center"/>
          </w:tcPr>
          <w:p>
            <w:pPr>
              <w:jc w:val="right"/>
            </w:pPr>
            <w:r>
              <w:t>项目</w:t>
            </w:r>
          </w:p>
          <w:p>
            <w:r>
              <w:t>分类</w:t>
            </w:r>
          </w:p>
        </w:tc>
        <w:tc>
          <w:tcPr>
            <w:tcW w:w="1828" w:type="dxa"/>
            <w:tcMar>
              <w:left w:w="28" w:type="dxa"/>
              <w:right w:w="28" w:type="dxa"/>
            </w:tcMar>
            <w:vAlign w:val="center"/>
          </w:tcPr>
          <w:p>
            <w:pPr>
              <w:jc w:val="center"/>
            </w:pPr>
            <w:r>
              <w:t>污染物名称</w:t>
            </w:r>
          </w:p>
        </w:tc>
        <w:tc>
          <w:tcPr>
            <w:tcW w:w="1520" w:type="dxa"/>
            <w:tcMar>
              <w:left w:w="28" w:type="dxa"/>
              <w:right w:w="28" w:type="dxa"/>
            </w:tcMar>
            <w:vAlign w:val="center"/>
          </w:tcPr>
          <w:p>
            <w:pPr>
              <w:jc w:val="center"/>
            </w:pPr>
            <w:r>
              <w:t>现有工程</w:t>
            </w:r>
          </w:p>
          <w:p>
            <w:pPr>
              <w:jc w:val="center"/>
            </w:pPr>
            <w:r>
              <w:t>排放量（固体废物产生量）</w:t>
            </w:r>
            <w:r>
              <w:fldChar w:fldCharType="begin"/>
            </w:r>
            <w:r>
              <w:instrText xml:space="preserve"> = 1 \* GB3 \* MERGEFORMAT </w:instrText>
            </w:r>
            <w:r>
              <w:fldChar w:fldCharType="separate"/>
            </w:r>
            <w:r>
              <w:t>①</w:t>
            </w:r>
            <w:r>
              <w:fldChar w:fldCharType="end"/>
            </w:r>
          </w:p>
        </w:tc>
        <w:tc>
          <w:tcPr>
            <w:tcW w:w="1186" w:type="dxa"/>
            <w:tcMar>
              <w:left w:w="28" w:type="dxa"/>
              <w:right w:w="28" w:type="dxa"/>
            </w:tcMar>
            <w:vAlign w:val="center"/>
          </w:tcPr>
          <w:p>
            <w:pPr>
              <w:jc w:val="center"/>
            </w:pPr>
            <w:r>
              <w:t>现有工程</w:t>
            </w:r>
          </w:p>
          <w:p>
            <w:pPr>
              <w:jc w:val="center"/>
            </w:pPr>
            <w:r>
              <w:t>许可排放量</w:t>
            </w:r>
          </w:p>
          <w:p>
            <w:pPr>
              <w:jc w:val="center"/>
            </w:pPr>
            <w:r>
              <w:fldChar w:fldCharType="begin"/>
            </w:r>
            <w:r>
              <w:instrText xml:space="preserve"> = 2 \* GB3 \* MERGEFORMAT </w:instrText>
            </w:r>
            <w:r>
              <w:fldChar w:fldCharType="separate"/>
            </w:r>
            <w:r>
              <w:t>②</w:t>
            </w:r>
            <w:r>
              <w:fldChar w:fldCharType="end"/>
            </w:r>
          </w:p>
        </w:tc>
        <w:tc>
          <w:tcPr>
            <w:tcW w:w="1613" w:type="dxa"/>
            <w:tcMar>
              <w:left w:w="28" w:type="dxa"/>
              <w:right w:w="28" w:type="dxa"/>
            </w:tcMar>
            <w:vAlign w:val="center"/>
          </w:tcPr>
          <w:p>
            <w:pPr>
              <w:jc w:val="center"/>
            </w:pPr>
            <w:r>
              <w:t>在建工程</w:t>
            </w:r>
          </w:p>
          <w:p>
            <w:pPr>
              <w:jc w:val="center"/>
            </w:pPr>
            <w:r>
              <w:t>排放量（固体废物产生量）</w:t>
            </w:r>
            <w:r>
              <w:fldChar w:fldCharType="begin"/>
            </w:r>
            <w:r>
              <w:instrText xml:space="preserve"> = 3 \* GB3 \* MERGEFORMAT </w:instrText>
            </w:r>
            <w:r>
              <w:fldChar w:fldCharType="separate"/>
            </w:r>
            <w:r>
              <w:t>③</w:t>
            </w:r>
            <w:r>
              <w:fldChar w:fldCharType="end"/>
            </w:r>
          </w:p>
        </w:tc>
        <w:tc>
          <w:tcPr>
            <w:tcW w:w="1473" w:type="dxa"/>
            <w:tcMar>
              <w:left w:w="28" w:type="dxa"/>
              <w:right w:w="28" w:type="dxa"/>
            </w:tcMar>
            <w:vAlign w:val="center"/>
          </w:tcPr>
          <w:p>
            <w:pPr>
              <w:jc w:val="center"/>
            </w:pPr>
            <w:r>
              <w:t>本项目</w:t>
            </w:r>
          </w:p>
          <w:p>
            <w:pPr>
              <w:jc w:val="center"/>
            </w:pPr>
            <w:r>
              <w:t>排放量（固体废物产生量）</w:t>
            </w:r>
            <w:r>
              <w:fldChar w:fldCharType="begin"/>
            </w:r>
            <w:r>
              <w:instrText xml:space="preserve"> = 4 \* GB3 \* MERGEFORMAT </w:instrText>
            </w:r>
            <w:r>
              <w:fldChar w:fldCharType="separate"/>
            </w:r>
            <w:r>
              <w:t>④</w:t>
            </w:r>
            <w:r>
              <w:fldChar w:fldCharType="end"/>
            </w:r>
          </w:p>
        </w:tc>
        <w:tc>
          <w:tcPr>
            <w:tcW w:w="1673" w:type="dxa"/>
            <w:tcMar>
              <w:left w:w="28" w:type="dxa"/>
              <w:right w:w="28" w:type="dxa"/>
            </w:tcMar>
            <w:vAlign w:val="center"/>
          </w:tcPr>
          <w:p>
            <w:pPr>
              <w:jc w:val="center"/>
            </w:pPr>
            <w:r>
              <w:t>以新带老削减量</w:t>
            </w:r>
          </w:p>
          <w:p>
            <w:pPr>
              <w:jc w:val="center"/>
            </w:pPr>
            <w:r>
              <w:t>（新建项目不填）</w:t>
            </w:r>
            <w:r>
              <w:fldChar w:fldCharType="begin"/>
            </w:r>
            <w:r>
              <w:instrText xml:space="preserve"> = 5 \* GB3 \* MERGEFORMAT </w:instrText>
            </w:r>
            <w:r>
              <w:fldChar w:fldCharType="separate"/>
            </w:r>
            <w:r>
              <w:t>⑤</w:t>
            </w:r>
            <w:r>
              <w:fldChar w:fldCharType="end"/>
            </w:r>
          </w:p>
        </w:tc>
        <w:tc>
          <w:tcPr>
            <w:tcW w:w="1874" w:type="dxa"/>
            <w:tcMar>
              <w:left w:w="28" w:type="dxa"/>
              <w:right w:w="28" w:type="dxa"/>
            </w:tcMar>
            <w:vAlign w:val="center"/>
          </w:tcPr>
          <w:p>
            <w:pPr>
              <w:jc w:val="center"/>
            </w:pPr>
            <w:r>
              <w:t>本项目建成后</w:t>
            </w:r>
          </w:p>
          <w:p>
            <w:pPr>
              <w:jc w:val="center"/>
            </w:pPr>
            <w:r>
              <w:t>全厂排放量（固体废物产生量）</w:t>
            </w:r>
            <w:r>
              <w:fldChar w:fldCharType="begin"/>
            </w:r>
            <w:r>
              <w:instrText xml:space="preserve"> = 6 \* GB3 \* MERGEFORMAT </w:instrText>
            </w:r>
            <w:r>
              <w:fldChar w:fldCharType="separate"/>
            </w:r>
            <w:r>
              <w:t>⑥</w:t>
            </w:r>
            <w:r>
              <w:fldChar w:fldCharType="end"/>
            </w:r>
          </w:p>
        </w:tc>
        <w:tc>
          <w:tcPr>
            <w:tcW w:w="1516" w:type="dxa"/>
            <w:tcMar>
              <w:left w:w="28" w:type="dxa"/>
              <w:right w:w="28" w:type="dxa"/>
            </w:tcMar>
            <w:vAlign w:val="center"/>
          </w:tcPr>
          <w:p>
            <w:pPr>
              <w:jc w:val="center"/>
            </w:pPr>
            <w:r>
              <w:t>变化量</w:t>
            </w:r>
          </w:p>
          <w:p>
            <w:pPr>
              <w:jc w:val="center"/>
            </w:pPr>
            <w:r>
              <w:fldChar w:fldCharType="begin"/>
            </w:r>
            <w:r>
              <w:instrText xml:space="preserve"> = 7 \* GB3 \* MERGEFORMAT </w:instrText>
            </w:r>
            <w:r>
              <w:fldChar w:fldCharType="separate"/>
            </w:r>
            <w:r>
              <w:t>⑦</w:t>
            </w:r>
            <w:r>
              <w:fldChar w:fldCharType="end"/>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1098" w:type="dxa"/>
            <w:vMerge w:val="restart"/>
            <w:vAlign w:val="center"/>
          </w:tcPr>
          <w:p>
            <w:pPr>
              <w:adjustRightInd w:val="0"/>
              <w:snapToGrid w:val="0"/>
              <w:jc w:val="center"/>
              <w:rPr>
                <w:szCs w:val="21"/>
              </w:rPr>
            </w:pPr>
            <w:r>
              <w:rPr>
                <w:szCs w:val="21"/>
              </w:rPr>
              <w:t>废气</w:t>
            </w:r>
          </w:p>
        </w:tc>
        <w:tc>
          <w:tcPr>
            <w:tcW w:w="1828" w:type="dxa"/>
            <w:vAlign w:val="center"/>
          </w:tcPr>
          <w:p>
            <w:pPr>
              <w:adjustRightInd w:val="0"/>
              <w:snapToGrid w:val="0"/>
              <w:jc w:val="center"/>
              <w:rPr>
                <w:szCs w:val="21"/>
                <w:u w:val="single"/>
                <w:lang w:eastAsia="zh-TW"/>
              </w:rPr>
            </w:pPr>
            <w:r>
              <w:rPr>
                <w:szCs w:val="21"/>
                <w:u w:val="single"/>
                <w:lang w:eastAsia="zh-TW"/>
              </w:rPr>
              <w:t>颗粒物</w:t>
            </w:r>
          </w:p>
        </w:tc>
        <w:tc>
          <w:tcPr>
            <w:tcW w:w="1520" w:type="dxa"/>
            <w:vAlign w:val="center"/>
          </w:tcPr>
          <w:p>
            <w:pPr>
              <w:pStyle w:val="36"/>
              <w:spacing w:beforeLines="0" w:line="240" w:lineRule="auto"/>
              <w:rPr>
                <w:rFonts w:ascii="Times New Roman"/>
                <w:snapToGrid w:val="0"/>
                <w:kern w:val="21"/>
                <w:szCs w:val="21"/>
                <w:u w:val="single"/>
              </w:rPr>
            </w:pPr>
            <w:r>
              <w:rPr>
                <w:rFonts w:ascii="Times New Roman" w:eastAsia="宋体"/>
                <w:bCs w:val="0"/>
                <w:szCs w:val="21"/>
                <w:u w:val="single"/>
                <w:lang w:eastAsia="zh-TW"/>
              </w:rPr>
              <w:t>0.0</w:t>
            </w:r>
            <w:r>
              <w:rPr>
                <w:rFonts w:hint="eastAsia" w:ascii="Times New Roman" w:eastAsia="宋体"/>
                <w:bCs w:val="0"/>
                <w:szCs w:val="21"/>
                <w:u w:val="single"/>
              </w:rPr>
              <w:t>524</w:t>
            </w:r>
            <w:r>
              <w:rPr>
                <w:rFonts w:ascii="Times New Roman" w:eastAsia="宋体"/>
                <w:bCs w:val="0"/>
                <w:szCs w:val="21"/>
                <w:u w:val="single"/>
                <w:lang w:eastAsia="zh-TW"/>
              </w:rPr>
              <w:t>t/a</w:t>
            </w:r>
          </w:p>
        </w:tc>
        <w:tc>
          <w:tcPr>
            <w:tcW w:w="1186" w:type="dxa"/>
            <w:vAlign w:val="center"/>
          </w:tcPr>
          <w:p>
            <w:pPr>
              <w:pStyle w:val="36"/>
              <w:spacing w:beforeLines="0" w:line="240" w:lineRule="auto"/>
              <w:rPr>
                <w:rFonts w:ascii="Times New Roman"/>
                <w:snapToGrid w:val="0"/>
                <w:kern w:val="21"/>
                <w:szCs w:val="21"/>
                <w:u w:val="single"/>
              </w:rPr>
            </w:pPr>
            <w:r>
              <w:rPr>
                <w:rFonts w:ascii="Times New Roman" w:eastAsia="宋体"/>
                <w:bCs w:val="0"/>
                <w:szCs w:val="21"/>
                <w:u w:val="single"/>
                <w:lang w:eastAsia="zh-TW"/>
              </w:rPr>
              <w:t>0.0</w:t>
            </w:r>
            <w:r>
              <w:rPr>
                <w:rFonts w:hint="eastAsia" w:ascii="Times New Roman" w:eastAsia="宋体"/>
                <w:bCs w:val="0"/>
                <w:szCs w:val="21"/>
                <w:u w:val="single"/>
              </w:rPr>
              <w:t>524</w:t>
            </w:r>
            <w:r>
              <w:rPr>
                <w:rFonts w:ascii="Times New Roman" w:eastAsia="宋体"/>
                <w:bCs w:val="0"/>
                <w:szCs w:val="21"/>
                <w:u w:val="single"/>
                <w:lang w:eastAsia="zh-TW"/>
              </w:rPr>
              <w:t>t/a</w:t>
            </w:r>
          </w:p>
        </w:tc>
        <w:tc>
          <w:tcPr>
            <w:tcW w:w="1613" w:type="dxa"/>
            <w:vAlign w:val="center"/>
          </w:tcPr>
          <w:p>
            <w:pPr>
              <w:pStyle w:val="36"/>
              <w:spacing w:beforeLines="0" w:line="240" w:lineRule="auto"/>
              <w:rPr>
                <w:rFonts w:ascii="Times New Roman"/>
                <w:snapToGrid w:val="0"/>
                <w:kern w:val="21"/>
                <w:szCs w:val="21"/>
                <w:u w:val="single"/>
              </w:rPr>
            </w:pPr>
            <w:r>
              <w:rPr>
                <w:rFonts w:ascii="Times New Roman"/>
                <w:snapToGrid w:val="0"/>
                <w:kern w:val="21"/>
                <w:szCs w:val="21"/>
                <w:u w:val="single"/>
              </w:rPr>
              <w:t>0</w:t>
            </w:r>
          </w:p>
        </w:tc>
        <w:tc>
          <w:tcPr>
            <w:tcW w:w="1473" w:type="dxa"/>
            <w:vAlign w:val="center"/>
          </w:tcPr>
          <w:p>
            <w:pPr>
              <w:adjustRightInd w:val="0"/>
              <w:snapToGrid w:val="0"/>
              <w:jc w:val="center"/>
              <w:rPr>
                <w:szCs w:val="21"/>
                <w:u w:val="single"/>
                <w:lang w:eastAsia="zh-TW"/>
              </w:rPr>
            </w:pPr>
            <w:r>
              <w:rPr>
                <w:rFonts w:hint="eastAsia"/>
                <w:szCs w:val="21"/>
                <w:u w:val="single"/>
              </w:rPr>
              <w:t>0.0038</w:t>
            </w:r>
            <w:r>
              <w:rPr>
                <w:szCs w:val="21"/>
                <w:u w:val="single"/>
                <w:lang w:eastAsia="zh-TW"/>
              </w:rPr>
              <w:t>t/a</w:t>
            </w:r>
          </w:p>
        </w:tc>
        <w:tc>
          <w:tcPr>
            <w:tcW w:w="1673" w:type="dxa"/>
            <w:vAlign w:val="center"/>
          </w:tcPr>
          <w:p>
            <w:pPr>
              <w:pStyle w:val="36"/>
              <w:spacing w:beforeLines="0" w:line="240" w:lineRule="auto"/>
              <w:rPr>
                <w:rFonts w:ascii="Times New Roman"/>
                <w:bCs w:val="0"/>
                <w:snapToGrid w:val="0"/>
                <w:kern w:val="21"/>
                <w:szCs w:val="21"/>
                <w:u w:val="single"/>
              </w:rPr>
            </w:pPr>
            <w:r>
              <w:rPr>
                <w:rFonts w:ascii="Times New Roman" w:eastAsia="宋体"/>
                <w:bCs w:val="0"/>
                <w:szCs w:val="21"/>
                <w:u w:val="single"/>
                <w:lang w:eastAsia="zh-TW"/>
              </w:rPr>
              <w:t>0.0</w:t>
            </w:r>
            <w:r>
              <w:rPr>
                <w:rFonts w:hint="eastAsia" w:ascii="Times New Roman" w:eastAsia="宋体"/>
                <w:bCs w:val="0"/>
                <w:szCs w:val="21"/>
                <w:u w:val="single"/>
              </w:rPr>
              <w:t>524</w:t>
            </w:r>
            <w:r>
              <w:rPr>
                <w:rFonts w:ascii="Times New Roman" w:eastAsia="宋体"/>
                <w:bCs w:val="0"/>
                <w:szCs w:val="21"/>
                <w:u w:val="single"/>
                <w:lang w:eastAsia="zh-TW"/>
              </w:rPr>
              <w:t>t/a</w:t>
            </w:r>
          </w:p>
        </w:tc>
        <w:tc>
          <w:tcPr>
            <w:tcW w:w="1874" w:type="dxa"/>
            <w:vAlign w:val="center"/>
          </w:tcPr>
          <w:p>
            <w:pPr>
              <w:adjustRightInd w:val="0"/>
              <w:snapToGrid w:val="0"/>
              <w:jc w:val="center"/>
              <w:rPr>
                <w:snapToGrid w:val="0"/>
                <w:color w:val="000000"/>
                <w:kern w:val="21"/>
                <w:szCs w:val="21"/>
                <w:u w:val="single"/>
              </w:rPr>
            </w:pPr>
            <w:r>
              <w:rPr>
                <w:rFonts w:hint="eastAsia"/>
                <w:szCs w:val="21"/>
                <w:u w:val="single"/>
              </w:rPr>
              <w:t>0.0038</w:t>
            </w:r>
            <w:r>
              <w:rPr>
                <w:szCs w:val="21"/>
                <w:u w:val="single"/>
                <w:lang w:eastAsia="zh-TW"/>
              </w:rPr>
              <w:t>t/a</w:t>
            </w:r>
          </w:p>
        </w:tc>
        <w:tc>
          <w:tcPr>
            <w:tcW w:w="1516" w:type="dxa"/>
            <w:vAlign w:val="center"/>
          </w:tcPr>
          <w:p>
            <w:pPr>
              <w:adjustRightInd w:val="0"/>
              <w:snapToGrid w:val="0"/>
              <w:jc w:val="center"/>
              <w:rPr>
                <w:szCs w:val="21"/>
                <w:u w:val="single"/>
              </w:rPr>
            </w:pPr>
            <w:r>
              <w:rPr>
                <w:rFonts w:hint="eastAsia"/>
                <w:szCs w:val="21"/>
                <w:u w:val="single"/>
              </w:rPr>
              <w:t>-</w:t>
            </w:r>
            <w:r>
              <w:rPr>
                <w:szCs w:val="21"/>
                <w:u w:val="single"/>
              </w:rPr>
              <w:t>0.0</w:t>
            </w:r>
            <w:r>
              <w:rPr>
                <w:rFonts w:hint="eastAsia"/>
                <w:szCs w:val="21"/>
                <w:u w:val="single"/>
              </w:rPr>
              <w:t>486</w:t>
            </w:r>
            <w:r>
              <w:rPr>
                <w:szCs w:val="21"/>
                <w:u w:val="single"/>
                <w:lang w:eastAsia="zh-TW"/>
              </w:rPr>
              <w:t>t/a</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1098" w:type="dxa"/>
            <w:vMerge w:val="continue"/>
            <w:vAlign w:val="center"/>
          </w:tcPr>
          <w:p>
            <w:pPr>
              <w:adjustRightInd w:val="0"/>
              <w:snapToGrid w:val="0"/>
              <w:jc w:val="center"/>
              <w:rPr>
                <w:szCs w:val="21"/>
              </w:rPr>
            </w:pPr>
          </w:p>
        </w:tc>
        <w:tc>
          <w:tcPr>
            <w:tcW w:w="1828" w:type="dxa"/>
            <w:vAlign w:val="center"/>
          </w:tcPr>
          <w:p>
            <w:pPr>
              <w:adjustRightInd w:val="0"/>
              <w:snapToGrid w:val="0"/>
              <w:jc w:val="center"/>
              <w:rPr>
                <w:szCs w:val="21"/>
                <w:u w:val="single"/>
                <w:lang w:eastAsia="zh-TW"/>
              </w:rPr>
            </w:pPr>
            <w:r>
              <w:rPr>
                <w:szCs w:val="21"/>
                <w:u w:val="single"/>
                <w:lang w:eastAsia="zh-TW"/>
              </w:rPr>
              <w:t>二氧化硫</w:t>
            </w:r>
          </w:p>
        </w:tc>
        <w:tc>
          <w:tcPr>
            <w:tcW w:w="1520" w:type="dxa"/>
            <w:vAlign w:val="center"/>
          </w:tcPr>
          <w:p>
            <w:pPr>
              <w:pStyle w:val="36"/>
              <w:spacing w:beforeLines="0" w:line="240" w:lineRule="auto"/>
              <w:rPr>
                <w:rFonts w:ascii="Times New Roman"/>
                <w:snapToGrid w:val="0"/>
                <w:kern w:val="21"/>
                <w:szCs w:val="21"/>
                <w:u w:val="single"/>
              </w:rPr>
            </w:pPr>
            <w:r>
              <w:rPr>
                <w:rFonts w:ascii="Times New Roman" w:eastAsia="宋体"/>
                <w:bCs w:val="0"/>
                <w:szCs w:val="21"/>
                <w:u w:val="single"/>
                <w:lang w:eastAsia="zh-TW"/>
              </w:rPr>
              <w:t>0.0</w:t>
            </w:r>
            <w:r>
              <w:rPr>
                <w:rFonts w:hint="eastAsia" w:ascii="Times New Roman" w:eastAsia="宋体"/>
                <w:bCs w:val="0"/>
                <w:szCs w:val="21"/>
                <w:u w:val="single"/>
              </w:rPr>
              <w:t>564</w:t>
            </w:r>
            <w:r>
              <w:rPr>
                <w:rFonts w:ascii="Times New Roman" w:eastAsia="宋体"/>
                <w:bCs w:val="0"/>
                <w:szCs w:val="21"/>
                <w:u w:val="single"/>
                <w:lang w:eastAsia="zh-TW"/>
              </w:rPr>
              <w:t>t/a</w:t>
            </w:r>
          </w:p>
        </w:tc>
        <w:tc>
          <w:tcPr>
            <w:tcW w:w="1186" w:type="dxa"/>
            <w:vAlign w:val="center"/>
          </w:tcPr>
          <w:p>
            <w:pPr>
              <w:pStyle w:val="36"/>
              <w:spacing w:beforeLines="0" w:line="240" w:lineRule="auto"/>
              <w:rPr>
                <w:rFonts w:ascii="Times New Roman"/>
                <w:snapToGrid w:val="0"/>
                <w:kern w:val="21"/>
                <w:szCs w:val="21"/>
                <w:u w:val="single"/>
              </w:rPr>
            </w:pPr>
            <w:r>
              <w:rPr>
                <w:rFonts w:ascii="Times New Roman" w:eastAsia="宋体"/>
                <w:bCs w:val="0"/>
                <w:szCs w:val="21"/>
                <w:u w:val="single"/>
                <w:lang w:eastAsia="zh-TW"/>
              </w:rPr>
              <w:t>0.0</w:t>
            </w:r>
            <w:r>
              <w:rPr>
                <w:rFonts w:hint="eastAsia" w:ascii="Times New Roman" w:eastAsia="宋体"/>
                <w:bCs w:val="0"/>
                <w:szCs w:val="21"/>
                <w:u w:val="single"/>
              </w:rPr>
              <w:t>564</w:t>
            </w:r>
            <w:r>
              <w:rPr>
                <w:rFonts w:ascii="Times New Roman" w:eastAsia="宋体"/>
                <w:bCs w:val="0"/>
                <w:szCs w:val="21"/>
                <w:u w:val="single"/>
                <w:lang w:eastAsia="zh-TW"/>
              </w:rPr>
              <w:t>t/a</w:t>
            </w:r>
          </w:p>
        </w:tc>
        <w:tc>
          <w:tcPr>
            <w:tcW w:w="1613" w:type="dxa"/>
            <w:vAlign w:val="center"/>
          </w:tcPr>
          <w:p>
            <w:pPr>
              <w:pStyle w:val="36"/>
              <w:spacing w:beforeLines="0" w:line="240" w:lineRule="auto"/>
              <w:rPr>
                <w:rFonts w:ascii="Times New Roman"/>
                <w:snapToGrid w:val="0"/>
                <w:kern w:val="21"/>
                <w:szCs w:val="21"/>
                <w:u w:val="single"/>
              </w:rPr>
            </w:pPr>
            <w:r>
              <w:rPr>
                <w:rFonts w:ascii="Times New Roman"/>
                <w:snapToGrid w:val="0"/>
                <w:kern w:val="21"/>
                <w:szCs w:val="21"/>
                <w:u w:val="single"/>
              </w:rPr>
              <w:t>0</w:t>
            </w:r>
          </w:p>
        </w:tc>
        <w:tc>
          <w:tcPr>
            <w:tcW w:w="1473" w:type="dxa"/>
            <w:vAlign w:val="center"/>
          </w:tcPr>
          <w:p>
            <w:pPr>
              <w:adjustRightInd w:val="0"/>
              <w:snapToGrid w:val="0"/>
              <w:jc w:val="center"/>
              <w:rPr>
                <w:szCs w:val="21"/>
                <w:u w:val="single"/>
                <w:lang w:eastAsia="zh-TW"/>
              </w:rPr>
            </w:pPr>
            <w:r>
              <w:rPr>
                <w:rFonts w:hint="eastAsia"/>
                <w:szCs w:val="21"/>
                <w:u w:val="single"/>
              </w:rPr>
              <w:t>0.0065</w:t>
            </w:r>
            <w:r>
              <w:rPr>
                <w:szCs w:val="21"/>
                <w:u w:val="single"/>
                <w:lang w:eastAsia="zh-TW"/>
              </w:rPr>
              <w:t>t/a</w:t>
            </w:r>
          </w:p>
        </w:tc>
        <w:tc>
          <w:tcPr>
            <w:tcW w:w="1673" w:type="dxa"/>
            <w:vAlign w:val="center"/>
          </w:tcPr>
          <w:p>
            <w:pPr>
              <w:pStyle w:val="36"/>
              <w:spacing w:beforeLines="0" w:line="240" w:lineRule="auto"/>
              <w:rPr>
                <w:rFonts w:ascii="Times New Roman"/>
                <w:bCs w:val="0"/>
                <w:snapToGrid w:val="0"/>
                <w:kern w:val="21"/>
                <w:szCs w:val="21"/>
                <w:u w:val="single"/>
              </w:rPr>
            </w:pPr>
            <w:r>
              <w:rPr>
                <w:rFonts w:ascii="Times New Roman" w:eastAsia="宋体"/>
                <w:bCs w:val="0"/>
                <w:szCs w:val="21"/>
                <w:u w:val="single"/>
                <w:lang w:eastAsia="zh-TW"/>
              </w:rPr>
              <w:t>0.0</w:t>
            </w:r>
            <w:r>
              <w:rPr>
                <w:rFonts w:hint="eastAsia" w:ascii="Times New Roman" w:eastAsia="宋体"/>
                <w:bCs w:val="0"/>
                <w:szCs w:val="21"/>
                <w:u w:val="single"/>
              </w:rPr>
              <w:t>564</w:t>
            </w:r>
            <w:r>
              <w:rPr>
                <w:rFonts w:ascii="Times New Roman" w:eastAsia="宋体"/>
                <w:bCs w:val="0"/>
                <w:szCs w:val="21"/>
                <w:u w:val="single"/>
                <w:lang w:eastAsia="zh-TW"/>
              </w:rPr>
              <w:t>t/a</w:t>
            </w:r>
          </w:p>
        </w:tc>
        <w:tc>
          <w:tcPr>
            <w:tcW w:w="1874" w:type="dxa"/>
            <w:vAlign w:val="center"/>
          </w:tcPr>
          <w:p>
            <w:pPr>
              <w:adjustRightInd w:val="0"/>
              <w:snapToGrid w:val="0"/>
              <w:jc w:val="center"/>
              <w:rPr>
                <w:snapToGrid w:val="0"/>
                <w:color w:val="000000"/>
                <w:kern w:val="21"/>
                <w:szCs w:val="21"/>
                <w:u w:val="single"/>
              </w:rPr>
            </w:pPr>
            <w:r>
              <w:rPr>
                <w:rFonts w:hint="eastAsia"/>
                <w:szCs w:val="21"/>
                <w:u w:val="single"/>
              </w:rPr>
              <w:t>0.0065</w:t>
            </w:r>
            <w:r>
              <w:rPr>
                <w:szCs w:val="21"/>
                <w:u w:val="single"/>
                <w:lang w:eastAsia="zh-TW"/>
              </w:rPr>
              <w:t>t/a</w:t>
            </w:r>
          </w:p>
        </w:tc>
        <w:tc>
          <w:tcPr>
            <w:tcW w:w="1516" w:type="dxa"/>
            <w:vAlign w:val="center"/>
          </w:tcPr>
          <w:p>
            <w:pPr>
              <w:adjustRightInd w:val="0"/>
              <w:snapToGrid w:val="0"/>
              <w:jc w:val="center"/>
              <w:rPr>
                <w:szCs w:val="21"/>
                <w:u w:val="single"/>
              </w:rPr>
            </w:pPr>
            <w:r>
              <w:rPr>
                <w:rFonts w:hint="eastAsia"/>
                <w:szCs w:val="21"/>
                <w:u w:val="single"/>
              </w:rPr>
              <w:t>-0.0499</w:t>
            </w:r>
            <w:r>
              <w:rPr>
                <w:szCs w:val="21"/>
                <w:u w:val="single"/>
                <w:lang w:eastAsia="zh-TW"/>
              </w:rPr>
              <w:t>t/a</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02" w:hRule="atLeast"/>
        </w:trPr>
        <w:tc>
          <w:tcPr>
            <w:tcW w:w="1098" w:type="dxa"/>
            <w:vMerge w:val="continue"/>
            <w:vAlign w:val="center"/>
          </w:tcPr>
          <w:p>
            <w:pPr>
              <w:adjustRightInd w:val="0"/>
              <w:snapToGrid w:val="0"/>
              <w:jc w:val="center"/>
              <w:rPr>
                <w:szCs w:val="21"/>
              </w:rPr>
            </w:pPr>
          </w:p>
        </w:tc>
        <w:tc>
          <w:tcPr>
            <w:tcW w:w="1828" w:type="dxa"/>
            <w:vAlign w:val="center"/>
          </w:tcPr>
          <w:p>
            <w:pPr>
              <w:adjustRightInd w:val="0"/>
              <w:snapToGrid w:val="0"/>
              <w:jc w:val="center"/>
              <w:rPr>
                <w:szCs w:val="21"/>
                <w:u w:val="single"/>
              </w:rPr>
            </w:pPr>
            <w:r>
              <w:rPr>
                <w:szCs w:val="21"/>
                <w:u w:val="single"/>
                <w:lang w:eastAsia="zh-TW"/>
              </w:rPr>
              <w:t>氮氧化物</w:t>
            </w:r>
          </w:p>
        </w:tc>
        <w:tc>
          <w:tcPr>
            <w:tcW w:w="1520" w:type="dxa"/>
            <w:vAlign w:val="center"/>
          </w:tcPr>
          <w:p>
            <w:pPr>
              <w:pStyle w:val="36"/>
              <w:spacing w:beforeLines="0" w:line="240" w:lineRule="auto"/>
              <w:rPr>
                <w:rFonts w:ascii="Times New Roman"/>
                <w:snapToGrid w:val="0"/>
                <w:kern w:val="21"/>
                <w:szCs w:val="21"/>
                <w:u w:val="single"/>
              </w:rPr>
            </w:pPr>
            <w:r>
              <w:rPr>
                <w:rFonts w:hint="eastAsia" w:ascii="Times New Roman" w:eastAsia="宋体"/>
                <w:bCs w:val="0"/>
                <w:szCs w:val="21"/>
                <w:u w:val="single"/>
              </w:rPr>
              <w:t>0.3064</w:t>
            </w:r>
            <w:r>
              <w:rPr>
                <w:rFonts w:ascii="Times New Roman" w:eastAsia="宋体"/>
                <w:bCs w:val="0"/>
                <w:szCs w:val="21"/>
                <w:u w:val="single"/>
                <w:lang w:eastAsia="zh-TW"/>
              </w:rPr>
              <w:t>t/a</w:t>
            </w:r>
          </w:p>
        </w:tc>
        <w:tc>
          <w:tcPr>
            <w:tcW w:w="1186" w:type="dxa"/>
            <w:vAlign w:val="center"/>
          </w:tcPr>
          <w:p>
            <w:pPr>
              <w:pStyle w:val="36"/>
              <w:spacing w:beforeLines="0" w:line="240" w:lineRule="auto"/>
              <w:rPr>
                <w:rFonts w:ascii="Times New Roman"/>
                <w:snapToGrid w:val="0"/>
                <w:kern w:val="21"/>
                <w:szCs w:val="21"/>
                <w:u w:val="single"/>
              </w:rPr>
            </w:pPr>
            <w:r>
              <w:rPr>
                <w:rFonts w:hint="eastAsia" w:ascii="Times New Roman" w:eastAsia="宋体"/>
                <w:bCs w:val="0"/>
                <w:szCs w:val="21"/>
                <w:u w:val="single"/>
              </w:rPr>
              <w:t>0.3064</w:t>
            </w:r>
            <w:r>
              <w:rPr>
                <w:rFonts w:ascii="Times New Roman" w:eastAsia="宋体"/>
                <w:bCs w:val="0"/>
                <w:szCs w:val="21"/>
                <w:u w:val="single"/>
                <w:lang w:eastAsia="zh-TW"/>
              </w:rPr>
              <w:t>t/a</w:t>
            </w:r>
          </w:p>
        </w:tc>
        <w:tc>
          <w:tcPr>
            <w:tcW w:w="1613" w:type="dxa"/>
            <w:vAlign w:val="center"/>
          </w:tcPr>
          <w:p>
            <w:pPr>
              <w:pStyle w:val="36"/>
              <w:spacing w:beforeLines="0" w:line="240" w:lineRule="auto"/>
              <w:rPr>
                <w:rFonts w:ascii="Times New Roman"/>
                <w:snapToGrid w:val="0"/>
                <w:kern w:val="21"/>
                <w:szCs w:val="21"/>
                <w:u w:val="single"/>
              </w:rPr>
            </w:pPr>
            <w:r>
              <w:rPr>
                <w:rFonts w:ascii="Times New Roman"/>
                <w:snapToGrid w:val="0"/>
                <w:kern w:val="21"/>
                <w:szCs w:val="21"/>
                <w:u w:val="single"/>
              </w:rPr>
              <w:t>0</w:t>
            </w:r>
          </w:p>
        </w:tc>
        <w:tc>
          <w:tcPr>
            <w:tcW w:w="1473" w:type="dxa"/>
            <w:vAlign w:val="center"/>
          </w:tcPr>
          <w:p>
            <w:pPr>
              <w:adjustRightInd w:val="0"/>
              <w:snapToGrid w:val="0"/>
              <w:jc w:val="center"/>
              <w:rPr>
                <w:szCs w:val="21"/>
                <w:u w:val="single"/>
                <w:lang w:eastAsia="zh-TW"/>
              </w:rPr>
            </w:pPr>
            <w:r>
              <w:rPr>
                <w:rFonts w:hint="eastAsia"/>
                <w:szCs w:val="21"/>
                <w:u w:val="single"/>
              </w:rPr>
              <w:t>0.0255</w:t>
            </w:r>
            <w:r>
              <w:rPr>
                <w:szCs w:val="21"/>
                <w:u w:val="single"/>
                <w:lang w:eastAsia="zh-TW"/>
              </w:rPr>
              <w:t>t/a</w:t>
            </w:r>
          </w:p>
        </w:tc>
        <w:tc>
          <w:tcPr>
            <w:tcW w:w="1673" w:type="dxa"/>
            <w:vAlign w:val="center"/>
          </w:tcPr>
          <w:p>
            <w:pPr>
              <w:pStyle w:val="36"/>
              <w:spacing w:beforeLines="0" w:line="240" w:lineRule="auto"/>
              <w:rPr>
                <w:rFonts w:ascii="Times New Roman"/>
                <w:bCs w:val="0"/>
                <w:snapToGrid w:val="0"/>
                <w:kern w:val="21"/>
                <w:szCs w:val="21"/>
                <w:u w:val="single"/>
              </w:rPr>
            </w:pPr>
            <w:r>
              <w:rPr>
                <w:rFonts w:hint="eastAsia" w:ascii="Times New Roman" w:eastAsia="宋体"/>
                <w:bCs w:val="0"/>
                <w:szCs w:val="21"/>
                <w:u w:val="single"/>
              </w:rPr>
              <w:t>0.3064</w:t>
            </w:r>
            <w:r>
              <w:rPr>
                <w:rFonts w:ascii="Times New Roman" w:eastAsia="宋体"/>
                <w:bCs w:val="0"/>
                <w:szCs w:val="21"/>
                <w:u w:val="single"/>
                <w:lang w:eastAsia="zh-TW"/>
              </w:rPr>
              <w:t>t/a</w:t>
            </w:r>
          </w:p>
        </w:tc>
        <w:tc>
          <w:tcPr>
            <w:tcW w:w="1874" w:type="dxa"/>
            <w:vAlign w:val="center"/>
          </w:tcPr>
          <w:p>
            <w:pPr>
              <w:adjustRightInd w:val="0"/>
              <w:snapToGrid w:val="0"/>
              <w:jc w:val="center"/>
              <w:rPr>
                <w:snapToGrid w:val="0"/>
                <w:color w:val="000000"/>
                <w:kern w:val="21"/>
                <w:szCs w:val="21"/>
                <w:u w:val="single"/>
              </w:rPr>
            </w:pPr>
            <w:r>
              <w:rPr>
                <w:rFonts w:hint="eastAsia"/>
                <w:szCs w:val="21"/>
                <w:u w:val="single"/>
              </w:rPr>
              <w:t>0.0255</w:t>
            </w:r>
            <w:r>
              <w:rPr>
                <w:szCs w:val="21"/>
                <w:u w:val="single"/>
                <w:lang w:eastAsia="zh-TW"/>
              </w:rPr>
              <w:t>t/a</w:t>
            </w:r>
          </w:p>
        </w:tc>
        <w:tc>
          <w:tcPr>
            <w:tcW w:w="1516" w:type="dxa"/>
            <w:vAlign w:val="center"/>
          </w:tcPr>
          <w:p>
            <w:pPr>
              <w:adjustRightInd w:val="0"/>
              <w:snapToGrid w:val="0"/>
              <w:jc w:val="center"/>
              <w:rPr>
                <w:szCs w:val="21"/>
                <w:u w:val="single"/>
              </w:rPr>
            </w:pPr>
            <w:r>
              <w:rPr>
                <w:rFonts w:hint="eastAsia"/>
                <w:szCs w:val="21"/>
                <w:u w:val="single"/>
              </w:rPr>
              <w:t>-0.2809</w:t>
            </w:r>
            <w:r>
              <w:rPr>
                <w:szCs w:val="21"/>
                <w:u w:val="single"/>
                <w:lang w:eastAsia="zh-TW"/>
              </w:rPr>
              <w:t>t/a</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71" w:hRule="atLeast"/>
        </w:trPr>
        <w:tc>
          <w:tcPr>
            <w:tcW w:w="1098" w:type="dxa"/>
            <w:vMerge w:val="restart"/>
            <w:vAlign w:val="center"/>
          </w:tcPr>
          <w:p>
            <w:pPr>
              <w:adjustRightInd w:val="0"/>
              <w:snapToGrid w:val="0"/>
              <w:jc w:val="center"/>
              <w:rPr>
                <w:szCs w:val="21"/>
              </w:rPr>
            </w:pPr>
            <w:r>
              <w:rPr>
                <w:szCs w:val="21"/>
              </w:rPr>
              <w:t>废水</w:t>
            </w:r>
          </w:p>
        </w:tc>
        <w:tc>
          <w:tcPr>
            <w:tcW w:w="1828" w:type="dxa"/>
            <w:vAlign w:val="center"/>
          </w:tcPr>
          <w:p>
            <w:pPr>
              <w:adjustRightInd w:val="0"/>
              <w:snapToGrid w:val="0"/>
              <w:jc w:val="center"/>
              <w:rPr>
                <w:szCs w:val="21"/>
                <w:u w:val="single"/>
              </w:rPr>
            </w:pPr>
            <w:r>
              <w:rPr>
                <w:rFonts w:hint="eastAsia"/>
                <w:szCs w:val="21"/>
                <w:u w:val="single"/>
              </w:rPr>
              <w:t>COD</w:t>
            </w:r>
          </w:p>
        </w:tc>
        <w:tc>
          <w:tcPr>
            <w:tcW w:w="1520" w:type="dxa"/>
            <w:vAlign w:val="center"/>
          </w:tcPr>
          <w:p>
            <w:pPr>
              <w:pStyle w:val="36"/>
              <w:spacing w:beforeLines="0" w:line="240" w:lineRule="auto"/>
              <w:rPr>
                <w:rFonts w:ascii="Times New Roman"/>
                <w:kern w:val="2"/>
                <w:sz w:val="18"/>
                <w:szCs w:val="18"/>
                <w:u w:val="single"/>
              </w:rPr>
            </w:pPr>
            <w:r>
              <w:rPr>
                <w:rFonts w:hint="eastAsia" w:ascii="Times New Roman"/>
                <w:snapToGrid w:val="0"/>
                <w:kern w:val="21"/>
                <w:szCs w:val="21"/>
                <w:u w:val="single"/>
              </w:rPr>
              <w:t>6.14</w:t>
            </w:r>
            <w:r>
              <w:rPr>
                <w:rFonts w:ascii="Times New Roman" w:eastAsia="宋体"/>
                <w:bCs w:val="0"/>
                <w:szCs w:val="21"/>
                <w:u w:val="single"/>
                <w:lang w:eastAsia="zh-TW"/>
              </w:rPr>
              <w:t>t/a</w:t>
            </w:r>
          </w:p>
        </w:tc>
        <w:tc>
          <w:tcPr>
            <w:tcW w:w="1186" w:type="dxa"/>
            <w:vAlign w:val="center"/>
          </w:tcPr>
          <w:p>
            <w:pPr>
              <w:pStyle w:val="36"/>
              <w:spacing w:beforeLines="0" w:line="240" w:lineRule="auto"/>
              <w:rPr>
                <w:rFonts w:ascii="Times New Roman"/>
                <w:kern w:val="2"/>
                <w:sz w:val="18"/>
                <w:szCs w:val="18"/>
                <w:u w:val="single"/>
                <w:lang w:eastAsia="zh-TW"/>
              </w:rPr>
            </w:pPr>
            <w:r>
              <w:rPr>
                <w:rFonts w:hint="eastAsia" w:ascii="Times New Roman"/>
                <w:snapToGrid w:val="0"/>
                <w:kern w:val="21"/>
                <w:szCs w:val="21"/>
                <w:u w:val="single"/>
              </w:rPr>
              <w:t>6.14</w:t>
            </w:r>
            <w:r>
              <w:rPr>
                <w:rFonts w:ascii="Times New Roman" w:eastAsia="宋体"/>
                <w:bCs w:val="0"/>
                <w:szCs w:val="21"/>
                <w:u w:val="single"/>
                <w:lang w:eastAsia="zh-TW"/>
              </w:rPr>
              <w:t>t/a</w:t>
            </w:r>
          </w:p>
        </w:tc>
        <w:tc>
          <w:tcPr>
            <w:tcW w:w="1613" w:type="dxa"/>
            <w:vAlign w:val="center"/>
          </w:tcPr>
          <w:p>
            <w:pPr>
              <w:pStyle w:val="36"/>
              <w:spacing w:beforeLines="0" w:line="240" w:lineRule="auto"/>
              <w:rPr>
                <w:rFonts w:ascii="Times New Roman"/>
                <w:kern w:val="2"/>
                <w:sz w:val="18"/>
                <w:szCs w:val="18"/>
                <w:u w:val="single"/>
                <w:lang w:eastAsia="zh-TW"/>
              </w:rPr>
            </w:pPr>
            <w:r>
              <w:rPr>
                <w:rFonts w:ascii="Times New Roman"/>
                <w:snapToGrid w:val="0"/>
                <w:kern w:val="21"/>
                <w:szCs w:val="21"/>
                <w:u w:val="single"/>
              </w:rPr>
              <w:t>0</w:t>
            </w:r>
          </w:p>
        </w:tc>
        <w:tc>
          <w:tcPr>
            <w:tcW w:w="1473" w:type="dxa"/>
            <w:vAlign w:val="center"/>
          </w:tcPr>
          <w:p>
            <w:pPr>
              <w:pStyle w:val="36"/>
              <w:spacing w:beforeLines="0" w:line="240" w:lineRule="auto"/>
              <w:rPr>
                <w:rFonts w:ascii="Times New Roman" w:eastAsia="宋体"/>
                <w:bCs w:val="0"/>
                <w:snapToGrid w:val="0"/>
                <w:kern w:val="21"/>
                <w:szCs w:val="21"/>
                <w:u w:val="single"/>
              </w:rPr>
            </w:pPr>
            <w:r>
              <w:rPr>
                <w:rFonts w:ascii="Times New Roman"/>
                <w:bCs w:val="0"/>
                <w:snapToGrid w:val="0"/>
                <w:kern w:val="21"/>
                <w:szCs w:val="21"/>
                <w:u w:val="single"/>
              </w:rPr>
              <w:t>0</w:t>
            </w:r>
          </w:p>
        </w:tc>
        <w:tc>
          <w:tcPr>
            <w:tcW w:w="1673" w:type="dxa"/>
            <w:vAlign w:val="center"/>
          </w:tcPr>
          <w:p>
            <w:pPr>
              <w:pStyle w:val="36"/>
              <w:spacing w:beforeLines="0" w:line="240" w:lineRule="auto"/>
              <w:rPr>
                <w:rFonts w:ascii="Times New Roman"/>
                <w:bCs w:val="0"/>
                <w:snapToGrid w:val="0"/>
                <w:kern w:val="21"/>
                <w:szCs w:val="21"/>
                <w:u w:val="single"/>
              </w:rPr>
            </w:pPr>
            <w:r>
              <w:rPr>
                <w:rFonts w:ascii="Times New Roman"/>
                <w:bCs w:val="0"/>
                <w:snapToGrid w:val="0"/>
                <w:kern w:val="21"/>
                <w:szCs w:val="21"/>
                <w:u w:val="single"/>
              </w:rPr>
              <w:t>0</w:t>
            </w:r>
          </w:p>
        </w:tc>
        <w:tc>
          <w:tcPr>
            <w:tcW w:w="1874" w:type="dxa"/>
            <w:vAlign w:val="center"/>
          </w:tcPr>
          <w:p>
            <w:pPr>
              <w:pStyle w:val="36"/>
              <w:spacing w:beforeLines="0" w:line="240" w:lineRule="auto"/>
              <w:rPr>
                <w:rFonts w:ascii="Times New Roman"/>
                <w:bCs w:val="0"/>
                <w:snapToGrid w:val="0"/>
                <w:color w:val="FF0000"/>
                <w:kern w:val="21"/>
                <w:szCs w:val="21"/>
                <w:u w:val="single"/>
              </w:rPr>
            </w:pPr>
            <w:r>
              <w:rPr>
                <w:rFonts w:hint="eastAsia" w:ascii="Times New Roman"/>
                <w:snapToGrid w:val="0"/>
                <w:kern w:val="21"/>
                <w:szCs w:val="21"/>
                <w:u w:val="single"/>
              </w:rPr>
              <w:t>6.14</w:t>
            </w:r>
            <w:r>
              <w:rPr>
                <w:rFonts w:ascii="Times New Roman" w:eastAsia="宋体"/>
                <w:bCs w:val="0"/>
                <w:szCs w:val="21"/>
                <w:u w:val="single"/>
                <w:lang w:eastAsia="zh-TW"/>
              </w:rPr>
              <w:t>t/a</w:t>
            </w:r>
          </w:p>
        </w:tc>
        <w:tc>
          <w:tcPr>
            <w:tcW w:w="1516" w:type="dxa"/>
            <w:vAlign w:val="center"/>
          </w:tcPr>
          <w:p>
            <w:pPr>
              <w:adjustRightInd w:val="0"/>
              <w:snapToGrid w:val="0"/>
              <w:jc w:val="center"/>
              <w:rPr>
                <w:szCs w:val="21"/>
                <w:u w:val="single"/>
              </w:rPr>
            </w:pPr>
            <w:r>
              <w:rPr>
                <w:szCs w:val="21"/>
                <w:u w:val="single"/>
              </w:rPr>
              <w:t>0</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1098" w:type="dxa"/>
            <w:vMerge w:val="continue"/>
            <w:vAlign w:val="center"/>
          </w:tcPr>
          <w:p>
            <w:pPr>
              <w:adjustRightInd w:val="0"/>
              <w:snapToGrid w:val="0"/>
              <w:jc w:val="center"/>
              <w:rPr>
                <w:szCs w:val="21"/>
              </w:rPr>
            </w:pPr>
          </w:p>
        </w:tc>
        <w:tc>
          <w:tcPr>
            <w:tcW w:w="1828" w:type="dxa"/>
            <w:vAlign w:val="center"/>
          </w:tcPr>
          <w:p>
            <w:pPr>
              <w:adjustRightInd w:val="0"/>
              <w:snapToGrid w:val="0"/>
              <w:jc w:val="center"/>
              <w:rPr>
                <w:szCs w:val="21"/>
                <w:u w:val="single"/>
              </w:rPr>
            </w:pPr>
            <w:r>
              <w:rPr>
                <w:rFonts w:hint="eastAsia"/>
                <w:szCs w:val="21"/>
                <w:u w:val="single"/>
              </w:rPr>
              <w:t>NH</w:t>
            </w:r>
            <w:r>
              <w:rPr>
                <w:rFonts w:hint="eastAsia"/>
                <w:szCs w:val="21"/>
                <w:u w:val="single"/>
                <w:vertAlign w:val="subscript"/>
              </w:rPr>
              <w:t>3</w:t>
            </w:r>
            <w:r>
              <w:rPr>
                <w:rFonts w:hint="eastAsia"/>
                <w:szCs w:val="21"/>
                <w:u w:val="single"/>
              </w:rPr>
              <w:t>-N</w:t>
            </w:r>
          </w:p>
        </w:tc>
        <w:tc>
          <w:tcPr>
            <w:tcW w:w="1520" w:type="dxa"/>
            <w:vAlign w:val="center"/>
          </w:tcPr>
          <w:p>
            <w:pPr>
              <w:pStyle w:val="36"/>
              <w:spacing w:beforeLines="0" w:line="240" w:lineRule="auto"/>
              <w:rPr>
                <w:rFonts w:ascii="Times New Roman"/>
                <w:snapToGrid w:val="0"/>
                <w:kern w:val="21"/>
                <w:szCs w:val="21"/>
                <w:u w:val="single"/>
              </w:rPr>
            </w:pPr>
            <w:r>
              <w:rPr>
                <w:rFonts w:hint="eastAsia" w:ascii="Times New Roman"/>
                <w:snapToGrid w:val="0"/>
                <w:kern w:val="21"/>
                <w:szCs w:val="21"/>
                <w:u w:val="single"/>
              </w:rPr>
              <w:t>0.61</w:t>
            </w:r>
            <w:r>
              <w:rPr>
                <w:rFonts w:ascii="Times New Roman" w:eastAsia="宋体"/>
                <w:bCs w:val="0"/>
                <w:szCs w:val="21"/>
                <w:u w:val="single"/>
                <w:lang w:eastAsia="zh-TW"/>
              </w:rPr>
              <w:t>t/a</w:t>
            </w:r>
          </w:p>
        </w:tc>
        <w:tc>
          <w:tcPr>
            <w:tcW w:w="1186" w:type="dxa"/>
            <w:vAlign w:val="center"/>
          </w:tcPr>
          <w:p>
            <w:pPr>
              <w:pStyle w:val="36"/>
              <w:spacing w:beforeLines="0" w:line="240" w:lineRule="auto"/>
              <w:rPr>
                <w:rFonts w:ascii="Times New Roman"/>
                <w:snapToGrid w:val="0"/>
                <w:kern w:val="21"/>
                <w:szCs w:val="21"/>
                <w:u w:val="single"/>
              </w:rPr>
            </w:pPr>
            <w:r>
              <w:rPr>
                <w:rFonts w:hint="eastAsia" w:ascii="Times New Roman"/>
                <w:snapToGrid w:val="0"/>
                <w:kern w:val="21"/>
                <w:szCs w:val="21"/>
                <w:u w:val="single"/>
              </w:rPr>
              <w:t>0.61</w:t>
            </w:r>
            <w:r>
              <w:rPr>
                <w:rFonts w:ascii="Times New Roman" w:eastAsia="宋体"/>
                <w:bCs w:val="0"/>
                <w:szCs w:val="21"/>
                <w:u w:val="single"/>
                <w:lang w:eastAsia="zh-TW"/>
              </w:rPr>
              <w:t>t/a</w:t>
            </w:r>
          </w:p>
        </w:tc>
        <w:tc>
          <w:tcPr>
            <w:tcW w:w="1613" w:type="dxa"/>
            <w:vAlign w:val="center"/>
          </w:tcPr>
          <w:p>
            <w:pPr>
              <w:pStyle w:val="36"/>
              <w:spacing w:beforeLines="0" w:line="240" w:lineRule="auto"/>
              <w:rPr>
                <w:rFonts w:ascii="Times New Roman"/>
                <w:snapToGrid w:val="0"/>
                <w:kern w:val="21"/>
                <w:szCs w:val="21"/>
                <w:u w:val="single"/>
              </w:rPr>
            </w:pPr>
            <w:r>
              <w:rPr>
                <w:rFonts w:hint="eastAsia" w:ascii="Times New Roman"/>
                <w:snapToGrid w:val="0"/>
                <w:kern w:val="21"/>
                <w:szCs w:val="21"/>
                <w:u w:val="single"/>
              </w:rPr>
              <w:t>0</w:t>
            </w:r>
          </w:p>
        </w:tc>
        <w:tc>
          <w:tcPr>
            <w:tcW w:w="1473" w:type="dxa"/>
            <w:vAlign w:val="center"/>
          </w:tcPr>
          <w:p>
            <w:pPr>
              <w:pStyle w:val="36"/>
              <w:spacing w:beforeLines="0" w:line="240" w:lineRule="auto"/>
              <w:rPr>
                <w:rFonts w:ascii="Times New Roman"/>
                <w:bCs w:val="0"/>
                <w:snapToGrid w:val="0"/>
                <w:kern w:val="21"/>
                <w:szCs w:val="21"/>
                <w:u w:val="single"/>
              </w:rPr>
            </w:pPr>
            <w:r>
              <w:rPr>
                <w:rFonts w:hint="eastAsia" w:ascii="Times New Roman"/>
                <w:bCs w:val="0"/>
                <w:snapToGrid w:val="0"/>
                <w:kern w:val="21"/>
                <w:szCs w:val="21"/>
                <w:u w:val="single"/>
              </w:rPr>
              <w:t>0</w:t>
            </w:r>
          </w:p>
        </w:tc>
        <w:tc>
          <w:tcPr>
            <w:tcW w:w="1673" w:type="dxa"/>
            <w:vAlign w:val="center"/>
          </w:tcPr>
          <w:p>
            <w:pPr>
              <w:pStyle w:val="36"/>
              <w:spacing w:beforeLines="0" w:line="240" w:lineRule="auto"/>
              <w:rPr>
                <w:rFonts w:ascii="Times New Roman"/>
                <w:bCs w:val="0"/>
                <w:snapToGrid w:val="0"/>
                <w:kern w:val="21"/>
                <w:szCs w:val="21"/>
                <w:u w:val="single"/>
              </w:rPr>
            </w:pPr>
            <w:r>
              <w:rPr>
                <w:rFonts w:hint="eastAsia" w:ascii="Times New Roman"/>
                <w:bCs w:val="0"/>
                <w:snapToGrid w:val="0"/>
                <w:kern w:val="21"/>
                <w:szCs w:val="21"/>
                <w:u w:val="single"/>
              </w:rPr>
              <w:t>0</w:t>
            </w:r>
          </w:p>
        </w:tc>
        <w:tc>
          <w:tcPr>
            <w:tcW w:w="1874" w:type="dxa"/>
            <w:vAlign w:val="center"/>
          </w:tcPr>
          <w:p>
            <w:pPr>
              <w:pStyle w:val="36"/>
              <w:spacing w:beforeLines="0" w:line="240" w:lineRule="auto"/>
              <w:rPr>
                <w:rFonts w:ascii="Times New Roman"/>
                <w:bCs w:val="0"/>
                <w:snapToGrid w:val="0"/>
                <w:kern w:val="21"/>
                <w:szCs w:val="21"/>
                <w:u w:val="single"/>
              </w:rPr>
            </w:pPr>
            <w:r>
              <w:rPr>
                <w:rFonts w:hint="eastAsia" w:ascii="Times New Roman"/>
                <w:snapToGrid w:val="0"/>
                <w:kern w:val="21"/>
                <w:szCs w:val="21"/>
                <w:u w:val="single"/>
              </w:rPr>
              <w:t>0.61</w:t>
            </w:r>
            <w:r>
              <w:rPr>
                <w:rFonts w:ascii="Times New Roman" w:eastAsia="宋体"/>
                <w:bCs w:val="0"/>
                <w:szCs w:val="21"/>
                <w:u w:val="single"/>
                <w:lang w:eastAsia="zh-TW"/>
              </w:rPr>
              <w:t>t/a</w:t>
            </w:r>
          </w:p>
        </w:tc>
        <w:tc>
          <w:tcPr>
            <w:tcW w:w="1516" w:type="dxa"/>
            <w:vAlign w:val="center"/>
          </w:tcPr>
          <w:p>
            <w:pPr>
              <w:adjustRightInd w:val="0"/>
              <w:snapToGrid w:val="0"/>
              <w:jc w:val="center"/>
              <w:rPr>
                <w:szCs w:val="21"/>
                <w:u w:val="single"/>
              </w:rPr>
            </w:pPr>
            <w:r>
              <w:rPr>
                <w:rFonts w:hint="eastAsia"/>
                <w:szCs w:val="21"/>
                <w:u w:val="single"/>
              </w:rPr>
              <w:t>0</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1098" w:type="dxa"/>
            <w:vMerge w:val="restart"/>
            <w:vAlign w:val="center"/>
          </w:tcPr>
          <w:p>
            <w:pPr>
              <w:adjustRightInd w:val="0"/>
              <w:snapToGrid w:val="0"/>
              <w:jc w:val="center"/>
              <w:rPr>
                <w:szCs w:val="21"/>
              </w:rPr>
            </w:pPr>
            <w:r>
              <w:rPr>
                <w:szCs w:val="21"/>
              </w:rPr>
              <w:t>一般工业</w:t>
            </w:r>
          </w:p>
          <w:p>
            <w:pPr>
              <w:adjustRightInd w:val="0"/>
              <w:snapToGrid w:val="0"/>
              <w:jc w:val="center"/>
              <w:rPr>
                <w:szCs w:val="21"/>
              </w:rPr>
            </w:pPr>
            <w:r>
              <w:rPr>
                <w:szCs w:val="21"/>
              </w:rPr>
              <w:t>固体废物</w:t>
            </w:r>
          </w:p>
        </w:tc>
        <w:tc>
          <w:tcPr>
            <w:tcW w:w="1828" w:type="dxa"/>
            <w:vAlign w:val="center"/>
          </w:tcPr>
          <w:p>
            <w:pPr>
              <w:pStyle w:val="36"/>
              <w:spacing w:beforeLines="0" w:line="240" w:lineRule="auto"/>
              <w:rPr>
                <w:rFonts w:ascii="Times New Roman" w:eastAsia="宋体"/>
                <w:szCs w:val="21"/>
                <w:u w:val="single"/>
              </w:rPr>
            </w:pPr>
            <w:r>
              <w:rPr>
                <w:rFonts w:ascii="Times New Roman" w:eastAsia="宋体"/>
                <w:szCs w:val="21"/>
                <w:u w:val="single"/>
                <w:lang w:eastAsia="zh-TW"/>
              </w:rPr>
              <w:t>除尘灰</w:t>
            </w:r>
          </w:p>
        </w:tc>
        <w:tc>
          <w:tcPr>
            <w:tcW w:w="1520" w:type="dxa"/>
            <w:vAlign w:val="center"/>
          </w:tcPr>
          <w:p>
            <w:pPr>
              <w:pStyle w:val="36"/>
              <w:spacing w:beforeLines="0" w:line="240" w:lineRule="auto"/>
              <w:rPr>
                <w:rFonts w:ascii="Times New Roman" w:eastAsia="宋体"/>
                <w:szCs w:val="21"/>
                <w:u w:val="single"/>
              </w:rPr>
            </w:pPr>
            <w:r>
              <w:rPr>
                <w:rFonts w:ascii="Times New Roman" w:eastAsia="宋体"/>
                <w:szCs w:val="21"/>
                <w:u w:val="single"/>
              </w:rPr>
              <w:t>0</w:t>
            </w:r>
          </w:p>
        </w:tc>
        <w:tc>
          <w:tcPr>
            <w:tcW w:w="1186" w:type="dxa"/>
            <w:vAlign w:val="center"/>
          </w:tcPr>
          <w:p>
            <w:pPr>
              <w:pStyle w:val="36"/>
              <w:spacing w:beforeLines="0" w:line="240" w:lineRule="auto"/>
              <w:rPr>
                <w:rFonts w:ascii="Times New Roman" w:eastAsia="宋体"/>
                <w:szCs w:val="21"/>
                <w:u w:val="single"/>
              </w:rPr>
            </w:pPr>
            <w:r>
              <w:rPr>
                <w:rFonts w:ascii="Times New Roman" w:eastAsia="宋体"/>
                <w:szCs w:val="21"/>
                <w:u w:val="single"/>
              </w:rPr>
              <w:t>0</w:t>
            </w:r>
          </w:p>
        </w:tc>
        <w:tc>
          <w:tcPr>
            <w:tcW w:w="1613" w:type="dxa"/>
            <w:vAlign w:val="center"/>
          </w:tcPr>
          <w:p>
            <w:pPr>
              <w:pStyle w:val="36"/>
              <w:spacing w:beforeLines="0" w:line="240" w:lineRule="auto"/>
              <w:rPr>
                <w:rFonts w:ascii="Times New Roman" w:eastAsia="宋体"/>
                <w:szCs w:val="21"/>
                <w:u w:val="single"/>
              </w:rPr>
            </w:pPr>
            <w:r>
              <w:rPr>
                <w:rFonts w:ascii="Times New Roman" w:eastAsia="宋体"/>
                <w:szCs w:val="21"/>
                <w:u w:val="single"/>
              </w:rPr>
              <w:t>0</w:t>
            </w:r>
          </w:p>
        </w:tc>
        <w:tc>
          <w:tcPr>
            <w:tcW w:w="1473" w:type="dxa"/>
            <w:vAlign w:val="center"/>
          </w:tcPr>
          <w:p>
            <w:pPr>
              <w:pStyle w:val="36"/>
              <w:spacing w:beforeLines="0" w:line="240" w:lineRule="auto"/>
              <w:rPr>
                <w:rFonts w:ascii="Times New Roman" w:eastAsia="宋体"/>
                <w:bCs w:val="0"/>
                <w:szCs w:val="21"/>
                <w:u w:val="single"/>
              </w:rPr>
            </w:pPr>
            <w:r>
              <w:rPr>
                <w:rFonts w:hint="eastAsia" w:ascii="Times New Roman" w:eastAsia="宋体"/>
                <w:bCs w:val="0"/>
                <w:szCs w:val="21"/>
                <w:u w:val="single"/>
              </w:rPr>
              <w:t>0.38</w:t>
            </w:r>
            <w:r>
              <w:rPr>
                <w:rFonts w:ascii="Times New Roman" w:eastAsia="宋体"/>
                <w:bCs w:val="0"/>
                <w:szCs w:val="21"/>
                <w:u w:val="single"/>
                <w:lang w:eastAsia="zh-TW"/>
              </w:rPr>
              <w:t>t/a</w:t>
            </w:r>
          </w:p>
        </w:tc>
        <w:tc>
          <w:tcPr>
            <w:tcW w:w="1673" w:type="dxa"/>
            <w:vAlign w:val="center"/>
          </w:tcPr>
          <w:p>
            <w:pPr>
              <w:pStyle w:val="36"/>
              <w:spacing w:beforeLines="0" w:line="240" w:lineRule="auto"/>
              <w:rPr>
                <w:rFonts w:ascii="Times New Roman" w:eastAsia="宋体"/>
                <w:bCs w:val="0"/>
                <w:szCs w:val="21"/>
                <w:u w:val="single"/>
              </w:rPr>
            </w:pPr>
            <w:r>
              <w:rPr>
                <w:rFonts w:ascii="Times New Roman" w:eastAsia="宋体"/>
                <w:bCs w:val="0"/>
                <w:szCs w:val="21"/>
                <w:u w:val="single"/>
              </w:rPr>
              <w:t>0</w:t>
            </w:r>
          </w:p>
        </w:tc>
        <w:tc>
          <w:tcPr>
            <w:tcW w:w="1874" w:type="dxa"/>
            <w:vAlign w:val="center"/>
          </w:tcPr>
          <w:p>
            <w:pPr>
              <w:pStyle w:val="36"/>
              <w:spacing w:beforeLines="0" w:line="240" w:lineRule="auto"/>
              <w:rPr>
                <w:rFonts w:ascii="Times New Roman" w:eastAsia="宋体"/>
                <w:bCs w:val="0"/>
                <w:szCs w:val="21"/>
                <w:u w:val="single"/>
              </w:rPr>
            </w:pPr>
            <w:r>
              <w:rPr>
                <w:rFonts w:hint="eastAsia" w:ascii="Times New Roman" w:eastAsia="宋体"/>
                <w:bCs w:val="0"/>
                <w:szCs w:val="21"/>
                <w:u w:val="single"/>
              </w:rPr>
              <w:t>0.38</w:t>
            </w:r>
            <w:r>
              <w:rPr>
                <w:rFonts w:ascii="Times New Roman" w:eastAsia="宋体"/>
                <w:bCs w:val="0"/>
                <w:szCs w:val="21"/>
                <w:u w:val="single"/>
                <w:lang w:eastAsia="zh-TW"/>
              </w:rPr>
              <w:t>t/a</w:t>
            </w:r>
          </w:p>
        </w:tc>
        <w:tc>
          <w:tcPr>
            <w:tcW w:w="1516" w:type="dxa"/>
            <w:vAlign w:val="center"/>
          </w:tcPr>
          <w:p>
            <w:pPr>
              <w:pStyle w:val="36"/>
              <w:spacing w:beforeLines="0" w:line="240" w:lineRule="auto"/>
              <w:rPr>
                <w:rFonts w:ascii="Times New Roman" w:eastAsia="宋体"/>
                <w:bCs w:val="0"/>
                <w:szCs w:val="21"/>
                <w:u w:val="single"/>
              </w:rPr>
            </w:pPr>
            <w:r>
              <w:rPr>
                <w:rFonts w:ascii="Times New Roman" w:eastAsia="宋体"/>
                <w:bCs w:val="0"/>
                <w:szCs w:val="21"/>
                <w:u w:val="single"/>
              </w:rPr>
              <w:t>+</w:t>
            </w:r>
            <w:r>
              <w:rPr>
                <w:rFonts w:hint="eastAsia" w:ascii="Times New Roman" w:eastAsia="宋体"/>
                <w:bCs w:val="0"/>
                <w:szCs w:val="21"/>
                <w:u w:val="single"/>
              </w:rPr>
              <w:t>0.38</w:t>
            </w:r>
            <w:r>
              <w:rPr>
                <w:rFonts w:ascii="Times New Roman" w:eastAsia="宋体"/>
                <w:bCs w:val="0"/>
                <w:szCs w:val="21"/>
                <w:u w:val="single"/>
                <w:lang w:eastAsia="zh-TW"/>
              </w:rPr>
              <w:t>t/a</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1098" w:type="dxa"/>
            <w:vMerge w:val="continue"/>
            <w:vAlign w:val="center"/>
          </w:tcPr>
          <w:p>
            <w:pPr>
              <w:adjustRightInd w:val="0"/>
              <w:snapToGrid w:val="0"/>
              <w:jc w:val="center"/>
              <w:rPr>
                <w:szCs w:val="21"/>
                <w:u w:val="single"/>
              </w:rPr>
            </w:pPr>
          </w:p>
        </w:tc>
        <w:tc>
          <w:tcPr>
            <w:tcW w:w="1828" w:type="dxa"/>
            <w:vAlign w:val="center"/>
          </w:tcPr>
          <w:p>
            <w:pPr>
              <w:adjustRightInd w:val="0"/>
              <w:snapToGrid w:val="0"/>
              <w:jc w:val="center"/>
              <w:rPr>
                <w:szCs w:val="21"/>
                <w:u w:val="single"/>
              </w:rPr>
            </w:pPr>
            <w:r>
              <w:rPr>
                <w:szCs w:val="21"/>
                <w:u w:val="single"/>
              </w:rPr>
              <w:t>炉灰</w:t>
            </w:r>
          </w:p>
        </w:tc>
        <w:tc>
          <w:tcPr>
            <w:tcW w:w="1520" w:type="dxa"/>
            <w:vAlign w:val="center"/>
          </w:tcPr>
          <w:p>
            <w:pPr>
              <w:pStyle w:val="36"/>
              <w:spacing w:beforeLines="0" w:line="240" w:lineRule="auto"/>
              <w:rPr>
                <w:rFonts w:ascii="Times New Roman" w:eastAsia="宋体"/>
                <w:szCs w:val="21"/>
                <w:u w:val="single"/>
              </w:rPr>
            </w:pPr>
            <w:r>
              <w:rPr>
                <w:rFonts w:ascii="Times New Roman" w:eastAsia="宋体"/>
                <w:szCs w:val="21"/>
                <w:u w:val="single"/>
              </w:rPr>
              <w:t>0</w:t>
            </w:r>
          </w:p>
        </w:tc>
        <w:tc>
          <w:tcPr>
            <w:tcW w:w="1186" w:type="dxa"/>
            <w:vAlign w:val="center"/>
          </w:tcPr>
          <w:p>
            <w:pPr>
              <w:pStyle w:val="36"/>
              <w:spacing w:beforeLines="0" w:line="240" w:lineRule="auto"/>
              <w:rPr>
                <w:rFonts w:ascii="Times New Roman" w:eastAsia="宋体"/>
                <w:szCs w:val="21"/>
                <w:u w:val="single"/>
              </w:rPr>
            </w:pPr>
            <w:r>
              <w:rPr>
                <w:rFonts w:ascii="Times New Roman" w:eastAsia="宋体"/>
                <w:szCs w:val="21"/>
                <w:u w:val="single"/>
              </w:rPr>
              <w:t>0</w:t>
            </w:r>
          </w:p>
        </w:tc>
        <w:tc>
          <w:tcPr>
            <w:tcW w:w="1613" w:type="dxa"/>
            <w:vAlign w:val="center"/>
          </w:tcPr>
          <w:p>
            <w:pPr>
              <w:pStyle w:val="36"/>
              <w:spacing w:beforeLines="0" w:line="240" w:lineRule="auto"/>
              <w:rPr>
                <w:rFonts w:ascii="Times New Roman" w:eastAsia="宋体"/>
                <w:szCs w:val="21"/>
                <w:u w:val="single"/>
              </w:rPr>
            </w:pPr>
            <w:r>
              <w:rPr>
                <w:rFonts w:ascii="Times New Roman" w:eastAsia="宋体"/>
                <w:szCs w:val="21"/>
                <w:u w:val="single"/>
              </w:rPr>
              <w:t>0</w:t>
            </w:r>
          </w:p>
        </w:tc>
        <w:tc>
          <w:tcPr>
            <w:tcW w:w="1473" w:type="dxa"/>
            <w:vAlign w:val="center"/>
          </w:tcPr>
          <w:p>
            <w:pPr>
              <w:pStyle w:val="36"/>
              <w:spacing w:beforeLines="0" w:line="240" w:lineRule="auto"/>
              <w:rPr>
                <w:rFonts w:ascii="Times New Roman" w:eastAsia="宋体"/>
                <w:bCs w:val="0"/>
                <w:szCs w:val="21"/>
                <w:u w:val="single"/>
              </w:rPr>
            </w:pPr>
            <w:r>
              <w:rPr>
                <w:rFonts w:hint="eastAsia" w:ascii="Times New Roman" w:eastAsia="宋体"/>
                <w:bCs w:val="0"/>
                <w:szCs w:val="21"/>
                <w:u w:val="single"/>
              </w:rPr>
              <w:t>1.58</w:t>
            </w:r>
            <w:r>
              <w:rPr>
                <w:rFonts w:ascii="Times New Roman" w:eastAsia="宋体"/>
                <w:bCs w:val="0"/>
                <w:szCs w:val="21"/>
                <w:u w:val="single"/>
              </w:rPr>
              <w:t>t/a</w:t>
            </w:r>
          </w:p>
        </w:tc>
        <w:tc>
          <w:tcPr>
            <w:tcW w:w="1673" w:type="dxa"/>
            <w:vAlign w:val="center"/>
          </w:tcPr>
          <w:p>
            <w:pPr>
              <w:pStyle w:val="36"/>
              <w:spacing w:beforeLines="0" w:line="240" w:lineRule="auto"/>
              <w:rPr>
                <w:rFonts w:ascii="Times New Roman" w:eastAsia="宋体"/>
                <w:bCs w:val="0"/>
                <w:szCs w:val="21"/>
                <w:u w:val="single"/>
              </w:rPr>
            </w:pPr>
            <w:r>
              <w:rPr>
                <w:rFonts w:ascii="Times New Roman" w:eastAsia="宋体"/>
                <w:bCs w:val="0"/>
                <w:szCs w:val="21"/>
                <w:u w:val="single"/>
              </w:rPr>
              <w:t>0</w:t>
            </w:r>
          </w:p>
        </w:tc>
        <w:tc>
          <w:tcPr>
            <w:tcW w:w="1874" w:type="dxa"/>
            <w:vAlign w:val="center"/>
          </w:tcPr>
          <w:p>
            <w:pPr>
              <w:pStyle w:val="36"/>
              <w:spacing w:beforeLines="0" w:line="240" w:lineRule="auto"/>
              <w:rPr>
                <w:rFonts w:ascii="Times New Roman" w:eastAsia="宋体"/>
                <w:bCs w:val="0"/>
                <w:szCs w:val="21"/>
                <w:u w:val="single"/>
              </w:rPr>
            </w:pPr>
            <w:r>
              <w:rPr>
                <w:rFonts w:hint="eastAsia" w:ascii="Times New Roman" w:eastAsia="宋体"/>
                <w:bCs w:val="0"/>
                <w:szCs w:val="21"/>
                <w:u w:val="single"/>
              </w:rPr>
              <w:t>1.58</w:t>
            </w:r>
            <w:r>
              <w:rPr>
                <w:rFonts w:ascii="Times New Roman" w:eastAsia="宋体"/>
                <w:bCs w:val="0"/>
                <w:szCs w:val="21"/>
                <w:u w:val="single"/>
              </w:rPr>
              <w:t>t/a</w:t>
            </w:r>
          </w:p>
        </w:tc>
        <w:tc>
          <w:tcPr>
            <w:tcW w:w="1516" w:type="dxa"/>
            <w:vAlign w:val="center"/>
          </w:tcPr>
          <w:p>
            <w:pPr>
              <w:pStyle w:val="36"/>
              <w:spacing w:beforeLines="0" w:line="240" w:lineRule="auto"/>
              <w:rPr>
                <w:rFonts w:ascii="Times New Roman" w:eastAsia="宋体"/>
                <w:bCs w:val="0"/>
                <w:szCs w:val="21"/>
                <w:u w:val="single"/>
              </w:rPr>
            </w:pPr>
            <w:r>
              <w:rPr>
                <w:rFonts w:ascii="Times New Roman" w:eastAsia="宋体"/>
                <w:bCs w:val="0"/>
                <w:szCs w:val="21"/>
                <w:u w:val="single"/>
              </w:rPr>
              <w:t>+</w:t>
            </w:r>
            <w:r>
              <w:rPr>
                <w:rFonts w:hint="eastAsia" w:ascii="Times New Roman" w:eastAsia="宋体"/>
                <w:bCs w:val="0"/>
                <w:szCs w:val="21"/>
                <w:u w:val="single"/>
              </w:rPr>
              <w:t>1.58</w:t>
            </w:r>
            <w:r>
              <w:rPr>
                <w:rFonts w:ascii="Times New Roman" w:eastAsia="宋体"/>
                <w:bCs w:val="0"/>
                <w:szCs w:val="21"/>
                <w:u w:val="single"/>
              </w:rPr>
              <w:t>t/a</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19" w:hRule="atLeast"/>
        </w:trPr>
        <w:tc>
          <w:tcPr>
            <w:tcW w:w="1098" w:type="dxa"/>
            <w:vMerge w:val="continue"/>
            <w:vAlign w:val="center"/>
          </w:tcPr>
          <w:p>
            <w:pPr>
              <w:adjustRightInd w:val="0"/>
              <w:snapToGrid w:val="0"/>
              <w:jc w:val="center"/>
              <w:rPr>
                <w:szCs w:val="21"/>
                <w:u w:val="single"/>
              </w:rPr>
            </w:pPr>
          </w:p>
        </w:tc>
        <w:tc>
          <w:tcPr>
            <w:tcW w:w="1828" w:type="dxa"/>
            <w:vAlign w:val="center"/>
          </w:tcPr>
          <w:p>
            <w:pPr>
              <w:adjustRightInd w:val="0"/>
              <w:snapToGrid w:val="0"/>
              <w:jc w:val="center"/>
              <w:rPr>
                <w:szCs w:val="21"/>
                <w:u w:val="single"/>
              </w:rPr>
            </w:pPr>
            <w:r>
              <w:rPr>
                <w:szCs w:val="21"/>
                <w:u w:val="single"/>
              </w:rPr>
              <w:t>废布袋</w:t>
            </w:r>
          </w:p>
        </w:tc>
        <w:tc>
          <w:tcPr>
            <w:tcW w:w="1520" w:type="dxa"/>
            <w:vAlign w:val="center"/>
          </w:tcPr>
          <w:p>
            <w:pPr>
              <w:pStyle w:val="36"/>
              <w:spacing w:beforeLines="0" w:line="240" w:lineRule="auto"/>
              <w:rPr>
                <w:rFonts w:ascii="Times New Roman" w:eastAsia="宋体"/>
                <w:szCs w:val="21"/>
                <w:u w:val="single"/>
              </w:rPr>
            </w:pPr>
            <w:r>
              <w:rPr>
                <w:rFonts w:ascii="Times New Roman" w:eastAsia="宋体"/>
                <w:bCs w:val="0"/>
                <w:szCs w:val="21"/>
                <w:u w:val="single"/>
              </w:rPr>
              <w:t>0.10t/a</w:t>
            </w:r>
          </w:p>
        </w:tc>
        <w:tc>
          <w:tcPr>
            <w:tcW w:w="1186" w:type="dxa"/>
            <w:vAlign w:val="center"/>
          </w:tcPr>
          <w:p>
            <w:pPr>
              <w:pStyle w:val="36"/>
              <w:spacing w:beforeLines="0" w:line="240" w:lineRule="auto"/>
              <w:rPr>
                <w:rFonts w:ascii="Times New Roman" w:eastAsia="宋体"/>
                <w:szCs w:val="21"/>
                <w:u w:val="single"/>
              </w:rPr>
            </w:pPr>
            <w:r>
              <w:rPr>
                <w:rFonts w:ascii="Times New Roman" w:eastAsia="宋体"/>
                <w:bCs w:val="0"/>
                <w:szCs w:val="21"/>
                <w:u w:val="single"/>
              </w:rPr>
              <w:t>0.10t/a</w:t>
            </w:r>
          </w:p>
        </w:tc>
        <w:tc>
          <w:tcPr>
            <w:tcW w:w="1613" w:type="dxa"/>
            <w:vAlign w:val="center"/>
          </w:tcPr>
          <w:p>
            <w:pPr>
              <w:pStyle w:val="36"/>
              <w:spacing w:beforeLines="0" w:line="240" w:lineRule="auto"/>
              <w:rPr>
                <w:rFonts w:ascii="Times New Roman" w:eastAsia="宋体"/>
                <w:szCs w:val="21"/>
                <w:u w:val="single"/>
              </w:rPr>
            </w:pPr>
            <w:r>
              <w:rPr>
                <w:rFonts w:ascii="Times New Roman" w:eastAsia="宋体"/>
                <w:szCs w:val="21"/>
                <w:u w:val="single"/>
              </w:rPr>
              <w:t>0</w:t>
            </w:r>
          </w:p>
        </w:tc>
        <w:tc>
          <w:tcPr>
            <w:tcW w:w="1473" w:type="dxa"/>
            <w:vAlign w:val="center"/>
          </w:tcPr>
          <w:p>
            <w:pPr>
              <w:pStyle w:val="36"/>
              <w:spacing w:beforeLines="0" w:line="240" w:lineRule="auto"/>
              <w:rPr>
                <w:rFonts w:ascii="Times New Roman" w:eastAsia="宋体"/>
                <w:bCs w:val="0"/>
                <w:szCs w:val="21"/>
                <w:u w:val="single"/>
              </w:rPr>
            </w:pPr>
            <w:r>
              <w:rPr>
                <w:rFonts w:ascii="Times New Roman" w:eastAsia="宋体"/>
                <w:bCs w:val="0"/>
                <w:szCs w:val="21"/>
                <w:u w:val="single"/>
              </w:rPr>
              <w:t>0.10t/a</w:t>
            </w:r>
          </w:p>
        </w:tc>
        <w:tc>
          <w:tcPr>
            <w:tcW w:w="1673" w:type="dxa"/>
            <w:vAlign w:val="center"/>
          </w:tcPr>
          <w:p>
            <w:pPr>
              <w:pStyle w:val="36"/>
              <w:spacing w:beforeLines="0" w:line="240" w:lineRule="auto"/>
              <w:rPr>
                <w:rFonts w:ascii="Times New Roman" w:eastAsia="宋体"/>
                <w:bCs w:val="0"/>
                <w:szCs w:val="21"/>
                <w:u w:val="single"/>
              </w:rPr>
            </w:pPr>
            <w:r>
              <w:rPr>
                <w:rFonts w:ascii="Times New Roman" w:eastAsia="宋体"/>
                <w:bCs w:val="0"/>
                <w:szCs w:val="21"/>
                <w:u w:val="single"/>
              </w:rPr>
              <w:t>0.10t/a</w:t>
            </w:r>
          </w:p>
        </w:tc>
        <w:tc>
          <w:tcPr>
            <w:tcW w:w="1874" w:type="dxa"/>
            <w:vAlign w:val="center"/>
          </w:tcPr>
          <w:p>
            <w:pPr>
              <w:pStyle w:val="36"/>
              <w:spacing w:beforeLines="0" w:line="240" w:lineRule="auto"/>
              <w:rPr>
                <w:rFonts w:ascii="Times New Roman" w:eastAsia="宋体"/>
                <w:bCs w:val="0"/>
                <w:szCs w:val="21"/>
                <w:u w:val="single"/>
              </w:rPr>
            </w:pPr>
            <w:r>
              <w:rPr>
                <w:rFonts w:ascii="Times New Roman" w:eastAsia="宋体"/>
                <w:bCs w:val="0"/>
                <w:szCs w:val="21"/>
                <w:u w:val="single"/>
              </w:rPr>
              <w:t>0.10t/a</w:t>
            </w:r>
          </w:p>
        </w:tc>
        <w:tc>
          <w:tcPr>
            <w:tcW w:w="1516" w:type="dxa"/>
            <w:vAlign w:val="center"/>
          </w:tcPr>
          <w:p>
            <w:pPr>
              <w:adjustRightInd w:val="0"/>
              <w:snapToGrid w:val="0"/>
              <w:jc w:val="center"/>
              <w:rPr>
                <w:szCs w:val="21"/>
                <w:u w:val="single"/>
              </w:rPr>
            </w:pPr>
            <w:r>
              <w:rPr>
                <w:szCs w:val="21"/>
                <w:u w:val="single"/>
              </w:rPr>
              <w:t>0</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1098" w:type="dxa"/>
            <w:vMerge w:val="restart"/>
            <w:vAlign w:val="center"/>
          </w:tcPr>
          <w:p>
            <w:pPr>
              <w:adjustRightInd w:val="0"/>
              <w:snapToGrid w:val="0"/>
              <w:jc w:val="center"/>
              <w:rPr>
                <w:szCs w:val="21"/>
                <w:u w:val="single"/>
              </w:rPr>
            </w:pPr>
            <w:r>
              <w:rPr>
                <w:szCs w:val="21"/>
                <w:u w:val="single"/>
              </w:rPr>
              <w:t>危险废物</w:t>
            </w:r>
          </w:p>
        </w:tc>
        <w:tc>
          <w:tcPr>
            <w:tcW w:w="1828" w:type="dxa"/>
            <w:vAlign w:val="center"/>
          </w:tcPr>
          <w:p>
            <w:pPr>
              <w:adjustRightInd w:val="0"/>
              <w:snapToGrid w:val="0"/>
              <w:jc w:val="center"/>
              <w:rPr>
                <w:szCs w:val="21"/>
                <w:u w:val="single"/>
              </w:rPr>
            </w:pPr>
            <w:r>
              <w:rPr>
                <w:szCs w:val="21"/>
                <w:u w:val="single"/>
              </w:rPr>
              <w:t>废导热油</w:t>
            </w:r>
          </w:p>
        </w:tc>
        <w:tc>
          <w:tcPr>
            <w:tcW w:w="1520" w:type="dxa"/>
            <w:vAlign w:val="center"/>
          </w:tcPr>
          <w:p>
            <w:pPr>
              <w:adjustRightInd w:val="0"/>
              <w:snapToGrid w:val="0"/>
              <w:jc w:val="center"/>
              <w:rPr>
                <w:szCs w:val="21"/>
                <w:u w:val="single"/>
              </w:rPr>
            </w:pPr>
            <w:r>
              <w:rPr>
                <w:szCs w:val="21"/>
                <w:u w:val="single"/>
              </w:rPr>
              <w:t>0</w:t>
            </w:r>
          </w:p>
        </w:tc>
        <w:tc>
          <w:tcPr>
            <w:tcW w:w="1186" w:type="dxa"/>
            <w:vAlign w:val="center"/>
          </w:tcPr>
          <w:p>
            <w:pPr>
              <w:adjustRightInd w:val="0"/>
              <w:snapToGrid w:val="0"/>
              <w:jc w:val="center"/>
              <w:rPr>
                <w:szCs w:val="21"/>
                <w:u w:val="single"/>
              </w:rPr>
            </w:pPr>
            <w:r>
              <w:rPr>
                <w:szCs w:val="21"/>
                <w:u w:val="single"/>
              </w:rPr>
              <w:t>0</w:t>
            </w:r>
          </w:p>
        </w:tc>
        <w:tc>
          <w:tcPr>
            <w:tcW w:w="1613" w:type="dxa"/>
            <w:vAlign w:val="center"/>
          </w:tcPr>
          <w:p>
            <w:pPr>
              <w:adjustRightInd w:val="0"/>
              <w:snapToGrid w:val="0"/>
              <w:jc w:val="center"/>
              <w:rPr>
                <w:szCs w:val="21"/>
                <w:u w:val="single"/>
              </w:rPr>
            </w:pPr>
            <w:r>
              <w:rPr>
                <w:szCs w:val="21"/>
                <w:u w:val="single"/>
              </w:rPr>
              <w:t>0</w:t>
            </w:r>
          </w:p>
        </w:tc>
        <w:tc>
          <w:tcPr>
            <w:tcW w:w="1473" w:type="dxa"/>
            <w:vAlign w:val="center"/>
          </w:tcPr>
          <w:p>
            <w:pPr>
              <w:adjustRightInd w:val="0"/>
              <w:snapToGrid w:val="0"/>
              <w:jc w:val="center"/>
              <w:rPr>
                <w:szCs w:val="21"/>
                <w:u w:val="single"/>
              </w:rPr>
            </w:pPr>
            <w:r>
              <w:rPr>
                <w:szCs w:val="21"/>
                <w:u w:val="single"/>
              </w:rPr>
              <w:t>1.00t/a</w:t>
            </w:r>
          </w:p>
        </w:tc>
        <w:tc>
          <w:tcPr>
            <w:tcW w:w="1673" w:type="dxa"/>
            <w:vAlign w:val="center"/>
          </w:tcPr>
          <w:p>
            <w:pPr>
              <w:adjustRightInd w:val="0"/>
              <w:snapToGrid w:val="0"/>
              <w:jc w:val="center"/>
              <w:rPr>
                <w:szCs w:val="21"/>
                <w:u w:val="single"/>
              </w:rPr>
            </w:pPr>
            <w:r>
              <w:rPr>
                <w:szCs w:val="21"/>
                <w:u w:val="single"/>
              </w:rPr>
              <w:t>0</w:t>
            </w:r>
          </w:p>
        </w:tc>
        <w:tc>
          <w:tcPr>
            <w:tcW w:w="1874" w:type="dxa"/>
            <w:vAlign w:val="center"/>
          </w:tcPr>
          <w:p>
            <w:pPr>
              <w:adjustRightInd w:val="0"/>
              <w:snapToGrid w:val="0"/>
              <w:jc w:val="center"/>
              <w:rPr>
                <w:szCs w:val="21"/>
                <w:u w:val="single"/>
              </w:rPr>
            </w:pPr>
            <w:r>
              <w:rPr>
                <w:szCs w:val="21"/>
                <w:u w:val="single"/>
              </w:rPr>
              <w:t>1.00t/a</w:t>
            </w:r>
          </w:p>
        </w:tc>
        <w:tc>
          <w:tcPr>
            <w:tcW w:w="1516" w:type="dxa"/>
            <w:vAlign w:val="center"/>
          </w:tcPr>
          <w:p>
            <w:pPr>
              <w:adjustRightInd w:val="0"/>
              <w:snapToGrid w:val="0"/>
              <w:jc w:val="center"/>
              <w:rPr>
                <w:szCs w:val="21"/>
                <w:u w:val="single"/>
              </w:rPr>
            </w:pPr>
            <w:r>
              <w:rPr>
                <w:rFonts w:hint="eastAsia"/>
                <w:szCs w:val="21"/>
                <w:u w:val="single"/>
              </w:rPr>
              <w:t>+</w:t>
            </w:r>
            <w:r>
              <w:rPr>
                <w:szCs w:val="21"/>
                <w:u w:val="single"/>
              </w:rPr>
              <w:t>1.00t/a</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1098" w:type="dxa"/>
            <w:vMerge w:val="continue"/>
            <w:vAlign w:val="center"/>
          </w:tcPr>
          <w:p>
            <w:pPr>
              <w:adjustRightInd w:val="0"/>
              <w:snapToGrid w:val="0"/>
              <w:jc w:val="center"/>
              <w:rPr>
                <w:szCs w:val="21"/>
                <w:u w:val="single"/>
              </w:rPr>
            </w:pPr>
          </w:p>
        </w:tc>
        <w:tc>
          <w:tcPr>
            <w:tcW w:w="1828" w:type="dxa"/>
            <w:vAlign w:val="center"/>
          </w:tcPr>
          <w:p>
            <w:pPr>
              <w:adjustRightInd w:val="0"/>
              <w:snapToGrid w:val="0"/>
              <w:jc w:val="center"/>
              <w:rPr>
                <w:szCs w:val="21"/>
                <w:u w:val="single"/>
              </w:rPr>
            </w:pPr>
            <w:r>
              <w:rPr>
                <w:szCs w:val="21"/>
                <w:u w:val="single"/>
              </w:rPr>
              <w:t>废机油</w:t>
            </w:r>
          </w:p>
        </w:tc>
        <w:tc>
          <w:tcPr>
            <w:tcW w:w="1520" w:type="dxa"/>
            <w:vAlign w:val="center"/>
          </w:tcPr>
          <w:p>
            <w:pPr>
              <w:adjustRightInd w:val="0"/>
              <w:snapToGrid w:val="0"/>
              <w:jc w:val="center"/>
              <w:rPr>
                <w:szCs w:val="21"/>
                <w:u w:val="single"/>
              </w:rPr>
            </w:pPr>
            <w:r>
              <w:rPr>
                <w:szCs w:val="21"/>
                <w:u w:val="single"/>
              </w:rPr>
              <w:t>0</w:t>
            </w:r>
          </w:p>
        </w:tc>
        <w:tc>
          <w:tcPr>
            <w:tcW w:w="1186" w:type="dxa"/>
            <w:vAlign w:val="center"/>
          </w:tcPr>
          <w:p>
            <w:pPr>
              <w:adjustRightInd w:val="0"/>
              <w:snapToGrid w:val="0"/>
              <w:jc w:val="center"/>
              <w:rPr>
                <w:szCs w:val="21"/>
                <w:u w:val="single"/>
              </w:rPr>
            </w:pPr>
            <w:r>
              <w:rPr>
                <w:szCs w:val="21"/>
                <w:u w:val="single"/>
              </w:rPr>
              <w:t>0</w:t>
            </w:r>
          </w:p>
        </w:tc>
        <w:tc>
          <w:tcPr>
            <w:tcW w:w="1613" w:type="dxa"/>
            <w:vAlign w:val="center"/>
          </w:tcPr>
          <w:p>
            <w:pPr>
              <w:adjustRightInd w:val="0"/>
              <w:snapToGrid w:val="0"/>
              <w:jc w:val="center"/>
              <w:rPr>
                <w:szCs w:val="21"/>
                <w:u w:val="single"/>
              </w:rPr>
            </w:pPr>
            <w:r>
              <w:rPr>
                <w:szCs w:val="21"/>
                <w:u w:val="single"/>
              </w:rPr>
              <w:t>0</w:t>
            </w:r>
          </w:p>
        </w:tc>
        <w:tc>
          <w:tcPr>
            <w:tcW w:w="1473" w:type="dxa"/>
            <w:vAlign w:val="center"/>
          </w:tcPr>
          <w:p>
            <w:pPr>
              <w:adjustRightInd w:val="0"/>
              <w:snapToGrid w:val="0"/>
              <w:jc w:val="center"/>
              <w:rPr>
                <w:szCs w:val="21"/>
                <w:u w:val="single"/>
              </w:rPr>
            </w:pPr>
            <w:r>
              <w:rPr>
                <w:rFonts w:hint="eastAsia"/>
                <w:szCs w:val="21"/>
                <w:u w:val="single"/>
              </w:rPr>
              <w:t>0.03</w:t>
            </w:r>
            <w:r>
              <w:rPr>
                <w:szCs w:val="21"/>
                <w:u w:val="single"/>
              </w:rPr>
              <w:t>t/a</w:t>
            </w:r>
          </w:p>
        </w:tc>
        <w:tc>
          <w:tcPr>
            <w:tcW w:w="1673" w:type="dxa"/>
            <w:vAlign w:val="center"/>
          </w:tcPr>
          <w:p>
            <w:pPr>
              <w:adjustRightInd w:val="0"/>
              <w:snapToGrid w:val="0"/>
              <w:jc w:val="center"/>
              <w:rPr>
                <w:szCs w:val="21"/>
                <w:u w:val="single"/>
              </w:rPr>
            </w:pPr>
            <w:r>
              <w:rPr>
                <w:szCs w:val="21"/>
                <w:u w:val="single"/>
              </w:rPr>
              <w:t>0</w:t>
            </w:r>
          </w:p>
        </w:tc>
        <w:tc>
          <w:tcPr>
            <w:tcW w:w="1874" w:type="dxa"/>
            <w:vAlign w:val="center"/>
          </w:tcPr>
          <w:p>
            <w:pPr>
              <w:adjustRightInd w:val="0"/>
              <w:snapToGrid w:val="0"/>
              <w:jc w:val="center"/>
              <w:rPr>
                <w:szCs w:val="21"/>
                <w:u w:val="single"/>
              </w:rPr>
            </w:pPr>
            <w:r>
              <w:rPr>
                <w:rFonts w:hint="eastAsia"/>
                <w:szCs w:val="21"/>
                <w:u w:val="single"/>
              </w:rPr>
              <w:t>0.03</w:t>
            </w:r>
            <w:r>
              <w:rPr>
                <w:szCs w:val="21"/>
                <w:u w:val="single"/>
              </w:rPr>
              <w:t>t/a</w:t>
            </w:r>
          </w:p>
        </w:tc>
        <w:tc>
          <w:tcPr>
            <w:tcW w:w="1516" w:type="dxa"/>
            <w:vAlign w:val="center"/>
          </w:tcPr>
          <w:p>
            <w:pPr>
              <w:adjustRightInd w:val="0"/>
              <w:snapToGrid w:val="0"/>
              <w:jc w:val="center"/>
              <w:rPr>
                <w:szCs w:val="21"/>
                <w:u w:val="single"/>
              </w:rPr>
            </w:pPr>
            <w:r>
              <w:rPr>
                <w:rFonts w:hint="eastAsia"/>
                <w:szCs w:val="21"/>
                <w:u w:val="single"/>
              </w:rPr>
              <w:t>+0.03</w:t>
            </w:r>
            <w:r>
              <w:rPr>
                <w:szCs w:val="21"/>
                <w:u w:val="single"/>
              </w:rPr>
              <w:t>t/a</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1098" w:type="dxa"/>
            <w:vMerge w:val="continue"/>
            <w:vAlign w:val="center"/>
          </w:tcPr>
          <w:p>
            <w:pPr>
              <w:adjustRightInd w:val="0"/>
              <w:snapToGrid w:val="0"/>
              <w:jc w:val="center"/>
              <w:rPr>
                <w:szCs w:val="21"/>
                <w:u w:val="single"/>
              </w:rPr>
            </w:pPr>
          </w:p>
        </w:tc>
        <w:tc>
          <w:tcPr>
            <w:tcW w:w="1828" w:type="dxa"/>
            <w:vAlign w:val="center"/>
          </w:tcPr>
          <w:p>
            <w:pPr>
              <w:adjustRightInd w:val="0"/>
              <w:snapToGrid w:val="0"/>
              <w:jc w:val="center"/>
              <w:rPr>
                <w:szCs w:val="21"/>
                <w:u w:val="single"/>
              </w:rPr>
            </w:pPr>
            <w:r>
              <w:rPr>
                <w:szCs w:val="21"/>
                <w:u w:val="single"/>
              </w:rPr>
              <w:t>含油废抹布</w:t>
            </w:r>
          </w:p>
        </w:tc>
        <w:tc>
          <w:tcPr>
            <w:tcW w:w="1520" w:type="dxa"/>
            <w:vAlign w:val="center"/>
          </w:tcPr>
          <w:p>
            <w:pPr>
              <w:adjustRightInd w:val="0"/>
              <w:snapToGrid w:val="0"/>
              <w:jc w:val="center"/>
              <w:rPr>
                <w:szCs w:val="21"/>
                <w:u w:val="single"/>
              </w:rPr>
            </w:pPr>
            <w:r>
              <w:rPr>
                <w:szCs w:val="21"/>
                <w:u w:val="single"/>
              </w:rPr>
              <w:t>0</w:t>
            </w:r>
          </w:p>
        </w:tc>
        <w:tc>
          <w:tcPr>
            <w:tcW w:w="1186" w:type="dxa"/>
            <w:vAlign w:val="center"/>
          </w:tcPr>
          <w:p>
            <w:pPr>
              <w:adjustRightInd w:val="0"/>
              <w:snapToGrid w:val="0"/>
              <w:jc w:val="center"/>
              <w:rPr>
                <w:szCs w:val="21"/>
                <w:u w:val="single"/>
              </w:rPr>
            </w:pPr>
            <w:r>
              <w:rPr>
                <w:szCs w:val="21"/>
                <w:u w:val="single"/>
              </w:rPr>
              <w:t>0</w:t>
            </w:r>
          </w:p>
        </w:tc>
        <w:tc>
          <w:tcPr>
            <w:tcW w:w="1613" w:type="dxa"/>
            <w:vAlign w:val="center"/>
          </w:tcPr>
          <w:p>
            <w:pPr>
              <w:adjustRightInd w:val="0"/>
              <w:snapToGrid w:val="0"/>
              <w:jc w:val="center"/>
              <w:rPr>
                <w:szCs w:val="21"/>
                <w:u w:val="single"/>
              </w:rPr>
            </w:pPr>
            <w:r>
              <w:rPr>
                <w:szCs w:val="21"/>
                <w:u w:val="single"/>
              </w:rPr>
              <w:t>0</w:t>
            </w:r>
          </w:p>
        </w:tc>
        <w:tc>
          <w:tcPr>
            <w:tcW w:w="1473" w:type="dxa"/>
            <w:vAlign w:val="center"/>
          </w:tcPr>
          <w:p>
            <w:pPr>
              <w:adjustRightInd w:val="0"/>
              <w:snapToGrid w:val="0"/>
              <w:jc w:val="center"/>
              <w:rPr>
                <w:szCs w:val="21"/>
                <w:u w:val="single"/>
              </w:rPr>
            </w:pPr>
            <w:r>
              <w:rPr>
                <w:rFonts w:hint="eastAsia"/>
                <w:szCs w:val="21"/>
                <w:u w:val="single"/>
              </w:rPr>
              <w:t>0.01</w:t>
            </w:r>
            <w:r>
              <w:rPr>
                <w:szCs w:val="21"/>
                <w:u w:val="single"/>
              </w:rPr>
              <w:t>t/a</w:t>
            </w:r>
          </w:p>
        </w:tc>
        <w:tc>
          <w:tcPr>
            <w:tcW w:w="1673" w:type="dxa"/>
            <w:vAlign w:val="center"/>
          </w:tcPr>
          <w:p>
            <w:pPr>
              <w:adjustRightInd w:val="0"/>
              <w:snapToGrid w:val="0"/>
              <w:jc w:val="center"/>
              <w:rPr>
                <w:szCs w:val="21"/>
                <w:u w:val="single"/>
              </w:rPr>
            </w:pPr>
            <w:r>
              <w:rPr>
                <w:szCs w:val="21"/>
                <w:u w:val="single"/>
              </w:rPr>
              <w:t>0</w:t>
            </w:r>
          </w:p>
        </w:tc>
        <w:tc>
          <w:tcPr>
            <w:tcW w:w="1874" w:type="dxa"/>
            <w:vAlign w:val="center"/>
          </w:tcPr>
          <w:p>
            <w:pPr>
              <w:adjustRightInd w:val="0"/>
              <w:snapToGrid w:val="0"/>
              <w:jc w:val="center"/>
              <w:rPr>
                <w:szCs w:val="21"/>
                <w:u w:val="single"/>
              </w:rPr>
            </w:pPr>
            <w:r>
              <w:rPr>
                <w:rFonts w:hint="eastAsia"/>
                <w:szCs w:val="21"/>
                <w:u w:val="single"/>
              </w:rPr>
              <w:t>0.01</w:t>
            </w:r>
            <w:r>
              <w:rPr>
                <w:szCs w:val="21"/>
                <w:u w:val="single"/>
              </w:rPr>
              <w:t>t/a</w:t>
            </w:r>
          </w:p>
        </w:tc>
        <w:tc>
          <w:tcPr>
            <w:tcW w:w="1516" w:type="dxa"/>
            <w:vAlign w:val="center"/>
          </w:tcPr>
          <w:p>
            <w:pPr>
              <w:adjustRightInd w:val="0"/>
              <w:snapToGrid w:val="0"/>
              <w:jc w:val="center"/>
              <w:rPr>
                <w:szCs w:val="21"/>
                <w:u w:val="single"/>
              </w:rPr>
            </w:pPr>
            <w:r>
              <w:rPr>
                <w:rFonts w:hint="eastAsia"/>
                <w:szCs w:val="21"/>
                <w:u w:val="single"/>
              </w:rPr>
              <w:t>+0.01</w:t>
            </w:r>
            <w:r>
              <w:rPr>
                <w:szCs w:val="21"/>
                <w:u w:val="single"/>
              </w:rPr>
              <w:t>t/a</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1098" w:type="dxa"/>
            <w:vMerge w:val="continue"/>
            <w:vAlign w:val="center"/>
          </w:tcPr>
          <w:p>
            <w:pPr>
              <w:adjustRightInd w:val="0"/>
              <w:snapToGrid w:val="0"/>
              <w:jc w:val="center"/>
              <w:rPr>
                <w:szCs w:val="21"/>
                <w:u w:val="single"/>
              </w:rPr>
            </w:pPr>
          </w:p>
        </w:tc>
        <w:tc>
          <w:tcPr>
            <w:tcW w:w="1828" w:type="dxa"/>
            <w:vAlign w:val="center"/>
          </w:tcPr>
          <w:p>
            <w:pPr>
              <w:adjustRightInd w:val="0"/>
              <w:snapToGrid w:val="0"/>
              <w:jc w:val="center"/>
              <w:rPr>
                <w:szCs w:val="21"/>
                <w:u w:val="single"/>
              </w:rPr>
            </w:pPr>
            <w:r>
              <w:rPr>
                <w:szCs w:val="21"/>
                <w:u w:val="single"/>
              </w:rPr>
              <w:t>废油桶</w:t>
            </w:r>
          </w:p>
        </w:tc>
        <w:tc>
          <w:tcPr>
            <w:tcW w:w="1520" w:type="dxa"/>
            <w:vAlign w:val="center"/>
          </w:tcPr>
          <w:p>
            <w:pPr>
              <w:adjustRightInd w:val="0"/>
              <w:snapToGrid w:val="0"/>
              <w:jc w:val="center"/>
              <w:rPr>
                <w:szCs w:val="21"/>
                <w:u w:val="single"/>
              </w:rPr>
            </w:pPr>
            <w:r>
              <w:rPr>
                <w:szCs w:val="21"/>
                <w:u w:val="single"/>
              </w:rPr>
              <w:t>0</w:t>
            </w:r>
          </w:p>
        </w:tc>
        <w:tc>
          <w:tcPr>
            <w:tcW w:w="1186" w:type="dxa"/>
            <w:vAlign w:val="center"/>
          </w:tcPr>
          <w:p>
            <w:pPr>
              <w:adjustRightInd w:val="0"/>
              <w:snapToGrid w:val="0"/>
              <w:jc w:val="center"/>
              <w:rPr>
                <w:szCs w:val="21"/>
                <w:u w:val="single"/>
              </w:rPr>
            </w:pPr>
            <w:r>
              <w:rPr>
                <w:szCs w:val="21"/>
                <w:u w:val="single"/>
              </w:rPr>
              <w:t>0</w:t>
            </w:r>
          </w:p>
        </w:tc>
        <w:tc>
          <w:tcPr>
            <w:tcW w:w="1613" w:type="dxa"/>
            <w:vAlign w:val="center"/>
          </w:tcPr>
          <w:p>
            <w:pPr>
              <w:adjustRightInd w:val="0"/>
              <w:snapToGrid w:val="0"/>
              <w:jc w:val="center"/>
              <w:rPr>
                <w:szCs w:val="21"/>
                <w:u w:val="single"/>
              </w:rPr>
            </w:pPr>
            <w:r>
              <w:rPr>
                <w:szCs w:val="21"/>
                <w:u w:val="single"/>
              </w:rPr>
              <w:t>0</w:t>
            </w:r>
          </w:p>
        </w:tc>
        <w:tc>
          <w:tcPr>
            <w:tcW w:w="1473" w:type="dxa"/>
            <w:vAlign w:val="center"/>
          </w:tcPr>
          <w:p>
            <w:pPr>
              <w:adjustRightInd w:val="0"/>
              <w:snapToGrid w:val="0"/>
              <w:jc w:val="center"/>
              <w:rPr>
                <w:szCs w:val="21"/>
                <w:u w:val="single"/>
              </w:rPr>
            </w:pPr>
            <w:r>
              <w:rPr>
                <w:rFonts w:hint="eastAsia"/>
                <w:szCs w:val="21"/>
                <w:u w:val="single"/>
              </w:rPr>
              <w:t>0.02</w:t>
            </w:r>
            <w:r>
              <w:rPr>
                <w:szCs w:val="21"/>
                <w:u w:val="single"/>
              </w:rPr>
              <w:t>t/a</w:t>
            </w:r>
          </w:p>
        </w:tc>
        <w:tc>
          <w:tcPr>
            <w:tcW w:w="1673" w:type="dxa"/>
            <w:vAlign w:val="center"/>
          </w:tcPr>
          <w:p>
            <w:pPr>
              <w:adjustRightInd w:val="0"/>
              <w:snapToGrid w:val="0"/>
              <w:jc w:val="center"/>
              <w:rPr>
                <w:szCs w:val="21"/>
                <w:u w:val="single"/>
              </w:rPr>
            </w:pPr>
            <w:r>
              <w:rPr>
                <w:szCs w:val="21"/>
                <w:u w:val="single"/>
              </w:rPr>
              <w:t>0</w:t>
            </w:r>
          </w:p>
        </w:tc>
        <w:tc>
          <w:tcPr>
            <w:tcW w:w="1874" w:type="dxa"/>
            <w:vAlign w:val="center"/>
          </w:tcPr>
          <w:p>
            <w:pPr>
              <w:adjustRightInd w:val="0"/>
              <w:snapToGrid w:val="0"/>
              <w:jc w:val="center"/>
              <w:rPr>
                <w:szCs w:val="21"/>
                <w:u w:val="single"/>
              </w:rPr>
            </w:pPr>
            <w:r>
              <w:rPr>
                <w:rFonts w:hint="eastAsia"/>
                <w:szCs w:val="21"/>
                <w:u w:val="single"/>
              </w:rPr>
              <w:t>0.02</w:t>
            </w:r>
            <w:r>
              <w:rPr>
                <w:szCs w:val="21"/>
                <w:u w:val="single"/>
              </w:rPr>
              <w:t>t/a</w:t>
            </w:r>
          </w:p>
        </w:tc>
        <w:tc>
          <w:tcPr>
            <w:tcW w:w="1516" w:type="dxa"/>
            <w:vAlign w:val="center"/>
          </w:tcPr>
          <w:p>
            <w:pPr>
              <w:adjustRightInd w:val="0"/>
              <w:snapToGrid w:val="0"/>
              <w:jc w:val="center"/>
              <w:rPr>
                <w:szCs w:val="21"/>
                <w:u w:val="single"/>
              </w:rPr>
            </w:pPr>
            <w:r>
              <w:rPr>
                <w:rFonts w:hint="eastAsia"/>
                <w:szCs w:val="21"/>
                <w:u w:val="single"/>
              </w:rPr>
              <w:t>+0.02</w:t>
            </w:r>
            <w:r>
              <w:rPr>
                <w:szCs w:val="21"/>
                <w:u w:val="single"/>
              </w:rPr>
              <w:t>t/a</w:t>
            </w:r>
          </w:p>
        </w:tc>
      </w:tr>
    </w:tbl>
    <w:p>
      <w:pPr>
        <w:jc w:val="left"/>
      </w:pPr>
      <w:r>
        <w:rPr>
          <w:sz w:val="18"/>
          <w:szCs w:val="18"/>
        </w:rPr>
        <w:t>注：</w:t>
      </w:r>
      <w:r>
        <w:rPr>
          <w:sz w:val="18"/>
          <w:szCs w:val="18"/>
        </w:rPr>
        <w:fldChar w:fldCharType="begin"/>
      </w:r>
      <w:r>
        <w:rPr>
          <w:sz w:val="18"/>
          <w:szCs w:val="18"/>
        </w:rPr>
        <w:instrText xml:space="preserve"> = 6 \* GB3 \* MERGEFORMAT </w:instrText>
      </w:r>
      <w:r>
        <w:rPr>
          <w:sz w:val="18"/>
          <w:szCs w:val="18"/>
        </w:rPr>
        <w:fldChar w:fldCharType="separate"/>
      </w:r>
      <w:r>
        <w:rPr>
          <w:sz w:val="18"/>
          <w:szCs w:val="18"/>
        </w:rPr>
        <w:t>⑥</w:t>
      </w:r>
      <w:r>
        <w:rPr>
          <w:sz w:val="18"/>
          <w:szCs w:val="18"/>
        </w:rPr>
        <w:fldChar w:fldCharType="end"/>
      </w:r>
      <w:r>
        <w:rPr>
          <w:sz w:val="18"/>
          <w:szCs w:val="18"/>
        </w:rPr>
        <w:t>=</w:t>
      </w:r>
      <w:r>
        <w:rPr>
          <w:sz w:val="18"/>
          <w:szCs w:val="18"/>
        </w:rPr>
        <w:fldChar w:fldCharType="begin"/>
      </w:r>
      <w:r>
        <w:rPr>
          <w:sz w:val="18"/>
          <w:szCs w:val="18"/>
        </w:rPr>
        <w:instrText xml:space="preserve"> = 1 \* GB3 \* MERGEFORMAT </w:instrText>
      </w:r>
      <w:r>
        <w:rPr>
          <w:sz w:val="18"/>
          <w:szCs w:val="18"/>
        </w:rPr>
        <w:fldChar w:fldCharType="separate"/>
      </w:r>
      <w:r>
        <w:rPr>
          <w:sz w:val="18"/>
          <w:szCs w:val="18"/>
        </w:rPr>
        <w:t>①</w:t>
      </w:r>
      <w:r>
        <w:rPr>
          <w:sz w:val="18"/>
          <w:szCs w:val="18"/>
        </w:rPr>
        <w:fldChar w:fldCharType="end"/>
      </w:r>
      <w:r>
        <w:rPr>
          <w:sz w:val="18"/>
          <w:szCs w:val="18"/>
        </w:rPr>
        <w:t>+</w:t>
      </w:r>
      <w:r>
        <w:rPr>
          <w:sz w:val="18"/>
          <w:szCs w:val="18"/>
        </w:rPr>
        <w:fldChar w:fldCharType="begin"/>
      </w:r>
      <w:r>
        <w:rPr>
          <w:sz w:val="18"/>
          <w:szCs w:val="18"/>
        </w:rPr>
        <w:instrText xml:space="preserve"> = 3 \* GB3 \* MERGEFORMAT </w:instrText>
      </w:r>
      <w:r>
        <w:rPr>
          <w:sz w:val="18"/>
          <w:szCs w:val="18"/>
        </w:rPr>
        <w:fldChar w:fldCharType="separate"/>
      </w:r>
      <w:r>
        <w:rPr>
          <w:sz w:val="18"/>
          <w:szCs w:val="18"/>
        </w:rPr>
        <w:t>③</w:t>
      </w:r>
      <w:r>
        <w:rPr>
          <w:sz w:val="18"/>
          <w:szCs w:val="18"/>
        </w:rPr>
        <w:fldChar w:fldCharType="end"/>
      </w:r>
      <w:r>
        <w:rPr>
          <w:sz w:val="18"/>
          <w:szCs w:val="18"/>
        </w:rPr>
        <w:t>+</w:t>
      </w:r>
      <w:r>
        <w:rPr>
          <w:sz w:val="18"/>
          <w:szCs w:val="18"/>
        </w:rPr>
        <w:fldChar w:fldCharType="begin"/>
      </w:r>
      <w:r>
        <w:rPr>
          <w:sz w:val="18"/>
          <w:szCs w:val="18"/>
        </w:rPr>
        <w:instrText xml:space="preserve"> = 4 \* GB3 \* MERGEFORMAT </w:instrText>
      </w:r>
      <w:r>
        <w:rPr>
          <w:sz w:val="18"/>
          <w:szCs w:val="18"/>
        </w:rPr>
        <w:fldChar w:fldCharType="separate"/>
      </w:r>
      <w:r>
        <w:rPr>
          <w:sz w:val="18"/>
          <w:szCs w:val="18"/>
        </w:rPr>
        <w:t>④</w:t>
      </w:r>
      <w:r>
        <w:rPr>
          <w:sz w:val="18"/>
          <w:szCs w:val="18"/>
        </w:rPr>
        <w:fldChar w:fldCharType="end"/>
      </w:r>
      <w:r>
        <w:rPr>
          <w:sz w:val="18"/>
          <w:szCs w:val="18"/>
        </w:rPr>
        <w:t>-</w:t>
      </w:r>
      <w:r>
        <w:rPr>
          <w:sz w:val="18"/>
          <w:szCs w:val="18"/>
        </w:rPr>
        <w:fldChar w:fldCharType="begin"/>
      </w:r>
      <w:r>
        <w:rPr>
          <w:sz w:val="18"/>
          <w:szCs w:val="18"/>
        </w:rPr>
        <w:instrText xml:space="preserve"> = 5 \* GB3 \* MERGEFORMAT </w:instrText>
      </w:r>
      <w:r>
        <w:rPr>
          <w:sz w:val="18"/>
          <w:szCs w:val="18"/>
        </w:rPr>
        <w:fldChar w:fldCharType="separate"/>
      </w:r>
      <w:r>
        <w:rPr>
          <w:sz w:val="18"/>
          <w:szCs w:val="18"/>
        </w:rPr>
        <w:t>⑤</w:t>
      </w:r>
      <w:r>
        <w:rPr>
          <w:sz w:val="18"/>
          <w:szCs w:val="18"/>
        </w:rPr>
        <w:fldChar w:fldCharType="end"/>
      </w:r>
      <w:r>
        <w:rPr>
          <w:sz w:val="18"/>
          <w:szCs w:val="18"/>
        </w:rPr>
        <w:t>；</w:t>
      </w:r>
      <w:r>
        <w:rPr>
          <w:sz w:val="18"/>
          <w:szCs w:val="18"/>
        </w:rPr>
        <w:fldChar w:fldCharType="begin"/>
      </w:r>
      <w:r>
        <w:rPr>
          <w:sz w:val="18"/>
          <w:szCs w:val="18"/>
        </w:rPr>
        <w:instrText xml:space="preserve"> = 7 \* GB3 \* MERGEFORMAT </w:instrText>
      </w:r>
      <w:r>
        <w:rPr>
          <w:sz w:val="18"/>
          <w:szCs w:val="18"/>
        </w:rPr>
        <w:fldChar w:fldCharType="separate"/>
      </w:r>
      <w:r>
        <w:rPr>
          <w:sz w:val="18"/>
          <w:szCs w:val="18"/>
        </w:rPr>
        <w:t>⑦</w:t>
      </w:r>
      <w:r>
        <w:rPr>
          <w:sz w:val="18"/>
          <w:szCs w:val="18"/>
        </w:rPr>
        <w:fldChar w:fldCharType="end"/>
      </w:r>
      <w:r>
        <w:rPr>
          <w:sz w:val="18"/>
          <w:szCs w:val="18"/>
        </w:rPr>
        <w:t>=</w:t>
      </w:r>
      <w:r>
        <w:rPr>
          <w:sz w:val="18"/>
          <w:szCs w:val="18"/>
        </w:rPr>
        <w:fldChar w:fldCharType="begin"/>
      </w:r>
      <w:r>
        <w:rPr>
          <w:sz w:val="18"/>
          <w:szCs w:val="18"/>
        </w:rPr>
        <w:instrText xml:space="preserve"> = 6 \* GB3 \* MERGEFORMAT </w:instrText>
      </w:r>
      <w:r>
        <w:rPr>
          <w:sz w:val="18"/>
          <w:szCs w:val="18"/>
        </w:rPr>
        <w:fldChar w:fldCharType="separate"/>
      </w:r>
      <w:r>
        <w:rPr>
          <w:sz w:val="18"/>
          <w:szCs w:val="18"/>
        </w:rPr>
        <w:t>⑥</w:t>
      </w:r>
      <w:r>
        <w:rPr>
          <w:sz w:val="18"/>
          <w:szCs w:val="18"/>
        </w:rPr>
        <w:fldChar w:fldCharType="end"/>
      </w:r>
      <w:r>
        <w:rPr>
          <w:sz w:val="18"/>
          <w:szCs w:val="18"/>
        </w:rPr>
        <w:t>-</w:t>
      </w:r>
      <w:r>
        <w:rPr>
          <w:sz w:val="18"/>
          <w:szCs w:val="18"/>
        </w:rPr>
        <w:fldChar w:fldCharType="begin"/>
      </w:r>
      <w:r>
        <w:rPr>
          <w:sz w:val="18"/>
          <w:szCs w:val="18"/>
        </w:rPr>
        <w:instrText xml:space="preserve"> = 1 \* GB3 \* MERGEFORMAT </w:instrText>
      </w:r>
      <w:r>
        <w:rPr>
          <w:sz w:val="18"/>
          <w:szCs w:val="18"/>
        </w:rPr>
        <w:fldChar w:fldCharType="separate"/>
      </w:r>
      <w:r>
        <w:rPr>
          <w:sz w:val="18"/>
          <w:szCs w:val="18"/>
        </w:rPr>
        <w:t>①</w:t>
      </w:r>
      <w:r>
        <w:rPr>
          <w:sz w:val="18"/>
          <w:szCs w:val="18"/>
        </w:rPr>
        <w:fldChar w:fldCharType="end"/>
      </w:r>
    </w:p>
    <w:sectPr>
      <w:footerReference r:id="rId4" w:type="default"/>
      <w:pgSz w:w="16838" w:h="11906" w:orient="landscape"/>
      <w:pgMar w:top="1701" w:right="1701" w:bottom="1701" w:left="1701" w:header="851" w:footer="992" w:gutter="0"/>
      <w:cols w:space="0" w:num="1"/>
      <w:docGrid w:type="lines" w:linePitch="32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仿宋_GB2312">
    <w:altName w:val="仿宋"/>
    <w:panose1 w:val="02010609030101010101"/>
    <w:charset w:val="86"/>
    <w:family w:val="auto"/>
    <w:pitch w:val="default"/>
    <w:sig w:usb0="00000000" w:usb1="00000000" w:usb2="00000000" w:usb3="00000000" w:csb0="00040000" w:csb1="00000000"/>
  </w:font>
  <w:font w:name="楷体_GB2312">
    <w:altName w:val="楷体"/>
    <w:panose1 w:val="02010609030101010101"/>
    <w:charset w:val="86"/>
    <w:family w:val="auto"/>
    <w:pitch w:val="default"/>
    <w:sig w:usb0="00000000" w:usb1="00000000" w:usb2="00000000" w:usb3="00000000" w:csb0="00040000" w:csb1="00000000"/>
  </w:font>
  <w:font w:name="新宋体-18030">
    <w:altName w:val="宋体"/>
    <w:panose1 w:val="00000000000000000000"/>
    <w:charset w:val="00"/>
    <w:family w:val="auto"/>
    <w:pitch w:val="default"/>
    <w:sig w:usb0="00000000" w:usb1="00000000" w:usb2="00000000" w:usb3="00000000" w:csb0="00040001" w:csb1="00000000"/>
  </w:font>
  <w:font w:name="仿宋">
    <w:panose1 w:val="02010609060101010101"/>
    <w:charset w:val="86"/>
    <w:family w:val="auto"/>
    <w:pitch w:val="default"/>
    <w:sig w:usb0="800002BF" w:usb1="38CF7CFA" w:usb2="00000016" w:usb3="00000000" w:csb0="00040001" w:csb1="00000000"/>
  </w:font>
  <w:font w:name="Wingdings 2">
    <w:altName w:val="Wingdings"/>
    <w:panose1 w:val="00000000000000000000"/>
    <w:charset w:val="02"/>
    <w:family w:val="auto"/>
    <w:pitch w:val="default"/>
    <w:sig w:usb0="00000000" w:usb1="00000000" w:usb2="00000000" w:usb3="00000000" w:csb0="80000000" w:csb1="00000000"/>
  </w:font>
  <w:font w:name="Segoe UI">
    <w:panose1 w:val="020B0502040204020203"/>
    <w:charset w:val="00"/>
    <w:family w:val="auto"/>
    <w:pitch w:val="default"/>
    <w:sig w:usb0="E4002EFF" w:usb1="C000E47F" w:usb2="00000009" w:usb3="00000000" w:csb0="200001FF" w:csb1="00000000"/>
  </w:font>
  <w:font w:name="方正小标宋_GBK">
    <w:panose1 w:val="03000509000000000000"/>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pPr>
    <w:r>
      <w:rPr>
        <w:rFonts w:ascii="Times New Roman" w:hAnsi="Times New Roman" w:eastAsia="宋体" w:cs="Times New Roman"/>
        <w:kern w:val="2"/>
        <w:sz w:val="18"/>
        <w:szCs w:val="18"/>
        <w:lang w:val="en-US" w:eastAsia="zh-CN" w:bidi="ar-SA"/>
      </w:rPr>
      <w:pict>
        <v:shape id="_x0000_s2049" o:spid="_x0000_s2049" o:spt="202" type="#_x0000_t202" style="position:absolute;left:0pt;margin-top:0pt;height:144pt;width:144pt;mso-position-horizontal:center;mso-position-horizontal-relative:margin;mso-wrap-style:none;z-index:251659264;mso-width-relative:page;mso-height-relative:page;" fillcolor="#FFFFFF" filled="f" o:preferrelative="t" stroked="f" coordsize="21600,21600">
          <v:path/>
          <v:fill on="f" color2="#FFFFFF" focussize="0,0"/>
          <v:stroke on="f"/>
          <v:imagedata gain="65536f" blacklevel="0f" gamma="0" o:title=""/>
          <o:lock v:ext="edit" position="f" selection="f" grouping="f" rotation="f" cropping="f" text="f" aspectratio="f"/>
          <v:textbox inset="0mm,0mm,0mm,0mm" style="mso-fit-shape-to-text:t;">
            <w:txbxContent>
              <w:p>
                <w:pPr>
                  <w:pStyle w:val="16"/>
                </w:pPr>
                <w:r>
                  <w:t xml:space="preserve">— </w:t>
                </w:r>
                <w:r>
                  <w:fldChar w:fldCharType="begin"/>
                </w:r>
                <w:r>
                  <w:instrText xml:space="preserve"> PAGE  \* MERGEFORMAT </w:instrText>
                </w:r>
                <w:r>
                  <w:fldChar w:fldCharType="separate"/>
                </w:r>
                <w:r>
                  <w:t>1</w:t>
                </w:r>
                <w:r>
                  <w:fldChar w:fldCharType="end"/>
                </w:r>
                <w:r>
                  <w:t xml:space="preserve"> —</w:t>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pPr>
    <w:r>
      <w:rPr>
        <w:rFonts w:ascii="Times New Roman" w:hAnsi="Times New Roman" w:eastAsia="宋体" w:cs="Times New Roman"/>
        <w:kern w:val="2"/>
        <w:sz w:val="18"/>
        <w:szCs w:val="18"/>
        <w:lang w:val="en-US" w:eastAsia="zh-CN" w:bidi="ar-SA"/>
      </w:rPr>
      <w:pict>
        <v:shape id="_x0000_s2050" o:spid="_x0000_s2050" o:spt="202" type="#_x0000_t202" style="position:absolute;left:0pt;margin-top:0pt;height:144pt;width:144pt;mso-position-horizontal:center;mso-position-horizontal-relative:margin;mso-wrap-style:none;z-index:251660288;mso-width-relative:page;mso-height-relative:page;" fillcolor="#FFFFFF" filled="f" o:preferrelative="t" stroked="f" coordsize="21600,21600">
          <v:path/>
          <v:fill on="f" color2="#FFFFFF" focussize="0,0"/>
          <v:stroke on="f"/>
          <v:imagedata gain="65536f" blacklevel="0f" gamma="0" o:title=""/>
          <o:lock v:ext="edit" position="f" selection="f" grouping="f" rotation="f" cropping="f" text="f" aspectratio="f"/>
          <v:textbox inset="0mm,0mm,0mm,0mm" style="mso-fit-shape-to-text:t;">
            <w:txbxContent>
              <w:p>
                <w:pPr>
                  <w:pStyle w:val="16"/>
                </w:pPr>
                <w:r>
                  <w:fldChar w:fldCharType="begin"/>
                </w:r>
                <w:r>
                  <w:instrText xml:space="preserve"> PAGE  \* MERGEFORMAT </w:instrText>
                </w:r>
                <w:r>
                  <w:fldChar w:fldCharType="separate"/>
                </w:r>
                <w:r>
                  <w:t>69</w:t>
                </w:r>
                <w:r>
                  <w:fldChar w:fldCharType="end"/>
                </w:r>
              </w:p>
            </w:txbxContent>
          </v:textbox>
        </v:shape>
      </w:pic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90175C3"/>
    <w:multiLevelType w:val="singleLevel"/>
    <w:tmpl w:val="390175C3"/>
    <w:lvl w:ilvl="0" w:tentative="0">
      <w:start w:val="1"/>
      <w:numFmt w:val="bullet"/>
      <w:pStyle w:val="14"/>
      <w:lvlText w:val=""/>
      <w:lvlJc w:val="left"/>
      <w:pPr>
        <w:tabs>
          <w:tab w:val="left" w:pos="2040"/>
        </w:tabs>
        <w:ind w:left="204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7"/>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useNormalStyleForList/>
    <w:doNotUseIndentAsNumberingTabStop/>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00000"/>
    <w:rsid w:val="70333A94"/>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iPriority="99"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qFormat="1"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1"/>
    <w:basedOn w:val="1"/>
    <w:next w:val="1"/>
    <w:qFormat/>
    <w:uiPriority w:val="9"/>
    <w:pPr>
      <w:keepNext/>
      <w:keepLines/>
      <w:spacing w:before="340" w:after="330" w:line="578" w:lineRule="auto"/>
      <w:outlineLvl w:val="0"/>
    </w:pPr>
    <w:rPr>
      <w:b/>
      <w:bCs/>
      <w:kern w:val="44"/>
      <w:sz w:val="44"/>
      <w:szCs w:val="44"/>
    </w:rPr>
  </w:style>
  <w:style w:type="paragraph" w:styleId="3">
    <w:name w:val="heading 2"/>
    <w:basedOn w:val="1"/>
    <w:next w:val="1"/>
    <w:qFormat/>
    <w:uiPriority w:val="0"/>
    <w:pPr>
      <w:spacing w:line="360" w:lineRule="auto"/>
      <w:ind w:firstLine="480" w:firstLineChars="200"/>
      <w:outlineLvl w:val="1"/>
    </w:pPr>
    <w:rPr>
      <w:kern w:val="0"/>
      <w:sz w:val="24"/>
      <w:szCs w:val="24"/>
    </w:rPr>
  </w:style>
  <w:style w:type="paragraph" w:styleId="4">
    <w:name w:val="heading 3"/>
    <w:basedOn w:val="1"/>
    <w:next w:val="1"/>
    <w:qFormat/>
    <w:uiPriority w:val="0"/>
    <w:pPr>
      <w:keepNext/>
      <w:keepLines/>
      <w:spacing w:before="260" w:after="260" w:line="416" w:lineRule="auto"/>
      <w:outlineLvl w:val="2"/>
    </w:pPr>
    <w:rPr>
      <w:b/>
      <w:bCs/>
      <w:sz w:val="32"/>
      <w:szCs w:val="32"/>
    </w:rPr>
  </w:style>
  <w:style w:type="paragraph" w:styleId="5">
    <w:name w:val="heading 4"/>
    <w:basedOn w:val="1"/>
    <w:next w:val="1"/>
    <w:qFormat/>
    <w:uiPriority w:val="0"/>
    <w:pPr>
      <w:keepNext/>
      <w:keepLines/>
      <w:spacing w:before="280" w:after="290" w:line="376" w:lineRule="auto"/>
      <w:outlineLvl w:val="3"/>
    </w:pPr>
    <w:rPr>
      <w:rFonts w:ascii="Cambria" w:hAnsi="Cambria"/>
      <w:b/>
      <w:bCs/>
      <w:sz w:val="28"/>
      <w:szCs w:val="28"/>
    </w:rPr>
  </w:style>
  <w:style w:type="character" w:default="1" w:styleId="27">
    <w:name w:val="Default Paragraph Font"/>
    <w:semiHidden/>
    <w:unhideWhenUsed/>
    <w:qFormat/>
    <w:uiPriority w:val="1"/>
  </w:style>
  <w:style w:type="table" w:default="1" w:styleId="26">
    <w:name w:val="Normal Table"/>
    <w:semiHidden/>
    <w:unhideWhenUsed/>
    <w:uiPriority w:val="99"/>
    <w:tblPr>
      <w:tblCellMar>
        <w:top w:w="0" w:type="dxa"/>
        <w:left w:w="108" w:type="dxa"/>
        <w:bottom w:w="0" w:type="dxa"/>
        <w:right w:w="108" w:type="dxa"/>
      </w:tblCellMar>
    </w:tblPr>
  </w:style>
  <w:style w:type="paragraph" w:styleId="6">
    <w:name w:val="Normal Indent"/>
    <w:basedOn w:val="1"/>
    <w:next w:val="7"/>
    <w:qFormat/>
    <w:uiPriority w:val="0"/>
    <w:pPr>
      <w:ind w:firstLine="420" w:firstLineChars="200"/>
    </w:pPr>
    <w:rPr>
      <w:kern w:val="0"/>
      <w:sz w:val="20"/>
      <w:szCs w:val="20"/>
    </w:rPr>
  </w:style>
  <w:style w:type="paragraph" w:customStyle="1" w:styleId="7">
    <w:name w:val="表头"/>
    <w:basedOn w:val="8"/>
    <w:next w:val="1"/>
    <w:qFormat/>
    <w:uiPriority w:val="0"/>
    <w:pPr>
      <w:adjustRightInd w:val="0"/>
      <w:spacing w:before="80" w:after="80"/>
      <w:ind w:firstLine="0"/>
      <w:jc w:val="center"/>
      <w:textAlignment w:val="baseline"/>
    </w:pPr>
    <w:rPr>
      <w:rFonts w:ascii="仿宋_GB2312" w:hAnsi="宋体" w:eastAsia="仿宋_GB2312"/>
      <w:kern w:val="0"/>
      <w:szCs w:val="20"/>
    </w:rPr>
  </w:style>
  <w:style w:type="paragraph" w:customStyle="1" w:styleId="8">
    <w:name w:val="内容"/>
    <w:basedOn w:val="1"/>
    <w:qFormat/>
    <w:uiPriority w:val="0"/>
    <w:pPr>
      <w:spacing w:line="360" w:lineRule="auto"/>
      <w:ind w:firstLine="454"/>
    </w:pPr>
    <w:rPr>
      <w:sz w:val="24"/>
    </w:rPr>
  </w:style>
  <w:style w:type="paragraph" w:styleId="9">
    <w:name w:val="annotation text"/>
    <w:basedOn w:val="1"/>
    <w:link w:val="52"/>
    <w:qFormat/>
    <w:uiPriority w:val="0"/>
    <w:pPr>
      <w:jc w:val="left"/>
    </w:pPr>
  </w:style>
  <w:style w:type="paragraph" w:styleId="10">
    <w:name w:val="Body Text 3"/>
    <w:basedOn w:val="1"/>
    <w:qFormat/>
    <w:uiPriority w:val="0"/>
    <w:pPr>
      <w:spacing w:after="120"/>
    </w:pPr>
    <w:rPr>
      <w:kern w:val="0"/>
      <w:sz w:val="16"/>
      <w:szCs w:val="16"/>
    </w:rPr>
  </w:style>
  <w:style w:type="paragraph" w:styleId="11">
    <w:name w:val="Body Text"/>
    <w:basedOn w:val="1"/>
    <w:qFormat/>
    <w:uiPriority w:val="0"/>
    <w:pPr>
      <w:widowControl/>
      <w:snapToGrid w:val="0"/>
      <w:spacing w:before="60" w:after="160" w:line="259" w:lineRule="auto"/>
      <w:ind w:right="113"/>
    </w:pPr>
    <w:rPr>
      <w:kern w:val="0"/>
      <w:sz w:val="18"/>
      <w:szCs w:val="20"/>
    </w:rPr>
  </w:style>
  <w:style w:type="paragraph" w:styleId="12">
    <w:name w:val="Body Text Indent"/>
    <w:basedOn w:val="1"/>
    <w:qFormat/>
    <w:uiPriority w:val="99"/>
    <w:pPr>
      <w:spacing w:line="360" w:lineRule="auto"/>
      <w:ind w:firstLine="200" w:firstLineChars="200"/>
    </w:pPr>
    <w:rPr>
      <w:rFonts w:eastAsia="楷体_GB2312"/>
      <w:kern w:val="0"/>
      <w:sz w:val="24"/>
      <w:szCs w:val="24"/>
    </w:rPr>
  </w:style>
  <w:style w:type="paragraph" w:styleId="13">
    <w:name w:val="Plain Text"/>
    <w:basedOn w:val="1"/>
    <w:next w:val="1"/>
    <w:qFormat/>
    <w:uiPriority w:val="0"/>
    <w:rPr>
      <w:rFonts w:ascii="宋体" w:hAnsi="Courier New"/>
      <w:kern w:val="0"/>
      <w:sz w:val="20"/>
      <w:szCs w:val="21"/>
    </w:rPr>
  </w:style>
  <w:style w:type="paragraph" w:styleId="14">
    <w:name w:val="List Bullet 5"/>
    <w:basedOn w:val="1"/>
    <w:qFormat/>
    <w:uiPriority w:val="0"/>
    <w:pPr>
      <w:numPr>
        <w:ilvl w:val="0"/>
        <w:numId w:val="1"/>
      </w:numPr>
    </w:pPr>
  </w:style>
  <w:style w:type="paragraph" w:styleId="15">
    <w:name w:val="Balloon Text"/>
    <w:basedOn w:val="1"/>
    <w:link w:val="54"/>
    <w:qFormat/>
    <w:uiPriority w:val="0"/>
    <w:rPr>
      <w:sz w:val="18"/>
      <w:szCs w:val="18"/>
    </w:rPr>
  </w:style>
  <w:style w:type="paragraph" w:styleId="16">
    <w:name w:val="footer"/>
    <w:basedOn w:val="1"/>
    <w:qFormat/>
    <w:uiPriority w:val="0"/>
    <w:pPr>
      <w:tabs>
        <w:tab w:val="center" w:pos="4153"/>
        <w:tab w:val="right" w:pos="8306"/>
      </w:tabs>
      <w:snapToGrid w:val="0"/>
      <w:jc w:val="left"/>
    </w:pPr>
    <w:rPr>
      <w:sz w:val="18"/>
      <w:szCs w:val="18"/>
    </w:rPr>
  </w:style>
  <w:style w:type="paragraph" w:styleId="1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8">
    <w:name w:val="toc 1"/>
    <w:basedOn w:val="1"/>
    <w:next w:val="1"/>
    <w:unhideWhenUsed/>
    <w:qFormat/>
    <w:uiPriority w:val="39"/>
    <w:pPr>
      <w:tabs>
        <w:tab w:val="right" w:leader="dot" w:pos="8777"/>
      </w:tabs>
      <w:adjustRightInd w:val="0"/>
      <w:snapToGrid w:val="0"/>
      <w:jc w:val="left"/>
    </w:pPr>
    <w:rPr>
      <w:b/>
      <w:bCs/>
      <w:caps/>
      <w:sz w:val="20"/>
      <w:szCs w:val="20"/>
    </w:rPr>
  </w:style>
  <w:style w:type="paragraph" w:styleId="19">
    <w:name w:val="List"/>
    <w:basedOn w:val="1"/>
    <w:unhideWhenUsed/>
    <w:qFormat/>
    <w:uiPriority w:val="99"/>
    <w:pPr>
      <w:ind w:left="200" w:hanging="200" w:hangingChars="200"/>
      <w:contextualSpacing/>
    </w:pPr>
  </w:style>
  <w:style w:type="paragraph" w:styleId="20">
    <w:name w:val="toc 2"/>
    <w:basedOn w:val="1"/>
    <w:next w:val="1"/>
    <w:unhideWhenUsed/>
    <w:qFormat/>
    <w:uiPriority w:val="39"/>
    <w:pPr>
      <w:ind w:left="210"/>
      <w:jc w:val="left"/>
    </w:pPr>
    <w:rPr>
      <w:smallCaps/>
      <w:sz w:val="20"/>
      <w:szCs w:val="20"/>
    </w:rPr>
  </w:style>
  <w:style w:type="paragraph" w:styleId="21">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kern w:val="0"/>
      <w:sz w:val="24"/>
      <w:szCs w:val="24"/>
    </w:rPr>
  </w:style>
  <w:style w:type="paragraph" w:styleId="22">
    <w:name w:val="Normal (Web)"/>
    <w:basedOn w:val="1"/>
    <w:qFormat/>
    <w:uiPriority w:val="0"/>
    <w:pPr>
      <w:widowControl/>
      <w:spacing w:before="100" w:beforeAutospacing="1" w:after="100" w:afterAutospacing="1"/>
      <w:jc w:val="left"/>
    </w:pPr>
    <w:rPr>
      <w:rFonts w:ascii="宋体" w:hAnsi="宋体"/>
      <w:kern w:val="0"/>
      <w:sz w:val="24"/>
    </w:rPr>
  </w:style>
  <w:style w:type="paragraph" w:styleId="23">
    <w:name w:val="annotation subject"/>
    <w:basedOn w:val="9"/>
    <w:next w:val="9"/>
    <w:link w:val="53"/>
    <w:qFormat/>
    <w:uiPriority w:val="0"/>
    <w:rPr>
      <w:b/>
      <w:bCs/>
    </w:rPr>
  </w:style>
  <w:style w:type="paragraph" w:styleId="24">
    <w:name w:val="Body Text First Indent"/>
    <w:basedOn w:val="11"/>
    <w:unhideWhenUsed/>
    <w:qFormat/>
    <w:uiPriority w:val="0"/>
    <w:pPr>
      <w:ind w:firstLine="420" w:firstLineChars="100"/>
    </w:pPr>
  </w:style>
  <w:style w:type="paragraph" w:styleId="25">
    <w:name w:val="Body Text First Indent 2"/>
    <w:basedOn w:val="12"/>
    <w:next w:val="1"/>
    <w:qFormat/>
    <w:uiPriority w:val="0"/>
    <w:pPr>
      <w:spacing w:after="120"/>
      <w:ind w:left="420" w:leftChars="200" w:firstLine="420"/>
    </w:pPr>
    <w:rPr>
      <w:kern w:val="2"/>
    </w:rPr>
  </w:style>
  <w:style w:type="character" w:styleId="28">
    <w:name w:val="Strong"/>
    <w:basedOn w:val="27"/>
    <w:qFormat/>
    <w:uiPriority w:val="0"/>
    <w:rPr>
      <w:b/>
    </w:rPr>
  </w:style>
  <w:style w:type="character" w:styleId="29">
    <w:name w:val="page number"/>
    <w:basedOn w:val="27"/>
    <w:qFormat/>
    <w:uiPriority w:val="0"/>
  </w:style>
  <w:style w:type="character" w:styleId="30">
    <w:name w:val="Hyperlink"/>
    <w:basedOn w:val="27"/>
    <w:qFormat/>
    <w:uiPriority w:val="0"/>
    <w:rPr>
      <w:color w:val="0000FF"/>
      <w:u w:val="single"/>
    </w:rPr>
  </w:style>
  <w:style w:type="character" w:styleId="31">
    <w:name w:val="annotation reference"/>
    <w:basedOn w:val="27"/>
    <w:qFormat/>
    <w:uiPriority w:val="0"/>
    <w:rPr>
      <w:sz w:val="21"/>
      <w:szCs w:val="21"/>
    </w:rPr>
  </w:style>
  <w:style w:type="paragraph" w:customStyle="1" w:styleId="32">
    <w:name w:val="xl27"/>
    <w:basedOn w:val="1"/>
    <w:next w:val="1"/>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center"/>
    </w:pPr>
    <w:rPr>
      <w:rFonts w:ascii="新宋体-18030" w:hAnsi="新宋体-18030" w:eastAsia="新宋体-18030" w:cs="新宋体-18030"/>
      <w:kern w:val="0"/>
    </w:rPr>
  </w:style>
  <w:style w:type="paragraph" w:customStyle="1" w:styleId="33">
    <w:name w:val="Default"/>
    <w:basedOn w:val="34"/>
    <w:next w:val="1"/>
    <w:qFormat/>
    <w:uiPriority w:val="0"/>
    <w:pPr>
      <w:autoSpaceDE w:val="0"/>
      <w:autoSpaceDN w:val="0"/>
    </w:pPr>
    <w:rPr>
      <w:rFonts w:hAnsi="宋体" w:cs="宋体"/>
      <w:color w:val="000000"/>
      <w:sz w:val="24"/>
      <w:szCs w:val="24"/>
    </w:rPr>
  </w:style>
  <w:style w:type="paragraph" w:customStyle="1" w:styleId="34">
    <w:name w:val="纯文本1"/>
    <w:basedOn w:val="1"/>
    <w:qFormat/>
    <w:uiPriority w:val="0"/>
    <w:pPr>
      <w:adjustRightInd w:val="0"/>
    </w:pPr>
    <w:rPr>
      <w:rFonts w:ascii="宋体" w:hAnsi="Courier New"/>
    </w:rPr>
  </w:style>
  <w:style w:type="paragraph" w:customStyle="1" w:styleId="35">
    <w:name w:val="样式 正文文本缩进 + 行距: 1.5 倍行距"/>
    <w:basedOn w:val="12"/>
    <w:qFormat/>
    <w:uiPriority w:val="0"/>
    <w:pPr>
      <w:spacing w:after="120"/>
      <w:ind w:left="90" w:leftChars="32" w:firstLine="560"/>
    </w:pPr>
    <w:rPr>
      <w:rFonts w:cs="宋体"/>
    </w:rPr>
  </w:style>
  <w:style w:type="paragraph" w:customStyle="1" w:styleId="36">
    <w:name w:val="表格"/>
    <w:basedOn w:val="37"/>
    <w:qFormat/>
    <w:uiPriority w:val="0"/>
    <w:pPr>
      <w:adjustRightInd w:val="0"/>
      <w:snapToGrid w:val="0"/>
      <w:spacing w:beforeLines="10" w:afterLines="10" w:line="259" w:lineRule="auto"/>
      <w:jc w:val="center"/>
    </w:pPr>
    <w:rPr>
      <w:rFonts w:ascii="宋体"/>
      <w:szCs w:val="20"/>
    </w:rPr>
  </w:style>
  <w:style w:type="paragraph" w:customStyle="1" w:styleId="37">
    <w:name w:val="表格格式"/>
    <w:basedOn w:val="1"/>
    <w:qFormat/>
    <w:uiPriority w:val="0"/>
    <w:pPr>
      <w:jc w:val="left"/>
    </w:pPr>
    <w:rPr>
      <w:rFonts w:ascii="仿宋" w:eastAsia="仿宋"/>
      <w:bCs/>
      <w:color w:val="000000"/>
      <w:kern w:val="0"/>
      <w:szCs w:val="21"/>
    </w:rPr>
  </w:style>
  <w:style w:type="paragraph" w:customStyle="1" w:styleId="38">
    <w:name w:val="表内容"/>
    <w:basedOn w:val="1"/>
    <w:next w:val="1"/>
    <w:qFormat/>
    <w:uiPriority w:val="0"/>
    <w:pPr>
      <w:spacing w:line="280" w:lineRule="exact"/>
      <w:jc w:val="center"/>
    </w:pPr>
    <w:rPr>
      <w:sz w:val="18"/>
      <w:szCs w:val="20"/>
    </w:rPr>
  </w:style>
  <w:style w:type="paragraph" w:customStyle="1" w:styleId="39">
    <w:name w:val="样式 标题 4标题 4 Char§1.1.1.1§1.1.1.1.H4Char1.1.1.1标题 4.1.1.1...."/>
    <w:basedOn w:val="5"/>
    <w:qFormat/>
    <w:uiPriority w:val="0"/>
    <w:pPr>
      <w:spacing w:before="60" w:after="60" w:line="240" w:lineRule="auto"/>
      <w:ind w:left="864" w:hanging="864"/>
      <w:jc w:val="left"/>
    </w:pPr>
    <w:rPr>
      <w:rFonts w:ascii="宋体" w:hAnsi="宋体" w:cs="宋体"/>
      <w:spacing w:val="8"/>
      <w:sz w:val="24"/>
      <w:szCs w:val="20"/>
    </w:rPr>
  </w:style>
  <w:style w:type="paragraph" w:customStyle="1" w:styleId="40">
    <w:name w:val="样式 正文11 + 首行缩进:  2 字符"/>
    <w:basedOn w:val="1"/>
    <w:qFormat/>
    <w:uiPriority w:val="0"/>
    <w:pPr>
      <w:spacing w:line="500" w:lineRule="exact"/>
      <w:ind w:firstLine="560" w:firstLineChars="200"/>
    </w:pPr>
    <w:rPr>
      <w:rFonts w:ascii="宋体" w:hAnsi="宋体" w:cs="宋体"/>
      <w:color w:val="FF0000"/>
      <w:sz w:val="28"/>
      <w:szCs w:val="20"/>
    </w:rPr>
  </w:style>
  <w:style w:type="paragraph" w:customStyle="1" w:styleId="41">
    <w:name w:val="正文内容"/>
    <w:basedOn w:val="1"/>
    <w:qFormat/>
    <w:uiPriority w:val="0"/>
    <w:pPr>
      <w:spacing w:line="360" w:lineRule="auto"/>
      <w:ind w:firstLine="200" w:firstLineChars="200"/>
    </w:pPr>
    <w:rPr>
      <w:sz w:val="24"/>
      <w:szCs w:val="20"/>
    </w:rPr>
  </w:style>
  <w:style w:type="paragraph" w:customStyle="1" w:styleId="42">
    <w:name w:val="正文4"/>
    <w:basedOn w:val="1"/>
    <w:qFormat/>
    <w:uiPriority w:val="0"/>
    <w:pPr>
      <w:widowControl/>
      <w:tabs>
        <w:tab w:val="left" w:pos="8640"/>
      </w:tabs>
      <w:autoSpaceDE w:val="0"/>
      <w:autoSpaceDN w:val="0"/>
      <w:ind w:right="6"/>
      <w:jc w:val="center"/>
      <w:textAlignment w:val="bottom"/>
    </w:pPr>
    <w:rPr>
      <w:rFonts w:ascii="宋体"/>
      <w:szCs w:val="24"/>
    </w:rPr>
  </w:style>
  <w:style w:type="paragraph" w:customStyle="1" w:styleId="43">
    <w:name w:val="zgr正文"/>
    <w:basedOn w:val="1"/>
    <w:qFormat/>
    <w:uiPriority w:val="0"/>
    <w:pPr>
      <w:spacing w:beforeLines="50" w:line="360" w:lineRule="auto"/>
      <w:ind w:firstLine="200" w:firstLineChars="200"/>
      <w:jc w:val="left"/>
    </w:pPr>
    <w:rPr>
      <w:sz w:val="24"/>
    </w:rPr>
  </w:style>
  <w:style w:type="paragraph" w:customStyle="1" w:styleId="44">
    <w:name w:val="WS正文"/>
    <w:basedOn w:val="1"/>
    <w:qFormat/>
    <w:uiPriority w:val="0"/>
    <w:pPr>
      <w:spacing w:line="360" w:lineRule="auto"/>
      <w:ind w:firstLine="480" w:firstLineChars="200"/>
    </w:pPr>
    <w:rPr>
      <w:sz w:val="24"/>
      <w:szCs w:val="24"/>
    </w:rPr>
  </w:style>
  <w:style w:type="paragraph" w:customStyle="1" w:styleId="45">
    <w:name w:val="WPSOffice手动目录 1"/>
    <w:qFormat/>
    <w:uiPriority w:val="0"/>
    <w:rPr>
      <w:rFonts w:ascii="Times New Roman" w:hAnsi="Times New Roman" w:eastAsia="宋体" w:cs="Times New Roman"/>
      <w:lang w:val="en-US" w:eastAsia="zh-CN" w:bidi="ar-SA"/>
    </w:rPr>
  </w:style>
  <w:style w:type="paragraph" w:customStyle="1" w:styleId="46">
    <w:name w:val="WPSOffice手动目录 2"/>
    <w:qFormat/>
    <w:uiPriority w:val="0"/>
    <w:pPr>
      <w:ind w:left="200" w:leftChars="200"/>
    </w:pPr>
    <w:rPr>
      <w:rFonts w:ascii="Times New Roman" w:hAnsi="Times New Roman" w:eastAsia="宋体" w:cs="Times New Roman"/>
      <w:lang w:val="en-US" w:eastAsia="zh-CN" w:bidi="ar-SA"/>
    </w:rPr>
  </w:style>
  <w:style w:type="paragraph" w:customStyle="1" w:styleId="47">
    <w:name w:val="Table Paragraph"/>
    <w:basedOn w:val="1"/>
    <w:qFormat/>
    <w:uiPriority w:val="1"/>
    <w:rPr>
      <w:rFonts w:ascii="宋体" w:hAnsi="宋体" w:cs="宋体"/>
    </w:rPr>
  </w:style>
  <w:style w:type="paragraph" w:customStyle="1" w:styleId="48">
    <w:name w:val="List Paragraph"/>
    <w:basedOn w:val="1"/>
    <w:qFormat/>
    <w:uiPriority w:val="99"/>
    <w:pPr>
      <w:ind w:left="720"/>
      <w:contextualSpacing/>
    </w:pPr>
  </w:style>
  <w:style w:type="paragraph" w:customStyle="1" w:styleId="49">
    <w:name w:val="样式1"/>
    <w:basedOn w:val="6"/>
    <w:next w:val="13"/>
    <w:qFormat/>
    <w:uiPriority w:val="0"/>
    <w:pPr>
      <w:tabs>
        <w:tab w:val="right" w:leader="dot" w:pos="8607"/>
        <w:tab w:val="right" w:leader="dot" w:pos="8891"/>
      </w:tabs>
      <w:spacing w:line="360" w:lineRule="auto"/>
      <w:ind w:firstLine="482"/>
      <w:jc w:val="left"/>
    </w:pPr>
    <w:rPr>
      <w:sz w:val="24"/>
      <w:szCs w:val="28"/>
    </w:rPr>
  </w:style>
  <w:style w:type="paragraph" w:customStyle="1" w:styleId="50">
    <w:name w:val="样式3"/>
    <w:basedOn w:val="1"/>
    <w:qFormat/>
    <w:uiPriority w:val="0"/>
    <w:rPr>
      <w:szCs w:val="21"/>
    </w:rPr>
  </w:style>
  <w:style w:type="paragraph" w:customStyle="1" w:styleId="51">
    <w:name w:val="No Spacing"/>
    <w:qFormat/>
    <w:uiPriority w:val="99"/>
    <w:pPr>
      <w:widowControl w:val="0"/>
      <w:jc w:val="both"/>
    </w:pPr>
    <w:rPr>
      <w:rFonts w:ascii="Times New Roman" w:hAnsi="Times New Roman" w:eastAsia="宋体" w:cs="Times New Roman"/>
      <w:kern w:val="2"/>
      <w:sz w:val="21"/>
      <w:szCs w:val="24"/>
      <w:lang w:val="en-US" w:eastAsia="zh-CN" w:bidi="ar-SA"/>
    </w:rPr>
  </w:style>
  <w:style w:type="character" w:customStyle="1" w:styleId="52">
    <w:name w:val="批注文字 Char Char"/>
    <w:basedOn w:val="27"/>
    <w:link w:val="9"/>
    <w:qFormat/>
    <w:uiPriority w:val="0"/>
    <w:rPr>
      <w:kern w:val="2"/>
      <w:sz w:val="21"/>
      <w:szCs w:val="22"/>
    </w:rPr>
  </w:style>
  <w:style w:type="character" w:customStyle="1" w:styleId="53">
    <w:name w:val="批注主题 Char Char"/>
    <w:basedOn w:val="52"/>
    <w:link w:val="23"/>
    <w:qFormat/>
    <w:uiPriority w:val="0"/>
    <w:rPr>
      <w:b/>
      <w:bCs/>
      <w:kern w:val="2"/>
      <w:sz w:val="21"/>
      <w:szCs w:val="22"/>
    </w:rPr>
  </w:style>
  <w:style w:type="character" w:customStyle="1" w:styleId="54">
    <w:name w:val="批注框文本 Char Char"/>
    <w:basedOn w:val="27"/>
    <w:link w:val="15"/>
    <w:qFormat/>
    <w:uiPriority w:val="0"/>
    <w:rPr>
      <w:kern w:val="2"/>
      <w:sz w:val="18"/>
      <w:szCs w:val="18"/>
    </w:rPr>
  </w:style>
  <w:style w:type="character" w:customStyle="1" w:styleId="55">
    <w:name w:val="font31"/>
    <w:basedOn w:val="27"/>
    <w:qFormat/>
    <w:uiPriority w:val="0"/>
    <w:rPr>
      <w:rFonts w:hint="eastAsia" w:ascii="宋体" w:hAnsi="宋体" w:eastAsia="宋体" w:cs="宋体"/>
      <w:color w:val="000000"/>
      <w:sz w:val="20"/>
      <w:szCs w:val="20"/>
      <w:u w:val="none"/>
    </w:rPr>
  </w:style>
  <w:style w:type="character" w:customStyle="1" w:styleId="56">
    <w:name w:val="font51"/>
    <w:basedOn w:val="27"/>
    <w:qFormat/>
    <w:uiPriority w:val="0"/>
    <w:rPr>
      <w:rFonts w:hint="eastAsia" w:ascii="宋体" w:hAnsi="宋体" w:eastAsia="宋体" w:cs="宋体"/>
      <w:color w:val="000000"/>
      <w:sz w:val="20"/>
      <w:szCs w:val="20"/>
      <w:u w:val="none"/>
      <w:vertAlign w:val="superscript"/>
    </w:rPr>
  </w:style>
  <w:style w:type="character" w:customStyle="1" w:styleId="57">
    <w:name w:val="font21"/>
    <w:basedOn w:val="27"/>
    <w:qFormat/>
    <w:uiPriority w:val="0"/>
    <w:rPr>
      <w:rFonts w:hint="eastAsia" w:ascii="宋体" w:hAnsi="宋体" w:eastAsia="宋体" w:cs="宋体"/>
      <w:b/>
      <w:bCs/>
      <w:color w:val="000000"/>
      <w:sz w:val="20"/>
      <w:szCs w:val="20"/>
      <w:u w:val="none"/>
    </w:rPr>
  </w:style>
  <w:style w:type="character" w:customStyle="1" w:styleId="58">
    <w:name w:val="font41"/>
    <w:basedOn w:val="27"/>
    <w:qFormat/>
    <w:uiPriority w:val="0"/>
    <w:rPr>
      <w:rFonts w:hint="eastAsia" w:ascii="宋体" w:hAnsi="宋体" w:eastAsia="宋体" w:cs="宋体"/>
      <w:color w:val="000000"/>
      <w:sz w:val="20"/>
      <w:szCs w:val="20"/>
      <w:u w:val="none"/>
      <w:vertAlign w:val="superscript"/>
    </w:rPr>
  </w:style>
</w:styles>
</file>

<file path=word/_rels/document.xml.rels><?xml version="1.0" encoding="UTF-8" standalone="yes"?>
<Relationships xmlns="http://schemas.openxmlformats.org/package/2006/relationships"><Relationship Id="rId9" Type="http://schemas.openxmlformats.org/officeDocument/2006/relationships/oleObject" Target="embeddings/oleObject2.bin"/><Relationship Id="rId8" Type="http://schemas.openxmlformats.org/officeDocument/2006/relationships/image" Target="media/image2.wmf"/><Relationship Id="rId7" Type="http://schemas.openxmlformats.org/officeDocument/2006/relationships/oleObject" Target="embeddings/oleObject1.bin"/><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image" Target="media/image5.wmf"/><Relationship Id="rId13" Type="http://schemas.openxmlformats.org/officeDocument/2006/relationships/oleObject" Target="embeddings/oleObject4.bin"/><Relationship Id="rId12" Type="http://schemas.openxmlformats.org/officeDocument/2006/relationships/image" Target="media/image4.wmf"/><Relationship Id="rId11" Type="http://schemas.openxmlformats.org/officeDocument/2006/relationships/oleObject" Target="embeddings/oleObject3.bin"/><Relationship Id="rId10" Type="http://schemas.openxmlformats.org/officeDocument/2006/relationships/image" Target="media/image3.wmf"/><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2049"/>
    <customShpInfo spid="_x0000_s2050"/>
    <customShpInfo spid="_x0000_s1033"/>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69</Pages>
  <Words>9921</Words>
  <Characters>56554</Characters>
  <Lines>471</Lines>
  <Paragraphs>132</Paragraphs>
  <TotalTime>0</TotalTime>
  <ScaleCrop>false</ScaleCrop>
  <LinksUpToDate>false</LinksUpToDate>
  <CharactersWithSpaces>0</CharactersWithSpaces>
  <Application>WPS Office_11.8.2.12011_F1E327BC-269C-435d-A152-05C5408002CA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2023-04-04T01:06:00Z</dcterms:created>
  <dc:creator>WPS_1527839083</dc:creator>
  <cp:lastModifiedBy>Administrator</cp:lastModifiedBy>
  <cp:lastPrinted>2026-02-03T22:49:00Z</cp:lastPrinted>
  <dcterms:modified xsi:type="dcterms:W3CDTF">2026-09-10T08:18:54Z</dcterms:modified>
  <dc:title>一、建设项目基本情况</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2052-11.8.2.12011</vt:lpwstr>
  </property>
  <property fmtid="{D5CDD505-2E9C-101B-9397-08002B2CF9AE}" pid="3" name="ICV">
    <vt:lpwstr>B0B1DC3F90DE4ED7BC4DF6993C7D0F69_11</vt:lpwstr>
  </property>
  <property fmtid="{D5CDD505-2E9C-101B-9397-08002B2CF9AE}" pid="4" name="KSOTemplateDocerSaveRecord">
    <vt:lpwstr>eyJoZGlkIjoiMDE3NGZmOGRmODQ5OGVkN2RjYjlmODU0ZGQ0ZWNhZTQiLCJ1c2VySWQiOiI0NDAxNDkyMjQifQ==</vt:lpwstr>
  </property>
</Properties>
</file>