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7"/>
        <w:spacing w:before="120"/>
        <w:outlineLvl w:val="0"/>
        <w:rPr>
          <w:rFonts w:ascii="黑体" w:hAnsi="黑体" w:eastAsia="黑体"/>
          <w:snapToGrid w:val="0"/>
          <w:sz w:val="30"/>
          <w:szCs w:val="30"/>
        </w:rPr>
      </w:pPr>
      <w:r>
        <w:rPr>
          <w:rFonts w:hint="eastAsia" w:ascii="黑体" w:hAnsi="黑体" w:eastAsia="黑体"/>
          <w:snapToGrid w:val="0"/>
          <w:sz w:val="30"/>
          <w:szCs w:val="30"/>
        </w:rPr>
        <w:t>一、建设项目基本情况</w:t>
      </w:r>
    </w:p>
    <w:tbl>
      <w:tblPr>
        <w:tblStyle w:val="19"/>
        <w:tblW w:w="887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0" w:type="dxa"/>
          <w:bottom w:w="0" w:type="dxa"/>
          <w:right w:w="0" w:type="dxa"/>
        </w:tblCellMar>
      </w:tblPr>
      <w:tblGrid>
        <w:gridCol w:w="2382"/>
        <w:gridCol w:w="1637"/>
        <w:gridCol w:w="2105"/>
        <w:gridCol w:w="2746"/>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9" w:hRule="atLeast"/>
          <w:jc w:val="center"/>
        </w:trPr>
        <w:tc>
          <w:tcPr>
            <w:tcW w:w="2382" w:type="dxa"/>
            <w:tcMar>
              <w:top w:w="16" w:type="dxa"/>
              <w:left w:w="16" w:type="dxa"/>
              <w:right w:w="16" w:type="dxa"/>
            </w:tcMar>
            <w:vAlign w:val="center"/>
          </w:tcPr>
          <w:p>
            <w:pPr>
              <w:adjustRightInd w:val="0"/>
              <w:snapToGrid w:val="0"/>
              <w:jc w:val="center"/>
              <w:rPr>
                <w:rFonts w:ascii="宋体" w:hAnsi="宋体" w:cs="宋体"/>
                <w:szCs w:val="21"/>
              </w:rPr>
            </w:pPr>
            <w:r>
              <w:rPr>
                <w:rFonts w:hint="eastAsia" w:ascii="宋体" w:hAnsi="宋体" w:cs="宋体"/>
                <w:szCs w:val="21"/>
              </w:rPr>
              <w:t>建设项目名称</w:t>
            </w:r>
          </w:p>
        </w:tc>
        <w:tc>
          <w:tcPr>
            <w:tcW w:w="6488" w:type="dxa"/>
            <w:gridSpan w:val="3"/>
            <w:vAlign w:val="center"/>
          </w:tcPr>
          <w:p>
            <w:pPr>
              <w:adjustRightInd w:val="0"/>
              <w:snapToGrid w:val="0"/>
              <w:jc w:val="center"/>
              <w:rPr>
                <w:rFonts w:ascii="宋体" w:hAnsi="宋体" w:cs="宋体"/>
                <w:szCs w:val="21"/>
              </w:rPr>
            </w:pPr>
            <w:r>
              <w:rPr>
                <w:rFonts w:hint="eastAsia" w:ascii="宋体" w:hAnsi="宋体" w:cs="宋体"/>
                <w:szCs w:val="21"/>
              </w:rPr>
              <w:t>柳河启城水泥制品有限公司生物质锅炉改造项目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9" w:hRule="atLeast"/>
          <w:jc w:val="center"/>
        </w:trPr>
        <w:tc>
          <w:tcPr>
            <w:tcW w:w="2382" w:type="dxa"/>
            <w:tcMar>
              <w:top w:w="16" w:type="dxa"/>
              <w:left w:w="16" w:type="dxa"/>
              <w:right w:w="16" w:type="dxa"/>
            </w:tcMar>
            <w:vAlign w:val="center"/>
          </w:tcPr>
          <w:p>
            <w:pPr>
              <w:adjustRightInd w:val="0"/>
              <w:snapToGrid w:val="0"/>
              <w:jc w:val="center"/>
              <w:rPr>
                <w:rFonts w:ascii="宋体" w:hAnsi="宋体" w:cs="宋体"/>
                <w:szCs w:val="21"/>
              </w:rPr>
            </w:pPr>
            <w:r>
              <w:rPr>
                <w:rFonts w:hint="eastAsia" w:ascii="宋体" w:hAnsi="宋体" w:cs="宋体"/>
                <w:szCs w:val="21"/>
              </w:rPr>
              <w:t>项目代码</w:t>
            </w:r>
          </w:p>
        </w:tc>
        <w:tc>
          <w:tcPr>
            <w:tcW w:w="6488" w:type="dxa"/>
            <w:gridSpan w:val="3"/>
            <w:vAlign w:val="center"/>
          </w:tcPr>
          <w:p>
            <w:pPr>
              <w:adjustRightInd w:val="0"/>
              <w:snapToGrid w:val="0"/>
              <w:jc w:val="center"/>
              <w:rPr>
                <w:rFonts w:ascii="宋体" w:hAnsi="宋体" w:cs="宋体"/>
                <w:szCs w:val="21"/>
              </w:rPr>
            </w:pPr>
            <w:r>
              <w:rPr>
                <w:rFonts w:hint="eastAsia" w:ascii="宋体" w:hAnsi="宋体" w:cs="宋体"/>
                <w:szCs w:val="21"/>
              </w:rPr>
              <w:t>无</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9" w:hRule="atLeast"/>
          <w:jc w:val="center"/>
        </w:trPr>
        <w:tc>
          <w:tcPr>
            <w:tcW w:w="2382" w:type="dxa"/>
            <w:tcMar>
              <w:top w:w="16" w:type="dxa"/>
              <w:left w:w="16" w:type="dxa"/>
              <w:right w:w="16" w:type="dxa"/>
            </w:tcMar>
            <w:vAlign w:val="center"/>
          </w:tcPr>
          <w:p>
            <w:pPr>
              <w:adjustRightInd w:val="0"/>
              <w:snapToGrid w:val="0"/>
              <w:jc w:val="center"/>
              <w:rPr>
                <w:rFonts w:ascii="宋体" w:hAnsi="宋体" w:cs="宋体"/>
                <w:szCs w:val="21"/>
              </w:rPr>
            </w:pPr>
            <w:r>
              <w:rPr>
                <w:rFonts w:hint="eastAsia" w:ascii="宋体" w:hAnsi="宋体" w:cs="宋体"/>
                <w:szCs w:val="21"/>
              </w:rPr>
              <w:t>建设单位联系人</w:t>
            </w:r>
          </w:p>
        </w:tc>
        <w:tc>
          <w:tcPr>
            <w:tcW w:w="1637" w:type="dxa"/>
            <w:vAlign w:val="center"/>
          </w:tcPr>
          <w:p>
            <w:pPr>
              <w:adjustRightInd w:val="0"/>
              <w:snapToGrid w:val="0"/>
              <w:jc w:val="center"/>
              <w:rPr>
                <w:szCs w:val="21"/>
              </w:rPr>
            </w:pPr>
            <w:r>
              <w:rPr>
                <w:szCs w:val="21"/>
              </w:rPr>
              <w:t>王凤阁</w:t>
            </w:r>
          </w:p>
        </w:tc>
        <w:tc>
          <w:tcPr>
            <w:tcW w:w="2105" w:type="dxa"/>
            <w:vAlign w:val="center"/>
          </w:tcPr>
          <w:p>
            <w:pPr>
              <w:adjustRightInd w:val="0"/>
              <w:snapToGrid w:val="0"/>
              <w:jc w:val="center"/>
              <w:rPr>
                <w:szCs w:val="21"/>
              </w:rPr>
            </w:pPr>
            <w:r>
              <w:rPr>
                <w:szCs w:val="21"/>
              </w:rPr>
              <w:t>联系方式</w:t>
            </w:r>
          </w:p>
        </w:tc>
        <w:tc>
          <w:tcPr>
            <w:tcW w:w="2746" w:type="dxa"/>
            <w:vAlign w:val="center"/>
          </w:tcPr>
          <w:p>
            <w:pPr>
              <w:adjustRightInd w:val="0"/>
              <w:snapToGrid w:val="0"/>
              <w:jc w:val="center"/>
              <w:rPr>
                <w:szCs w:val="21"/>
              </w:rPr>
            </w:pPr>
            <w:r>
              <w:rPr>
                <w:szCs w:val="21"/>
              </w:rPr>
              <w:t>15144540099</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9" w:hRule="atLeast"/>
          <w:jc w:val="center"/>
        </w:trPr>
        <w:tc>
          <w:tcPr>
            <w:tcW w:w="2382" w:type="dxa"/>
            <w:tcMar>
              <w:top w:w="16" w:type="dxa"/>
              <w:left w:w="16" w:type="dxa"/>
              <w:right w:w="16" w:type="dxa"/>
            </w:tcMar>
            <w:vAlign w:val="center"/>
          </w:tcPr>
          <w:p>
            <w:pPr>
              <w:adjustRightInd w:val="0"/>
              <w:snapToGrid w:val="0"/>
              <w:jc w:val="center"/>
              <w:rPr>
                <w:rFonts w:ascii="宋体" w:hAnsi="宋体" w:cs="宋体"/>
                <w:szCs w:val="21"/>
              </w:rPr>
            </w:pPr>
            <w:r>
              <w:rPr>
                <w:rFonts w:hint="eastAsia" w:ascii="宋体" w:hAnsi="宋体" w:cs="宋体"/>
                <w:szCs w:val="21"/>
              </w:rPr>
              <w:t>建设地点</w:t>
            </w:r>
          </w:p>
        </w:tc>
        <w:tc>
          <w:tcPr>
            <w:tcW w:w="6488" w:type="dxa"/>
            <w:gridSpan w:val="3"/>
            <w:vAlign w:val="center"/>
          </w:tcPr>
          <w:p>
            <w:pPr>
              <w:adjustRightInd w:val="0"/>
              <w:snapToGrid w:val="0"/>
              <w:jc w:val="center"/>
              <w:rPr>
                <w:szCs w:val="21"/>
              </w:rPr>
            </w:pPr>
            <w:r>
              <w:rPr>
                <w:szCs w:val="21"/>
              </w:rPr>
              <w:t>吉林省</w:t>
            </w:r>
            <w:r>
              <w:rPr>
                <w:rFonts w:hint="eastAsia"/>
                <w:szCs w:val="21"/>
              </w:rPr>
              <w:t>通化市柳河县五道沟镇教堂子村</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9" w:hRule="atLeast"/>
          <w:jc w:val="center"/>
        </w:trPr>
        <w:tc>
          <w:tcPr>
            <w:tcW w:w="2382" w:type="dxa"/>
            <w:tcMar>
              <w:top w:w="16" w:type="dxa"/>
              <w:left w:w="16" w:type="dxa"/>
              <w:right w:w="16" w:type="dxa"/>
            </w:tcMar>
            <w:vAlign w:val="center"/>
          </w:tcPr>
          <w:p>
            <w:pPr>
              <w:adjustRightInd w:val="0"/>
              <w:snapToGrid w:val="0"/>
              <w:jc w:val="center"/>
              <w:rPr>
                <w:rFonts w:ascii="宋体" w:hAnsi="宋体" w:cs="宋体"/>
                <w:szCs w:val="21"/>
              </w:rPr>
            </w:pPr>
            <w:r>
              <w:rPr>
                <w:rFonts w:hint="eastAsia" w:ascii="宋体" w:hAnsi="宋体" w:cs="宋体"/>
                <w:szCs w:val="21"/>
              </w:rPr>
              <w:t>地理坐标</w:t>
            </w:r>
          </w:p>
        </w:tc>
        <w:tc>
          <w:tcPr>
            <w:tcW w:w="6488" w:type="dxa"/>
            <w:gridSpan w:val="3"/>
            <w:vAlign w:val="center"/>
          </w:tcPr>
          <w:p>
            <w:pPr>
              <w:jc w:val="center"/>
              <w:rPr>
                <w:rFonts w:ascii="宋体" w:hAnsi="宋体" w:cs="宋体"/>
                <w:szCs w:val="21"/>
              </w:rPr>
            </w:pPr>
            <w:r>
              <w:rPr>
                <w:szCs w:val="21"/>
              </w:rPr>
              <w:t>（东经：</w:t>
            </w:r>
            <w:r>
              <w:rPr>
                <w:szCs w:val="21"/>
                <w:u w:val="single"/>
              </w:rPr>
              <w:t xml:space="preserve"> </w:t>
            </w:r>
            <w:r>
              <w:rPr>
                <w:rFonts w:hint="eastAsia"/>
                <w:szCs w:val="21"/>
                <w:u w:val="single"/>
              </w:rPr>
              <w:t>125</w:t>
            </w:r>
            <w:r>
              <w:rPr>
                <w:szCs w:val="21"/>
                <w:u w:val="single"/>
              </w:rPr>
              <w:t xml:space="preserve"> </w:t>
            </w:r>
            <w:r>
              <w:rPr>
                <w:szCs w:val="21"/>
              </w:rPr>
              <w:t>度</w:t>
            </w:r>
            <w:r>
              <w:rPr>
                <w:szCs w:val="21"/>
                <w:u w:val="single"/>
              </w:rPr>
              <w:t xml:space="preserve"> </w:t>
            </w:r>
            <w:r>
              <w:rPr>
                <w:rFonts w:hint="eastAsia"/>
                <w:szCs w:val="21"/>
                <w:u w:val="single"/>
              </w:rPr>
              <w:t>54</w:t>
            </w:r>
            <w:r>
              <w:rPr>
                <w:szCs w:val="21"/>
                <w:u w:val="single"/>
              </w:rPr>
              <w:t xml:space="preserve"> </w:t>
            </w:r>
            <w:r>
              <w:rPr>
                <w:szCs w:val="21"/>
              </w:rPr>
              <w:t>分</w:t>
            </w:r>
            <w:r>
              <w:rPr>
                <w:szCs w:val="21"/>
                <w:u w:val="single"/>
              </w:rPr>
              <w:t xml:space="preserve"> </w:t>
            </w:r>
            <w:r>
              <w:rPr>
                <w:rFonts w:hint="eastAsia"/>
                <w:szCs w:val="21"/>
                <w:u w:val="single"/>
              </w:rPr>
              <w:t>4.269</w:t>
            </w:r>
            <w:r>
              <w:rPr>
                <w:szCs w:val="21"/>
                <w:u w:val="single"/>
              </w:rPr>
              <w:t xml:space="preserve"> </w:t>
            </w:r>
            <w:r>
              <w:rPr>
                <w:szCs w:val="21"/>
              </w:rPr>
              <w:t>秒，</w:t>
            </w:r>
            <w:r>
              <w:rPr>
                <w:rFonts w:hint="eastAsia"/>
                <w:szCs w:val="21"/>
              </w:rPr>
              <w:t>北纬：</w:t>
            </w:r>
            <w:r>
              <w:rPr>
                <w:szCs w:val="21"/>
                <w:u w:val="single"/>
              </w:rPr>
              <w:t xml:space="preserve"> </w:t>
            </w:r>
            <w:r>
              <w:rPr>
                <w:rFonts w:hint="eastAsia"/>
                <w:szCs w:val="21"/>
                <w:u w:val="single"/>
              </w:rPr>
              <w:t>42</w:t>
            </w:r>
            <w:r>
              <w:rPr>
                <w:szCs w:val="21"/>
                <w:u w:val="single"/>
              </w:rPr>
              <w:t xml:space="preserve"> </w:t>
            </w:r>
            <w:r>
              <w:rPr>
                <w:szCs w:val="21"/>
              </w:rPr>
              <w:t>度</w:t>
            </w:r>
            <w:r>
              <w:rPr>
                <w:szCs w:val="21"/>
                <w:u w:val="single"/>
              </w:rPr>
              <w:t xml:space="preserve"> </w:t>
            </w:r>
            <w:r>
              <w:rPr>
                <w:rFonts w:hint="eastAsia"/>
                <w:szCs w:val="21"/>
                <w:u w:val="single"/>
              </w:rPr>
              <w:t>9</w:t>
            </w:r>
            <w:r>
              <w:rPr>
                <w:szCs w:val="21"/>
                <w:u w:val="single"/>
              </w:rPr>
              <w:t xml:space="preserve"> </w:t>
            </w:r>
            <w:r>
              <w:rPr>
                <w:szCs w:val="21"/>
              </w:rPr>
              <w:t>分</w:t>
            </w:r>
            <w:r>
              <w:rPr>
                <w:szCs w:val="21"/>
                <w:u w:val="single"/>
              </w:rPr>
              <w:t xml:space="preserve"> </w:t>
            </w:r>
            <w:r>
              <w:rPr>
                <w:rFonts w:hint="eastAsia"/>
                <w:szCs w:val="21"/>
                <w:u w:val="single"/>
              </w:rPr>
              <w:t>11.416</w:t>
            </w:r>
            <w:r>
              <w:rPr>
                <w:szCs w:val="21"/>
                <w:u w:val="single"/>
              </w:rPr>
              <w:t xml:space="preserve"> </w:t>
            </w:r>
            <w:r>
              <w:rPr>
                <w:szCs w:val="21"/>
              </w:rPr>
              <w:t>秒</w:t>
            </w:r>
            <w:r>
              <w:rPr>
                <w:rFonts w:hint="eastAsia" w:ascii="宋体" w:hAnsi="宋体" w:cs="宋体"/>
                <w:szCs w:val="21"/>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9" w:hRule="atLeast"/>
          <w:jc w:val="center"/>
        </w:trPr>
        <w:tc>
          <w:tcPr>
            <w:tcW w:w="2382" w:type="dxa"/>
            <w:tcMar>
              <w:top w:w="16" w:type="dxa"/>
              <w:left w:w="16" w:type="dxa"/>
              <w:right w:w="16" w:type="dxa"/>
            </w:tcMar>
            <w:vAlign w:val="center"/>
          </w:tcPr>
          <w:p>
            <w:pPr>
              <w:adjustRightInd w:val="0"/>
              <w:snapToGrid w:val="0"/>
              <w:jc w:val="center"/>
              <w:rPr>
                <w:szCs w:val="21"/>
              </w:rPr>
            </w:pPr>
            <w:r>
              <w:rPr>
                <w:szCs w:val="21"/>
              </w:rPr>
              <w:t>国民经济</w:t>
            </w:r>
          </w:p>
          <w:p>
            <w:pPr>
              <w:adjustRightInd w:val="0"/>
              <w:snapToGrid w:val="0"/>
              <w:jc w:val="center"/>
              <w:rPr>
                <w:szCs w:val="21"/>
              </w:rPr>
            </w:pPr>
            <w:r>
              <w:rPr>
                <w:szCs w:val="21"/>
              </w:rPr>
              <w:t>行业类别</w:t>
            </w:r>
          </w:p>
        </w:tc>
        <w:tc>
          <w:tcPr>
            <w:tcW w:w="1637" w:type="dxa"/>
            <w:vAlign w:val="center"/>
          </w:tcPr>
          <w:p>
            <w:pPr>
              <w:adjustRightInd w:val="0"/>
              <w:snapToGrid w:val="0"/>
              <w:jc w:val="left"/>
              <w:rPr>
                <w:szCs w:val="21"/>
              </w:rPr>
            </w:pPr>
            <w:r>
              <w:rPr>
                <w:rFonts w:hint="eastAsia"/>
                <w:szCs w:val="21"/>
              </w:rPr>
              <w:t>D4430 热力生产和供应业</w:t>
            </w:r>
          </w:p>
        </w:tc>
        <w:tc>
          <w:tcPr>
            <w:tcW w:w="2105" w:type="dxa"/>
            <w:vAlign w:val="center"/>
          </w:tcPr>
          <w:p>
            <w:pPr>
              <w:adjustRightInd w:val="0"/>
              <w:snapToGrid w:val="0"/>
              <w:jc w:val="center"/>
              <w:rPr>
                <w:szCs w:val="21"/>
              </w:rPr>
            </w:pPr>
            <w:bookmarkStart w:id="0" w:name="_Hlk49843745"/>
            <w:r>
              <w:rPr>
                <w:szCs w:val="21"/>
              </w:rPr>
              <w:t>建设项目</w:t>
            </w:r>
          </w:p>
          <w:p>
            <w:pPr>
              <w:adjustRightInd w:val="0"/>
              <w:snapToGrid w:val="0"/>
              <w:jc w:val="center"/>
              <w:rPr>
                <w:szCs w:val="21"/>
              </w:rPr>
            </w:pPr>
            <w:r>
              <w:rPr>
                <w:szCs w:val="21"/>
              </w:rPr>
              <w:t>行业类别</w:t>
            </w:r>
            <w:bookmarkEnd w:id="0"/>
          </w:p>
        </w:tc>
        <w:tc>
          <w:tcPr>
            <w:tcW w:w="2746" w:type="dxa"/>
            <w:vAlign w:val="center"/>
          </w:tcPr>
          <w:p>
            <w:pPr>
              <w:adjustRightInd w:val="0"/>
              <w:snapToGrid w:val="0"/>
              <w:rPr>
                <w:szCs w:val="21"/>
              </w:rPr>
            </w:pPr>
            <w:r>
              <w:rPr>
                <w:szCs w:val="21"/>
              </w:rPr>
              <w:t>四十一</w:t>
            </w:r>
            <w:r>
              <w:rPr>
                <w:rFonts w:hint="eastAsia"/>
                <w:szCs w:val="21"/>
              </w:rPr>
              <w:t xml:space="preserve"> </w:t>
            </w:r>
            <w:r>
              <w:rPr>
                <w:szCs w:val="21"/>
              </w:rPr>
              <w:t>电力、热力生产和供应业 91</w:t>
            </w:r>
            <w:r>
              <w:rPr>
                <w:rFonts w:hint="eastAsia"/>
                <w:szCs w:val="21"/>
              </w:rPr>
              <w:t>.</w:t>
            </w:r>
            <w:r>
              <w:rPr>
                <w:szCs w:val="21"/>
              </w:rPr>
              <w:t>热力生产和供应工程</w:t>
            </w:r>
            <w:r>
              <w:rPr>
                <w:rFonts w:hint="eastAsia"/>
                <w:szCs w:val="21"/>
              </w:rPr>
              <w:t>（</w:t>
            </w:r>
            <w:r>
              <w:rPr>
                <w:szCs w:val="21"/>
              </w:rPr>
              <w:t>包括建设单位自建自用的供热工程</w:t>
            </w:r>
            <w:r>
              <w:rPr>
                <w:rFonts w:hint="eastAsia"/>
                <w:szCs w:val="21"/>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219" w:hRule="atLeast"/>
          <w:jc w:val="center"/>
        </w:trPr>
        <w:tc>
          <w:tcPr>
            <w:tcW w:w="2382" w:type="dxa"/>
            <w:tcMar>
              <w:top w:w="16" w:type="dxa"/>
              <w:left w:w="16" w:type="dxa"/>
              <w:right w:w="16" w:type="dxa"/>
            </w:tcMar>
            <w:vAlign w:val="center"/>
          </w:tcPr>
          <w:p>
            <w:pPr>
              <w:adjustRightInd w:val="0"/>
              <w:snapToGrid w:val="0"/>
              <w:jc w:val="center"/>
              <w:rPr>
                <w:rFonts w:ascii="宋体" w:hAnsi="宋体" w:cs="宋体"/>
                <w:szCs w:val="21"/>
              </w:rPr>
            </w:pPr>
            <w:r>
              <w:rPr>
                <w:rFonts w:hint="eastAsia" w:ascii="宋体" w:hAnsi="宋体" w:cs="宋体"/>
                <w:szCs w:val="21"/>
              </w:rPr>
              <w:t>建设性质</w:t>
            </w:r>
          </w:p>
        </w:tc>
        <w:tc>
          <w:tcPr>
            <w:tcW w:w="1637" w:type="dxa"/>
            <w:vAlign w:val="center"/>
          </w:tcPr>
          <w:p>
            <w:pPr>
              <w:jc w:val="left"/>
              <w:rPr>
                <w:rFonts w:ascii="宋体" w:hAnsi="宋体" w:cs="宋体"/>
                <w:szCs w:val="21"/>
              </w:rPr>
            </w:pPr>
            <w:r>
              <w:rPr>
                <w:rFonts w:hint="eastAsia" w:ascii="宋体" w:hAnsi="宋体" w:cs="宋体"/>
                <w:szCs w:val="21"/>
              </w:rPr>
              <w:t>□新建（迁建）</w:t>
            </w:r>
          </w:p>
          <w:p>
            <w:pPr>
              <w:jc w:val="left"/>
              <w:rPr>
                <w:rFonts w:ascii="宋体" w:hAnsi="宋体" w:cs="宋体"/>
                <w:szCs w:val="21"/>
              </w:rPr>
            </w:pPr>
            <w:r>
              <w:rPr>
                <w:rFonts w:hint="eastAsia" w:ascii="宋体" w:hAnsi="宋体" w:cs="宋体"/>
                <w:szCs w:val="21"/>
              </w:rPr>
              <w:t>□改建</w:t>
            </w:r>
          </w:p>
          <w:p>
            <w:pPr>
              <w:jc w:val="left"/>
              <w:rPr>
                <w:rFonts w:ascii="宋体" w:hAnsi="宋体" w:cs="宋体"/>
                <w:szCs w:val="21"/>
              </w:rPr>
            </w:pPr>
            <w:r>
              <w:rPr>
                <w:rFonts w:hint="eastAsia" w:ascii="宋体" w:hAnsi="宋体" w:cs="宋体"/>
                <w:szCs w:val="21"/>
              </w:rPr>
              <w:t>☑扩建</w:t>
            </w:r>
          </w:p>
          <w:p>
            <w:pPr>
              <w:jc w:val="left"/>
              <w:rPr>
                <w:rFonts w:ascii="宋体" w:hAnsi="宋体" w:cs="宋体"/>
                <w:szCs w:val="21"/>
              </w:rPr>
            </w:pPr>
            <w:r>
              <w:rPr>
                <w:rFonts w:hint="eastAsia" w:ascii="宋体" w:hAnsi="宋体" w:cs="宋体"/>
                <w:szCs w:val="21"/>
              </w:rPr>
              <w:t>□技术改造</w:t>
            </w:r>
          </w:p>
        </w:tc>
        <w:tc>
          <w:tcPr>
            <w:tcW w:w="2105" w:type="dxa"/>
            <w:vAlign w:val="center"/>
          </w:tcPr>
          <w:p>
            <w:pPr>
              <w:adjustRightInd w:val="0"/>
              <w:snapToGrid w:val="0"/>
              <w:jc w:val="center"/>
              <w:rPr>
                <w:rFonts w:ascii="宋体" w:hAnsi="宋体" w:cs="宋体"/>
                <w:szCs w:val="21"/>
              </w:rPr>
            </w:pPr>
            <w:r>
              <w:rPr>
                <w:rFonts w:hint="eastAsia" w:ascii="宋体" w:hAnsi="宋体" w:cs="宋体"/>
                <w:szCs w:val="21"/>
              </w:rPr>
              <w:t>建设项目</w:t>
            </w:r>
          </w:p>
          <w:p>
            <w:pPr>
              <w:adjustRightInd w:val="0"/>
              <w:snapToGrid w:val="0"/>
              <w:jc w:val="center"/>
              <w:rPr>
                <w:rFonts w:ascii="宋体" w:hAnsi="宋体" w:cs="宋体"/>
                <w:szCs w:val="21"/>
              </w:rPr>
            </w:pPr>
            <w:r>
              <w:rPr>
                <w:rFonts w:hint="eastAsia" w:ascii="宋体" w:hAnsi="宋体" w:cs="宋体"/>
                <w:szCs w:val="21"/>
              </w:rPr>
              <w:t>申报情形</w:t>
            </w:r>
          </w:p>
        </w:tc>
        <w:tc>
          <w:tcPr>
            <w:tcW w:w="2746" w:type="dxa"/>
            <w:vAlign w:val="center"/>
          </w:tcPr>
          <w:p>
            <w:pPr>
              <w:jc w:val="left"/>
              <w:rPr>
                <w:rFonts w:ascii="宋体" w:hAnsi="宋体" w:cs="宋体"/>
                <w:szCs w:val="21"/>
              </w:rPr>
            </w:pPr>
            <w:r>
              <w:rPr>
                <w:rFonts w:hint="eastAsia" w:ascii="宋体" w:hAnsi="宋体" w:cs="宋体"/>
                <w:szCs w:val="21"/>
              </w:rPr>
              <w:t>☑首次申报项目</w:t>
            </w:r>
          </w:p>
          <w:p>
            <w:pPr>
              <w:jc w:val="left"/>
              <w:rPr>
                <w:rFonts w:ascii="宋体" w:hAnsi="宋体" w:cs="宋体"/>
                <w:szCs w:val="21"/>
              </w:rPr>
            </w:pPr>
            <w:r>
              <w:rPr>
                <w:rFonts w:hint="eastAsia" w:ascii="宋体" w:hAnsi="宋体" w:cs="宋体"/>
                <w:szCs w:val="21"/>
              </w:rPr>
              <w:t>□不予批准后再次申报项目</w:t>
            </w:r>
          </w:p>
          <w:p>
            <w:pPr>
              <w:jc w:val="left"/>
              <w:rPr>
                <w:rFonts w:ascii="宋体" w:hAnsi="宋体" w:cs="宋体"/>
                <w:szCs w:val="21"/>
              </w:rPr>
            </w:pPr>
            <w:r>
              <w:rPr>
                <w:rFonts w:hint="eastAsia" w:ascii="宋体" w:hAnsi="宋体" w:cs="宋体"/>
                <w:szCs w:val="21"/>
              </w:rPr>
              <w:t>□超五年重新审核项目</w:t>
            </w:r>
          </w:p>
          <w:p>
            <w:pPr>
              <w:jc w:val="left"/>
              <w:rPr>
                <w:rFonts w:ascii="宋体" w:hAnsi="宋体" w:cs="宋体"/>
                <w:szCs w:val="21"/>
              </w:rPr>
            </w:pPr>
            <w:r>
              <w:rPr>
                <w:rFonts w:hint="eastAsia" w:ascii="宋体" w:hAnsi="宋体" w:cs="宋体"/>
                <w:szCs w:val="21"/>
              </w:rPr>
              <w:t>□重大变动重新报批项目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2382" w:type="dxa"/>
            <w:tcMar>
              <w:top w:w="16" w:type="dxa"/>
              <w:left w:w="16" w:type="dxa"/>
              <w:right w:w="16" w:type="dxa"/>
            </w:tcMar>
            <w:vAlign w:val="center"/>
          </w:tcPr>
          <w:p>
            <w:pPr>
              <w:adjustRightInd w:val="0"/>
              <w:snapToGrid w:val="0"/>
              <w:jc w:val="center"/>
              <w:rPr>
                <w:rFonts w:ascii="宋体" w:hAnsi="宋体" w:cs="宋体"/>
                <w:szCs w:val="21"/>
              </w:rPr>
            </w:pPr>
            <w:r>
              <w:rPr>
                <w:rFonts w:hint="eastAsia" w:ascii="宋体" w:hAnsi="宋体" w:cs="宋体"/>
                <w:szCs w:val="21"/>
              </w:rPr>
              <w:t>项目审批（核准</w:t>
            </w:r>
            <w:r>
              <w:rPr>
                <w:rFonts w:ascii="宋体" w:hAnsi="宋体" w:cs="宋体"/>
                <w:szCs w:val="21"/>
              </w:rPr>
              <w:t>/</w:t>
            </w:r>
          </w:p>
          <w:p>
            <w:pPr>
              <w:adjustRightInd w:val="0"/>
              <w:snapToGrid w:val="0"/>
              <w:jc w:val="center"/>
              <w:rPr>
                <w:rFonts w:ascii="宋体" w:hAnsi="宋体" w:cs="宋体"/>
                <w:szCs w:val="21"/>
              </w:rPr>
            </w:pPr>
            <w:r>
              <w:rPr>
                <w:rFonts w:hint="eastAsia" w:ascii="宋体" w:hAnsi="宋体" w:cs="宋体"/>
                <w:szCs w:val="21"/>
              </w:rPr>
              <w:t>备案）部门（选填）</w:t>
            </w:r>
          </w:p>
        </w:tc>
        <w:tc>
          <w:tcPr>
            <w:tcW w:w="1637" w:type="dxa"/>
            <w:vAlign w:val="center"/>
          </w:tcPr>
          <w:p>
            <w:pPr>
              <w:adjustRightInd w:val="0"/>
              <w:snapToGrid w:val="0"/>
              <w:jc w:val="center"/>
              <w:rPr>
                <w:rFonts w:ascii="宋体" w:hAnsi="宋体" w:cs="宋体"/>
                <w:szCs w:val="21"/>
              </w:rPr>
            </w:pPr>
            <w:r>
              <w:rPr>
                <w:rFonts w:hint="eastAsia" w:ascii="宋体" w:hAnsi="宋体" w:cs="宋体"/>
                <w:szCs w:val="21"/>
              </w:rPr>
              <w:t>-</w:t>
            </w:r>
          </w:p>
        </w:tc>
        <w:tc>
          <w:tcPr>
            <w:tcW w:w="2105" w:type="dxa"/>
            <w:vAlign w:val="center"/>
          </w:tcPr>
          <w:p>
            <w:pPr>
              <w:adjustRightInd w:val="0"/>
              <w:snapToGrid w:val="0"/>
              <w:jc w:val="center"/>
              <w:rPr>
                <w:rFonts w:ascii="宋体" w:hAnsi="宋体" w:cs="宋体"/>
                <w:szCs w:val="21"/>
              </w:rPr>
            </w:pPr>
            <w:r>
              <w:rPr>
                <w:rFonts w:hint="eastAsia" w:ascii="宋体" w:hAnsi="宋体" w:cs="宋体"/>
                <w:szCs w:val="21"/>
              </w:rPr>
              <w:t>项目审批（核准</w:t>
            </w:r>
            <w:r>
              <w:rPr>
                <w:rFonts w:ascii="宋体" w:hAnsi="宋体" w:cs="宋体"/>
                <w:szCs w:val="21"/>
              </w:rPr>
              <w:t>/</w:t>
            </w:r>
          </w:p>
          <w:p>
            <w:pPr>
              <w:adjustRightInd w:val="0"/>
              <w:snapToGrid w:val="0"/>
              <w:jc w:val="center"/>
              <w:rPr>
                <w:rFonts w:ascii="宋体" w:hAnsi="宋体" w:cs="宋体"/>
                <w:szCs w:val="21"/>
              </w:rPr>
            </w:pPr>
            <w:r>
              <w:rPr>
                <w:rFonts w:hint="eastAsia" w:ascii="宋体" w:hAnsi="宋体" w:cs="宋体"/>
                <w:szCs w:val="21"/>
              </w:rPr>
              <w:t>备案）文号（选填）</w:t>
            </w:r>
          </w:p>
        </w:tc>
        <w:tc>
          <w:tcPr>
            <w:tcW w:w="2746" w:type="dxa"/>
            <w:vAlign w:val="center"/>
          </w:tcPr>
          <w:p>
            <w:pPr>
              <w:adjustRightInd w:val="0"/>
              <w:snapToGrid w:val="0"/>
              <w:jc w:val="center"/>
              <w:rPr>
                <w:rFonts w:ascii="宋体" w:hAnsi="宋体" w:cs="宋体"/>
                <w:szCs w:val="21"/>
              </w:rPr>
            </w:pPr>
            <w:r>
              <w:rPr>
                <w:rFonts w:hint="eastAsia" w:ascii="宋体" w:hAnsi="宋体" w:cs="宋体"/>
                <w:szCs w:val="21"/>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2382" w:type="dxa"/>
            <w:tcMar>
              <w:top w:w="16" w:type="dxa"/>
              <w:left w:w="16" w:type="dxa"/>
              <w:right w:w="16" w:type="dxa"/>
            </w:tcMar>
            <w:vAlign w:val="center"/>
          </w:tcPr>
          <w:p>
            <w:pPr>
              <w:adjustRightInd w:val="0"/>
              <w:snapToGrid w:val="0"/>
              <w:jc w:val="center"/>
              <w:rPr>
                <w:szCs w:val="21"/>
              </w:rPr>
            </w:pPr>
            <w:r>
              <w:rPr>
                <w:szCs w:val="21"/>
              </w:rPr>
              <w:t>总投资（万元）</w:t>
            </w:r>
          </w:p>
        </w:tc>
        <w:tc>
          <w:tcPr>
            <w:tcW w:w="1637" w:type="dxa"/>
            <w:vAlign w:val="center"/>
          </w:tcPr>
          <w:p>
            <w:pPr>
              <w:adjustRightInd w:val="0"/>
              <w:snapToGrid w:val="0"/>
              <w:jc w:val="center"/>
              <w:rPr>
                <w:szCs w:val="21"/>
              </w:rPr>
            </w:pPr>
            <w:r>
              <w:rPr>
                <w:rFonts w:hint="eastAsia"/>
                <w:szCs w:val="21"/>
              </w:rPr>
              <w:t>20</w:t>
            </w:r>
          </w:p>
        </w:tc>
        <w:tc>
          <w:tcPr>
            <w:tcW w:w="2105" w:type="dxa"/>
            <w:tcMar>
              <w:top w:w="16" w:type="dxa"/>
              <w:left w:w="16" w:type="dxa"/>
              <w:right w:w="16" w:type="dxa"/>
            </w:tcMar>
            <w:vAlign w:val="center"/>
          </w:tcPr>
          <w:p>
            <w:pPr>
              <w:adjustRightInd w:val="0"/>
              <w:snapToGrid w:val="0"/>
              <w:jc w:val="center"/>
              <w:rPr>
                <w:szCs w:val="21"/>
              </w:rPr>
            </w:pPr>
            <w:r>
              <w:rPr>
                <w:szCs w:val="21"/>
              </w:rPr>
              <w:t>环保投资（万元）</w:t>
            </w:r>
          </w:p>
        </w:tc>
        <w:tc>
          <w:tcPr>
            <w:tcW w:w="2746" w:type="dxa"/>
            <w:vAlign w:val="center"/>
          </w:tcPr>
          <w:p>
            <w:pPr>
              <w:adjustRightInd w:val="0"/>
              <w:snapToGrid w:val="0"/>
              <w:jc w:val="center"/>
              <w:rPr>
                <w:szCs w:val="21"/>
              </w:rPr>
            </w:pPr>
            <w:r>
              <w:rPr>
                <w:rFonts w:hint="eastAsia"/>
                <w:szCs w:val="21"/>
              </w:rPr>
              <w:t>8</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2382" w:type="dxa"/>
            <w:tcMar>
              <w:top w:w="16" w:type="dxa"/>
              <w:left w:w="16" w:type="dxa"/>
              <w:right w:w="16" w:type="dxa"/>
            </w:tcMar>
            <w:vAlign w:val="center"/>
          </w:tcPr>
          <w:p>
            <w:pPr>
              <w:adjustRightInd w:val="0"/>
              <w:snapToGrid w:val="0"/>
              <w:jc w:val="center"/>
              <w:rPr>
                <w:szCs w:val="21"/>
              </w:rPr>
            </w:pPr>
            <w:r>
              <w:rPr>
                <w:szCs w:val="21"/>
              </w:rPr>
              <w:t>环保投资占比（%）</w:t>
            </w:r>
          </w:p>
        </w:tc>
        <w:tc>
          <w:tcPr>
            <w:tcW w:w="1637" w:type="dxa"/>
            <w:vAlign w:val="center"/>
          </w:tcPr>
          <w:p>
            <w:pPr>
              <w:adjustRightInd w:val="0"/>
              <w:snapToGrid w:val="0"/>
              <w:jc w:val="center"/>
              <w:rPr>
                <w:szCs w:val="21"/>
              </w:rPr>
            </w:pPr>
            <w:r>
              <w:rPr>
                <w:rFonts w:hint="eastAsia"/>
                <w:szCs w:val="21"/>
              </w:rPr>
              <w:t>40</w:t>
            </w:r>
          </w:p>
        </w:tc>
        <w:tc>
          <w:tcPr>
            <w:tcW w:w="2105" w:type="dxa"/>
            <w:tcMar>
              <w:top w:w="16" w:type="dxa"/>
              <w:left w:w="16" w:type="dxa"/>
              <w:right w:w="16" w:type="dxa"/>
            </w:tcMar>
            <w:vAlign w:val="center"/>
          </w:tcPr>
          <w:p>
            <w:pPr>
              <w:adjustRightInd w:val="0"/>
              <w:snapToGrid w:val="0"/>
              <w:jc w:val="center"/>
              <w:rPr>
                <w:szCs w:val="21"/>
              </w:rPr>
            </w:pPr>
            <w:r>
              <w:rPr>
                <w:szCs w:val="21"/>
              </w:rPr>
              <w:t>施工工期</w:t>
            </w:r>
          </w:p>
        </w:tc>
        <w:tc>
          <w:tcPr>
            <w:tcW w:w="2746" w:type="dxa"/>
            <w:vAlign w:val="center"/>
          </w:tcPr>
          <w:p>
            <w:pPr>
              <w:adjustRightInd w:val="0"/>
              <w:snapToGrid w:val="0"/>
              <w:jc w:val="center"/>
              <w:rPr>
                <w:szCs w:val="21"/>
              </w:rPr>
            </w:pPr>
            <w:r>
              <w:rPr>
                <w:rFonts w:hint="eastAsia"/>
                <w:szCs w:val="21"/>
              </w:rPr>
              <w:t>1</w:t>
            </w:r>
            <w:r>
              <w:rPr>
                <w:szCs w:val="21"/>
              </w:rPr>
              <w:t>个月</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2382" w:type="dxa"/>
            <w:tcMar>
              <w:top w:w="16" w:type="dxa"/>
              <w:left w:w="16" w:type="dxa"/>
              <w:right w:w="16" w:type="dxa"/>
            </w:tcMar>
            <w:vAlign w:val="center"/>
          </w:tcPr>
          <w:p>
            <w:pPr>
              <w:adjustRightInd w:val="0"/>
              <w:snapToGrid w:val="0"/>
              <w:jc w:val="center"/>
              <w:rPr>
                <w:rFonts w:ascii="宋体" w:hAnsi="宋体" w:cs="宋体"/>
                <w:szCs w:val="21"/>
              </w:rPr>
            </w:pPr>
            <w:r>
              <w:rPr>
                <w:rFonts w:hint="eastAsia" w:ascii="宋体" w:hAnsi="宋体" w:cs="宋体"/>
                <w:szCs w:val="21"/>
              </w:rPr>
              <w:t>是否开工建设</w:t>
            </w:r>
          </w:p>
        </w:tc>
        <w:tc>
          <w:tcPr>
            <w:tcW w:w="1637" w:type="dxa"/>
            <w:vAlign w:val="center"/>
          </w:tcPr>
          <w:p>
            <w:pPr>
              <w:adjustRightInd w:val="0"/>
              <w:snapToGrid w:val="0"/>
              <w:rPr>
                <w:rFonts w:ascii="宋体" w:hAnsi="宋体" w:cs="宋体"/>
                <w:szCs w:val="21"/>
              </w:rPr>
            </w:pPr>
            <w:r>
              <w:rPr>
                <w:rFonts w:hint="eastAsia" w:ascii="宋体" w:hAnsi="宋体" w:cs="宋体"/>
                <w:szCs w:val="21"/>
              </w:rPr>
              <w:t>☑否</w:t>
            </w:r>
          </w:p>
          <w:p>
            <w:pPr>
              <w:adjustRightInd w:val="0"/>
              <w:snapToGrid w:val="0"/>
              <w:rPr>
                <w:rFonts w:ascii="宋体" w:hAnsi="宋体" w:cs="宋体"/>
                <w:szCs w:val="21"/>
              </w:rPr>
            </w:pPr>
            <w:r>
              <w:rPr>
                <w:rFonts w:hint="eastAsia" w:ascii="宋体" w:hAnsi="宋体" w:cs="宋体"/>
                <w:szCs w:val="21"/>
              </w:rPr>
              <w:t>□是：</w:t>
            </w:r>
            <w:r>
              <w:rPr>
                <w:rFonts w:hint="eastAsia"/>
                <w:szCs w:val="21"/>
                <w:u w:val="single"/>
              </w:rPr>
              <w:t xml:space="preserve">        </w:t>
            </w:r>
          </w:p>
        </w:tc>
        <w:tc>
          <w:tcPr>
            <w:tcW w:w="2105" w:type="dxa"/>
            <w:tcMar>
              <w:top w:w="16" w:type="dxa"/>
              <w:left w:w="16" w:type="dxa"/>
              <w:right w:w="16" w:type="dxa"/>
            </w:tcMar>
            <w:vAlign w:val="center"/>
          </w:tcPr>
          <w:p>
            <w:pPr>
              <w:adjustRightInd w:val="0"/>
              <w:snapToGrid w:val="0"/>
              <w:ind w:firstLine="456"/>
              <w:jc w:val="center"/>
              <w:rPr>
                <w:spacing w:val="-6"/>
                <w:szCs w:val="21"/>
              </w:rPr>
            </w:pPr>
            <w:r>
              <w:rPr>
                <w:spacing w:val="-6"/>
                <w:szCs w:val="21"/>
              </w:rPr>
              <w:t>用地（用海）</w:t>
            </w:r>
          </w:p>
          <w:p>
            <w:pPr>
              <w:adjustRightInd w:val="0"/>
              <w:snapToGrid w:val="0"/>
              <w:ind w:firstLine="456"/>
              <w:jc w:val="center"/>
              <w:rPr>
                <w:szCs w:val="21"/>
              </w:rPr>
            </w:pPr>
            <w:r>
              <w:rPr>
                <w:spacing w:val="-6"/>
                <w:szCs w:val="21"/>
              </w:rPr>
              <w:t>面积（m</w:t>
            </w:r>
            <w:r>
              <w:rPr>
                <w:spacing w:val="-6"/>
                <w:szCs w:val="21"/>
                <w:vertAlign w:val="superscript"/>
              </w:rPr>
              <w:t>2</w:t>
            </w:r>
            <w:r>
              <w:rPr>
                <w:spacing w:val="-6"/>
                <w:szCs w:val="21"/>
              </w:rPr>
              <w:t>）</w:t>
            </w:r>
          </w:p>
        </w:tc>
        <w:tc>
          <w:tcPr>
            <w:tcW w:w="2746" w:type="dxa"/>
            <w:vAlign w:val="center"/>
          </w:tcPr>
          <w:p>
            <w:pPr>
              <w:adjustRightInd w:val="0"/>
              <w:snapToGrid w:val="0"/>
              <w:jc w:val="center"/>
              <w:rPr>
                <w:szCs w:val="21"/>
              </w:rPr>
            </w:pPr>
            <w:r>
              <w:rPr>
                <w:rFonts w:hint="eastAsia"/>
                <w:szCs w:val="21"/>
              </w:rPr>
              <w:t>0（不新增用地）</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2382" w:type="dxa"/>
            <w:vAlign w:val="center"/>
          </w:tcPr>
          <w:p>
            <w:pPr>
              <w:autoSpaceDE w:val="0"/>
              <w:autoSpaceDN w:val="0"/>
              <w:adjustRightInd w:val="0"/>
              <w:snapToGrid w:val="0"/>
              <w:jc w:val="center"/>
              <w:rPr>
                <w:rFonts w:ascii="宋体" w:hAnsi="宋体" w:cs="宋体"/>
                <w:kern w:val="0"/>
                <w:szCs w:val="21"/>
              </w:rPr>
            </w:pPr>
            <w:r>
              <w:rPr>
                <w:rFonts w:hint="eastAsia" w:ascii="宋体" w:hAnsi="宋体" w:cs="宋体"/>
                <w:kern w:val="0"/>
                <w:szCs w:val="21"/>
              </w:rPr>
              <w:t>专项评价设置情况</w:t>
            </w:r>
          </w:p>
        </w:tc>
        <w:tc>
          <w:tcPr>
            <w:tcW w:w="6488" w:type="dxa"/>
            <w:gridSpan w:val="3"/>
            <w:vAlign w:val="center"/>
          </w:tcPr>
          <w:p>
            <w:pPr>
              <w:autoSpaceDE w:val="0"/>
              <w:autoSpaceDN w:val="0"/>
              <w:adjustRightInd w:val="0"/>
              <w:snapToGrid w:val="0"/>
              <w:spacing w:beforeLines="50" w:line="360" w:lineRule="auto"/>
              <w:ind w:firstLine="480" w:firstLineChars="200"/>
              <w:rPr>
                <w:kern w:val="0"/>
                <w:sz w:val="24"/>
              </w:rPr>
            </w:pPr>
            <w:r>
              <w:rPr>
                <w:rFonts w:hint="eastAsia"/>
                <w:kern w:val="0"/>
                <w:sz w:val="24"/>
                <w:u w:val="single"/>
              </w:rPr>
              <w:t>根据《生物质燃烧源大气污染物排放清单编制技术指南》，涉及的大气污染物中无汞及其化合物，汞及其化合物不属于生物质燃烧源的特征污染物。同时根据生物质燃料成分分析可知，燃料不含汞及其化合物。因此，本项目不对汞及化合物进行分析和评价，无需设置大气专项评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2382" w:type="dxa"/>
            <w:vAlign w:val="center"/>
          </w:tcPr>
          <w:p>
            <w:pPr>
              <w:autoSpaceDE w:val="0"/>
              <w:autoSpaceDN w:val="0"/>
              <w:adjustRightInd w:val="0"/>
              <w:snapToGrid w:val="0"/>
              <w:jc w:val="center"/>
              <w:rPr>
                <w:rFonts w:ascii="宋体" w:hAnsi="宋体" w:cs="宋体"/>
                <w:kern w:val="0"/>
                <w:szCs w:val="21"/>
              </w:rPr>
            </w:pPr>
            <w:r>
              <w:rPr>
                <w:rFonts w:hint="eastAsia" w:ascii="宋体" w:hAnsi="宋体" w:cs="宋体"/>
                <w:szCs w:val="21"/>
              </w:rPr>
              <w:t>规划情况</w:t>
            </w:r>
          </w:p>
        </w:tc>
        <w:tc>
          <w:tcPr>
            <w:tcW w:w="6488" w:type="dxa"/>
            <w:gridSpan w:val="3"/>
            <w:vAlign w:val="center"/>
          </w:tcPr>
          <w:p>
            <w:pPr>
              <w:autoSpaceDE w:val="0"/>
              <w:autoSpaceDN w:val="0"/>
              <w:adjustRightInd w:val="0"/>
              <w:snapToGrid w:val="0"/>
              <w:jc w:val="center"/>
              <w:rPr>
                <w:kern w:val="0"/>
                <w:sz w:val="24"/>
              </w:rPr>
            </w:pPr>
            <w:r>
              <w:rPr>
                <w:rFonts w:hint="eastAsia"/>
                <w:kern w:val="0"/>
                <w:sz w:val="24"/>
              </w:rPr>
              <w:t>无</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2382" w:type="dxa"/>
            <w:vAlign w:val="center"/>
          </w:tcPr>
          <w:p>
            <w:pPr>
              <w:adjustRightInd w:val="0"/>
              <w:snapToGrid w:val="0"/>
              <w:jc w:val="center"/>
              <w:rPr>
                <w:rFonts w:ascii="宋体" w:hAnsi="宋体" w:cs="宋体"/>
                <w:szCs w:val="21"/>
              </w:rPr>
            </w:pPr>
            <w:r>
              <w:rPr>
                <w:rFonts w:hint="eastAsia" w:ascii="宋体" w:hAnsi="宋体" w:cs="宋体"/>
                <w:szCs w:val="21"/>
              </w:rPr>
              <w:t>规划环境影响</w:t>
            </w:r>
          </w:p>
          <w:p>
            <w:pPr>
              <w:adjustRightInd w:val="0"/>
              <w:snapToGrid w:val="0"/>
              <w:jc w:val="center"/>
              <w:rPr>
                <w:rFonts w:ascii="宋体" w:hAnsi="宋体" w:cs="宋体"/>
                <w:kern w:val="0"/>
                <w:szCs w:val="21"/>
              </w:rPr>
            </w:pPr>
            <w:r>
              <w:rPr>
                <w:rFonts w:hint="eastAsia" w:ascii="宋体" w:hAnsi="宋体" w:cs="宋体"/>
                <w:szCs w:val="21"/>
              </w:rPr>
              <w:t>评价情况</w:t>
            </w:r>
          </w:p>
        </w:tc>
        <w:tc>
          <w:tcPr>
            <w:tcW w:w="6488" w:type="dxa"/>
            <w:gridSpan w:val="3"/>
            <w:vAlign w:val="center"/>
          </w:tcPr>
          <w:p>
            <w:pPr>
              <w:autoSpaceDE w:val="0"/>
              <w:autoSpaceDN w:val="0"/>
              <w:adjustRightInd w:val="0"/>
              <w:snapToGrid w:val="0"/>
              <w:jc w:val="center"/>
              <w:rPr>
                <w:kern w:val="0"/>
                <w:sz w:val="24"/>
              </w:rPr>
            </w:pPr>
            <w:r>
              <w:rPr>
                <w:rFonts w:hint="eastAsia"/>
                <w:kern w:val="0"/>
                <w:sz w:val="24"/>
              </w:rPr>
              <w:t>无</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2382" w:type="dxa"/>
            <w:vAlign w:val="center"/>
          </w:tcPr>
          <w:p>
            <w:pPr>
              <w:autoSpaceDE w:val="0"/>
              <w:autoSpaceDN w:val="0"/>
              <w:adjustRightInd w:val="0"/>
              <w:snapToGrid w:val="0"/>
              <w:jc w:val="center"/>
              <w:rPr>
                <w:rFonts w:ascii="宋体" w:hAnsi="宋体" w:cs="宋体"/>
                <w:kern w:val="0"/>
                <w:szCs w:val="21"/>
              </w:rPr>
            </w:pPr>
            <w:r>
              <w:rPr>
                <w:rFonts w:hint="eastAsia" w:ascii="宋体" w:hAnsi="宋体" w:cs="宋体"/>
                <w:kern w:val="0"/>
                <w:szCs w:val="21"/>
              </w:rPr>
              <w:t>规划及规划环境</w:t>
            </w:r>
          </w:p>
          <w:p>
            <w:pPr>
              <w:autoSpaceDE w:val="0"/>
              <w:autoSpaceDN w:val="0"/>
              <w:adjustRightInd w:val="0"/>
              <w:snapToGrid w:val="0"/>
              <w:jc w:val="center"/>
              <w:rPr>
                <w:rFonts w:ascii="宋体" w:hAnsi="宋体" w:cs="宋体"/>
                <w:kern w:val="0"/>
                <w:szCs w:val="21"/>
              </w:rPr>
            </w:pPr>
            <w:r>
              <w:rPr>
                <w:rFonts w:hint="eastAsia" w:ascii="宋体" w:hAnsi="宋体" w:cs="宋体"/>
                <w:kern w:val="0"/>
                <w:szCs w:val="21"/>
              </w:rPr>
              <w:t>影响评价符合性分析</w:t>
            </w:r>
          </w:p>
        </w:tc>
        <w:tc>
          <w:tcPr>
            <w:tcW w:w="6488" w:type="dxa"/>
            <w:gridSpan w:val="3"/>
            <w:vAlign w:val="center"/>
          </w:tcPr>
          <w:p>
            <w:pPr>
              <w:autoSpaceDE w:val="0"/>
              <w:autoSpaceDN w:val="0"/>
              <w:adjustRightInd w:val="0"/>
              <w:snapToGrid w:val="0"/>
              <w:jc w:val="center"/>
              <w:rPr>
                <w:kern w:val="0"/>
                <w:sz w:val="24"/>
              </w:rPr>
            </w:pPr>
            <w:r>
              <w:rPr>
                <w:rFonts w:hint="eastAsia"/>
                <w:kern w:val="0"/>
                <w:sz w:val="24"/>
              </w:rPr>
              <w:t>无</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2382" w:type="dxa"/>
            <w:vAlign w:val="center"/>
          </w:tcPr>
          <w:p>
            <w:pPr>
              <w:autoSpaceDE w:val="0"/>
              <w:autoSpaceDN w:val="0"/>
              <w:adjustRightInd w:val="0"/>
              <w:snapToGrid w:val="0"/>
              <w:jc w:val="center"/>
              <w:rPr>
                <w:rFonts w:ascii="宋体" w:hAnsi="宋体" w:cs="宋体"/>
                <w:kern w:val="0"/>
                <w:szCs w:val="21"/>
              </w:rPr>
            </w:pPr>
            <w:r>
              <w:rPr>
                <w:rFonts w:hint="eastAsia" w:ascii="宋体" w:hAnsi="宋体" w:cs="宋体"/>
                <w:kern w:val="0"/>
                <w:szCs w:val="21"/>
              </w:rPr>
              <w:t>其他符合性分析</w:t>
            </w:r>
          </w:p>
        </w:tc>
        <w:tc>
          <w:tcPr>
            <w:tcW w:w="6488" w:type="dxa"/>
            <w:gridSpan w:val="3"/>
            <w:vAlign w:val="center"/>
          </w:tcPr>
          <w:p>
            <w:pPr>
              <w:autoSpaceDE w:val="0"/>
              <w:autoSpaceDN w:val="0"/>
              <w:spacing w:beforeLines="50" w:line="360" w:lineRule="auto"/>
              <w:ind w:firstLine="482" w:firstLineChars="200"/>
              <w:rPr>
                <w:b/>
                <w:bCs/>
                <w:kern w:val="0"/>
                <w:sz w:val="24"/>
              </w:rPr>
            </w:pPr>
            <w:r>
              <w:rPr>
                <w:rFonts w:hint="eastAsia"/>
                <w:b/>
                <w:bCs/>
                <w:kern w:val="0"/>
                <w:sz w:val="24"/>
              </w:rPr>
              <w:t>1</w:t>
            </w:r>
            <w:r>
              <w:rPr>
                <w:b/>
                <w:bCs/>
                <w:kern w:val="0"/>
                <w:sz w:val="24"/>
              </w:rPr>
              <w:t>、产业政策相符性分析</w:t>
            </w:r>
          </w:p>
          <w:p>
            <w:pPr>
              <w:autoSpaceDE w:val="0"/>
              <w:autoSpaceDN w:val="0"/>
              <w:spacing w:line="360" w:lineRule="auto"/>
              <w:ind w:firstLine="480" w:firstLineChars="200"/>
              <w:rPr>
                <w:kern w:val="0"/>
                <w:sz w:val="24"/>
              </w:rPr>
            </w:pPr>
            <w:r>
              <w:rPr>
                <w:kern w:val="0"/>
                <w:sz w:val="24"/>
              </w:rPr>
              <w:t>根据中华人民共和国国家发展和改革委员会第7号令《产业结构调整指导目录（20</w:t>
            </w:r>
            <w:r>
              <w:rPr>
                <w:rFonts w:hint="eastAsia"/>
                <w:kern w:val="0"/>
                <w:sz w:val="24"/>
              </w:rPr>
              <w:t>24</w:t>
            </w:r>
            <w:r>
              <w:rPr>
                <w:kern w:val="0"/>
                <w:sz w:val="24"/>
              </w:rPr>
              <w:t>年本）》中相关规定，本项目不属于鼓励类、限制类和淘汰类的项目，属于允许类项目，</w:t>
            </w:r>
            <w:r>
              <w:rPr>
                <w:rFonts w:hint="eastAsia"/>
                <w:kern w:val="0"/>
                <w:sz w:val="24"/>
              </w:rPr>
              <w:t>因此本项目</w:t>
            </w:r>
            <w:r>
              <w:rPr>
                <w:kern w:val="0"/>
                <w:sz w:val="24"/>
              </w:rPr>
              <w:t>符合国家产业政策。</w:t>
            </w:r>
          </w:p>
          <w:p>
            <w:pPr>
              <w:autoSpaceDE w:val="0"/>
              <w:autoSpaceDN w:val="0"/>
              <w:spacing w:line="360" w:lineRule="auto"/>
              <w:ind w:firstLine="482" w:firstLineChars="200"/>
              <w:rPr>
                <w:b/>
                <w:bCs/>
                <w:kern w:val="0"/>
                <w:sz w:val="24"/>
              </w:rPr>
            </w:pPr>
            <w:r>
              <w:rPr>
                <w:rFonts w:hint="eastAsia"/>
                <w:b/>
                <w:bCs/>
                <w:kern w:val="0"/>
                <w:sz w:val="24"/>
              </w:rPr>
              <w:t>2、生态环境分区管控要求符合性分析</w:t>
            </w:r>
          </w:p>
          <w:p>
            <w:pPr>
              <w:autoSpaceDE w:val="0"/>
              <w:autoSpaceDN w:val="0"/>
              <w:spacing w:line="360" w:lineRule="auto"/>
              <w:ind w:firstLine="480" w:firstLineChars="200"/>
              <w:rPr>
                <w:kern w:val="0"/>
                <w:sz w:val="24"/>
              </w:rPr>
            </w:pPr>
            <w:r>
              <w:rPr>
                <w:kern w:val="0"/>
                <w:sz w:val="24"/>
              </w:rPr>
              <w:t>根据中共吉林省委办公厅 吉林省人民政府办公厅印发《关于加强生态环境分区管控的若干措施》（吉办发[2024]12号）、《吉林省生态环境厅关于印发&lt;吉林省生态环境准入清单&gt;的函》（吉环函[2024]158号）、《通化市人民政府办公室关于印发&lt;通化市生态环境分区管控实施方案&gt;的通知》（通市政办发[2024]4号）</w:t>
            </w:r>
            <w:r>
              <w:rPr>
                <w:rFonts w:hint="eastAsia"/>
                <w:kern w:val="0"/>
                <w:sz w:val="24"/>
              </w:rPr>
              <w:t>等相关</w:t>
            </w:r>
            <w:r>
              <w:rPr>
                <w:kern w:val="0"/>
                <w:sz w:val="24"/>
              </w:rPr>
              <w:t>要求，结合吉林省生态环境分区管控公众端应用平台研判结果，本项目位于吉林省</w:t>
            </w:r>
            <w:r>
              <w:rPr>
                <w:rFonts w:hint="eastAsia"/>
                <w:kern w:val="0"/>
                <w:sz w:val="24"/>
              </w:rPr>
              <w:t>通化市柳河县五道沟镇教堂子村</w:t>
            </w:r>
            <w:r>
              <w:rPr>
                <w:kern w:val="0"/>
                <w:sz w:val="24"/>
              </w:rPr>
              <w:t>，位于</w:t>
            </w:r>
            <w:r>
              <w:rPr>
                <w:rFonts w:hint="eastAsia"/>
                <w:kern w:val="0"/>
                <w:sz w:val="24"/>
              </w:rPr>
              <w:t>优先保护</w:t>
            </w:r>
            <w:r>
              <w:rPr>
                <w:kern w:val="0"/>
                <w:sz w:val="24"/>
              </w:rPr>
              <w:t>单元，管控单元编号为</w:t>
            </w:r>
            <w:r>
              <w:rPr>
                <w:rFonts w:hint="eastAsia"/>
                <w:kern w:val="0"/>
                <w:sz w:val="24"/>
              </w:rPr>
              <w:t>ZH22052410021</w:t>
            </w:r>
            <w:r>
              <w:rPr>
                <w:kern w:val="0"/>
                <w:sz w:val="24"/>
              </w:rPr>
              <w:t>，管控单元名称为</w:t>
            </w:r>
            <w:r>
              <w:rPr>
                <w:rFonts w:hint="eastAsia"/>
                <w:kern w:val="0"/>
                <w:sz w:val="24"/>
              </w:rPr>
              <w:t>柳河县水土流失敏感区</w:t>
            </w:r>
            <w:r>
              <w:rPr>
                <w:kern w:val="0"/>
                <w:sz w:val="24"/>
              </w:rPr>
              <w:t>，项目在环境管控单元分布图中的位置详见附图</w:t>
            </w:r>
            <w:r>
              <w:rPr>
                <w:rFonts w:hint="eastAsia"/>
                <w:kern w:val="0"/>
                <w:sz w:val="24"/>
              </w:rPr>
              <w:t>1</w:t>
            </w:r>
            <w:r>
              <w:rPr>
                <w:kern w:val="0"/>
                <w:sz w:val="24"/>
              </w:rPr>
              <w:t>及附图</w:t>
            </w:r>
            <w:r>
              <w:rPr>
                <w:rFonts w:hint="eastAsia"/>
                <w:kern w:val="0"/>
                <w:sz w:val="24"/>
              </w:rPr>
              <w:t>2</w:t>
            </w:r>
            <w:r>
              <w:rPr>
                <w:kern w:val="0"/>
                <w:sz w:val="24"/>
              </w:rPr>
              <w:t>，本项目不涉及生态红线保护区。</w:t>
            </w:r>
          </w:p>
          <w:p>
            <w:pPr>
              <w:autoSpaceDE w:val="0"/>
              <w:autoSpaceDN w:val="0"/>
              <w:spacing w:line="360" w:lineRule="auto"/>
              <w:ind w:firstLine="480" w:firstLineChars="200"/>
              <w:rPr>
                <w:kern w:val="0"/>
                <w:sz w:val="24"/>
              </w:rPr>
            </w:pPr>
            <w:r>
              <w:rPr>
                <w:kern w:val="0"/>
                <w:sz w:val="24"/>
              </w:rPr>
              <w:t>本项目与吉林省总体准入要求的符合性分析详见下表。</w:t>
            </w:r>
          </w:p>
          <w:p>
            <w:pPr>
              <w:pStyle w:val="23"/>
              <w:rPr>
                <w:u w:val="none"/>
              </w:rPr>
            </w:pPr>
            <w:r>
              <w:rPr>
                <w:u w:val="none"/>
              </w:rPr>
              <w:t>与“吉林省生态环境准入清单（总体准入要求）”的相符性</w:t>
            </w:r>
          </w:p>
          <w:tbl>
            <w:tblPr>
              <w:tblStyle w:val="19"/>
              <w:tblW w:w="6268"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660"/>
              <w:gridCol w:w="3602"/>
              <w:gridCol w:w="1348"/>
              <w:gridCol w:w="658"/>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60" w:type="dxa"/>
                  <w:vAlign w:val="center"/>
                </w:tcPr>
                <w:p>
                  <w:pPr>
                    <w:autoSpaceDE w:val="0"/>
                    <w:autoSpaceDN w:val="0"/>
                    <w:adjustRightInd w:val="0"/>
                    <w:snapToGrid w:val="0"/>
                    <w:ind w:firstLine="482"/>
                    <w:jc w:val="center"/>
                    <w:rPr>
                      <w:b/>
                      <w:bCs/>
                      <w:kern w:val="0"/>
                      <w:szCs w:val="21"/>
                    </w:rPr>
                  </w:pPr>
                  <w:r>
                    <w:rPr>
                      <w:b/>
                      <w:bCs/>
                      <w:kern w:val="0"/>
                      <w:szCs w:val="21"/>
                    </w:rPr>
                    <w:t>管控类别</w:t>
                  </w:r>
                </w:p>
              </w:tc>
              <w:tc>
                <w:tcPr>
                  <w:tcW w:w="3602" w:type="dxa"/>
                  <w:vAlign w:val="center"/>
                </w:tcPr>
                <w:p>
                  <w:pPr>
                    <w:autoSpaceDE w:val="0"/>
                    <w:autoSpaceDN w:val="0"/>
                    <w:adjustRightInd w:val="0"/>
                    <w:snapToGrid w:val="0"/>
                    <w:ind w:firstLine="482"/>
                    <w:jc w:val="center"/>
                    <w:rPr>
                      <w:b/>
                      <w:bCs/>
                      <w:kern w:val="0"/>
                      <w:szCs w:val="21"/>
                    </w:rPr>
                  </w:pPr>
                  <w:r>
                    <w:rPr>
                      <w:b/>
                      <w:bCs/>
                      <w:kern w:val="0"/>
                      <w:szCs w:val="21"/>
                    </w:rPr>
                    <w:t>管控要求</w:t>
                  </w:r>
                </w:p>
              </w:tc>
              <w:tc>
                <w:tcPr>
                  <w:tcW w:w="1348" w:type="dxa"/>
                  <w:vAlign w:val="center"/>
                </w:tcPr>
                <w:p>
                  <w:pPr>
                    <w:autoSpaceDE w:val="0"/>
                    <w:autoSpaceDN w:val="0"/>
                    <w:adjustRightInd w:val="0"/>
                    <w:snapToGrid w:val="0"/>
                    <w:ind w:firstLine="482"/>
                    <w:jc w:val="center"/>
                    <w:rPr>
                      <w:b/>
                      <w:bCs/>
                      <w:kern w:val="0"/>
                      <w:szCs w:val="21"/>
                    </w:rPr>
                  </w:pPr>
                  <w:r>
                    <w:rPr>
                      <w:b/>
                      <w:bCs/>
                      <w:kern w:val="0"/>
                      <w:szCs w:val="21"/>
                    </w:rPr>
                    <w:t>本项目</w:t>
                  </w:r>
                </w:p>
              </w:tc>
              <w:tc>
                <w:tcPr>
                  <w:tcW w:w="658" w:type="dxa"/>
                  <w:vAlign w:val="center"/>
                </w:tcPr>
                <w:p>
                  <w:pPr>
                    <w:autoSpaceDE w:val="0"/>
                    <w:autoSpaceDN w:val="0"/>
                    <w:adjustRightInd w:val="0"/>
                    <w:snapToGrid w:val="0"/>
                    <w:ind w:firstLine="482"/>
                    <w:jc w:val="center"/>
                    <w:rPr>
                      <w:b/>
                      <w:bCs/>
                      <w:kern w:val="0"/>
                      <w:szCs w:val="21"/>
                    </w:rPr>
                  </w:pPr>
                  <w:r>
                    <w:rPr>
                      <w:b/>
                      <w:bCs/>
                      <w:kern w:val="0"/>
                      <w:szCs w:val="21"/>
                    </w:rPr>
                    <w:t>相符性</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60" w:type="dxa"/>
                  <w:vMerge w:val="restart"/>
                  <w:vAlign w:val="center"/>
                </w:tcPr>
                <w:p>
                  <w:pPr>
                    <w:autoSpaceDE w:val="0"/>
                    <w:autoSpaceDN w:val="0"/>
                    <w:adjustRightInd w:val="0"/>
                    <w:snapToGrid w:val="0"/>
                    <w:jc w:val="center"/>
                    <w:rPr>
                      <w:kern w:val="0"/>
                      <w:szCs w:val="21"/>
                    </w:rPr>
                  </w:pPr>
                  <w:r>
                    <w:rPr>
                      <w:kern w:val="0"/>
                      <w:szCs w:val="21"/>
                    </w:rPr>
                    <w:t>空间布局约束</w:t>
                  </w:r>
                </w:p>
              </w:tc>
              <w:tc>
                <w:tcPr>
                  <w:tcW w:w="3602" w:type="dxa"/>
                  <w:vAlign w:val="center"/>
                </w:tcPr>
                <w:p>
                  <w:pPr>
                    <w:autoSpaceDE w:val="0"/>
                    <w:autoSpaceDN w:val="0"/>
                    <w:adjustRightInd w:val="0"/>
                    <w:snapToGrid w:val="0"/>
                    <w:ind w:firstLine="436"/>
                    <w:rPr>
                      <w:spacing w:val="-11"/>
                      <w:kern w:val="0"/>
                      <w:szCs w:val="21"/>
                    </w:rPr>
                  </w:pPr>
                  <w:r>
                    <w:rPr>
                      <w:spacing w:val="-11"/>
                      <w:kern w:val="0"/>
                      <w:szCs w:val="21"/>
                    </w:rPr>
                    <w:t>禁止新建、扩建《产业结构调整指导目录》（现行）明确的淘汰类项目和引入《市场准入负面清单》（现行）禁止准入类事项，引入项目应符合园区规划、规划环境影响评价和区域产业准入负面清单要求。</w:t>
                  </w:r>
                </w:p>
                <w:p>
                  <w:pPr>
                    <w:autoSpaceDE w:val="0"/>
                    <w:autoSpaceDN w:val="0"/>
                    <w:adjustRightInd w:val="0"/>
                    <w:snapToGrid w:val="0"/>
                    <w:ind w:firstLine="436"/>
                    <w:rPr>
                      <w:spacing w:val="-11"/>
                      <w:kern w:val="0"/>
                      <w:szCs w:val="21"/>
                    </w:rPr>
                  </w:pPr>
                  <w:r>
                    <w:rPr>
                      <w:spacing w:val="-11"/>
                      <w:kern w:val="0"/>
                      <w:szCs w:val="21"/>
                    </w:rPr>
                    <w:t>列入《产业结构调整指导目录》淘汰类的现状企业，应制定调整计划。生态环境治理措施不符合现行生态环境保护要求、资源能源消耗高、涉及大量排放区域超标污染物的现有企业，应制定整治计划。在调整、整治过渡期内，应严格控制相关企业生产规模，禁止新增产生环境污染的产能和产品。</w:t>
                  </w:r>
                </w:p>
              </w:tc>
              <w:tc>
                <w:tcPr>
                  <w:tcW w:w="1348" w:type="dxa"/>
                  <w:vAlign w:val="center"/>
                </w:tcPr>
                <w:p>
                  <w:pPr>
                    <w:autoSpaceDE w:val="0"/>
                    <w:autoSpaceDN w:val="0"/>
                    <w:adjustRightInd w:val="0"/>
                    <w:snapToGrid w:val="0"/>
                    <w:ind w:firstLine="456"/>
                    <w:jc w:val="center"/>
                    <w:rPr>
                      <w:kern w:val="0"/>
                      <w:szCs w:val="21"/>
                    </w:rPr>
                  </w:pPr>
                  <w:r>
                    <w:rPr>
                      <w:spacing w:val="-6"/>
                      <w:kern w:val="0"/>
                      <w:szCs w:val="21"/>
                    </w:rPr>
                    <w:t>项目不属于《产业结构调整指导目录（2024年本）》中规定的淘汰类项目和引入《市场准入负面清单》（现行）禁止准入类事项</w:t>
                  </w:r>
                </w:p>
              </w:tc>
              <w:tc>
                <w:tcPr>
                  <w:tcW w:w="658" w:type="dxa"/>
                  <w:vAlign w:val="center"/>
                </w:tcPr>
                <w:p>
                  <w:pPr>
                    <w:autoSpaceDE w:val="0"/>
                    <w:autoSpaceDN w:val="0"/>
                    <w:adjustRightInd w:val="0"/>
                    <w:snapToGrid w:val="0"/>
                    <w:jc w:val="center"/>
                    <w:rPr>
                      <w:kern w:val="0"/>
                      <w:szCs w:val="21"/>
                    </w:rPr>
                  </w:pPr>
                  <w:r>
                    <w:rPr>
                      <w:kern w:val="0"/>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60" w:type="dxa"/>
                  <w:vMerge w:val="continue"/>
                  <w:vAlign w:val="center"/>
                </w:tcPr>
                <w:p>
                  <w:pPr>
                    <w:autoSpaceDE w:val="0"/>
                    <w:autoSpaceDN w:val="0"/>
                    <w:adjustRightInd w:val="0"/>
                    <w:snapToGrid w:val="0"/>
                    <w:jc w:val="center"/>
                    <w:rPr>
                      <w:kern w:val="0"/>
                      <w:szCs w:val="21"/>
                    </w:rPr>
                  </w:pPr>
                </w:p>
              </w:tc>
              <w:tc>
                <w:tcPr>
                  <w:tcW w:w="3602" w:type="dxa"/>
                  <w:vAlign w:val="center"/>
                </w:tcPr>
                <w:p>
                  <w:pPr>
                    <w:autoSpaceDE w:val="0"/>
                    <w:autoSpaceDN w:val="0"/>
                    <w:adjustRightInd w:val="0"/>
                    <w:snapToGrid w:val="0"/>
                    <w:ind w:firstLine="436"/>
                    <w:rPr>
                      <w:spacing w:val="-11"/>
                      <w:kern w:val="0"/>
                      <w:szCs w:val="21"/>
                    </w:rPr>
                  </w:pPr>
                  <w:r>
                    <w:rPr>
                      <w:rFonts w:hint="eastAsia"/>
                      <w:spacing w:val="-11"/>
                      <w:kern w:val="0"/>
                      <w:szCs w:val="21"/>
                    </w:rPr>
                    <w:t>强化产业政策在产业转移过程中的引导和约束作用，严格控制在生态脆弱或环境敏感地区建设“两高”行业项目。严格高能耗、高物耗、高水耗和产能过剩、低水平重复建设项目，以及涉及危险化学品、重金属和其他具有重大环境风险建设项目的审批和备案。老工业城市和资源型城市在防止污染转移的基础上，应积极承接有利于延伸产业链、提高技术水平、促进资源综合利用、充分吸纳就业的产业，因地制宜发展优势特色产业。</w:t>
                  </w:r>
                </w:p>
                <w:p>
                  <w:pPr>
                    <w:autoSpaceDE w:val="0"/>
                    <w:autoSpaceDN w:val="0"/>
                    <w:adjustRightInd w:val="0"/>
                    <w:snapToGrid w:val="0"/>
                    <w:ind w:firstLine="436"/>
                    <w:rPr>
                      <w:spacing w:val="-11"/>
                      <w:kern w:val="0"/>
                      <w:szCs w:val="21"/>
                    </w:rPr>
                  </w:pPr>
                  <w:r>
                    <w:rPr>
                      <w:rFonts w:hint="eastAsia"/>
                      <w:spacing w:val="-11"/>
                      <w:kern w:val="0"/>
                      <w:szCs w:val="21"/>
                    </w:rPr>
                    <w:t>严格控制钢铁、焦化、电解铝、水泥和平板玻璃等行业新增产能，列入去产能的钢铁企业退出时须一并退出配套的烧结、球团、焦炉、高炉等设备。严格控制尿素、磷铵、电石、烧碱、聚氯乙烯、纯碱、黄磷等过剩行业新增产能，符合政策要求的先进工艺改造提升项目应实行等量或减量置换。</w:t>
                  </w:r>
                </w:p>
                <w:p>
                  <w:pPr>
                    <w:autoSpaceDE w:val="0"/>
                    <w:autoSpaceDN w:val="0"/>
                    <w:adjustRightInd w:val="0"/>
                    <w:snapToGrid w:val="0"/>
                    <w:rPr>
                      <w:spacing w:val="-11"/>
                      <w:kern w:val="0"/>
                      <w:szCs w:val="21"/>
                    </w:rPr>
                  </w:pPr>
                  <w:r>
                    <w:rPr>
                      <w:rFonts w:hint="eastAsia"/>
                      <w:kern w:val="0"/>
                      <w:szCs w:val="21"/>
                    </w:rPr>
                    <w:t>严控新建燃煤锅炉，县级以上城市建成区原则上不再新建每小时35蒸吨以下燃煤锅炉。</w:t>
                  </w:r>
                </w:p>
              </w:tc>
              <w:tc>
                <w:tcPr>
                  <w:tcW w:w="1348" w:type="dxa"/>
                  <w:vAlign w:val="center"/>
                </w:tcPr>
                <w:p>
                  <w:pPr>
                    <w:autoSpaceDE w:val="0"/>
                    <w:autoSpaceDN w:val="0"/>
                    <w:adjustRightInd w:val="0"/>
                    <w:snapToGrid w:val="0"/>
                    <w:jc w:val="center"/>
                    <w:rPr>
                      <w:kern w:val="0"/>
                      <w:szCs w:val="21"/>
                    </w:rPr>
                  </w:pPr>
                  <w:r>
                    <w:rPr>
                      <w:rFonts w:hint="eastAsia"/>
                      <w:kern w:val="0"/>
                      <w:szCs w:val="21"/>
                    </w:rPr>
                    <w:t>项目属于允许类项目，符合产业政策要求，项目不属于高物耗、高水耗、产能过剩、低水平及重大环境风险建设项目；项目不属于钢铁、焦化、电解铝、水泥和平板玻璃等行业；项目不涉及燃煤锅炉</w:t>
                  </w:r>
                </w:p>
              </w:tc>
              <w:tc>
                <w:tcPr>
                  <w:tcW w:w="658" w:type="dxa"/>
                  <w:vAlign w:val="center"/>
                </w:tcPr>
                <w:p>
                  <w:pPr>
                    <w:autoSpaceDE w:val="0"/>
                    <w:autoSpaceDN w:val="0"/>
                    <w:adjustRightInd w:val="0"/>
                    <w:snapToGrid w:val="0"/>
                    <w:jc w:val="center"/>
                    <w:rPr>
                      <w:kern w:val="0"/>
                      <w:szCs w:val="21"/>
                    </w:rPr>
                  </w:pPr>
                  <w:r>
                    <w:rPr>
                      <w:rFonts w:hint="eastAsia"/>
                      <w:kern w:val="0"/>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60" w:type="dxa"/>
                  <w:vMerge w:val="continue"/>
                  <w:vAlign w:val="center"/>
                </w:tcPr>
                <w:p>
                  <w:pPr>
                    <w:autoSpaceDE w:val="0"/>
                    <w:autoSpaceDN w:val="0"/>
                    <w:adjustRightInd w:val="0"/>
                    <w:snapToGrid w:val="0"/>
                    <w:jc w:val="center"/>
                    <w:rPr>
                      <w:kern w:val="0"/>
                      <w:szCs w:val="21"/>
                    </w:rPr>
                  </w:pPr>
                </w:p>
              </w:tc>
              <w:tc>
                <w:tcPr>
                  <w:tcW w:w="3602" w:type="dxa"/>
                  <w:vAlign w:val="center"/>
                </w:tcPr>
                <w:p>
                  <w:pPr>
                    <w:autoSpaceDE w:val="0"/>
                    <w:autoSpaceDN w:val="0"/>
                    <w:adjustRightInd w:val="0"/>
                    <w:snapToGrid w:val="0"/>
                    <w:ind w:firstLine="436"/>
                    <w:rPr>
                      <w:spacing w:val="-11"/>
                      <w:kern w:val="0"/>
                      <w:szCs w:val="21"/>
                    </w:rPr>
                  </w:pPr>
                  <w:r>
                    <w:rPr>
                      <w:rFonts w:hint="eastAsia"/>
                      <w:spacing w:val="-11"/>
                      <w:kern w:val="0"/>
                      <w:szCs w:val="21"/>
                    </w:rPr>
                    <w:t>重大项目原则上应布局在优化开发区和重点开发区，并符合国土空间总体规划。</w:t>
                  </w:r>
                </w:p>
                <w:p>
                  <w:pPr>
                    <w:autoSpaceDE w:val="0"/>
                    <w:autoSpaceDN w:val="0"/>
                    <w:adjustRightInd w:val="0"/>
                    <w:snapToGrid w:val="0"/>
                    <w:ind w:firstLine="456"/>
                    <w:rPr>
                      <w:spacing w:val="-6"/>
                      <w:kern w:val="0"/>
                      <w:szCs w:val="21"/>
                    </w:rPr>
                  </w:pPr>
                  <w:r>
                    <w:rPr>
                      <w:rFonts w:hint="eastAsia"/>
                      <w:spacing w:val="-6"/>
                      <w:kern w:val="0"/>
                      <w:szCs w:val="21"/>
                    </w:rPr>
                    <w:t>化工石化、有色冶炼、制浆造纸等可能引发环境风险的项目，以及涉及石化、化工、工业涂装等重点行业高VOC</w:t>
                  </w:r>
                  <w:r>
                    <w:rPr>
                      <w:rFonts w:hint="eastAsia"/>
                      <w:spacing w:val="-6"/>
                      <w:kern w:val="0"/>
                      <w:szCs w:val="21"/>
                      <w:vertAlign w:val="subscript"/>
                    </w:rPr>
                    <w:t>S</w:t>
                  </w:r>
                  <w:r>
                    <w:rPr>
                      <w:rFonts w:hint="eastAsia"/>
                      <w:spacing w:val="-6"/>
                      <w:kern w:val="0"/>
                      <w:szCs w:val="21"/>
                    </w:rPr>
                    <w:t>排放的建设项目，在符合国家产业政策和清洁生产水平要求、满足污染物排放标准以及污染物排放总量控制指标前提下，应当在依法设立、基础设施齐全并具备有效规划、规划环境影响评价的产业园区内布设。</w:t>
                  </w:r>
                </w:p>
                <w:p>
                  <w:pPr>
                    <w:autoSpaceDE w:val="0"/>
                    <w:autoSpaceDN w:val="0"/>
                    <w:adjustRightInd w:val="0"/>
                    <w:snapToGrid w:val="0"/>
                    <w:ind w:firstLine="456"/>
                    <w:rPr>
                      <w:spacing w:val="-11"/>
                      <w:kern w:val="0"/>
                      <w:szCs w:val="21"/>
                    </w:rPr>
                  </w:pPr>
                  <w:r>
                    <w:rPr>
                      <w:rFonts w:hint="eastAsia"/>
                      <w:spacing w:val="-6"/>
                      <w:kern w:val="0"/>
                      <w:szCs w:val="21"/>
                    </w:rPr>
                    <w:t>严格落实规划环评及其批复文件环境准入条件，空气质量未达标地区制定更严格的产业准入门槛。</w:t>
                  </w:r>
                </w:p>
              </w:tc>
              <w:tc>
                <w:tcPr>
                  <w:tcW w:w="1348" w:type="dxa"/>
                  <w:vAlign w:val="center"/>
                </w:tcPr>
                <w:p>
                  <w:pPr>
                    <w:autoSpaceDE w:val="0"/>
                    <w:autoSpaceDN w:val="0"/>
                    <w:adjustRightInd w:val="0"/>
                    <w:snapToGrid w:val="0"/>
                    <w:ind w:firstLine="436"/>
                    <w:jc w:val="center"/>
                    <w:rPr>
                      <w:kern w:val="0"/>
                      <w:szCs w:val="21"/>
                    </w:rPr>
                  </w:pPr>
                  <w:r>
                    <w:rPr>
                      <w:rFonts w:hint="eastAsia"/>
                      <w:spacing w:val="-11"/>
                      <w:kern w:val="0"/>
                      <w:szCs w:val="21"/>
                    </w:rPr>
                    <w:t>项目不属于重大项目；不属于化工石化、有色冶炼、制浆造纸等可能引发环境风险的项目，以及涉及石化、化工、工业涂装等重点行业高VOC</w:t>
                  </w:r>
                  <w:r>
                    <w:rPr>
                      <w:rFonts w:hint="eastAsia"/>
                      <w:spacing w:val="-11"/>
                      <w:kern w:val="0"/>
                      <w:szCs w:val="21"/>
                      <w:vertAlign w:val="subscript"/>
                    </w:rPr>
                    <w:t>S</w:t>
                  </w:r>
                  <w:r>
                    <w:rPr>
                      <w:rFonts w:hint="eastAsia"/>
                      <w:spacing w:val="-11"/>
                      <w:kern w:val="0"/>
                      <w:szCs w:val="21"/>
                    </w:rPr>
                    <w:t>排放的建设项目；项目位于空气质量达标区</w:t>
                  </w:r>
                </w:p>
              </w:tc>
              <w:tc>
                <w:tcPr>
                  <w:tcW w:w="658" w:type="dxa"/>
                  <w:vAlign w:val="center"/>
                </w:tcPr>
                <w:p>
                  <w:pPr>
                    <w:autoSpaceDE w:val="0"/>
                    <w:autoSpaceDN w:val="0"/>
                    <w:adjustRightInd w:val="0"/>
                    <w:snapToGrid w:val="0"/>
                    <w:jc w:val="center"/>
                    <w:rPr>
                      <w:kern w:val="0"/>
                      <w:szCs w:val="21"/>
                    </w:rPr>
                  </w:pPr>
                  <w:r>
                    <w:rPr>
                      <w:rFonts w:hint="eastAsia"/>
                      <w:kern w:val="0"/>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60" w:type="dxa"/>
                  <w:vMerge w:val="continue"/>
                  <w:vAlign w:val="center"/>
                </w:tcPr>
                <w:p>
                  <w:pPr>
                    <w:autoSpaceDE w:val="0"/>
                    <w:autoSpaceDN w:val="0"/>
                    <w:adjustRightInd w:val="0"/>
                    <w:snapToGrid w:val="0"/>
                    <w:jc w:val="center"/>
                    <w:rPr>
                      <w:kern w:val="0"/>
                      <w:szCs w:val="21"/>
                    </w:rPr>
                  </w:pPr>
                </w:p>
              </w:tc>
              <w:tc>
                <w:tcPr>
                  <w:tcW w:w="3602" w:type="dxa"/>
                  <w:vAlign w:val="center"/>
                </w:tcPr>
                <w:p>
                  <w:pPr>
                    <w:autoSpaceDE w:val="0"/>
                    <w:autoSpaceDN w:val="0"/>
                    <w:adjustRightInd w:val="0"/>
                    <w:snapToGrid w:val="0"/>
                    <w:ind w:firstLine="456"/>
                    <w:rPr>
                      <w:spacing w:val="-11"/>
                      <w:kern w:val="0"/>
                      <w:szCs w:val="21"/>
                    </w:rPr>
                  </w:pPr>
                  <w:r>
                    <w:rPr>
                      <w:rFonts w:hint="eastAsia"/>
                      <w:spacing w:val="-6"/>
                      <w:kern w:val="0"/>
                      <w:szCs w:val="21"/>
                    </w:rPr>
                    <w:t>进一步优化全省化工产业布局，提高化工行业本质安全和绿色发展水平，引领化工园区从规范化发展到高质量发展、促进化工产业转型升级。</w:t>
                  </w:r>
                </w:p>
              </w:tc>
              <w:tc>
                <w:tcPr>
                  <w:tcW w:w="1348" w:type="dxa"/>
                  <w:vAlign w:val="center"/>
                </w:tcPr>
                <w:p>
                  <w:pPr>
                    <w:autoSpaceDE w:val="0"/>
                    <w:autoSpaceDN w:val="0"/>
                    <w:adjustRightInd w:val="0"/>
                    <w:snapToGrid w:val="0"/>
                    <w:ind w:firstLine="456"/>
                    <w:jc w:val="center"/>
                    <w:rPr>
                      <w:kern w:val="0"/>
                      <w:szCs w:val="21"/>
                    </w:rPr>
                  </w:pPr>
                  <w:r>
                    <w:rPr>
                      <w:rFonts w:hint="eastAsia"/>
                      <w:spacing w:val="-6"/>
                      <w:kern w:val="0"/>
                      <w:szCs w:val="21"/>
                    </w:rPr>
                    <w:t>项目不属于化工产业</w:t>
                  </w:r>
                </w:p>
              </w:tc>
              <w:tc>
                <w:tcPr>
                  <w:tcW w:w="658" w:type="dxa"/>
                  <w:vAlign w:val="center"/>
                </w:tcPr>
                <w:p>
                  <w:pPr>
                    <w:autoSpaceDE w:val="0"/>
                    <w:autoSpaceDN w:val="0"/>
                    <w:adjustRightInd w:val="0"/>
                    <w:snapToGrid w:val="0"/>
                    <w:jc w:val="center"/>
                    <w:rPr>
                      <w:kern w:val="0"/>
                      <w:szCs w:val="21"/>
                    </w:rPr>
                  </w:pPr>
                  <w:r>
                    <w:rPr>
                      <w:rFonts w:hint="eastAsia"/>
                      <w:kern w:val="0"/>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60" w:type="dxa"/>
                  <w:vMerge w:val="restart"/>
                  <w:vAlign w:val="center"/>
                </w:tcPr>
                <w:p>
                  <w:pPr>
                    <w:autoSpaceDE w:val="0"/>
                    <w:autoSpaceDN w:val="0"/>
                    <w:adjustRightInd w:val="0"/>
                    <w:snapToGrid w:val="0"/>
                    <w:jc w:val="center"/>
                    <w:rPr>
                      <w:kern w:val="0"/>
                      <w:szCs w:val="21"/>
                    </w:rPr>
                  </w:pPr>
                  <w:r>
                    <w:rPr>
                      <w:rFonts w:hint="eastAsia"/>
                      <w:kern w:val="0"/>
                      <w:szCs w:val="21"/>
                    </w:rPr>
                    <w:t>污染物排放管控</w:t>
                  </w:r>
                </w:p>
              </w:tc>
              <w:tc>
                <w:tcPr>
                  <w:tcW w:w="3602" w:type="dxa"/>
                  <w:vAlign w:val="center"/>
                </w:tcPr>
                <w:p>
                  <w:pPr>
                    <w:autoSpaceDE w:val="0"/>
                    <w:autoSpaceDN w:val="0"/>
                    <w:adjustRightInd w:val="0"/>
                    <w:snapToGrid w:val="0"/>
                    <w:rPr>
                      <w:spacing w:val="-6"/>
                      <w:kern w:val="0"/>
                      <w:szCs w:val="21"/>
                    </w:rPr>
                  </w:pPr>
                  <w:r>
                    <w:rPr>
                      <w:rFonts w:hint="eastAsia"/>
                    </w:rPr>
                    <w:t>落实主要污染物总量控制和排污许可制度。新建、改建、扩建重点行业建设项目实行主要污染物排放等量或倍量削减替代。严格涉VOC</w:t>
                  </w:r>
                  <w:r>
                    <w:rPr>
                      <w:rFonts w:hint="eastAsia"/>
                      <w:vertAlign w:val="subscript"/>
                    </w:rPr>
                    <w:t>S</w:t>
                  </w:r>
                  <w:r>
                    <w:rPr>
                      <w:rFonts w:hint="eastAsia"/>
                    </w:rPr>
                    <w:t>建设项目环境影响评价，逐步推进区域内VOC</w:t>
                  </w:r>
                  <w:r>
                    <w:rPr>
                      <w:rFonts w:hint="eastAsia"/>
                      <w:vertAlign w:val="subscript"/>
                    </w:rPr>
                    <w:t>S</w:t>
                  </w:r>
                  <w:r>
                    <w:rPr>
                      <w:rFonts w:hint="eastAsia"/>
                    </w:rPr>
                    <w:t>排放等量或倍量削减替代。</w:t>
                  </w:r>
                </w:p>
              </w:tc>
              <w:tc>
                <w:tcPr>
                  <w:tcW w:w="1348" w:type="dxa"/>
                  <w:vAlign w:val="center"/>
                </w:tcPr>
                <w:p>
                  <w:pPr>
                    <w:autoSpaceDE w:val="0"/>
                    <w:autoSpaceDN w:val="0"/>
                    <w:adjustRightInd w:val="0"/>
                    <w:snapToGrid w:val="0"/>
                    <w:ind w:firstLine="456"/>
                    <w:jc w:val="center"/>
                    <w:rPr>
                      <w:spacing w:val="-6"/>
                      <w:kern w:val="0"/>
                      <w:szCs w:val="21"/>
                    </w:rPr>
                  </w:pPr>
                  <w:r>
                    <w:rPr>
                      <w:spacing w:val="-6"/>
                      <w:kern w:val="0"/>
                      <w:szCs w:val="21"/>
                    </w:rPr>
                    <w:t>项目不属于重点行业高VOC</w:t>
                  </w:r>
                  <w:r>
                    <w:rPr>
                      <w:rFonts w:hint="eastAsia"/>
                      <w:spacing w:val="-6"/>
                      <w:kern w:val="0"/>
                      <w:szCs w:val="21"/>
                      <w:vertAlign w:val="subscript"/>
                    </w:rPr>
                    <w:t>S</w:t>
                  </w:r>
                  <w:r>
                    <w:rPr>
                      <w:spacing w:val="-6"/>
                      <w:kern w:val="0"/>
                      <w:szCs w:val="21"/>
                    </w:rPr>
                    <w:t>排放的建设项目</w:t>
                  </w:r>
                </w:p>
              </w:tc>
              <w:tc>
                <w:tcPr>
                  <w:tcW w:w="658" w:type="dxa"/>
                  <w:vAlign w:val="center"/>
                </w:tcPr>
                <w:p>
                  <w:pPr>
                    <w:autoSpaceDE w:val="0"/>
                    <w:autoSpaceDN w:val="0"/>
                    <w:adjustRightInd w:val="0"/>
                    <w:snapToGrid w:val="0"/>
                    <w:jc w:val="center"/>
                    <w:rPr>
                      <w:kern w:val="0"/>
                      <w:szCs w:val="21"/>
                      <w:highlight w:val="yellow"/>
                    </w:rPr>
                  </w:pPr>
                  <w:r>
                    <w:rPr>
                      <w:rFonts w:hint="eastAsia"/>
                      <w:kern w:val="0"/>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60" w:type="dxa"/>
                  <w:vMerge w:val="continue"/>
                  <w:vAlign w:val="center"/>
                </w:tcPr>
                <w:p>
                  <w:pPr>
                    <w:autoSpaceDE w:val="0"/>
                    <w:autoSpaceDN w:val="0"/>
                    <w:adjustRightInd w:val="0"/>
                    <w:snapToGrid w:val="0"/>
                    <w:jc w:val="center"/>
                    <w:rPr>
                      <w:kern w:val="0"/>
                      <w:szCs w:val="21"/>
                    </w:rPr>
                  </w:pPr>
                </w:p>
              </w:tc>
              <w:tc>
                <w:tcPr>
                  <w:tcW w:w="3602" w:type="dxa"/>
                  <w:vAlign w:val="center"/>
                </w:tcPr>
                <w:p>
                  <w:pPr>
                    <w:autoSpaceDE w:val="0"/>
                    <w:autoSpaceDN w:val="0"/>
                    <w:adjustRightInd w:val="0"/>
                    <w:snapToGrid w:val="0"/>
                    <w:rPr>
                      <w:kern w:val="0"/>
                      <w:szCs w:val="21"/>
                    </w:rPr>
                  </w:pPr>
                  <w:r>
                    <w:rPr>
                      <w:rFonts w:hint="eastAsia"/>
                      <w:kern w:val="0"/>
                      <w:szCs w:val="21"/>
                    </w:rPr>
                    <w:t>空气质量未达标地区新建项目涉及的二氧化硫、氮氧化物、颗粒物、挥发性有机物（</w:t>
                  </w:r>
                  <w:r>
                    <w:rPr>
                      <w:rFonts w:hint="eastAsia"/>
                    </w:rPr>
                    <w:t>VOC</w:t>
                  </w:r>
                  <w:r>
                    <w:rPr>
                      <w:rFonts w:hint="eastAsia"/>
                      <w:vertAlign w:val="subscript"/>
                    </w:rPr>
                    <w:t>S</w:t>
                  </w:r>
                  <w:r>
                    <w:rPr>
                      <w:rFonts w:hint="eastAsia"/>
                      <w:kern w:val="0"/>
                      <w:szCs w:val="21"/>
                    </w:rPr>
                    <w:t>）排放全面执行大气污染物特别排放限值。</w:t>
                  </w:r>
                </w:p>
              </w:tc>
              <w:tc>
                <w:tcPr>
                  <w:tcW w:w="1348" w:type="dxa"/>
                  <w:vAlign w:val="center"/>
                </w:tcPr>
                <w:p>
                  <w:pPr>
                    <w:autoSpaceDE w:val="0"/>
                    <w:autoSpaceDN w:val="0"/>
                    <w:adjustRightInd w:val="0"/>
                    <w:snapToGrid w:val="0"/>
                    <w:jc w:val="center"/>
                    <w:rPr>
                      <w:kern w:val="0"/>
                      <w:szCs w:val="21"/>
                    </w:rPr>
                  </w:pPr>
                  <w:r>
                    <w:rPr>
                      <w:rFonts w:hint="eastAsia"/>
                      <w:kern w:val="0"/>
                      <w:szCs w:val="21"/>
                    </w:rPr>
                    <w:t>项目位于空气质量达标区</w:t>
                  </w:r>
                </w:p>
              </w:tc>
              <w:tc>
                <w:tcPr>
                  <w:tcW w:w="658" w:type="dxa"/>
                  <w:vAlign w:val="center"/>
                </w:tcPr>
                <w:p>
                  <w:pPr>
                    <w:autoSpaceDE w:val="0"/>
                    <w:autoSpaceDN w:val="0"/>
                    <w:adjustRightInd w:val="0"/>
                    <w:snapToGrid w:val="0"/>
                    <w:jc w:val="center"/>
                    <w:rPr>
                      <w:kern w:val="0"/>
                      <w:szCs w:val="21"/>
                    </w:rPr>
                  </w:pPr>
                  <w:r>
                    <w:rPr>
                      <w:rFonts w:hint="eastAsia"/>
                      <w:kern w:val="0"/>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60" w:type="dxa"/>
                  <w:vMerge w:val="continue"/>
                  <w:vAlign w:val="center"/>
                </w:tcPr>
                <w:p>
                  <w:pPr>
                    <w:autoSpaceDE w:val="0"/>
                    <w:autoSpaceDN w:val="0"/>
                    <w:adjustRightInd w:val="0"/>
                    <w:snapToGrid w:val="0"/>
                    <w:jc w:val="center"/>
                    <w:rPr>
                      <w:kern w:val="0"/>
                      <w:szCs w:val="21"/>
                    </w:rPr>
                  </w:pPr>
                </w:p>
              </w:tc>
              <w:tc>
                <w:tcPr>
                  <w:tcW w:w="3602" w:type="dxa"/>
                  <w:vAlign w:val="center"/>
                </w:tcPr>
                <w:p>
                  <w:pPr>
                    <w:autoSpaceDE w:val="0"/>
                    <w:autoSpaceDN w:val="0"/>
                    <w:adjustRightInd w:val="0"/>
                    <w:snapToGrid w:val="0"/>
                    <w:ind w:firstLine="456"/>
                    <w:rPr>
                      <w:spacing w:val="-6"/>
                      <w:kern w:val="0"/>
                      <w:szCs w:val="21"/>
                    </w:rPr>
                  </w:pPr>
                  <w:r>
                    <w:rPr>
                      <w:rFonts w:hint="eastAsia"/>
                      <w:spacing w:val="-6"/>
                      <w:kern w:val="0"/>
                      <w:szCs w:val="21"/>
                    </w:rPr>
                    <w:t>推行秸秆全量化处置，持续推进秸秆肥料化、饲料化、能源化、基料化和原料化，逐步形成秸秆综合利用的长效机制。</w:t>
                  </w:r>
                </w:p>
              </w:tc>
              <w:tc>
                <w:tcPr>
                  <w:tcW w:w="1348" w:type="dxa"/>
                  <w:vAlign w:val="center"/>
                </w:tcPr>
                <w:p>
                  <w:pPr>
                    <w:autoSpaceDE w:val="0"/>
                    <w:autoSpaceDN w:val="0"/>
                    <w:adjustRightInd w:val="0"/>
                    <w:snapToGrid w:val="0"/>
                    <w:jc w:val="center"/>
                    <w:rPr>
                      <w:kern w:val="0"/>
                      <w:szCs w:val="21"/>
                    </w:rPr>
                  </w:pPr>
                  <w:r>
                    <w:rPr>
                      <w:rFonts w:hint="eastAsia"/>
                      <w:kern w:val="0"/>
                      <w:szCs w:val="21"/>
                    </w:rPr>
                    <w:t>不涉及</w:t>
                  </w:r>
                </w:p>
              </w:tc>
              <w:tc>
                <w:tcPr>
                  <w:tcW w:w="658" w:type="dxa"/>
                  <w:vAlign w:val="center"/>
                </w:tcPr>
                <w:p>
                  <w:pPr>
                    <w:autoSpaceDE w:val="0"/>
                    <w:autoSpaceDN w:val="0"/>
                    <w:adjustRightInd w:val="0"/>
                    <w:snapToGrid w:val="0"/>
                    <w:jc w:val="center"/>
                    <w:rPr>
                      <w:kern w:val="0"/>
                      <w:szCs w:val="21"/>
                    </w:rPr>
                  </w:pPr>
                  <w:r>
                    <w:rPr>
                      <w:rFonts w:hint="eastAsia"/>
                      <w:kern w:val="0"/>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60" w:type="dxa"/>
                  <w:vMerge w:val="continue"/>
                  <w:vAlign w:val="center"/>
                </w:tcPr>
                <w:p>
                  <w:pPr>
                    <w:autoSpaceDE w:val="0"/>
                    <w:autoSpaceDN w:val="0"/>
                    <w:adjustRightInd w:val="0"/>
                    <w:snapToGrid w:val="0"/>
                    <w:jc w:val="center"/>
                    <w:rPr>
                      <w:kern w:val="0"/>
                      <w:szCs w:val="21"/>
                    </w:rPr>
                  </w:pPr>
                </w:p>
              </w:tc>
              <w:tc>
                <w:tcPr>
                  <w:tcW w:w="3602" w:type="dxa"/>
                  <w:vAlign w:val="center"/>
                </w:tcPr>
                <w:p>
                  <w:pPr>
                    <w:autoSpaceDE w:val="0"/>
                    <w:autoSpaceDN w:val="0"/>
                    <w:adjustRightInd w:val="0"/>
                    <w:snapToGrid w:val="0"/>
                    <w:ind w:firstLine="456"/>
                    <w:rPr>
                      <w:spacing w:val="-6"/>
                      <w:kern w:val="0"/>
                      <w:szCs w:val="21"/>
                    </w:rPr>
                  </w:pPr>
                  <w:r>
                    <w:rPr>
                      <w:rFonts w:hint="eastAsia"/>
                      <w:spacing w:val="-6"/>
                      <w:kern w:val="0"/>
                      <w:szCs w:val="21"/>
                    </w:rPr>
                    <w:t>推动城镇污水处理厂扩容工程和提标改造。超负荷、满负荷运行的污水处理厂要及时实施扩容，出水排入超标水域的污水处理厂要因地制宜提高出水标准。</w:t>
                  </w:r>
                </w:p>
              </w:tc>
              <w:tc>
                <w:tcPr>
                  <w:tcW w:w="1348" w:type="dxa"/>
                  <w:vAlign w:val="center"/>
                </w:tcPr>
                <w:p>
                  <w:pPr>
                    <w:autoSpaceDE w:val="0"/>
                    <w:autoSpaceDN w:val="0"/>
                    <w:adjustRightInd w:val="0"/>
                    <w:snapToGrid w:val="0"/>
                    <w:jc w:val="center"/>
                    <w:rPr>
                      <w:kern w:val="0"/>
                      <w:szCs w:val="21"/>
                    </w:rPr>
                  </w:pPr>
                  <w:r>
                    <w:rPr>
                      <w:rFonts w:hint="eastAsia"/>
                      <w:kern w:val="0"/>
                      <w:szCs w:val="21"/>
                    </w:rPr>
                    <w:t>不涉及</w:t>
                  </w:r>
                </w:p>
              </w:tc>
              <w:tc>
                <w:tcPr>
                  <w:tcW w:w="658" w:type="dxa"/>
                  <w:vAlign w:val="center"/>
                </w:tcPr>
                <w:p>
                  <w:pPr>
                    <w:autoSpaceDE w:val="0"/>
                    <w:autoSpaceDN w:val="0"/>
                    <w:adjustRightInd w:val="0"/>
                    <w:snapToGrid w:val="0"/>
                    <w:jc w:val="center"/>
                    <w:rPr>
                      <w:kern w:val="0"/>
                      <w:szCs w:val="21"/>
                    </w:rPr>
                  </w:pPr>
                  <w:r>
                    <w:rPr>
                      <w:rFonts w:hint="eastAsia"/>
                      <w:kern w:val="0"/>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60" w:type="dxa"/>
                  <w:vMerge w:val="continue"/>
                  <w:vAlign w:val="center"/>
                </w:tcPr>
                <w:p>
                  <w:pPr>
                    <w:autoSpaceDE w:val="0"/>
                    <w:autoSpaceDN w:val="0"/>
                    <w:adjustRightInd w:val="0"/>
                    <w:snapToGrid w:val="0"/>
                    <w:jc w:val="center"/>
                    <w:rPr>
                      <w:kern w:val="0"/>
                      <w:szCs w:val="21"/>
                    </w:rPr>
                  </w:pPr>
                </w:p>
              </w:tc>
              <w:tc>
                <w:tcPr>
                  <w:tcW w:w="3602" w:type="dxa"/>
                  <w:vAlign w:val="center"/>
                </w:tcPr>
                <w:p>
                  <w:pPr>
                    <w:autoSpaceDE w:val="0"/>
                    <w:autoSpaceDN w:val="0"/>
                    <w:adjustRightInd w:val="0"/>
                    <w:snapToGrid w:val="0"/>
                    <w:rPr>
                      <w:kern w:val="0"/>
                      <w:szCs w:val="21"/>
                    </w:rPr>
                  </w:pPr>
                  <w:r>
                    <w:rPr>
                      <w:rFonts w:hint="eastAsia"/>
                      <w:kern w:val="0"/>
                      <w:szCs w:val="21"/>
                    </w:rPr>
                    <w:t>规模化畜禽养殖场（小区）应当保证畜禽粪污无害化处理和资源化利用设施的正常运转。</w:t>
                  </w:r>
                </w:p>
              </w:tc>
              <w:tc>
                <w:tcPr>
                  <w:tcW w:w="1348" w:type="dxa"/>
                  <w:vAlign w:val="center"/>
                </w:tcPr>
                <w:p>
                  <w:pPr>
                    <w:autoSpaceDE w:val="0"/>
                    <w:autoSpaceDN w:val="0"/>
                    <w:adjustRightInd w:val="0"/>
                    <w:snapToGrid w:val="0"/>
                    <w:jc w:val="center"/>
                    <w:rPr>
                      <w:kern w:val="0"/>
                      <w:szCs w:val="21"/>
                    </w:rPr>
                  </w:pPr>
                  <w:r>
                    <w:rPr>
                      <w:rFonts w:hint="eastAsia"/>
                      <w:kern w:val="0"/>
                      <w:szCs w:val="21"/>
                    </w:rPr>
                    <w:t>不涉及</w:t>
                  </w:r>
                </w:p>
              </w:tc>
              <w:tc>
                <w:tcPr>
                  <w:tcW w:w="658" w:type="dxa"/>
                  <w:vAlign w:val="center"/>
                </w:tcPr>
                <w:p>
                  <w:pPr>
                    <w:autoSpaceDE w:val="0"/>
                    <w:autoSpaceDN w:val="0"/>
                    <w:adjustRightInd w:val="0"/>
                    <w:snapToGrid w:val="0"/>
                    <w:jc w:val="center"/>
                    <w:rPr>
                      <w:kern w:val="0"/>
                      <w:szCs w:val="21"/>
                    </w:rPr>
                  </w:pPr>
                  <w:r>
                    <w:rPr>
                      <w:rFonts w:hint="eastAsia"/>
                      <w:kern w:val="0"/>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60" w:type="dxa"/>
                  <w:vMerge w:val="restart"/>
                  <w:vAlign w:val="center"/>
                </w:tcPr>
                <w:p>
                  <w:pPr>
                    <w:autoSpaceDE w:val="0"/>
                    <w:autoSpaceDN w:val="0"/>
                    <w:adjustRightInd w:val="0"/>
                    <w:snapToGrid w:val="0"/>
                    <w:jc w:val="center"/>
                    <w:rPr>
                      <w:kern w:val="0"/>
                      <w:szCs w:val="21"/>
                    </w:rPr>
                  </w:pPr>
                  <w:r>
                    <w:rPr>
                      <w:rFonts w:hint="eastAsia"/>
                      <w:kern w:val="0"/>
                      <w:szCs w:val="21"/>
                    </w:rPr>
                    <w:t>环境风险防控</w:t>
                  </w:r>
                </w:p>
              </w:tc>
              <w:tc>
                <w:tcPr>
                  <w:tcW w:w="3602" w:type="dxa"/>
                  <w:vAlign w:val="center"/>
                </w:tcPr>
                <w:p>
                  <w:pPr>
                    <w:autoSpaceDE w:val="0"/>
                    <w:autoSpaceDN w:val="0"/>
                    <w:adjustRightInd w:val="0"/>
                    <w:snapToGrid w:val="0"/>
                    <w:ind w:firstLine="436"/>
                    <w:rPr>
                      <w:spacing w:val="-6"/>
                      <w:kern w:val="0"/>
                      <w:szCs w:val="21"/>
                    </w:rPr>
                  </w:pPr>
                  <w:r>
                    <w:rPr>
                      <w:rFonts w:hint="eastAsia"/>
                      <w:spacing w:val="-11"/>
                      <w:kern w:val="0"/>
                      <w:szCs w:val="21"/>
                    </w:rPr>
                    <w:t>到2025年，城镇人口密集区现有不符合防护距离要求的危险化学品生产企业应就地改造达标、搬迁进入规范化工园区或关闭退出，企业安全和环境风险大幅降低。</w:t>
                  </w:r>
                </w:p>
              </w:tc>
              <w:tc>
                <w:tcPr>
                  <w:tcW w:w="1348" w:type="dxa"/>
                  <w:vAlign w:val="center"/>
                </w:tcPr>
                <w:p>
                  <w:pPr>
                    <w:autoSpaceDE w:val="0"/>
                    <w:autoSpaceDN w:val="0"/>
                    <w:adjustRightInd w:val="0"/>
                    <w:snapToGrid w:val="0"/>
                    <w:jc w:val="center"/>
                    <w:rPr>
                      <w:kern w:val="0"/>
                      <w:szCs w:val="21"/>
                    </w:rPr>
                  </w:pPr>
                  <w:r>
                    <w:rPr>
                      <w:rFonts w:hint="eastAsia"/>
                      <w:kern w:val="0"/>
                      <w:szCs w:val="21"/>
                    </w:rPr>
                    <w:t>不涉及</w:t>
                  </w:r>
                </w:p>
              </w:tc>
              <w:tc>
                <w:tcPr>
                  <w:tcW w:w="658" w:type="dxa"/>
                  <w:vAlign w:val="center"/>
                </w:tcPr>
                <w:p>
                  <w:pPr>
                    <w:autoSpaceDE w:val="0"/>
                    <w:autoSpaceDN w:val="0"/>
                    <w:adjustRightInd w:val="0"/>
                    <w:snapToGrid w:val="0"/>
                    <w:jc w:val="center"/>
                    <w:rPr>
                      <w:kern w:val="0"/>
                      <w:szCs w:val="21"/>
                    </w:rPr>
                  </w:pPr>
                  <w:r>
                    <w:rPr>
                      <w:rFonts w:hint="eastAsia"/>
                      <w:kern w:val="0"/>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60" w:type="dxa"/>
                  <w:vMerge w:val="continue"/>
                  <w:vAlign w:val="center"/>
                </w:tcPr>
                <w:p>
                  <w:pPr>
                    <w:autoSpaceDE w:val="0"/>
                    <w:autoSpaceDN w:val="0"/>
                    <w:adjustRightInd w:val="0"/>
                    <w:snapToGrid w:val="0"/>
                    <w:jc w:val="center"/>
                    <w:rPr>
                      <w:kern w:val="0"/>
                      <w:szCs w:val="21"/>
                    </w:rPr>
                  </w:pPr>
                </w:p>
              </w:tc>
              <w:tc>
                <w:tcPr>
                  <w:tcW w:w="3602" w:type="dxa"/>
                  <w:vAlign w:val="center"/>
                </w:tcPr>
                <w:p>
                  <w:pPr>
                    <w:autoSpaceDE w:val="0"/>
                    <w:autoSpaceDN w:val="0"/>
                    <w:adjustRightInd w:val="0"/>
                    <w:snapToGrid w:val="0"/>
                    <w:ind w:firstLine="456"/>
                    <w:rPr>
                      <w:spacing w:val="-6"/>
                      <w:kern w:val="0"/>
                      <w:szCs w:val="21"/>
                    </w:rPr>
                  </w:pPr>
                  <w:r>
                    <w:rPr>
                      <w:rFonts w:hint="eastAsia"/>
                      <w:spacing w:val="-6"/>
                      <w:kern w:val="0"/>
                      <w:szCs w:val="21"/>
                    </w:rPr>
                    <w:t>巩固城市饮用水水源保护与治理成果，加强饮用水水源地规范化建设，</w:t>
                  </w:r>
                  <w:r>
                    <w:rPr>
                      <w:rFonts w:hint="eastAsia"/>
                      <w:spacing w:val="-11"/>
                      <w:kern w:val="0"/>
                      <w:szCs w:val="21"/>
                    </w:rPr>
                    <w:t>完善风险防控与应急能力建设和相关管理措施，保证饮用水水源水质达标和水源安全。</w:t>
                  </w:r>
                </w:p>
              </w:tc>
              <w:tc>
                <w:tcPr>
                  <w:tcW w:w="1348" w:type="dxa"/>
                  <w:vAlign w:val="center"/>
                </w:tcPr>
                <w:p>
                  <w:pPr>
                    <w:autoSpaceDE w:val="0"/>
                    <w:autoSpaceDN w:val="0"/>
                    <w:adjustRightInd w:val="0"/>
                    <w:snapToGrid w:val="0"/>
                    <w:jc w:val="center"/>
                    <w:rPr>
                      <w:kern w:val="0"/>
                      <w:szCs w:val="21"/>
                    </w:rPr>
                  </w:pPr>
                  <w:r>
                    <w:rPr>
                      <w:rFonts w:hint="eastAsia"/>
                      <w:kern w:val="0"/>
                      <w:szCs w:val="21"/>
                    </w:rPr>
                    <w:t>不涉及</w:t>
                  </w:r>
                </w:p>
              </w:tc>
              <w:tc>
                <w:tcPr>
                  <w:tcW w:w="658" w:type="dxa"/>
                  <w:vAlign w:val="center"/>
                </w:tcPr>
                <w:p>
                  <w:pPr>
                    <w:autoSpaceDE w:val="0"/>
                    <w:autoSpaceDN w:val="0"/>
                    <w:adjustRightInd w:val="0"/>
                    <w:snapToGrid w:val="0"/>
                    <w:jc w:val="center"/>
                    <w:rPr>
                      <w:kern w:val="0"/>
                      <w:szCs w:val="21"/>
                    </w:rPr>
                  </w:pPr>
                  <w:r>
                    <w:rPr>
                      <w:rFonts w:hint="eastAsia"/>
                      <w:kern w:val="0"/>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60" w:type="dxa"/>
                  <w:vMerge w:val="restart"/>
                  <w:vAlign w:val="center"/>
                </w:tcPr>
                <w:p>
                  <w:pPr>
                    <w:autoSpaceDE w:val="0"/>
                    <w:autoSpaceDN w:val="0"/>
                    <w:adjustRightInd w:val="0"/>
                    <w:snapToGrid w:val="0"/>
                    <w:jc w:val="center"/>
                    <w:rPr>
                      <w:kern w:val="0"/>
                      <w:szCs w:val="21"/>
                    </w:rPr>
                  </w:pPr>
                  <w:r>
                    <w:rPr>
                      <w:rFonts w:hint="eastAsia"/>
                      <w:kern w:val="0"/>
                      <w:szCs w:val="21"/>
                    </w:rPr>
                    <w:t>资源利用要求</w:t>
                  </w:r>
                </w:p>
              </w:tc>
              <w:tc>
                <w:tcPr>
                  <w:tcW w:w="3602" w:type="dxa"/>
                  <w:vAlign w:val="center"/>
                </w:tcPr>
                <w:p>
                  <w:pPr>
                    <w:autoSpaceDE w:val="0"/>
                    <w:autoSpaceDN w:val="0"/>
                    <w:adjustRightInd w:val="0"/>
                    <w:snapToGrid w:val="0"/>
                    <w:ind w:firstLine="436"/>
                    <w:rPr>
                      <w:kern w:val="0"/>
                      <w:szCs w:val="21"/>
                    </w:rPr>
                  </w:pPr>
                  <w:r>
                    <w:rPr>
                      <w:rFonts w:hint="eastAsia"/>
                      <w:spacing w:val="-11"/>
                      <w:kern w:val="0"/>
                      <w:szCs w:val="21"/>
                    </w:rPr>
                    <w:t>推动园区串联用水，分质用水、一水多用和循环利用，提高水资源利用率，建设节水型园区。火电、钢铁、造纸、化工、粮食深加工等重点行业应推广实施节水改造和污水深度处理。鼓励钢铁、火电、纺织印染、造纸、石油石化、化工、制革等高耗水企业废水深度处理回用。</w:t>
                  </w:r>
                </w:p>
              </w:tc>
              <w:tc>
                <w:tcPr>
                  <w:tcW w:w="1348" w:type="dxa"/>
                  <w:vAlign w:val="center"/>
                </w:tcPr>
                <w:p>
                  <w:pPr>
                    <w:autoSpaceDE w:val="0"/>
                    <w:autoSpaceDN w:val="0"/>
                    <w:adjustRightInd w:val="0"/>
                    <w:snapToGrid w:val="0"/>
                    <w:jc w:val="center"/>
                    <w:rPr>
                      <w:kern w:val="0"/>
                      <w:szCs w:val="21"/>
                    </w:rPr>
                  </w:pPr>
                  <w:r>
                    <w:rPr>
                      <w:rFonts w:hint="eastAsia"/>
                      <w:kern w:val="0"/>
                      <w:szCs w:val="21"/>
                    </w:rPr>
                    <w:t>不涉及</w:t>
                  </w:r>
                </w:p>
              </w:tc>
              <w:tc>
                <w:tcPr>
                  <w:tcW w:w="658" w:type="dxa"/>
                  <w:vAlign w:val="center"/>
                </w:tcPr>
                <w:p>
                  <w:pPr>
                    <w:autoSpaceDE w:val="0"/>
                    <w:autoSpaceDN w:val="0"/>
                    <w:adjustRightInd w:val="0"/>
                    <w:snapToGrid w:val="0"/>
                    <w:jc w:val="center"/>
                    <w:rPr>
                      <w:kern w:val="0"/>
                      <w:szCs w:val="21"/>
                    </w:rPr>
                  </w:pPr>
                  <w:r>
                    <w:rPr>
                      <w:rFonts w:hint="eastAsia"/>
                      <w:kern w:val="0"/>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60" w:type="dxa"/>
                  <w:vMerge w:val="continue"/>
                  <w:vAlign w:val="center"/>
                </w:tcPr>
                <w:p>
                  <w:pPr>
                    <w:autoSpaceDE w:val="0"/>
                    <w:autoSpaceDN w:val="0"/>
                    <w:adjustRightInd w:val="0"/>
                    <w:snapToGrid w:val="0"/>
                    <w:jc w:val="center"/>
                    <w:rPr>
                      <w:kern w:val="0"/>
                      <w:szCs w:val="21"/>
                    </w:rPr>
                  </w:pPr>
                </w:p>
              </w:tc>
              <w:tc>
                <w:tcPr>
                  <w:tcW w:w="3602" w:type="dxa"/>
                  <w:vAlign w:val="center"/>
                </w:tcPr>
                <w:p>
                  <w:pPr>
                    <w:autoSpaceDE w:val="0"/>
                    <w:autoSpaceDN w:val="0"/>
                    <w:adjustRightInd w:val="0"/>
                    <w:snapToGrid w:val="0"/>
                    <w:ind w:firstLine="436"/>
                    <w:rPr>
                      <w:spacing w:val="-11"/>
                      <w:kern w:val="0"/>
                      <w:szCs w:val="21"/>
                    </w:rPr>
                  </w:pPr>
                  <w:r>
                    <w:rPr>
                      <w:rFonts w:hint="eastAsia"/>
                      <w:spacing w:val="-11"/>
                      <w:kern w:val="0"/>
                      <w:szCs w:val="21"/>
                    </w:rPr>
                    <w:t>按照《中华人民共和国黑土地保护法》《吉林省黑土地保护条例》实施黑土地保护，加大黑土区水土流失治理力度，发展保护性耕作，促进黑土地可持续发展。</w:t>
                  </w:r>
                </w:p>
              </w:tc>
              <w:tc>
                <w:tcPr>
                  <w:tcW w:w="1348" w:type="dxa"/>
                  <w:vAlign w:val="center"/>
                </w:tcPr>
                <w:p>
                  <w:pPr>
                    <w:autoSpaceDE w:val="0"/>
                    <w:autoSpaceDN w:val="0"/>
                    <w:adjustRightInd w:val="0"/>
                    <w:snapToGrid w:val="0"/>
                    <w:jc w:val="center"/>
                    <w:rPr>
                      <w:kern w:val="0"/>
                      <w:szCs w:val="21"/>
                    </w:rPr>
                  </w:pPr>
                  <w:r>
                    <w:rPr>
                      <w:rFonts w:hint="eastAsia"/>
                      <w:kern w:val="0"/>
                      <w:szCs w:val="21"/>
                    </w:rPr>
                    <w:t>不涉及</w:t>
                  </w:r>
                </w:p>
              </w:tc>
              <w:tc>
                <w:tcPr>
                  <w:tcW w:w="658" w:type="dxa"/>
                  <w:vAlign w:val="center"/>
                </w:tcPr>
                <w:p>
                  <w:pPr>
                    <w:autoSpaceDE w:val="0"/>
                    <w:autoSpaceDN w:val="0"/>
                    <w:adjustRightInd w:val="0"/>
                    <w:snapToGrid w:val="0"/>
                    <w:jc w:val="center"/>
                    <w:rPr>
                      <w:kern w:val="0"/>
                      <w:szCs w:val="21"/>
                    </w:rPr>
                  </w:pPr>
                  <w:r>
                    <w:rPr>
                      <w:rFonts w:hint="eastAsia"/>
                      <w:kern w:val="0"/>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60" w:type="dxa"/>
                  <w:vMerge w:val="continue"/>
                  <w:vAlign w:val="center"/>
                </w:tcPr>
                <w:p>
                  <w:pPr>
                    <w:autoSpaceDE w:val="0"/>
                    <w:autoSpaceDN w:val="0"/>
                    <w:adjustRightInd w:val="0"/>
                    <w:snapToGrid w:val="0"/>
                    <w:jc w:val="center"/>
                    <w:rPr>
                      <w:kern w:val="0"/>
                      <w:szCs w:val="21"/>
                    </w:rPr>
                  </w:pPr>
                </w:p>
              </w:tc>
              <w:tc>
                <w:tcPr>
                  <w:tcW w:w="3602" w:type="dxa"/>
                  <w:vAlign w:val="center"/>
                </w:tcPr>
                <w:p>
                  <w:pPr>
                    <w:autoSpaceDE w:val="0"/>
                    <w:autoSpaceDN w:val="0"/>
                    <w:adjustRightInd w:val="0"/>
                    <w:snapToGrid w:val="0"/>
                    <w:rPr>
                      <w:spacing w:val="-11"/>
                      <w:kern w:val="0"/>
                      <w:szCs w:val="21"/>
                    </w:rPr>
                  </w:pPr>
                  <w:r>
                    <w:rPr>
                      <w:rFonts w:hint="eastAsia"/>
                      <w:kern w:val="0"/>
                      <w:szCs w:val="21"/>
                    </w:rPr>
                    <w:t>严格控制煤炭消费。制定煤炭消费总量控制目标，规范实行煤炭消费控制目标管理和减量（等量）替代管理。</w:t>
                  </w:r>
                </w:p>
              </w:tc>
              <w:tc>
                <w:tcPr>
                  <w:tcW w:w="1348" w:type="dxa"/>
                  <w:vAlign w:val="center"/>
                </w:tcPr>
                <w:p>
                  <w:pPr>
                    <w:autoSpaceDE w:val="0"/>
                    <w:autoSpaceDN w:val="0"/>
                    <w:adjustRightInd w:val="0"/>
                    <w:snapToGrid w:val="0"/>
                    <w:jc w:val="center"/>
                    <w:rPr>
                      <w:kern w:val="0"/>
                      <w:szCs w:val="21"/>
                    </w:rPr>
                  </w:pPr>
                  <w:r>
                    <w:rPr>
                      <w:rFonts w:hint="eastAsia"/>
                      <w:kern w:val="0"/>
                      <w:szCs w:val="21"/>
                    </w:rPr>
                    <w:t>不涉及</w:t>
                  </w:r>
                </w:p>
              </w:tc>
              <w:tc>
                <w:tcPr>
                  <w:tcW w:w="658" w:type="dxa"/>
                  <w:vAlign w:val="center"/>
                </w:tcPr>
                <w:p>
                  <w:pPr>
                    <w:autoSpaceDE w:val="0"/>
                    <w:autoSpaceDN w:val="0"/>
                    <w:adjustRightInd w:val="0"/>
                    <w:snapToGrid w:val="0"/>
                    <w:jc w:val="center"/>
                    <w:rPr>
                      <w:kern w:val="0"/>
                      <w:szCs w:val="21"/>
                    </w:rPr>
                  </w:pPr>
                  <w:r>
                    <w:rPr>
                      <w:rFonts w:hint="eastAsia"/>
                      <w:kern w:val="0"/>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60" w:type="dxa"/>
                  <w:vMerge w:val="continue"/>
                  <w:vAlign w:val="center"/>
                </w:tcPr>
                <w:p>
                  <w:pPr>
                    <w:autoSpaceDE w:val="0"/>
                    <w:autoSpaceDN w:val="0"/>
                    <w:adjustRightInd w:val="0"/>
                    <w:snapToGrid w:val="0"/>
                    <w:jc w:val="center"/>
                    <w:rPr>
                      <w:kern w:val="0"/>
                      <w:szCs w:val="21"/>
                    </w:rPr>
                  </w:pPr>
                </w:p>
              </w:tc>
              <w:tc>
                <w:tcPr>
                  <w:tcW w:w="3602" w:type="dxa"/>
                  <w:vAlign w:val="center"/>
                </w:tcPr>
                <w:p>
                  <w:pPr>
                    <w:autoSpaceDE w:val="0"/>
                    <w:autoSpaceDN w:val="0"/>
                    <w:adjustRightInd w:val="0"/>
                    <w:snapToGrid w:val="0"/>
                    <w:rPr>
                      <w:kern w:val="0"/>
                      <w:szCs w:val="21"/>
                    </w:rPr>
                  </w:pPr>
                  <w:r>
                    <w:rPr>
                      <w:rFonts w:hint="eastAsia"/>
                      <w:kern w:val="0"/>
                      <w:szCs w:val="21"/>
                    </w:rPr>
                    <w:t>高污染燃料禁燃区内，禁止销售、燃用高污染燃料；禁止新建、扩建燃用高污染燃料的设施。</w:t>
                  </w:r>
                </w:p>
              </w:tc>
              <w:tc>
                <w:tcPr>
                  <w:tcW w:w="1348" w:type="dxa"/>
                  <w:vAlign w:val="center"/>
                </w:tcPr>
                <w:p>
                  <w:pPr>
                    <w:autoSpaceDE w:val="0"/>
                    <w:autoSpaceDN w:val="0"/>
                    <w:adjustRightInd w:val="0"/>
                    <w:snapToGrid w:val="0"/>
                    <w:jc w:val="center"/>
                    <w:rPr>
                      <w:kern w:val="0"/>
                      <w:szCs w:val="21"/>
                    </w:rPr>
                  </w:pPr>
                  <w:r>
                    <w:rPr>
                      <w:rFonts w:hint="eastAsia"/>
                      <w:kern w:val="0"/>
                      <w:szCs w:val="21"/>
                    </w:rPr>
                    <w:t>项目燃料为生物质成型颗粒，锅炉</w:t>
                  </w:r>
                  <w:r>
                    <w:rPr>
                      <w:kern w:val="0"/>
                      <w:szCs w:val="21"/>
                    </w:rPr>
                    <w:t>采用低氮燃烧</w:t>
                  </w:r>
                  <w:r>
                    <w:rPr>
                      <w:rFonts w:hint="eastAsia"/>
                      <w:kern w:val="0"/>
                      <w:szCs w:val="21"/>
                    </w:rPr>
                    <w:t>+陶瓷多管+布袋除尘器处理，不属于高污染燃料，且项目位置不属于高污染燃料禁燃区</w:t>
                  </w:r>
                </w:p>
              </w:tc>
              <w:tc>
                <w:tcPr>
                  <w:tcW w:w="658" w:type="dxa"/>
                  <w:vAlign w:val="center"/>
                </w:tcPr>
                <w:p>
                  <w:pPr>
                    <w:autoSpaceDE w:val="0"/>
                    <w:autoSpaceDN w:val="0"/>
                    <w:adjustRightInd w:val="0"/>
                    <w:snapToGrid w:val="0"/>
                    <w:jc w:val="center"/>
                    <w:rPr>
                      <w:kern w:val="0"/>
                      <w:szCs w:val="21"/>
                    </w:rPr>
                  </w:pPr>
                  <w:r>
                    <w:rPr>
                      <w:rFonts w:hint="eastAsia"/>
                      <w:kern w:val="0"/>
                      <w:szCs w:val="21"/>
                    </w:rPr>
                    <w:t>符合</w:t>
                  </w:r>
                </w:p>
              </w:tc>
            </w:tr>
          </w:tbl>
          <w:p>
            <w:pPr>
              <w:autoSpaceDE w:val="0"/>
              <w:autoSpaceDN w:val="0"/>
              <w:spacing w:beforeLines="50" w:line="360" w:lineRule="auto"/>
              <w:ind w:firstLine="480" w:firstLineChars="200"/>
              <w:rPr>
                <w:kern w:val="0"/>
                <w:sz w:val="24"/>
              </w:rPr>
            </w:pPr>
            <w:r>
              <w:rPr>
                <w:kern w:val="0"/>
                <w:sz w:val="24"/>
              </w:rPr>
              <w:t>项目与通化市生态环境准入要求符合性分析详见下表。</w:t>
            </w:r>
          </w:p>
          <w:p>
            <w:pPr>
              <w:pStyle w:val="23"/>
              <w:ind w:left="0" w:firstLine="0"/>
              <w:rPr>
                <w:rFonts w:cs="Times New Roman"/>
                <w:sz w:val="24"/>
                <w:szCs w:val="24"/>
                <w:u w:val="none"/>
              </w:rPr>
            </w:pPr>
            <w:r>
              <w:rPr>
                <w:rFonts w:hint="eastAsia"/>
                <w:u w:val="none"/>
              </w:rPr>
              <w:t>与“通化市生态环境准入清单”的相符性</w:t>
            </w:r>
          </w:p>
          <w:tbl>
            <w:tblPr>
              <w:tblStyle w:val="19"/>
              <w:tblW w:w="6267"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658"/>
              <w:gridCol w:w="654"/>
              <w:gridCol w:w="2769"/>
              <w:gridCol w:w="1508"/>
              <w:gridCol w:w="678"/>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8" w:type="dxa"/>
                  <w:vAlign w:val="center"/>
                </w:tcPr>
                <w:p>
                  <w:pPr>
                    <w:autoSpaceDE w:val="0"/>
                    <w:autoSpaceDN w:val="0"/>
                    <w:adjustRightInd w:val="0"/>
                    <w:snapToGrid w:val="0"/>
                    <w:ind w:firstLine="482"/>
                    <w:jc w:val="center"/>
                    <w:rPr>
                      <w:b/>
                      <w:bCs/>
                      <w:kern w:val="0"/>
                      <w:szCs w:val="21"/>
                    </w:rPr>
                  </w:pPr>
                  <w:r>
                    <w:rPr>
                      <w:rFonts w:hint="eastAsia"/>
                      <w:b/>
                      <w:bCs/>
                      <w:kern w:val="0"/>
                      <w:szCs w:val="21"/>
                    </w:rPr>
                    <w:t>管控类别</w:t>
                  </w:r>
                </w:p>
              </w:tc>
              <w:tc>
                <w:tcPr>
                  <w:tcW w:w="3423" w:type="dxa"/>
                  <w:gridSpan w:val="2"/>
                  <w:vAlign w:val="center"/>
                </w:tcPr>
                <w:p>
                  <w:pPr>
                    <w:autoSpaceDE w:val="0"/>
                    <w:autoSpaceDN w:val="0"/>
                    <w:adjustRightInd w:val="0"/>
                    <w:snapToGrid w:val="0"/>
                    <w:ind w:firstLine="482"/>
                    <w:jc w:val="center"/>
                    <w:rPr>
                      <w:b/>
                      <w:bCs/>
                      <w:kern w:val="0"/>
                      <w:szCs w:val="21"/>
                    </w:rPr>
                  </w:pPr>
                  <w:r>
                    <w:rPr>
                      <w:rFonts w:hint="eastAsia"/>
                      <w:b/>
                      <w:bCs/>
                      <w:kern w:val="0"/>
                      <w:szCs w:val="21"/>
                    </w:rPr>
                    <w:t>管控要求</w:t>
                  </w:r>
                </w:p>
              </w:tc>
              <w:tc>
                <w:tcPr>
                  <w:tcW w:w="1508" w:type="dxa"/>
                  <w:vAlign w:val="center"/>
                </w:tcPr>
                <w:p>
                  <w:pPr>
                    <w:autoSpaceDE w:val="0"/>
                    <w:autoSpaceDN w:val="0"/>
                    <w:adjustRightInd w:val="0"/>
                    <w:snapToGrid w:val="0"/>
                    <w:ind w:firstLine="482"/>
                    <w:jc w:val="center"/>
                    <w:rPr>
                      <w:b/>
                      <w:bCs/>
                      <w:kern w:val="0"/>
                      <w:szCs w:val="21"/>
                    </w:rPr>
                  </w:pPr>
                  <w:r>
                    <w:rPr>
                      <w:rFonts w:hint="eastAsia"/>
                      <w:b/>
                      <w:bCs/>
                      <w:kern w:val="0"/>
                      <w:szCs w:val="21"/>
                    </w:rPr>
                    <w:t>本项目</w:t>
                  </w:r>
                </w:p>
              </w:tc>
              <w:tc>
                <w:tcPr>
                  <w:tcW w:w="678" w:type="dxa"/>
                  <w:vAlign w:val="center"/>
                </w:tcPr>
                <w:p>
                  <w:pPr>
                    <w:autoSpaceDE w:val="0"/>
                    <w:autoSpaceDN w:val="0"/>
                    <w:adjustRightInd w:val="0"/>
                    <w:snapToGrid w:val="0"/>
                    <w:ind w:firstLine="482"/>
                    <w:jc w:val="center"/>
                    <w:rPr>
                      <w:b/>
                      <w:bCs/>
                      <w:kern w:val="0"/>
                      <w:szCs w:val="21"/>
                    </w:rPr>
                  </w:pPr>
                  <w:r>
                    <w:rPr>
                      <w:rFonts w:hint="eastAsia"/>
                      <w:b/>
                      <w:bCs/>
                      <w:kern w:val="0"/>
                      <w:szCs w:val="21"/>
                    </w:rPr>
                    <w:t>相符性</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8" w:type="dxa"/>
                  <w:vMerge w:val="restart"/>
                  <w:vAlign w:val="center"/>
                </w:tcPr>
                <w:p>
                  <w:pPr>
                    <w:autoSpaceDE w:val="0"/>
                    <w:autoSpaceDN w:val="0"/>
                    <w:adjustRightInd w:val="0"/>
                    <w:snapToGrid w:val="0"/>
                    <w:jc w:val="center"/>
                    <w:rPr>
                      <w:kern w:val="0"/>
                      <w:szCs w:val="21"/>
                    </w:rPr>
                  </w:pPr>
                  <w:r>
                    <w:rPr>
                      <w:rFonts w:hint="eastAsia"/>
                      <w:kern w:val="0"/>
                      <w:szCs w:val="21"/>
                    </w:rPr>
                    <w:t>空间布局约束</w:t>
                  </w:r>
                </w:p>
              </w:tc>
              <w:tc>
                <w:tcPr>
                  <w:tcW w:w="3423" w:type="dxa"/>
                  <w:gridSpan w:val="2"/>
                  <w:vAlign w:val="center"/>
                </w:tcPr>
                <w:p>
                  <w:pPr>
                    <w:autoSpaceDE w:val="0"/>
                    <w:autoSpaceDN w:val="0"/>
                    <w:adjustRightInd w:val="0"/>
                    <w:snapToGrid w:val="0"/>
                    <w:ind w:firstLine="456"/>
                    <w:rPr>
                      <w:spacing w:val="-6"/>
                      <w:kern w:val="0"/>
                      <w:szCs w:val="21"/>
                    </w:rPr>
                  </w:pPr>
                  <w:r>
                    <w:rPr>
                      <w:rFonts w:hint="eastAsia"/>
                      <w:spacing w:val="-6"/>
                      <w:kern w:val="0"/>
                      <w:szCs w:val="21"/>
                    </w:rPr>
                    <w:t>严格落实《中华人民共和国自然保护区条例》《中华人民共和国湿地保护法》《水产种质资源保护区管理办法》《国家级自然公园管理办法（试行）》（林保规〔2023〕4号）《自然资源部 生态环境部 国家林业和草原局关于加强生态保护红线管理的通知（试行）》（自然资发〔2022〕142号）《吉林省生态保护红线监管办法（试行）》（吉政办规〔2023〕2号）等要求</w:t>
                  </w:r>
                </w:p>
              </w:tc>
              <w:tc>
                <w:tcPr>
                  <w:tcW w:w="1508" w:type="dxa"/>
                  <w:vAlign w:val="center"/>
                </w:tcPr>
                <w:p>
                  <w:pPr>
                    <w:autoSpaceDE w:val="0"/>
                    <w:autoSpaceDN w:val="0"/>
                    <w:adjustRightInd w:val="0"/>
                    <w:snapToGrid w:val="0"/>
                    <w:jc w:val="center"/>
                    <w:rPr>
                      <w:kern w:val="0"/>
                      <w:szCs w:val="21"/>
                    </w:rPr>
                  </w:pPr>
                  <w:r>
                    <w:rPr>
                      <w:rFonts w:hint="eastAsia"/>
                      <w:kern w:val="0"/>
                      <w:szCs w:val="21"/>
                    </w:rPr>
                    <w:t>项目满足相关要求，不在红线范围内</w:t>
                  </w:r>
                </w:p>
              </w:tc>
              <w:tc>
                <w:tcPr>
                  <w:tcW w:w="678" w:type="dxa"/>
                  <w:vAlign w:val="center"/>
                </w:tcPr>
                <w:p>
                  <w:pPr>
                    <w:autoSpaceDE w:val="0"/>
                    <w:autoSpaceDN w:val="0"/>
                    <w:adjustRightInd w:val="0"/>
                    <w:snapToGrid w:val="0"/>
                    <w:jc w:val="center"/>
                    <w:rPr>
                      <w:kern w:val="0"/>
                      <w:szCs w:val="21"/>
                    </w:rPr>
                  </w:pPr>
                  <w:r>
                    <w:rPr>
                      <w:rFonts w:hint="eastAsia"/>
                      <w:kern w:val="0"/>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8" w:type="dxa"/>
                  <w:vMerge w:val="continue"/>
                  <w:vAlign w:val="center"/>
                </w:tcPr>
                <w:p>
                  <w:pPr>
                    <w:autoSpaceDE w:val="0"/>
                    <w:autoSpaceDN w:val="0"/>
                    <w:adjustRightInd w:val="0"/>
                    <w:snapToGrid w:val="0"/>
                    <w:jc w:val="center"/>
                    <w:rPr>
                      <w:kern w:val="0"/>
                      <w:szCs w:val="21"/>
                    </w:rPr>
                  </w:pPr>
                </w:p>
              </w:tc>
              <w:tc>
                <w:tcPr>
                  <w:tcW w:w="3423" w:type="dxa"/>
                  <w:gridSpan w:val="2"/>
                  <w:vAlign w:val="center"/>
                </w:tcPr>
                <w:p>
                  <w:pPr>
                    <w:autoSpaceDE w:val="0"/>
                    <w:autoSpaceDN w:val="0"/>
                    <w:adjustRightInd w:val="0"/>
                    <w:snapToGrid w:val="0"/>
                    <w:ind w:firstLine="456"/>
                    <w:rPr>
                      <w:spacing w:val="-6"/>
                      <w:kern w:val="0"/>
                      <w:szCs w:val="21"/>
                    </w:rPr>
                  </w:pPr>
                  <w:r>
                    <w:rPr>
                      <w:rFonts w:hint="eastAsia"/>
                      <w:spacing w:val="-6"/>
                      <w:kern w:val="0"/>
                      <w:szCs w:val="21"/>
                    </w:rPr>
                    <w:t>禁止在下列林地的采伐迹地种植人参：（1）自然保护区、森林公园、景区及其附近林地；（2）江河源头和两岸林地；（3）水库、湖泊周围等生态重要区位林地；（4）国道、省道、县道两侧第一层山脊内林地；（5）坡度在25度以上的林地；（6）山脊、沟壑等林地；（7）不符合人参种植标准和要求的其他林地</w:t>
                  </w:r>
                </w:p>
              </w:tc>
              <w:tc>
                <w:tcPr>
                  <w:tcW w:w="1508" w:type="dxa"/>
                  <w:vAlign w:val="center"/>
                </w:tcPr>
                <w:p>
                  <w:pPr>
                    <w:autoSpaceDE w:val="0"/>
                    <w:autoSpaceDN w:val="0"/>
                    <w:adjustRightInd w:val="0"/>
                    <w:snapToGrid w:val="0"/>
                    <w:jc w:val="center"/>
                    <w:rPr>
                      <w:kern w:val="0"/>
                      <w:szCs w:val="21"/>
                    </w:rPr>
                  </w:pPr>
                  <w:r>
                    <w:rPr>
                      <w:rFonts w:hint="eastAsia"/>
                      <w:kern w:val="0"/>
                      <w:szCs w:val="21"/>
                    </w:rPr>
                    <w:t>不涉及</w:t>
                  </w:r>
                </w:p>
              </w:tc>
              <w:tc>
                <w:tcPr>
                  <w:tcW w:w="678" w:type="dxa"/>
                  <w:vAlign w:val="center"/>
                </w:tcPr>
                <w:p>
                  <w:pPr>
                    <w:autoSpaceDE w:val="0"/>
                    <w:autoSpaceDN w:val="0"/>
                    <w:adjustRightInd w:val="0"/>
                    <w:snapToGrid w:val="0"/>
                    <w:jc w:val="center"/>
                    <w:rPr>
                      <w:kern w:val="0"/>
                      <w:szCs w:val="21"/>
                    </w:rPr>
                  </w:pPr>
                  <w:r>
                    <w:rPr>
                      <w:rFonts w:hint="eastAsia"/>
                      <w:kern w:val="0"/>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8" w:type="dxa"/>
                  <w:vMerge w:val="continue"/>
                  <w:vAlign w:val="center"/>
                </w:tcPr>
                <w:p>
                  <w:pPr>
                    <w:autoSpaceDE w:val="0"/>
                    <w:autoSpaceDN w:val="0"/>
                    <w:adjustRightInd w:val="0"/>
                    <w:snapToGrid w:val="0"/>
                    <w:jc w:val="center"/>
                    <w:rPr>
                      <w:kern w:val="0"/>
                      <w:szCs w:val="21"/>
                    </w:rPr>
                  </w:pPr>
                </w:p>
              </w:tc>
              <w:tc>
                <w:tcPr>
                  <w:tcW w:w="3423" w:type="dxa"/>
                  <w:gridSpan w:val="2"/>
                  <w:vAlign w:val="center"/>
                </w:tcPr>
                <w:p>
                  <w:pPr>
                    <w:autoSpaceDE w:val="0"/>
                    <w:autoSpaceDN w:val="0"/>
                    <w:adjustRightInd w:val="0"/>
                    <w:snapToGrid w:val="0"/>
                    <w:ind w:firstLine="456"/>
                    <w:rPr>
                      <w:spacing w:val="-6"/>
                      <w:kern w:val="0"/>
                      <w:szCs w:val="21"/>
                    </w:rPr>
                  </w:pPr>
                  <w:r>
                    <w:rPr>
                      <w:rFonts w:hint="eastAsia"/>
                      <w:spacing w:val="-6"/>
                      <w:kern w:val="0"/>
                      <w:szCs w:val="21"/>
                    </w:rPr>
                    <w:t>大力推进天然林保护工程和退耕还林工程，加强流域水污染综合治理，加强重要湿地的保护，加大矿区废弃地的恢复和重建</w:t>
                  </w:r>
                </w:p>
              </w:tc>
              <w:tc>
                <w:tcPr>
                  <w:tcW w:w="1508" w:type="dxa"/>
                  <w:vAlign w:val="center"/>
                </w:tcPr>
                <w:p>
                  <w:pPr>
                    <w:autoSpaceDE w:val="0"/>
                    <w:autoSpaceDN w:val="0"/>
                    <w:adjustRightInd w:val="0"/>
                    <w:snapToGrid w:val="0"/>
                    <w:jc w:val="center"/>
                    <w:rPr>
                      <w:kern w:val="0"/>
                      <w:szCs w:val="21"/>
                    </w:rPr>
                  </w:pPr>
                  <w:r>
                    <w:rPr>
                      <w:rFonts w:hint="eastAsia"/>
                      <w:kern w:val="0"/>
                      <w:szCs w:val="21"/>
                    </w:rPr>
                    <w:t>不涉及</w:t>
                  </w:r>
                </w:p>
              </w:tc>
              <w:tc>
                <w:tcPr>
                  <w:tcW w:w="678" w:type="dxa"/>
                  <w:vAlign w:val="center"/>
                </w:tcPr>
                <w:p>
                  <w:pPr>
                    <w:autoSpaceDE w:val="0"/>
                    <w:autoSpaceDN w:val="0"/>
                    <w:adjustRightInd w:val="0"/>
                    <w:snapToGrid w:val="0"/>
                    <w:jc w:val="center"/>
                    <w:rPr>
                      <w:kern w:val="0"/>
                      <w:szCs w:val="21"/>
                    </w:rPr>
                  </w:pPr>
                  <w:r>
                    <w:rPr>
                      <w:rFonts w:hint="eastAsia"/>
                      <w:kern w:val="0"/>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8" w:type="dxa"/>
                  <w:vMerge w:val="continue"/>
                  <w:vAlign w:val="center"/>
                </w:tcPr>
                <w:p>
                  <w:pPr>
                    <w:autoSpaceDE w:val="0"/>
                    <w:autoSpaceDN w:val="0"/>
                    <w:adjustRightInd w:val="0"/>
                    <w:snapToGrid w:val="0"/>
                    <w:jc w:val="center"/>
                    <w:rPr>
                      <w:kern w:val="0"/>
                      <w:szCs w:val="21"/>
                    </w:rPr>
                  </w:pPr>
                </w:p>
              </w:tc>
              <w:tc>
                <w:tcPr>
                  <w:tcW w:w="3423" w:type="dxa"/>
                  <w:gridSpan w:val="2"/>
                  <w:vAlign w:val="center"/>
                </w:tcPr>
                <w:p>
                  <w:pPr>
                    <w:autoSpaceDE w:val="0"/>
                    <w:autoSpaceDN w:val="0"/>
                    <w:adjustRightInd w:val="0"/>
                    <w:snapToGrid w:val="0"/>
                    <w:ind w:firstLine="456"/>
                    <w:rPr>
                      <w:spacing w:val="-6"/>
                      <w:kern w:val="0"/>
                      <w:szCs w:val="21"/>
                    </w:rPr>
                  </w:pPr>
                  <w:r>
                    <w:rPr>
                      <w:rFonts w:hint="eastAsia"/>
                      <w:spacing w:val="-6"/>
                      <w:kern w:val="0"/>
                      <w:szCs w:val="21"/>
                    </w:rPr>
                    <w:t>加快小流域综合治理，对不宜农的丘陵地、高台地退耕还林；减少化肥和农药的使用量，提高使用效率；</w:t>
                  </w:r>
                  <w:r>
                    <w:rPr>
                      <w:rFonts w:hint="eastAsia"/>
                      <w:spacing w:val="-11"/>
                      <w:kern w:val="0"/>
                      <w:szCs w:val="21"/>
                    </w:rPr>
                    <w:t>加强水资源保护，治理工业废水和城镇污水</w:t>
                  </w:r>
                </w:p>
              </w:tc>
              <w:tc>
                <w:tcPr>
                  <w:tcW w:w="1508" w:type="dxa"/>
                  <w:vAlign w:val="center"/>
                </w:tcPr>
                <w:p>
                  <w:pPr>
                    <w:autoSpaceDE w:val="0"/>
                    <w:autoSpaceDN w:val="0"/>
                    <w:adjustRightInd w:val="0"/>
                    <w:snapToGrid w:val="0"/>
                    <w:jc w:val="center"/>
                    <w:rPr>
                      <w:kern w:val="0"/>
                      <w:szCs w:val="21"/>
                    </w:rPr>
                  </w:pPr>
                  <w:r>
                    <w:rPr>
                      <w:rFonts w:hint="eastAsia"/>
                      <w:kern w:val="0"/>
                      <w:szCs w:val="21"/>
                    </w:rPr>
                    <w:t>不涉及</w:t>
                  </w:r>
                </w:p>
              </w:tc>
              <w:tc>
                <w:tcPr>
                  <w:tcW w:w="678" w:type="dxa"/>
                  <w:vAlign w:val="center"/>
                </w:tcPr>
                <w:p>
                  <w:pPr>
                    <w:autoSpaceDE w:val="0"/>
                    <w:autoSpaceDN w:val="0"/>
                    <w:adjustRightInd w:val="0"/>
                    <w:snapToGrid w:val="0"/>
                    <w:jc w:val="center"/>
                    <w:rPr>
                      <w:kern w:val="0"/>
                      <w:szCs w:val="21"/>
                    </w:rPr>
                  </w:pPr>
                  <w:r>
                    <w:rPr>
                      <w:rFonts w:hint="eastAsia"/>
                      <w:kern w:val="0"/>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8" w:type="dxa"/>
                  <w:vMerge w:val="continue"/>
                  <w:vAlign w:val="center"/>
                </w:tcPr>
                <w:p>
                  <w:pPr>
                    <w:autoSpaceDE w:val="0"/>
                    <w:autoSpaceDN w:val="0"/>
                    <w:adjustRightInd w:val="0"/>
                    <w:snapToGrid w:val="0"/>
                    <w:jc w:val="center"/>
                    <w:rPr>
                      <w:kern w:val="0"/>
                      <w:szCs w:val="21"/>
                    </w:rPr>
                  </w:pPr>
                </w:p>
              </w:tc>
              <w:tc>
                <w:tcPr>
                  <w:tcW w:w="3423" w:type="dxa"/>
                  <w:gridSpan w:val="2"/>
                  <w:vAlign w:val="center"/>
                </w:tcPr>
                <w:p>
                  <w:pPr>
                    <w:autoSpaceDE w:val="0"/>
                    <w:autoSpaceDN w:val="0"/>
                    <w:adjustRightInd w:val="0"/>
                    <w:snapToGrid w:val="0"/>
                    <w:ind w:firstLine="456"/>
                    <w:rPr>
                      <w:spacing w:val="-6"/>
                      <w:kern w:val="0"/>
                      <w:szCs w:val="21"/>
                    </w:rPr>
                  </w:pPr>
                  <w:r>
                    <w:rPr>
                      <w:rFonts w:hint="eastAsia"/>
                      <w:spacing w:val="-6"/>
                      <w:kern w:val="0"/>
                      <w:szCs w:val="21"/>
                    </w:rPr>
                    <w:t>加快推进城镇人口密集区和环境敏感区域的危险化学品生产企业搬迁入园或转产关闭工作</w:t>
                  </w:r>
                </w:p>
              </w:tc>
              <w:tc>
                <w:tcPr>
                  <w:tcW w:w="1508" w:type="dxa"/>
                  <w:vAlign w:val="center"/>
                </w:tcPr>
                <w:p>
                  <w:pPr>
                    <w:autoSpaceDE w:val="0"/>
                    <w:autoSpaceDN w:val="0"/>
                    <w:adjustRightInd w:val="0"/>
                    <w:snapToGrid w:val="0"/>
                    <w:jc w:val="center"/>
                    <w:rPr>
                      <w:kern w:val="0"/>
                      <w:szCs w:val="21"/>
                    </w:rPr>
                  </w:pPr>
                  <w:r>
                    <w:rPr>
                      <w:rFonts w:hint="eastAsia"/>
                      <w:kern w:val="0"/>
                      <w:szCs w:val="21"/>
                    </w:rPr>
                    <w:t>不涉及</w:t>
                  </w:r>
                </w:p>
              </w:tc>
              <w:tc>
                <w:tcPr>
                  <w:tcW w:w="678" w:type="dxa"/>
                  <w:vAlign w:val="center"/>
                </w:tcPr>
                <w:p>
                  <w:pPr>
                    <w:autoSpaceDE w:val="0"/>
                    <w:autoSpaceDN w:val="0"/>
                    <w:adjustRightInd w:val="0"/>
                    <w:snapToGrid w:val="0"/>
                    <w:jc w:val="center"/>
                    <w:rPr>
                      <w:kern w:val="0"/>
                      <w:szCs w:val="21"/>
                    </w:rPr>
                  </w:pPr>
                  <w:r>
                    <w:rPr>
                      <w:rFonts w:hint="eastAsia"/>
                      <w:kern w:val="0"/>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8" w:type="dxa"/>
                  <w:vMerge w:val="restart"/>
                  <w:vAlign w:val="center"/>
                </w:tcPr>
                <w:p>
                  <w:pPr>
                    <w:autoSpaceDE w:val="0"/>
                    <w:autoSpaceDN w:val="0"/>
                    <w:adjustRightInd w:val="0"/>
                    <w:snapToGrid w:val="0"/>
                    <w:jc w:val="center"/>
                    <w:rPr>
                      <w:kern w:val="0"/>
                      <w:szCs w:val="21"/>
                    </w:rPr>
                  </w:pPr>
                  <w:r>
                    <w:rPr>
                      <w:rFonts w:hint="eastAsia"/>
                      <w:kern w:val="0"/>
                      <w:szCs w:val="21"/>
                    </w:rPr>
                    <w:t>污染物排放管控</w:t>
                  </w:r>
                </w:p>
              </w:tc>
              <w:tc>
                <w:tcPr>
                  <w:tcW w:w="654" w:type="dxa"/>
                  <w:vMerge w:val="restart"/>
                  <w:vAlign w:val="center"/>
                </w:tcPr>
                <w:p>
                  <w:pPr>
                    <w:autoSpaceDE w:val="0"/>
                    <w:autoSpaceDN w:val="0"/>
                    <w:adjustRightInd w:val="0"/>
                    <w:snapToGrid w:val="0"/>
                    <w:jc w:val="center"/>
                    <w:rPr>
                      <w:kern w:val="0"/>
                      <w:szCs w:val="21"/>
                    </w:rPr>
                  </w:pPr>
                  <w:r>
                    <w:rPr>
                      <w:rFonts w:hint="eastAsia"/>
                      <w:kern w:val="0"/>
                      <w:szCs w:val="21"/>
                    </w:rPr>
                    <w:t>环境质量目标</w:t>
                  </w:r>
                </w:p>
              </w:tc>
              <w:tc>
                <w:tcPr>
                  <w:tcW w:w="2769" w:type="dxa"/>
                  <w:vAlign w:val="center"/>
                </w:tcPr>
                <w:p>
                  <w:pPr>
                    <w:autoSpaceDE w:val="0"/>
                    <w:autoSpaceDN w:val="0"/>
                    <w:adjustRightInd w:val="0"/>
                    <w:snapToGrid w:val="0"/>
                    <w:ind w:firstLine="456"/>
                    <w:rPr>
                      <w:spacing w:val="-6"/>
                      <w:kern w:val="0"/>
                      <w:szCs w:val="21"/>
                    </w:rPr>
                  </w:pPr>
                  <w:r>
                    <w:rPr>
                      <w:rFonts w:hint="eastAsia"/>
                      <w:spacing w:val="-6"/>
                      <w:kern w:val="0"/>
                      <w:szCs w:val="21"/>
                    </w:rPr>
                    <w:t>大气环境质量持续改善。2025年全市PM</w:t>
                  </w:r>
                  <w:r>
                    <w:rPr>
                      <w:rFonts w:hint="eastAsia"/>
                      <w:spacing w:val="-6"/>
                      <w:kern w:val="0"/>
                      <w:szCs w:val="21"/>
                      <w:vertAlign w:val="subscript"/>
                    </w:rPr>
                    <w:t>2.5</w:t>
                  </w:r>
                  <w:r>
                    <w:rPr>
                      <w:rFonts w:hint="eastAsia"/>
                      <w:spacing w:val="-6"/>
                      <w:kern w:val="0"/>
                      <w:szCs w:val="21"/>
                    </w:rPr>
                    <w:t>年均浓度达到25微克/立方米，优良天数比例达到97%；2035年允许波动，不能恶化（沙尘影响不计入）</w:t>
                  </w:r>
                </w:p>
              </w:tc>
              <w:tc>
                <w:tcPr>
                  <w:tcW w:w="1508" w:type="dxa"/>
                  <w:vAlign w:val="center"/>
                </w:tcPr>
                <w:p>
                  <w:pPr>
                    <w:autoSpaceDE w:val="0"/>
                    <w:autoSpaceDN w:val="0"/>
                    <w:adjustRightInd w:val="0"/>
                    <w:snapToGrid w:val="0"/>
                    <w:jc w:val="center"/>
                    <w:rPr>
                      <w:spacing w:val="-6"/>
                      <w:kern w:val="0"/>
                      <w:szCs w:val="21"/>
                    </w:rPr>
                  </w:pPr>
                  <w:r>
                    <w:rPr>
                      <w:kern w:val="0"/>
                      <w:szCs w:val="21"/>
                    </w:rPr>
                    <w:t>所在区域环境空气质量满足GB3095-20</w:t>
                  </w:r>
                  <w:r>
                    <w:rPr>
                      <w:rFonts w:hint="eastAsia"/>
                      <w:kern w:val="0"/>
                      <w:szCs w:val="21"/>
                    </w:rPr>
                    <w:t>26</w:t>
                  </w:r>
                  <w:r>
                    <w:rPr>
                      <w:kern w:val="0"/>
                      <w:szCs w:val="21"/>
                    </w:rPr>
                    <w:t>《环境空气质量标准》中二级标准</w:t>
                  </w:r>
                </w:p>
              </w:tc>
              <w:tc>
                <w:tcPr>
                  <w:tcW w:w="678" w:type="dxa"/>
                  <w:vAlign w:val="center"/>
                </w:tcPr>
                <w:p>
                  <w:pPr>
                    <w:autoSpaceDE w:val="0"/>
                    <w:autoSpaceDN w:val="0"/>
                    <w:adjustRightInd w:val="0"/>
                    <w:snapToGrid w:val="0"/>
                    <w:jc w:val="center"/>
                    <w:rPr>
                      <w:kern w:val="0"/>
                      <w:szCs w:val="21"/>
                      <w:highlight w:val="yellow"/>
                    </w:rPr>
                  </w:pPr>
                  <w:r>
                    <w:rPr>
                      <w:rFonts w:hint="eastAsia"/>
                      <w:kern w:val="0"/>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8" w:type="dxa"/>
                  <w:vMerge w:val="continue"/>
                  <w:vAlign w:val="center"/>
                </w:tcPr>
                <w:p>
                  <w:pPr>
                    <w:autoSpaceDE w:val="0"/>
                    <w:autoSpaceDN w:val="0"/>
                    <w:adjustRightInd w:val="0"/>
                    <w:snapToGrid w:val="0"/>
                    <w:jc w:val="center"/>
                    <w:rPr>
                      <w:kern w:val="0"/>
                      <w:szCs w:val="21"/>
                    </w:rPr>
                  </w:pPr>
                </w:p>
              </w:tc>
              <w:tc>
                <w:tcPr>
                  <w:tcW w:w="654" w:type="dxa"/>
                  <w:vMerge w:val="continue"/>
                  <w:vAlign w:val="center"/>
                </w:tcPr>
                <w:p>
                  <w:pPr>
                    <w:autoSpaceDE w:val="0"/>
                    <w:autoSpaceDN w:val="0"/>
                    <w:adjustRightInd w:val="0"/>
                    <w:snapToGrid w:val="0"/>
                    <w:rPr>
                      <w:kern w:val="0"/>
                      <w:szCs w:val="21"/>
                    </w:rPr>
                  </w:pPr>
                </w:p>
              </w:tc>
              <w:tc>
                <w:tcPr>
                  <w:tcW w:w="2769" w:type="dxa"/>
                  <w:vAlign w:val="center"/>
                </w:tcPr>
                <w:p>
                  <w:pPr>
                    <w:autoSpaceDE w:val="0"/>
                    <w:autoSpaceDN w:val="0"/>
                    <w:adjustRightInd w:val="0"/>
                    <w:snapToGrid w:val="0"/>
                    <w:ind w:firstLine="456"/>
                    <w:rPr>
                      <w:spacing w:val="-6"/>
                      <w:kern w:val="0"/>
                      <w:szCs w:val="21"/>
                    </w:rPr>
                  </w:pPr>
                  <w:r>
                    <w:rPr>
                      <w:rFonts w:hint="eastAsia"/>
                      <w:spacing w:val="-6"/>
                      <w:kern w:val="0"/>
                      <w:szCs w:val="21"/>
                    </w:rPr>
                    <w:t>水环境质量全面</w:t>
                  </w:r>
                  <w:r>
                    <w:rPr>
                      <w:spacing w:val="-6"/>
                      <w:kern w:val="0"/>
                      <w:szCs w:val="21"/>
                    </w:rPr>
                    <w:t>改善。2025年，国控断面水质达到或优于III类比例达到92.3%，全面消除劣Ⅴ类水体，全市集中式饮用水水源地水质达到或优于Ⅲ类水质比例保持100%</w:t>
                  </w:r>
                </w:p>
              </w:tc>
              <w:tc>
                <w:tcPr>
                  <w:tcW w:w="1508" w:type="dxa"/>
                  <w:vAlign w:val="center"/>
                </w:tcPr>
                <w:p>
                  <w:pPr>
                    <w:autoSpaceDE w:val="0"/>
                    <w:autoSpaceDN w:val="0"/>
                    <w:adjustRightInd w:val="0"/>
                    <w:snapToGrid w:val="0"/>
                    <w:ind w:firstLine="456"/>
                    <w:jc w:val="center"/>
                    <w:rPr>
                      <w:spacing w:val="-6"/>
                      <w:kern w:val="0"/>
                      <w:szCs w:val="21"/>
                    </w:rPr>
                  </w:pPr>
                  <w:r>
                    <w:rPr>
                      <w:spacing w:val="-6"/>
                      <w:kern w:val="0"/>
                      <w:szCs w:val="21"/>
                    </w:rPr>
                    <w:t>所在区域</w:t>
                  </w:r>
                  <w:r>
                    <w:rPr>
                      <w:rFonts w:hint="eastAsia"/>
                      <w:spacing w:val="-6"/>
                      <w:kern w:val="0"/>
                      <w:szCs w:val="21"/>
                    </w:rPr>
                    <w:t>地表水环境质量满足</w:t>
                  </w:r>
                  <w:r>
                    <w:rPr>
                      <w:rFonts w:hint="eastAsia"/>
                      <w:spacing w:val="-11"/>
                      <w:kern w:val="0"/>
                      <w:szCs w:val="21"/>
                    </w:rPr>
                    <w:t>GB3838-2002《地表水环境质量标准》中相关标准</w:t>
                  </w:r>
                </w:p>
              </w:tc>
              <w:tc>
                <w:tcPr>
                  <w:tcW w:w="678" w:type="dxa"/>
                  <w:vAlign w:val="center"/>
                </w:tcPr>
                <w:p>
                  <w:pPr>
                    <w:autoSpaceDE w:val="0"/>
                    <w:autoSpaceDN w:val="0"/>
                    <w:adjustRightInd w:val="0"/>
                    <w:snapToGrid w:val="0"/>
                    <w:jc w:val="center"/>
                    <w:rPr>
                      <w:kern w:val="0"/>
                      <w:szCs w:val="21"/>
                    </w:rPr>
                  </w:pPr>
                  <w:r>
                    <w:rPr>
                      <w:rFonts w:hint="eastAsia"/>
                      <w:kern w:val="0"/>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8" w:type="dxa"/>
                  <w:vMerge w:val="continue"/>
                  <w:vAlign w:val="center"/>
                </w:tcPr>
                <w:p>
                  <w:pPr>
                    <w:autoSpaceDE w:val="0"/>
                    <w:autoSpaceDN w:val="0"/>
                    <w:adjustRightInd w:val="0"/>
                    <w:snapToGrid w:val="0"/>
                    <w:jc w:val="center"/>
                    <w:rPr>
                      <w:kern w:val="0"/>
                      <w:szCs w:val="21"/>
                    </w:rPr>
                  </w:pPr>
                </w:p>
              </w:tc>
              <w:tc>
                <w:tcPr>
                  <w:tcW w:w="654" w:type="dxa"/>
                  <w:vMerge w:val="continue"/>
                  <w:vAlign w:val="center"/>
                </w:tcPr>
                <w:p>
                  <w:pPr>
                    <w:autoSpaceDE w:val="0"/>
                    <w:autoSpaceDN w:val="0"/>
                    <w:adjustRightInd w:val="0"/>
                    <w:snapToGrid w:val="0"/>
                    <w:rPr>
                      <w:kern w:val="0"/>
                      <w:szCs w:val="21"/>
                    </w:rPr>
                  </w:pPr>
                </w:p>
              </w:tc>
              <w:tc>
                <w:tcPr>
                  <w:tcW w:w="2769" w:type="dxa"/>
                  <w:vAlign w:val="center"/>
                </w:tcPr>
                <w:p>
                  <w:pPr>
                    <w:autoSpaceDE w:val="0"/>
                    <w:autoSpaceDN w:val="0"/>
                    <w:adjustRightInd w:val="0"/>
                    <w:snapToGrid w:val="0"/>
                    <w:ind w:firstLine="456"/>
                    <w:rPr>
                      <w:kern w:val="0"/>
                      <w:szCs w:val="21"/>
                    </w:rPr>
                  </w:pPr>
                  <w:r>
                    <w:rPr>
                      <w:rFonts w:hint="eastAsia"/>
                      <w:spacing w:val="-6"/>
                      <w:kern w:val="0"/>
                      <w:szCs w:val="21"/>
                    </w:rPr>
                    <w:t>到2025年，受污染耕地安全利用率达到95%以上，重点建设用地安全利用得到有效保障</w:t>
                  </w:r>
                </w:p>
              </w:tc>
              <w:tc>
                <w:tcPr>
                  <w:tcW w:w="1508" w:type="dxa"/>
                  <w:vAlign w:val="center"/>
                </w:tcPr>
                <w:p>
                  <w:pPr>
                    <w:autoSpaceDE w:val="0"/>
                    <w:autoSpaceDN w:val="0"/>
                    <w:adjustRightInd w:val="0"/>
                    <w:snapToGrid w:val="0"/>
                    <w:jc w:val="center"/>
                    <w:rPr>
                      <w:kern w:val="0"/>
                      <w:szCs w:val="21"/>
                    </w:rPr>
                  </w:pPr>
                  <w:r>
                    <w:rPr>
                      <w:rFonts w:hint="eastAsia"/>
                    </w:rPr>
                    <w:t>不涉及</w:t>
                  </w:r>
                </w:p>
              </w:tc>
              <w:tc>
                <w:tcPr>
                  <w:tcW w:w="678" w:type="dxa"/>
                  <w:vAlign w:val="center"/>
                </w:tcPr>
                <w:p>
                  <w:pPr>
                    <w:autoSpaceDE w:val="0"/>
                    <w:autoSpaceDN w:val="0"/>
                    <w:adjustRightInd w:val="0"/>
                    <w:snapToGrid w:val="0"/>
                    <w:jc w:val="center"/>
                    <w:rPr>
                      <w:kern w:val="0"/>
                      <w:szCs w:val="21"/>
                    </w:rPr>
                  </w:pPr>
                  <w:r>
                    <w:rPr>
                      <w:rFonts w:hint="eastAsia"/>
                      <w:kern w:val="0"/>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8" w:type="dxa"/>
                  <w:vMerge w:val="continue"/>
                  <w:vAlign w:val="center"/>
                </w:tcPr>
                <w:p>
                  <w:pPr>
                    <w:autoSpaceDE w:val="0"/>
                    <w:autoSpaceDN w:val="0"/>
                    <w:adjustRightInd w:val="0"/>
                    <w:snapToGrid w:val="0"/>
                    <w:jc w:val="center"/>
                    <w:rPr>
                      <w:kern w:val="0"/>
                      <w:szCs w:val="21"/>
                    </w:rPr>
                  </w:pPr>
                </w:p>
              </w:tc>
              <w:tc>
                <w:tcPr>
                  <w:tcW w:w="654" w:type="dxa"/>
                  <w:vMerge w:val="continue"/>
                  <w:vAlign w:val="center"/>
                </w:tcPr>
                <w:p>
                  <w:pPr>
                    <w:autoSpaceDE w:val="0"/>
                    <w:autoSpaceDN w:val="0"/>
                    <w:adjustRightInd w:val="0"/>
                    <w:snapToGrid w:val="0"/>
                    <w:rPr>
                      <w:kern w:val="0"/>
                      <w:szCs w:val="21"/>
                    </w:rPr>
                  </w:pPr>
                </w:p>
              </w:tc>
              <w:tc>
                <w:tcPr>
                  <w:tcW w:w="2769" w:type="dxa"/>
                  <w:vAlign w:val="center"/>
                </w:tcPr>
                <w:p>
                  <w:pPr>
                    <w:autoSpaceDE w:val="0"/>
                    <w:autoSpaceDN w:val="0"/>
                    <w:adjustRightInd w:val="0"/>
                    <w:snapToGrid w:val="0"/>
                    <w:ind w:firstLine="456"/>
                    <w:rPr>
                      <w:kern w:val="0"/>
                      <w:szCs w:val="21"/>
                    </w:rPr>
                  </w:pPr>
                  <w:r>
                    <w:rPr>
                      <w:rFonts w:hint="eastAsia"/>
                      <w:spacing w:val="-6"/>
                      <w:kern w:val="0"/>
                      <w:szCs w:val="21"/>
                    </w:rPr>
                    <w:t>到2035年，受污染耕地安全利用率达到97%以上，重点建设用地安全利用得到有效保障</w:t>
                  </w:r>
                </w:p>
              </w:tc>
              <w:tc>
                <w:tcPr>
                  <w:tcW w:w="1508" w:type="dxa"/>
                  <w:vAlign w:val="center"/>
                </w:tcPr>
                <w:p>
                  <w:pPr>
                    <w:autoSpaceDE w:val="0"/>
                    <w:autoSpaceDN w:val="0"/>
                    <w:adjustRightInd w:val="0"/>
                    <w:snapToGrid w:val="0"/>
                    <w:jc w:val="center"/>
                    <w:rPr>
                      <w:kern w:val="0"/>
                      <w:szCs w:val="21"/>
                    </w:rPr>
                  </w:pPr>
                  <w:r>
                    <w:rPr>
                      <w:rFonts w:hint="eastAsia"/>
                    </w:rPr>
                    <w:t>不涉及</w:t>
                  </w:r>
                </w:p>
              </w:tc>
              <w:tc>
                <w:tcPr>
                  <w:tcW w:w="678" w:type="dxa"/>
                  <w:vAlign w:val="center"/>
                </w:tcPr>
                <w:p>
                  <w:pPr>
                    <w:autoSpaceDE w:val="0"/>
                    <w:autoSpaceDN w:val="0"/>
                    <w:adjustRightInd w:val="0"/>
                    <w:snapToGrid w:val="0"/>
                    <w:jc w:val="center"/>
                    <w:rPr>
                      <w:kern w:val="0"/>
                      <w:szCs w:val="21"/>
                    </w:rPr>
                  </w:pPr>
                  <w:r>
                    <w:rPr>
                      <w:rFonts w:hint="eastAsia"/>
                      <w:kern w:val="0"/>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8" w:type="dxa"/>
                  <w:vMerge w:val="continue"/>
                  <w:vAlign w:val="center"/>
                </w:tcPr>
                <w:p>
                  <w:pPr>
                    <w:autoSpaceDE w:val="0"/>
                    <w:autoSpaceDN w:val="0"/>
                    <w:adjustRightInd w:val="0"/>
                    <w:snapToGrid w:val="0"/>
                    <w:jc w:val="center"/>
                    <w:rPr>
                      <w:kern w:val="0"/>
                      <w:szCs w:val="21"/>
                    </w:rPr>
                  </w:pPr>
                </w:p>
              </w:tc>
              <w:tc>
                <w:tcPr>
                  <w:tcW w:w="654" w:type="dxa"/>
                  <w:vAlign w:val="center"/>
                </w:tcPr>
                <w:p>
                  <w:pPr>
                    <w:autoSpaceDE w:val="0"/>
                    <w:autoSpaceDN w:val="0"/>
                    <w:adjustRightInd w:val="0"/>
                    <w:snapToGrid w:val="0"/>
                    <w:jc w:val="center"/>
                    <w:rPr>
                      <w:kern w:val="0"/>
                      <w:szCs w:val="21"/>
                    </w:rPr>
                  </w:pPr>
                  <w:r>
                    <w:rPr>
                      <w:rFonts w:hint="eastAsia"/>
                      <w:kern w:val="0"/>
                      <w:szCs w:val="21"/>
                    </w:rPr>
                    <w:t>污染物控制要求</w:t>
                  </w:r>
                </w:p>
              </w:tc>
              <w:tc>
                <w:tcPr>
                  <w:tcW w:w="2769" w:type="dxa"/>
                  <w:vAlign w:val="center"/>
                </w:tcPr>
                <w:p>
                  <w:pPr>
                    <w:autoSpaceDE w:val="0"/>
                    <w:autoSpaceDN w:val="0"/>
                    <w:adjustRightInd w:val="0"/>
                    <w:snapToGrid w:val="0"/>
                    <w:rPr>
                      <w:kern w:val="0"/>
                      <w:szCs w:val="21"/>
                    </w:rPr>
                  </w:pPr>
                  <w:r>
                    <w:rPr>
                      <w:rFonts w:hint="eastAsia"/>
                      <w:kern w:val="0"/>
                      <w:szCs w:val="21"/>
                    </w:rPr>
                    <w:t>建立较为完善的城市污水管网。新建区严格执行雨、污分流制；新建污水管道应沿规划路径设置，并以排水线路短、埋深浅、管网密度均匀合理为原则</w:t>
                  </w:r>
                </w:p>
              </w:tc>
              <w:tc>
                <w:tcPr>
                  <w:tcW w:w="1508" w:type="dxa"/>
                  <w:vAlign w:val="center"/>
                </w:tcPr>
                <w:p>
                  <w:pPr>
                    <w:autoSpaceDE w:val="0"/>
                    <w:autoSpaceDN w:val="0"/>
                    <w:adjustRightInd w:val="0"/>
                    <w:snapToGrid w:val="0"/>
                    <w:jc w:val="center"/>
                    <w:rPr>
                      <w:kern w:val="0"/>
                      <w:szCs w:val="21"/>
                    </w:rPr>
                  </w:pPr>
                  <w:r>
                    <w:rPr>
                      <w:rFonts w:hint="eastAsia"/>
                      <w:kern w:val="0"/>
                      <w:szCs w:val="21"/>
                    </w:rPr>
                    <w:t>不涉及</w:t>
                  </w:r>
                </w:p>
              </w:tc>
              <w:tc>
                <w:tcPr>
                  <w:tcW w:w="678" w:type="dxa"/>
                  <w:vAlign w:val="center"/>
                </w:tcPr>
                <w:p>
                  <w:pPr>
                    <w:autoSpaceDE w:val="0"/>
                    <w:autoSpaceDN w:val="0"/>
                    <w:adjustRightInd w:val="0"/>
                    <w:snapToGrid w:val="0"/>
                    <w:jc w:val="center"/>
                    <w:rPr>
                      <w:kern w:val="0"/>
                      <w:szCs w:val="21"/>
                    </w:rPr>
                  </w:pPr>
                  <w:r>
                    <w:rPr>
                      <w:rFonts w:hint="eastAsia"/>
                      <w:kern w:val="0"/>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8" w:type="dxa"/>
                  <w:vAlign w:val="center"/>
                </w:tcPr>
                <w:p>
                  <w:pPr>
                    <w:autoSpaceDE w:val="0"/>
                    <w:autoSpaceDN w:val="0"/>
                    <w:adjustRightInd w:val="0"/>
                    <w:snapToGrid w:val="0"/>
                    <w:jc w:val="center"/>
                    <w:rPr>
                      <w:kern w:val="0"/>
                      <w:szCs w:val="21"/>
                    </w:rPr>
                  </w:pPr>
                  <w:r>
                    <w:rPr>
                      <w:rFonts w:hint="eastAsia"/>
                      <w:kern w:val="0"/>
                      <w:szCs w:val="21"/>
                    </w:rPr>
                    <w:t>环境风险防控</w:t>
                  </w:r>
                </w:p>
              </w:tc>
              <w:tc>
                <w:tcPr>
                  <w:tcW w:w="3423" w:type="dxa"/>
                  <w:gridSpan w:val="2"/>
                  <w:vAlign w:val="center"/>
                </w:tcPr>
                <w:p>
                  <w:pPr>
                    <w:autoSpaceDE w:val="0"/>
                    <w:autoSpaceDN w:val="0"/>
                    <w:adjustRightInd w:val="0"/>
                    <w:snapToGrid w:val="0"/>
                    <w:rPr>
                      <w:kern w:val="0"/>
                      <w:szCs w:val="21"/>
                    </w:rPr>
                  </w:pPr>
                  <w:r>
                    <w:rPr>
                      <w:rFonts w:hint="eastAsia"/>
                      <w:kern w:val="0"/>
                      <w:szCs w:val="21"/>
                    </w:rPr>
                    <w:t>强化危险废物风险防控。强化固体废物全过程监管，加强环境风险评估，提升环境风险预警、排查、应对水平</w:t>
                  </w:r>
                </w:p>
              </w:tc>
              <w:tc>
                <w:tcPr>
                  <w:tcW w:w="1508" w:type="dxa"/>
                  <w:vAlign w:val="center"/>
                </w:tcPr>
                <w:p>
                  <w:pPr>
                    <w:autoSpaceDE w:val="0"/>
                    <w:autoSpaceDN w:val="0"/>
                    <w:adjustRightInd w:val="0"/>
                    <w:snapToGrid w:val="0"/>
                    <w:jc w:val="center"/>
                    <w:rPr>
                      <w:kern w:val="0"/>
                      <w:szCs w:val="21"/>
                    </w:rPr>
                  </w:pPr>
                  <w:r>
                    <w:rPr>
                      <w:rFonts w:hint="eastAsia"/>
                      <w:kern w:val="0"/>
                      <w:szCs w:val="21"/>
                    </w:rPr>
                    <w:t>不涉及</w:t>
                  </w:r>
                </w:p>
              </w:tc>
              <w:tc>
                <w:tcPr>
                  <w:tcW w:w="678" w:type="dxa"/>
                  <w:vAlign w:val="center"/>
                </w:tcPr>
                <w:p>
                  <w:pPr>
                    <w:autoSpaceDE w:val="0"/>
                    <w:autoSpaceDN w:val="0"/>
                    <w:adjustRightInd w:val="0"/>
                    <w:snapToGrid w:val="0"/>
                    <w:jc w:val="center"/>
                    <w:rPr>
                      <w:kern w:val="0"/>
                      <w:szCs w:val="21"/>
                    </w:rPr>
                  </w:pPr>
                  <w:r>
                    <w:rPr>
                      <w:rFonts w:hint="eastAsia"/>
                      <w:kern w:val="0"/>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8" w:type="dxa"/>
                  <w:vMerge w:val="restart"/>
                  <w:vAlign w:val="center"/>
                </w:tcPr>
                <w:p>
                  <w:pPr>
                    <w:autoSpaceDE w:val="0"/>
                    <w:autoSpaceDN w:val="0"/>
                    <w:adjustRightInd w:val="0"/>
                    <w:snapToGrid w:val="0"/>
                    <w:jc w:val="center"/>
                    <w:rPr>
                      <w:kern w:val="0"/>
                      <w:szCs w:val="21"/>
                    </w:rPr>
                  </w:pPr>
                  <w:r>
                    <w:rPr>
                      <w:rFonts w:hint="eastAsia"/>
                      <w:kern w:val="0"/>
                      <w:szCs w:val="21"/>
                    </w:rPr>
                    <w:t>资源利用要求</w:t>
                  </w:r>
                </w:p>
              </w:tc>
              <w:tc>
                <w:tcPr>
                  <w:tcW w:w="654" w:type="dxa"/>
                  <w:vAlign w:val="center"/>
                </w:tcPr>
                <w:p>
                  <w:pPr>
                    <w:autoSpaceDE w:val="0"/>
                    <w:autoSpaceDN w:val="0"/>
                    <w:adjustRightInd w:val="0"/>
                    <w:snapToGrid w:val="0"/>
                    <w:jc w:val="center"/>
                    <w:rPr>
                      <w:kern w:val="0"/>
                      <w:szCs w:val="21"/>
                    </w:rPr>
                  </w:pPr>
                  <w:r>
                    <w:rPr>
                      <w:rFonts w:hint="eastAsia"/>
                      <w:kern w:val="0"/>
                      <w:szCs w:val="21"/>
                    </w:rPr>
                    <w:t>水资源</w:t>
                  </w:r>
                </w:p>
              </w:tc>
              <w:tc>
                <w:tcPr>
                  <w:tcW w:w="2769" w:type="dxa"/>
                  <w:vAlign w:val="center"/>
                </w:tcPr>
                <w:p>
                  <w:pPr>
                    <w:autoSpaceDE w:val="0"/>
                    <w:autoSpaceDN w:val="0"/>
                    <w:adjustRightInd w:val="0"/>
                    <w:snapToGrid w:val="0"/>
                    <w:rPr>
                      <w:kern w:val="0"/>
                      <w:szCs w:val="21"/>
                    </w:rPr>
                  </w:pPr>
                  <w:r>
                    <w:rPr>
                      <w:rFonts w:hint="eastAsia"/>
                      <w:kern w:val="0"/>
                      <w:szCs w:val="21"/>
                    </w:rPr>
                    <w:t>2025年用水量控制在7.75亿立方米，2035年用水量控制在10.2亿立方米</w:t>
                  </w:r>
                </w:p>
              </w:tc>
              <w:tc>
                <w:tcPr>
                  <w:tcW w:w="1508" w:type="dxa"/>
                  <w:vAlign w:val="center"/>
                </w:tcPr>
                <w:p>
                  <w:pPr>
                    <w:autoSpaceDE w:val="0"/>
                    <w:autoSpaceDN w:val="0"/>
                    <w:adjustRightInd w:val="0"/>
                    <w:snapToGrid w:val="0"/>
                    <w:jc w:val="center"/>
                    <w:rPr>
                      <w:kern w:val="0"/>
                      <w:szCs w:val="21"/>
                    </w:rPr>
                  </w:pPr>
                  <w:r>
                    <w:rPr>
                      <w:rFonts w:hint="eastAsia"/>
                      <w:kern w:val="0"/>
                      <w:szCs w:val="21"/>
                    </w:rPr>
                    <w:t>项目用水量较小</w:t>
                  </w:r>
                </w:p>
              </w:tc>
              <w:tc>
                <w:tcPr>
                  <w:tcW w:w="678" w:type="dxa"/>
                  <w:vAlign w:val="center"/>
                </w:tcPr>
                <w:p>
                  <w:pPr>
                    <w:autoSpaceDE w:val="0"/>
                    <w:autoSpaceDN w:val="0"/>
                    <w:adjustRightInd w:val="0"/>
                    <w:snapToGrid w:val="0"/>
                    <w:jc w:val="center"/>
                    <w:rPr>
                      <w:kern w:val="0"/>
                      <w:szCs w:val="21"/>
                    </w:rPr>
                  </w:pPr>
                  <w:r>
                    <w:rPr>
                      <w:rFonts w:hint="eastAsia"/>
                      <w:kern w:val="0"/>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8" w:type="dxa"/>
                  <w:vMerge w:val="continue"/>
                  <w:vAlign w:val="center"/>
                </w:tcPr>
                <w:p>
                  <w:pPr>
                    <w:autoSpaceDE w:val="0"/>
                    <w:autoSpaceDN w:val="0"/>
                    <w:adjustRightInd w:val="0"/>
                    <w:snapToGrid w:val="0"/>
                    <w:jc w:val="center"/>
                    <w:rPr>
                      <w:kern w:val="0"/>
                      <w:szCs w:val="21"/>
                    </w:rPr>
                  </w:pPr>
                </w:p>
              </w:tc>
              <w:tc>
                <w:tcPr>
                  <w:tcW w:w="654" w:type="dxa"/>
                  <w:vAlign w:val="center"/>
                </w:tcPr>
                <w:p>
                  <w:pPr>
                    <w:autoSpaceDE w:val="0"/>
                    <w:autoSpaceDN w:val="0"/>
                    <w:adjustRightInd w:val="0"/>
                    <w:snapToGrid w:val="0"/>
                    <w:jc w:val="center"/>
                    <w:rPr>
                      <w:kern w:val="0"/>
                      <w:szCs w:val="21"/>
                    </w:rPr>
                  </w:pPr>
                  <w:r>
                    <w:rPr>
                      <w:rFonts w:hint="eastAsia"/>
                      <w:kern w:val="0"/>
                      <w:szCs w:val="21"/>
                    </w:rPr>
                    <w:t>能源</w:t>
                  </w:r>
                </w:p>
              </w:tc>
              <w:tc>
                <w:tcPr>
                  <w:tcW w:w="2769" w:type="dxa"/>
                  <w:vAlign w:val="center"/>
                </w:tcPr>
                <w:p>
                  <w:pPr>
                    <w:autoSpaceDE w:val="0"/>
                    <w:autoSpaceDN w:val="0"/>
                    <w:adjustRightInd w:val="0"/>
                    <w:snapToGrid w:val="0"/>
                    <w:rPr>
                      <w:kern w:val="0"/>
                      <w:szCs w:val="21"/>
                    </w:rPr>
                  </w:pPr>
                  <w:r>
                    <w:rPr>
                      <w:rFonts w:hint="eastAsia"/>
                      <w:kern w:val="0"/>
                      <w:szCs w:val="21"/>
                    </w:rPr>
                    <w:t>2025年，煤炭消费总量控制在565.6万吨以内，非化石能源消费比重达到16%</w:t>
                  </w:r>
                </w:p>
              </w:tc>
              <w:tc>
                <w:tcPr>
                  <w:tcW w:w="1508" w:type="dxa"/>
                  <w:vAlign w:val="center"/>
                </w:tcPr>
                <w:p>
                  <w:pPr>
                    <w:autoSpaceDE w:val="0"/>
                    <w:autoSpaceDN w:val="0"/>
                    <w:adjustRightInd w:val="0"/>
                    <w:snapToGrid w:val="0"/>
                    <w:jc w:val="center"/>
                    <w:rPr>
                      <w:kern w:val="0"/>
                      <w:szCs w:val="21"/>
                    </w:rPr>
                  </w:pPr>
                  <w:r>
                    <w:rPr>
                      <w:rFonts w:hint="eastAsia"/>
                      <w:kern w:val="0"/>
                      <w:szCs w:val="21"/>
                    </w:rPr>
                    <w:t>不使用高耗能能源</w:t>
                  </w:r>
                </w:p>
              </w:tc>
              <w:tc>
                <w:tcPr>
                  <w:tcW w:w="678" w:type="dxa"/>
                  <w:vAlign w:val="center"/>
                </w:tcPr>
                <w:p>
                  <w:pPr>
                    <w:autoSpaceDE w:val="0"/>
                    <w:autoSpaceDN w:val="0"/>
                    <w:adjustRightInd w:val="0"/>
                    <w:snapToGrid w:val="0"/>
                    <w:jc w:val="center"/>
                    <w:rPr>
                      <w:kern w:val="0"/>
                      <w:szCs w:val="21"/>
                    </w:rPr>
                  </w:pPr>
                  <w:r>
                    <w:rPr>
                      <w:rFonts w:hint="eastAsia"/>
                      <w:kern w:val="0"/>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8" w:type="dxa"/>
                  <w:vMerge w:val="continue"/>
                  <w:vAlign w:val="center"/>
                </w:tcPr>
                <w:p>
                  <w:pPr>
                    <w:autoSpaceDE w:val="0"/>
                    <w:autoSpaceDN w:val="0"/>
                    <w:adjustRightInd w:val="0"/>
                    <w:snapToGrid w:val="0"/>
                    <w:jc w:val="center"/>
                    <w:rPr>
                      <w:kern w:val="0"/>
                      <w:szCs w:val="21"/>
                    </w:rPr>
                  </w:pPr>
                </w:p>
              </w:tc>
              <w:tc>
                <w:tcPr>
                  <w:tcW w:w="654" w:type="dxa"/>
                  <w:vAlign w:val="center"/>
                </w:tcPr>
                <w:p>
                  <w:pPr>
                    <w:autoSpaceDE w:val="0"/>
                    <w:autoSpaceDN w:val="0"/>
                    <w:adjustRightInd w:val="0"/>
                    <w:snapToGrid w:val="0"/>
                    <w:jc w:val="center"/>
                    <w:rPr>
                      <w:kern w:val="0"/>
                      <w:szCs w:val="21"/>
                    </w:rPr>
                  </w:pPr>
                  <w:r>
                    <w:rPr>
                      <w:rFonts w:hint="eastAsia"/>
                      <w:kern w:val="0"/>
                      <w:szCs w:val="21"/>
                    </w:rPr>
                    <w:t>土地资源</w:t>
                  </w:r>
                </w:p>
              </w:tc>
              <w:tc>
                <w:tcPr>
                  <w:tcW w:w="2769" w:type="dxa"/>
                  <w:vAlign w:val="center"/>
                </w:tcPr>
                <w:p>
                  <w:pPr>
                    <w:autoSpaceDE w:val="0"/>
                    <w:autoSpaceDN w:val="0"/>
                    <w:adjustRightInd w:val="0"/>
                    <w:snapToGrid w:val="0"/>
                    <w:ind w:firstLine="456"/>
                    <w:rPr>
                      <w:kern w:val="0"/>
                      <w:szCs w:val="21"/>
                    </w:rPr>
                  </w:pPr>
                  <w:r>
                    <w:rPr>
                      <w:rFonts w:hint="eastAsia"/>
                      <w:spacing w:val="-6"/>
                      <w:kern w:val="0"/>
                      <w:szCs w:val="21"/>
                    </w:rPr>
                    <w:t>2025年耕地保有量不低于2732.93平方千米；永久基本农田保护面积不低于1787.13平方千米；城镇开发边界扩展倍数控制在2020年城镇建设用地规模的1.32倍以内，面积控制在177.6平方千米以内</w:t>
                  </w:r>
                </w:p>
              </w:tc>
              <w:tc>
                <w:tcPr>
                  <w:tcW w:w="1508" w:type="dxa"/>
                  <w:vAlign w:val="center"/>
                </w:tcPr>
                <w:p>
                  <w:pPr>
                    <w:autoSpaceDE w:val="0"/>
                    <w:autoSpaceDN w:val="0"/>
                    <w:adjustRightInd w:val="0"/>
                    <w:snapToGrid w:val="0"/>
                    <w:jc w:val="center"/>
                    <w:rPr>
                      <w:kern w:val="0"/>
                      <w:szCs w:val="21"/>
                    </w:rPr>
                  </w:pPr>
                  <w:r>
                    <w:rPr>
                      <w:rFonts w:hint="eastAsia"/>
                      <w:kern w:val="0"/>
                      <w:szCs w:val="21"/>
                    </w:rPr>
                    <w:t>不涉及</w:t>
                  </w:r>
                </w:p>
              </w:tc>
              <w:tc>
                <w:tcPr>
                  <w:tcW w:w="678" w:type="dxa"/>
                  <w:vAlign w:val="center"/>
                </w:tcPr>
                <w:p>
                  <w:pPr>
                    <w:autoSpaceDE w:val="0"/>
                    <w:autoSpaceDN w:val="0"/>
                    <w:adjustRightInd w:val="0"/>
                    <w:snapToGrid w:val="0"/>
                    <w:jc w:val="center"/>
                    <w:rPr>
                      <w:kern w:val="0"/>
                      <w:szCs w:val="21"/>
                    </w:rPr>
                  </w:pPr>
                  <w:r>
                    <w:rPr>
                      <w:rFonts w:hint="eastAsia"/>
                      <w:kern w:val="0"/>
                      <w:szCs w:val="21"/>
                    </w:rPr>
                    <w:t>符合</w:t>
                  </w:r>
                </w:p>
              </w:tc>
            </w:tr>
          </w:tbl>
          <w:p>
            <w:pPr>
              <w:autoSpaceDE w:val="0"/>
              <w:autoSpaceDN w:val="0"/>
              <w:spacing w:beforeLines="50" w:line="360" w:lineRule="auto"/>
              <w:ind w:firstLine="480" w:firstLineChars="200"/>
              <w:rPr>
                <w:kern w:val="0"/>
                <w:sz w:val="24"/>
              </w:rPr>
            </w:pPr>
            <w:r>
              <w:rPr>
                <w:rFonts w:hint="eastAsia"/>
                <w:kern w:val="0"/>
                <w:sz w:val="24"/>
              </w:rPr>
              <w:t>项目所在区域环境管控单元编码为ZH22052410021</w:t>
            </w:r>
            <w:r>
              <w:rPr>
                <w:kern w:val="0"/>
                <w:sz w:val="24"/>
              </w:rPr>
              <w:t>，管控单元名称为</w:t>
            </w:r>
            <w:r>
              <w:rPr>
                <w:rFonts w:hint="eastAsia"/>
                <w:kern w:val="0"/>
                <w:sz w:val="24"/>
              </w:rPr>
              <w:t>柳河县水土流失敏感区</w:t>
            </w:r>
            <w:r>
              <w:rPr>
                <w:kern w:val="0"/>
                <w:sz w:val="24"/>
              </w:rPr>
              <w:t>，</w:t>
            </w:r>
            <w:r>
              <w:rPr>
                <w:rFonts w:hint="eastAsia"/>
                <w:kern w:val="0"/>
                <w:sz w:val="24"/>
              </w:rPr>
              <w:t>管控单元分类为优先保护</w:t>
            </w:r>
            <w:r>
              <w:rPr>
                <w:kern w:val="0"/>
                <w:sz w:val="24"/>
              </w:rPr>
              <w:t>单元，</w:t>
            </w:r>
            <w:r>
              <w:rPr>
                <w:rFonts w:hint="eastAsia"/>
                <w:kern w:val="0"/>
                <w:sz w:val="24"/>
              </w:rPr>
              <w:t>具体管控要求详见下表。</w:t>
            </w:r>
          </w:p>
          <w:p>
            <w:pPr>
              <w:pStyle w:val="23"/>
              <w:ind w:left="0" w:firstLine="0"/>
              <w:rPr>
                <w:u w:val="none"/>
              </w:rPr>
            </w:pPr>
            <w:r>
              <w:rPr>
                <w:rFonts w:hint="eastAsia"/>
                <w:u w:val="none"/>
              </w:rPr>
              <w:t>与“柳河县水土流失敏感区生态环境准入清单”的相符性</w:t>
            </w:r>
          </w:p>
          <w:tbl>
            <w:tblPr>
              <w:tblStyle w:val="19"/>
              <w:tblW w:w="6271"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672"/>
              <w:gridCol w:w="3410"/>
              <w:gridCol w:w="1554"/>
              <w:gridCol w:w="635"/>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72" w:type="dxa"/>
                  <w:vAlign w:val="center"/>
                </w:tcPr>
                <w:p>
                  <w:pPr>
                    <w:autoSpaceDE w:val="0"/>
                    <w:autoSpaceDN w:val="0"/>
                    <w:adjustRightInd w:val="0"/>
                    <w:snapToGrid w:val="0"/>
                    <w:ind w:firstLine="438"/>
                    <w:jc w:val="center"/>
                    <w:rPr>
                      <w:b/>
                      <w:bCs/>
                      <w:spacing w:val="-11"/>
                      <w:kern w:val="0"/>
                      <w:szCs w:val="21"/>
                    </w:rPr>
                  </w:pPr>
                  <w:r>
                    <w:rPr>
                      <w:rFonts w:hint="eastAsia"/>
                      <w:b/>
                      <w:bCs/>
                      <w:spacing w:val="-11"/>
                      <w:kern w:val="0"/>
                      <w:szCs w:val="21"/>
                    </w:rPr>
                    <w:t>管控类型</w:t>
                  </w:r>
                </w:p>
              </w:tc>
              <w:tc>
                <w:tcPr>
                  <w:tcW w:w="3410" w:type="dxa"/>
                  <w:vAlign w:val="center"/>
                </w:tcPr>
                <w:p>
                  <w:pPr>
                    <w:autoSpaceDE w:val="0"/>
                    <w:autoSpaceDN w:val="0"/>
                    <w:adjustRightInd w:val="0"/>
                    <w:snapToGrid w:val="0"/>
                    <w:ind w:firstLine="438"/>
                    <w:jc w:val="center"/>
                    <w:rPr>
                      <w:b/>
                      <w:bCs/>
                      <w:spacing w:val="-11"/>
                      <w:kern w:val="0"/>
                      <w:szCs w:val="21"/>
                    </w:rPr>
                  </w:pPr>
                  <w:r>
                    <w:rPr>
                      <w:rFonts w:hint="eastAsia"/>
                      <w:b/>
                      <w:bCs/>
                      <w:spacing w:val="-11"/>
                      <w:kern w:val="0"/>
                      <w:szCs w:val="21"/>
                    </w:rPr>
                    <w:t>管控要求</w:t>
                  </w:r>
                </w:p>
              </w:tc>
              <w:tc>
                <w:tcPr>
                  <w:tcW w:w="1554" w:type="dxa"/>
                  <w:vAlign w:val="center"/>
                </w:tcPr>
                <w:p>
                  <w:pPr>
                    <w:autoSpaceDE w:val="0"/>
                    <w:autoSpaceDN w:val="0"/>
                    <w:adjustRightInd w:val="0"/>
                    <w:snapToGrid w:val="0"/>
                    <w:ind w:firstLine="438"/>
                    <w:jc w:val="center"/>
                    <w:rPr>
                      <w:b/>
                      <w:bCs/>
                      <w:spacing w:val="-11"/>
                      <w:kern w:val="0"/>
                      <w:szCs w:val="21"/>
                    </w:rPr>
                  </w:pPr>
                  <w:r>
                    <w:rPr>
                      <w:rFonts w:hint="eastAsia"/>
                      <w:b/>
                      <w:bCs/>
                      <w:spacing w:val="-11"/>
                      <w:kern w:val="0"/>
                      <w:szCs w:val="21"/>
                    </w:rPr>
                    <w:t>本项目</w:t>
                  </w:r>
                </w:p>
              </w:tc>
              <w:tc>
                <w:tcPr>
                  <w:tcW w:w="635" w:type="dxa"/>
                  <w:vAlign w:val="center"/>
                </w:tcPr>
                <w:p>
                  <w:pPr>
                    <w:autoSpaceDE w:val="0"/>
                    <w:autoSpaceDN w:val="0"/>
                    <w:adjustRightInd w:val="0"/>
                    <w:snapToGrid w:val="0"/>
                    <w:ind w:firstLine="438"/>
                    <w:jc w:val="center"/>
                    <w:rPr>
                      <w:b/>
                      <w:bCs/>
                      <w:spacing w:val="-11"/>
                      <w:kern w:val="0"/>
                      <w:szCs w:val="21"/>
                    </w:rPr>
                  </w:pPr>
                  <w:r>
                    <w:rPr>
                      <w:rFonts w:hint="eastAsia"/>
                      <w:b/>
                      <w:bCs/>
                      <w:spacing w:val="-11"/>
                      <w:kern w:val="0"/>
                      <w:szCs w:val="21"/>
                    </w:rPr>
                    <w:t>相符性</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612" w:hRule="atLeast"/>
              </w:trPr>
              <w:tc>
                <w:tcPr>
                  <w:tcW w:w="672" w:type="dxa"/>
                  <w:vAlign w:val="center"/>
                </w:tcPr>
                <w:p>
                  <w:pPr>
                    <w:pStyle w:val="26"/>
                    <w:spacing w:beforeLines="0" w:line="240" w:lineRule="auto"/>
                    <w:contextualSpacing/>
                    <w:rPr>
                      <w:rFonts w:ascii="Times New Roman" w:eastAsia="宋体"/>
                      <w:color w:val="auto"/>
                      <w:szCs w:val="21"/>
                    </w:rPr>
                  </w:pPr>
                  <w:r>
                    <w:rPr>
                      <w:rFonts w:hint="eastAsia" w:ascii="Times New Roman" w:eastAsia="宋体"/>
                      <w:color w:val="auto"/>
                      <w:szCs w:val="21"/>
                    </w:rPr>
                    <w:t>空间布局约束</w:t>
                  </w:r>
                </w:p>
              </w:tc>
              <w:tc>
                <w:tcPr>
                  <w:tcW w:w="3410" w:type="dxa"/>
                  <w:vAlign w:val="center"/>
                </w:tcPr>
                <w:p>
                  <w:pPr>
                    <w:pStyle w:val="26"/>
                    <w:spacing w:beforeLines="0" w:line="240" w:lineRule="auto"/>
                    <w:contextualSpacing/>
                    <w:jc w:val="both"/>
                    <w:rPr>
                      <w:rFonts w:ascii="Times New Roman" w:eastAsia="宋体"/>
                      <w:color w:val="auto"/>
                      <w:szCs w:val="21"/>
                    </w:rPr>
                  </w:pPr>
                  <w:r>
                    <w:rPr>
                      <w:rFonts w:hint="eastAsia" w:ascii="Times New Roman" w:eastAsia="宋体"/>
                      <w:color w:val="auto"/>
                      <w:szCs w:val="21"/>
                    </w:rPr>
                    <w:t>1原则上按限制开发区域的要求进行管理。避免开发建设活动损害生态服务功能和生态产品质量。</w:t>
                  </w:r>
                </w:p>
                <w:p>
                  <w:pPr>
                    <w:pStyle w:val="26"/>
                    <w:spacing w:beforeLines="0" w:line="240" w:lineRule="auto"/>
                    <w:contextualSpacing/>
                    <w:jc w:val="both"/>
                    <w:rPr>
                      <w:rFonts w:ascii="Times New Roman" w:eastAsia="宋体"/>
                      <w:color w:val="auto"/>
                      <w:szCs w:val="21"/>
                    </w:rPr>
                  </w:pPr>
                  <w:r>
                    <w:rPr>
                      <w:rFonts w:hint="eastAsia" w:ascii="Times New Roman" w:eastAsia="宋体"/>
                      <w:color w:val="auto"/>
                      <w:szCs w:val="21"/>
                    </w:rPr>
                    <w:t>2禁止在崩塌、滑坡危险区和泥石流易发区从事取土、挖砂、采石等可能造成水土流失的活动。禁止开垦、开发植物保护带。禁止在二十度以上陡坡地开垦种植农作物，种植人参开垦坡度不得超过二十五度。禁止毁林、毁草开垦。禁止在水土流失重点预防区和重点治理区铲草皮、挖树蔸等。</w:t>
                  </w:r>
                </w:p>
                <w:p>
                  <w:pPr>
                    <w:pStyle w:val="26"/>
                    <w:spacing w:beforeLines="0" w:line="240" w:lineRule="auto"/>
                    <w:contextualSpacing/>
                    <w:jc w:val="both"/>
                    <w:rPr>
                      <w:rFonts w:ascii="Times New Roman" w:eastAsia="宋体"/>
                      <w:color w:val="auto"/>
                      <w:szCs w:val="21"/>
                    </w:rPr>
                  </w:pPr>
                  <w:r>
                    <w:rPr>
                      <w:rFonts w:hint="eastAsia" w:ascii="Times New Roman" w:eastAsia="宋体"/>
                      <w:color w:val="auto"/>
                      <w:szCs w:val="21"/>
                    </w:rPr>
                    <w:t>3原则上不再新建各类产业园区，严禁随意扩大现有产业园区范围。以工业为主的产业园区应加快完成园区的循环化改造，鼓励推进低消耗、可循环、少排放的生态型工业区建设。</w:t>
                  </w:r>
                </w:p>
                <w:p>
                  <w:pPr>
                    <w:pStyle w:val="26"/>
                    <w:spacing w:beforeLines="0" w:line="240" w:lineRule="auto"/>
                    <w:contextualSpacing/>
                    <w:jc w:val="both"/>
                    <w:rPr>
                      <w:rFonts w:ascii="Times New Roman" w:eastAsia="宋体"/>
                      <w:color w:val="auto"/>
                      <w:szCs w:val="21"/>
                    </w:rPr>
                  </w:pPr>
                  <w:r>
                    <w:rPr>
                      <w:rFonts w:hint="eastAsia" w:ascii="Times New Roman" w:eastAsia="宋体"/>
                      <w:color w:val="auto"/>
                      <w:szCs w:val="21"/>
                    </w:rPr>
                    <w:t>4区内现有不符合主体功能定位的现有产业，实施搬迁或关闭。对已造成的污染或损害，应限期治理。</w:t>
                  </w:r>
                </w:p>
                <w:p>
                  <w:pPr>
                    <w:pStyle w:val="26"/>
                    <w:spacing w:beforeLines="0" w:line="240" w:lineRule="auto"/>
                    <w:contextualSpacing/>
                    <w:jc w:val="both"/>
                    <w:rPr>
                      <w:rFonts w:ascii="Times New Roman" w:eastAsia="宋体"/>
                      <w:color w:val="auto"/>
                      <w:szCs w:val="21"/>
                    </w:rPr>
                  </w:pPr>
                  <w:r>
                    <w:rPr>
                      <w:rFonts w:hint="eastAsia" w:ascii="Times New Roman" w:eastAsia="宋体"/>
                      <w:color w:val="auto"/>
                      <w:szCs w:val="21"/>
                    </w:rPr>
                    <w:t>5江河源头区域执行《水功能区监督管理办法》相关要求。</w:t>
                  </w:r>
                </w:p>
                <w:p>
                  <w:pPr>
                    <w:pStyle w:val="26"/>
                    <w:spacing w:beforeLines="0" w:line="240" w:lineRule="auto"/>
                    <w:contextualSpacing/>
                    <w:jc w:val="both"/>
                    <w:rPr>
                      <w:rFonts w:ascii="Times New Roman" w:eastAsia="宋体"/>
                      <w:color w:val="auto"/>
                      <w:szCs w:val="21"/>
                    </w:rPr>
                  </w:pPr>
                  <w:r>
                    <w:rPr>
                      <w:rFonts w:hint="eastAsia" w:ascii="Times New Roman" w:eastAsia="宋体"/>
                      <w:color w:val="auto"/>
                      <w:szCs w:val="21"/>
                    </w:rPr>
                    <w:t>6黑土地保护区执行《吉林省黑土地保护条例》相关要求。开展坡耕地整治和侵蚀沟治理，防治水土流失；实施秸秆还田、增施有机肥、土壤酸化治理等农艺措施，修复农田生态。</w:t>
                  </w:r>
                </w:p>
              </w:tc>
              <w:tc>
                <w:tcPr>
                  <w:tcW w:w="1554" w:type="dxa"/>
                  <w:vAlign w:val="center"/>
                </w:tcPr>
                <w:p>
                  <w:pPr>
                    <w:autoSpaceDE w:val="0"/>
                    <w:autoSpaceDN w:val="0"/>
                    <w:adjustRightInd w:val="0"/>
                    <w:snapToGrid w:val="0"/>
                    <w:jc w:val="center"/>
                    <w:rPr>
                      <w:bCs/>
                      <w:kern w:val="0"/>
                      <w:szCs w:val="21"/>
                    </w:rPr>
                  </w:pPr>
                  <w:r>
                    <w:rPr>
                      <w:bCs/>
                      <w:kern w:val="0"/>
                      <w:szCs w:val="21"/>
                    </w:rPr>
                    <w:t>项目</w:t>
                  </w:r>
                  <w:r>
                    <w:rPr>
                      <w:rFonts w:hint="eastAsia"/>
                      <w:bCs/>
                      <w:kern w:val="0"/>
                      <w:szCs w:val="21"/>
                    </w:rPr>
                    <w:t>位于柳河县五道沟镇教堂子村企业</w:t>
                  </w:r>
                  <w:r>
                    <w:rPr>
                      <w:bCs/>
                      <w:kern w:val="0"/>
                      <w:szCs w:val="21"/>
                    </w:rPr>
                    <w:t>现有厂区内，不新增用地</w:t>
                  </w:r>
                  <w:r>
                    <w:rPr>
                      <w:rFonts w:hint="eastAsia"/>
                      <w:bCs/>
                      <w:kern w:val="0"/>
                      <w:szCs w:val="21"/>
                    </w:rPr>
                    <w:t>，</w:t>
                  </w:r>
                  <w:r>
                    <w:rPr>
                      <w:bCs/>
                      <w:kern w:val="0"/>
                      <w:szCs w:val="21"/>
                    </w:rPr>
                    <w:t>不破坏生态服务功能；不涉及取土、挖砂、采石，不涉及开垦、开发植物保护带，不涉及毁林、毁草开垦</w:t>
                  </w:r>
                  <w:r>
                    <w:rPr>
                      <w:rFonts w:hint="eastAsia"/>
                      <w:bCs/>
                      <w:kern w:val="0"/>
                      <w:szCs w:val="21"/>
                    </w:rPr>
                    <w:t>，</w:t>
                  </w:r>
                  <w:r>
                    <w:rPr>
                      <w:bCs/>
                      <w:kern w:val="0"/>
                      <w:szCs w:val="21"/>
                    </w:rPr>
                    <w:t>不涉及铲草皮、挖树蔸等。</w:t>
                  </w:r>
                </w:p>
                <w:p>
                  <w:pPr>
                    <w:autoSpaceDE w:val="0"/>
                    <w:autoSpaceDN w:val="0"/>
                    <w:adjustRightInd w:val="0"/>
                    <w:snapToGrid w:val="0"/>
                    <w:jc w:val="center"/>
                    <w:rPr>
                      <w:bCs/>
                      <w:kern w:val="0"/>
                      <w:szCs w:val="21"/>
                    </w:rPr>
                  </w:pPr>
                  <w:r>
                    <w:rPr>
                      <w:bCs/>
                      <w:kern w:val="0"/>
                      <w:szCs w:val="21"/>
                    </w:rPr>
                    <w:t>项目属于《产业结构调整指导目录（2024年本）》允许类项目。</w:t>
                  </w:r>
                </w:p>
                <w:p>
                  <w:pPr>
                    <w:autoSpaceDE w:val="0"/>
                    <w:autoSpaceDN w:val="0"/>
                    <w:adjustRightInd w:val="0"/>
                    <w:snapToGrid w:val="0"/>
                    <w:jc w:val="center"/>
                    <w:rPr>
                      <w:bCs/>
                      <w:kern w:val="0"/>
                      <w:szCs w:val="21"/>
                    </w:rPr>
                  </w:pPr>
                  <w:r>
                    <w:rPr>
                      <w:bCs/>
                      <w:kern w:val="0"/>
                      <w:szCs w:val="21"/>
                    </w:rPr>
                    <w:t>项目污染物排放量较少，且均通过有效可行的治理措施进行处理，污染物能够达标排放。</w:t>
                  </w:r>
                </w:p>
              </w:tc>
              <w:tc>
                <w:tcPr>
                  <w:tcW w:w="635" w:type="dxa"/>
                  <w:vAlign w:val="center"/>
                </w:tcPr>
                <w:p>
                  <w:pPr>
                    <w:autoSpaceDE w:val="0"/>
                    <w:autoSpaceDN w:val="0"/>
                    <w:adjustRightInd w:val="0"/>
                    <w:snapToGrid w:val="0"/>
                    <w:ind w:firstLine="456"/>
                    <w:jc w:val="center"/>
                    <w:rPr>
                      <w:spacing w:val="-6"/>
                      <w:kern w:val="0"/>
                      <w:szCs w:val="21"/>
                    </w:rPr>
                  </w:pPr>
                  <w:r>
                    <w:rPr>
                      <w:rFonts w:hint="eastAsia"/>
                      <w:spacing w:val="-6"/>
                      <w:kern w:val="0"/>
                      <w:szCs w:val="21"/>
                    </w:rPr>
                    <w:t>符合</w:t>
                  </w:r>
                </w:p>
              </w:tc>
            </w:tr>
          </w:tbl>
          <w:p>
            <w:pPr>
              <w:autoSpaceDE w:val="0"/>
              <w:autoSpaceDN w:val="0"/>
              <w:spacing w:beforeLines="50" w:line="360" w:lineRule="auto"/>
              <w:ind w:firstLine="456" w:firstLineChars="200"/>
              <w:rPr>
                <w:spacing w:val="-6"/>
                <w:kern w:val="0"/>
                <w:sz w:val="24"/>
              </w:rPr>
            </w:pPr>
            <w:r>
              <w:rPr>
                <w:rFonts w:hint="eastAsia"/>
                <w:spacing w:val="-6"/>
                <w:kern w:val="0"/>
                <w:sz w:val="24"/>
              </w:rPr>
              <w:t>综上，项目建设符合各级生态环境分区管控实施方案要求。</w:t>
            </w:r>
          </w:p>
          <w:p>
            <w:pPr>
              <w:autoSpaceDE w:val="0"/>
              <w:autoSpaceDN w:val="0"/>
              <w:spacing w:line="360" w:lineRule="auto"/>
              <w:ind w:firstLine="482" w:firstLineChars="200"/>
              <w:rPr>
                <w:b/>
                <w:bCs/>
                <w:kern w:val="0"/>
                <w:sz w:val="24"/>
              </w:rPr>
            </w:pPr>
            <w:r>
              <w:rPr>
                <w:rFonts w:hint="eastAsia"/>
                <w:b/>
                <w:bCs/>
                <w:kern w:val="0"/>
                <w:sz w:val="24"/>
              </w:rPr>
              <w:t>3、选址合理性分析</w:t>
            </w:r>
          </w:p>
          <w:p>
            <w:pPr>
              <w:autoSpaceDE w:val="0"/>
              <w:autoSpaceDN w:val="0"/>
              <w:spacing w:line="360" w:lineRule="auto"/>
              <w:ind w:firstLine="480" w:firstLineChars="200"/>
              <w:rPr>
                <w:kern w:val="0"/>
                <w:sz w:val="24"/>
              </w:rPr>
            </w:pPr>
            <w:r>
              <w:rPr>
                <w:kern w:val="0"/>
                <w:sz w:val="24"/>
              </w:rPr>
              <w:t>项目建设地点位于吉林省通化市柳河县五道沟镇教堂子村柳河启城水泥制品有限公司</w:t>
            </w:r>
            <w:r>
              <w:rPr>
                <w:rFonts w:hint="eastAsia"/>
                <w:kern w:val="0"/>
                <w:sz w:val="24"/>
              </w:rPr>
              <w:t>现有厂区内，</w:t>
            </w:r>
            <w:r>
              <w:rPr>
                <w:kern w:val="0"/>
                <w:sz w:val="24"/>
              </w:rPr>
              <w:t>厂区中心坐标为（东经：125°</w:t>
            </w:r>
            <w:r>
              <w:rPr>
                <w:rFonts w:hint="eastAsia"/>
                <w:kern w:val="0"/>
                <w:sz w:val="24"/>
              </w:rPr>
              <w:t>54</w:t>
            </w:r>
            <w:r>
              <w:rPr>
                <w:kern w:val="0"/>
                <w:sz w:val="24"/>
              </w:rPr>
              <w:t>′</w:t>
            </w:r>
            <w:r>
              <w:rPr>
                <w:rFonts w:hint="eastAsia"/>
                <w:kern w:val="0"/>
                <w:sz w:val="24"/>
              </w:rPr>
              <w:t>4.269</w:t>
            </w:r>
            <w:r>
              <w:rPr>
                <w:kern w:val="0"/>
                <w:sz w:val="24"/>
              </w:rPr>
              <w:t>″，北纬：4</w:t>
            </w:r>
            <w:r>
              <w:rPr>
                <w:rFonts w:hint="eastAsia"/>
                <w:kern w:val="0"/>
                <w:sz w:val="24"/>
              </w:rPr>
              <w:t>2</w:t>
            </w:r>
            <w:r>
              <w:rPr>
                <w:kern w:val="0"/>
                <w:sz w:val="24"/>
              </w:rPr>
              <w:t>°</w:t>
            </w:r>
            <w:r>
              <w:rPr>
                <w:rFonts w:hint="eastAsia"/>
                <w:kern w:val="0"/>
                <w:sz w:val="24"/>
              </w:rPr>
              <w:t>9</w:t>
            </w:r>
            <w:r>
              <w:rPr>
                <w:kern w:val="0"/>
                <w:sz w:val="24"/>
              </w:rPr>
              <w:t>′</w:t>
            </w:r>
            <w:r>
              <w:rPr>
                <w:rFonts w:hint="eastAsia"/>
                <w:kern w:val="0"/>
                <w:sz w:val="24"/>
              </w:rPr>
              <w:t>11.416</w:t>
            </w:r>
            <w:r>
              <w:rPr>
                <w:kern w:val="0"/>
                <w:sz w:val="24"/>
              </w:rPr>
              <w:t>″）</w:t>
            </w:r>
            <w:r>
              <w:rPr>
                <w:rFonts w:hint="eastAsia"/>
                <w:kern w:val="0"/>
                <w:sz w:val="24"/>
              </w:rPr>
              <w:t>，项目所在地理位置详见附图3。项目</w:t>
            </w:r>
            <w:r>
              <w:rPr>
                <w:kern w:val="0"/>
                <w:sz w:val="24"/>
              </w:rPr>
              <w:t>厂区南侧、东侧隔路为教堂子村居民</w:t>
            </w:r>
            <w:r>
              <w:rPr>
                <w:rFonts w:hint="eastAsia"/>
                <w:kern w:val="0"/>
                <w:sz w:val="24"/>
              </w:rPr>
              <w:t>，东南侧为铁路，</w:t>
            </w:r>
            <w:r>
              <w:rPr>
                <w:kern w:val="0"/>
                <w:sz w:val="24"/>
              </w:rPr>
              <w:t>西侧为胜利机砖厂</w:t>
            </w:r>
            <w:r>
              <w:rPr>
                <w:rFonts w:hint="eastAsia"/>
                <w:kern w:val="0"/>
                <w:sz w:val="24"/>
              </w:rPr>
              <w:t>，</w:t>
            </w:r>
            <w:r>
              <w:rPr>
                <w:kern w:val="0"/>
                <w:sz w:val="24"/>
              </w:rPr>
              <w:t>北侧为</w:t>
            </w:r>
            <w:r>
              <w:rPr>
                <w:rFonts w:hint="eastAsia"/>
                <w:kern w:val="0"/>
                <w:sz w:val="24"/>
              </w:rPr>
              <w:t>农田</w:t>
            </w:r>
            <w:r>
              <w:rPr>
                <w:kern w:val="0"/>
                <w:sz w:val="24"/>
              </w:rPr>
              <w:t>。项目在现有厂区内建设，不新增占地，项目</w:t>
            </w:r>
            <w:r>
              <w:rPr>
                <w:rFonts w:hint="eastAsia"/>
                <w:kern w:val="0"/>
                <w:sz w:val="24"/>
              </w:rPr>
              <w:t>建设</w:t>
            </w:r>
            <w:r>
              <w:rPr>
                <w:kern w:val="0"/>
                <w:sz w:val="24"/>
              </w:rPr>
              <w:t>符合当地规划。根据《建设项目环境影响评价分类管理名录》（生态环境部部令第16号）中对环境敏感区的界定原则，本项目附近没有自然保护区、风景名胜区、世界文化和自然、遗产地、海洋特别保护区、饮用水水源保护区、文物保护单位等，不属于环境敏感区。</w:t>
            </w:r>
          </w:p>
          <w:p>
            <w:pPr>
              <w:autoSpaceDE w:val="0"/>
              <w:autoSpaceDN w:val="0"/>
              <w:spacing w:line="360" w:lineRule="auto"/>
              <w:ind w:firstLine="480" w:firstLineChars="200"/>
              <w:rPr>
                <w:kern w:val="0"/>
                <w:sz w:val="24"/>
              </w:rPr>
            </w:pPr>
            <w:r>
              <w:rPr>
                <w:kern w:val="0"/>
                <w:sz w:val="24"/>
              </w:rPr>
              <w:t>因此，在企业严格落实报告中各项污染治理措施，加强环境治理及确保污染治理措施稳定运行、各污染物稳定达标排放的前提下，本项目选址合理。</w:t>
            </w:r>
          </w:p>
          <w:p>
            <w:pPr>
              <w:autoSpaceDE w:val="0"/>
              <w:autoSpaceDN w:val="0"/>
              <w:spacing w:line="360" w:lineRule="auto"/>
              <w:ind w:firstLine="482" w:firstLineChars="200"/>
              <w:rPr>
                <w:b/>
                <w:bCs/>
                <w:kern w:val="0"/>
                <w:sz w:val="24"/>
              </w:rPr>
            </w:pPr>
            <w:r>
              <w:rPr>
                <w:rFonts w:hint="eastAsia"/>
                <w:b/>
                <w:bCs/>
                <w:kern w:val="0"/>
                <w:sz w:val="24"/>
              </w:rPr>
              <w:t>4、与《吉林省空气环境质量巩固提升行动方案》符合性分析</w:t>
            </w:r>
          </w:p>
          <w:p>
            <w:pPr>
              <w:autoSpaceDE w:val="0"/>
              <w:autoSpaceDN w:val="0"/>
              <w:spacing w:line="360" w:lineRule="auto"/>
              <w:ind w:firstLine="480" w:firstLineChars="200"/>
              <w:rPr>
                <w:kern w:val="0"/>
                <w:sz w:val="24"/>
              </w:rPr>
            </w:pPr>
            <w:r>
              <w:rPr>
                <w:rFonts w:hint="eastAsia"/>
                <w:kern w:val="0"/>
                <w:sz w:val="24"/>
              </w:rPr>
              <w:t>项目与《吉林省人民政府办公厅关于印发吉林省空气、水环境、土壤环境质量巩固提升三个行动方案的通知》（吉政办发[2021]10号）符合性分析详见下表。</w:t>
            </w:r>
          </w:p>
          <w:p>
            <w:pPr>
              <w:pStyle w:val="23"/>
              <w:ind w:left="0" w:firstLine="0"/>
              <w:rPr>
                <w:u w:val="none"/>
              </w:rPr>
            </w:pPr>
            <w:r>
              <w:rPr>
                <w:rFonts w:hint="eastAsia"/>
                <w:u w:val="none"/>
              </w:rPr>
              <w:t>与“吉林省空气环境质量巩固提升行动方案”的相符性</w:t>
            </w:r>
          </w:p>
          <w:tbl>
            <w:tblPr>
              <w:tblStyle w:val="19"/>
              <w:tblW w:w="6272"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654"/>
              <w:gridCol w:w="3124"/>
              <w:gridCol w:w="1662"/>
              <w:gridCol w:w="832"/>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4" w:type="dxa"/>
                  <w:vAlign w:val="center"/>
                </w:tcPr>
                <w:p>
                  <w:pPr>
                    <w:autoSpaceDE w:val="0"/>
                    <w:autoSpaceDN w:val="0"/>
                    <w:adjustRightInd w:val="0"/>
                    <w:snapToGrid w:val="0"/>
                    <w:ind w:firstLine="482"/>
                    <w:jc w:val="center"/>
                    <w:rPr>
                      <w:b/>
                      <w:bCs/>
                      <w:kern w:val="0"/>
                      <w:szCs w:val="21"/>
                    </w:rPr>
                  </w:pPr>
                  <w:r>
                    <w:rPr>
                      <w:rFonts w:hint="eastAsia"/>
                      <w:b/>
                      <w:bCs/>
                      <w:kern w:val="0"/>
                      <w:szCs w:val="21"/>
                    </w:rPr>
                    <w:t>序号</w:t>
                  </w:r>
                </w:p>
              </w:tc>
              <w:tc>
                <w:tcPr>
                  <w:tcW w:w="3124" w:type="dxa"/>
                  <w:vAlign w:val="center"/>
                </w:tcPr>
                <w:p>
                  <w:pPr>
                    <w:autoSpaceDE w:val="0"/>
                    <w:autoSpaceDN w:val="0"/>
                    <w:adjustRightInd w:val="0"/>
                    <w:snapToGrid w:val="0"/>
                    <w:ind w:firstLine="482"/>
                    <w:jc w:val="center"/>
                    <w:rPr>
                      <w:b/>
                      <w:bCs/>
                      <w:kern w:val="0"/>
                      <w:szCs w:val="21"/>
                    </w:rPr>
                  </w:pPr>
                  <w:r>
                    <w:rPr>
                      <w:rFonts w:hint="eastAsia"/>
                      <w:b/>
                      <w:bCs/>
                      <w:kern w:val="0"/>
                      <w:szCs w:val="21"/>
                    </w:rPr>
                    <w:t>相关要求</w:t>
                  </w:r>
                </w:p>
              </w:tc>
              <w:tc>
                <w:tcPr>
                  <w:tcW w:w="1662" w:type="dxa"/>
                  <w:vAlign w:val="center"/>
                </w:tcPr>
                <w:p>
                  <w:pPr>
                    <w:autoSpaceDE w:val="0"/>
                    <w:autoSpaceDN w:val="0"/>
                    <w:adjustRightInd w:val="0"/>
                    <w:snapToGrid w:val="0"/>
                    <w:ind w:firstLine="482"/>
                    <w:jc w:val="center"/>
                    <w:rPr>
                      <w:b/>
                      <w:bCs/>
                      <w:kern w:val="0"/>
                      <w:szCs w:val="21"/>
                    </w:rPr>
                  </w:pPr>
                  <w:r>
                    <w:rPr>
                      <w:rFonts w:hint="eastAsia"/>
                      <w:b/>
                      <w:bCs/>
                      <w:kern w:val="0"/>
                      <w:szCs w:val="21"/>
                    </w:rPr>
                    <w:t>本项目</w:t>
                  </w:r>
                </w:p>
              </w:tc>
              <w:tc>
                <w:tcPr>
                  <w:tcW w:w="832" w:type="dxa"/>
                  <w:vAlign w:val="center"/>
                </w:tcPr>
                <w:p>
                  <w:pPr>
                    <w:autoSpaceDE w:val="0"/>
                    <w:autoSpaceDN w:val="0"/>
                    <w:adjustRightInd w:val="0"/>
                    <w:snapToGrid w:val="0"/>
                    <w:ind w:firstLine="438"/>
                    <w:jc w:val="center"/>
                    <w:rPr>
                      <w:b/>
                      <w:bCs/>
                      <w:kern w:val="0"/>
                      <w:szCs w:val="21"/>
                    </w:rPr>
                  </w:pPr>
                  <w:r>
                    <w:rPr>
                      <w:rFonts w:hint="eastAsia"/>
                      <w:b/>
                      <w:bCs/>
                      <w:spacing w:val="-11"/>
                      <w:kern w:val="0"/>
                      <w:szCs w:val="21"/>
                    </w:rPr>
                    <w:t>相符性</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4" w:type="dxa"/>
                  <w:vAlign w:val="center"/>
                </w:tcPr>
                <w:p>
                  <w:pPr>
                    <w:autoSpaceDE w:val="0"/>
                    <w:autoSpaceDN w:val="0"/>
                    <w:adjustRightInd w:val="0"/>
                    <w:snapToGrid w:val="0"/>
                    <w:jc w:val="center"/>
                    <w:rPr>
                      <w:kern w:val="0"/>
                      <w:szCs w:val="21"/>
                    </w:rPr>
                  </w:pPr>
                  <w:r>
                    <w:rPr>
                      <w:rFonts w:hint="eastAsia"/>
                      <w:kern w:val="0"/>
                      <w:szCs w:val="21"/>
                    </w:rPr>
                    <w:t>1</w:t>
                  </w:r>
                </w:p>
              </w:tc>
              <w:tc>
                <w:tcPr>
                  <w:tcW w:w="3124" w:type="dxa"/>
                  <w:vAlign w:val="center"/>
                </w:tcPr>
                <w:p>
                  <w:pPr>
                    <w:pStyle w:val="26"/>
                    <w:spacing w:before="24" w:after="24"/>
                    <w:contextualSpacing/>
                    <w:jc w:val="both"/>
                    <w:rPr>
                      <w:rFonts w:ascii="Times New Roman" w:eastAsia="宋体"/>
                      <w:color w:val="auto"/>
                      <w:szCs w:val="21"/>
                    </w:rPr>
                  </w:pPr>
                  <w:r>
                    <w:rPr>
                      <w:rFonts w:hint="eastAsia" w:ascii="Times New Roman" w:eastAsia="宋体"/>
                      <w:color w:val="auto"/>
                      <w:szCs w:val="21"/>
                    </w:rPr>
                    <w:t>加大燃煤锅炉淘汰力度。严控新建燃煤锅炉，</w:t>
                  </w:r>
                  <w:r>
                    <w:rPr>
                      <w:rFonts w:hint="eastAsia" w:ascii="Times New Roman" w:eastAsia="宋体"/>
                      <w:color w:val="auto"/>
                      <w:spacing w:val="-6"/>
                      <w:szCs w:val="21"/>
                    </w:rPr>
                    <w:t>县级以上城市建成区原则上不再新建每小时35蒸吨以下燃煤锅炉，其他地区原则上不再新建每小时10蒸吨以下燃煤锅炉。</w:t>
                  </w:r>
                  <w:r>
                    <w:rPr>
                      <w:rFonts w:hint="eastAsia" w:ascii="Times New Roman" w:eastAsia="宋体"/>
                      <w:color w:val="auto"/>
                      <w:szCs w:val="21"/>
                    </w:rPr>
                    <w:t>按照国家政策的调整和要求，逐步开展燃煤锅炉淘汰工作</w:t>
                  </w:r>
                </w:p>
              </w:tc>
              <w:tc>
                <w:tcPr>
                  <w:tcW w:w="1662" w:type="dxa"/>
                  <w:vAlign w:val="center"/>
                </w:tcPr>
                <w:p>
                  <w:pPr>
                    <w:autoSpaceDE w:val="0"/>
                    <w:autoSpaceDN w:val="0"/>
                    <w:adjustRightInd w:val="0"/>
                    <w:snapToGrid w:val="0"/>
                    <w:jc w:val="center"/>
                    <w:rPr>
                      <w:kern w:val="0"/>
                      <w:szCs w:val="21"/>
                    </w:rPr>
                  </w:pPr>
                  <w:r>
                    <w:rPr>
                      <w:rFonts w:hint="eastAsia"/>
                      <w:kern w:val="0"/>
                      <w:szCs w:val="21"/>
                    </w:rPr>
                    <w:t>项目不涉及燃煤锅炉</w:t>
                  </w:r>
                </w:p>
              </w:tc>
              <w:tc>
                <w:tcPr>
                  <w:tcW w:w="832" w:type="dxa"/>
                  <w:vAlign w:val="center"/>
                </w:tcPr>
                <w:p>
                  <w:pPr>
                    <w:autoSpaceDE w:val="0"/>
                    <w:autoSpaceDN w:val="0"/>
                    <w:adjustRightInd w:val="0"/>
                    <w:snapToGrid w:val="0"/>
                    <w:jc w:val="center"/>
                    <w:rPr>
                      <w:kern w:val="0"/>
                      <w:szCs w:val="21"/>
                    </w:rPr>
                  </w:pPr>
                  <w:r>
                    <w:rPr>
                      <w:rFonts w:hint="eastAsia"/>
                      <w:kern w:val="0"/>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4" w:type="dxa"/>
                  <w:vAlign w:val="center"/>
                </w:tcPr>
                <w:p>
                  <w:pPr>
                    <w:autoSpaceDE w:val="0"/>
                    <w:autoSpaceDN w:val="0"/>
                    <w:adjustRightInd w:val="0"/>
                    <w:snapToGrid w:val="0"/>
                    <w:jc w:val="center"/>
                    <w:rPr>
                      <w:kern w:val="0"/>
                      <w:szCs w:val="21"/>
                    </w:rPr>
                  </w:pPr>
                  <w:r>
                    <w:rPr>
                      <w:rFonts w:hint="eastAsia"/>
                      <w:kern w:val="0"/>
                      <w:szCs w:val="21"/>
                    </w:rPr>
                    <w:t>2</w:t>
                  </w:r>
                </w:p>
              </w:tc>
              <w:tc>
                <w:tcPr>
                  <w:tcW w:w="3124" w:type="dxa"/>
                  <w:vAlign w:val="center"/>
                </w:tcPr>
                <w:p>
                  <w:pPr>
                    <w:pStyle w:val="26"/>
                    <w:spacing w:before="24" w:after="24"/>
                    <w:contextualSpacing/>
                    <w:jc w:val="both"/>
                    <w:rPr>
                      <w:rFonts w:ascii="Times New Roman" w:eastAsia="宋体"/>
                      <w:color w:val="auto"/>
                      <w:szCs w:val="21"/>
                    </w:rPr>
                  </w:pPr>
                  <w:r>
                    <w:rPr>
                      <w:rFonts w:hint="eastAsia" w:ascii="Times New Roman" w:eastAsia="宋体"/>
                      <w:color w:val="auto"/>
                      <w:szCs w:val="21"/>
                    </w:rPr>
                    <w:t>持续推进工业污染源全面达标排放。加大工业污染源烟气高效脱硫脱硝、除尘改造力度，确保各项污染物稳定达标排放。重点排污单位全部安装自动监控设备并与生态环境部门联网。对排放不达标的企业按照“一企一策”的原则，限期整改到位。全面加强工业无组织排放管控</w:t>
                  </w:r>
                </w:p>
              </w:tc>
              <w:tc>
                <w:tcPr>
                  <w:tcW w:w="1662" w:type="dxa"/>
                  <w:vAlign w:val="center"/>
                </w:tcPr>
                <w:p>
                  <w:pPr>
                    <w:autoSpaceDE w:val="0"/>
                    <w:autoSpaceDN w:val="0"/>
                    <w:adjustRightInd w:val="0"/>
                    <w:snapToGrid w:val="0"/>
                    <w:jc w:val="center"/>
                    <w:rPr>
                      <w:kern w:val="0"/>
                      <w:szCs w:val="21"/>
                    </w:rPr>
                  </w:pPr>
                  <w:r>
                    <w:rPr>
                      <w:rFonts w:hint="eastAsia"/>
                      <w:kern w:val="0"/>
                      <w:szCs w:val="21"/>
                    </w:rPr>
                    <w:t>项目燃生物质锅炉烟气</w:t>
                  </w:r>
                  <w:r>
                    <w:rPr>
                      <w:kern w:val="0"/>
                      <w:szCs w:val="21"/>
                    </w:rPr>
                    <w:t>采用低氮燃烧</w:t>
                  </w:r>
                  <w:r>
                    <w:rPr>
                      <w:rFonts w:hint="eastAsia"/>
                      <w:kern w:val="0"/>
                      <w:szCs w:val="21"/>
                    </w:rPr>
                    <w:t>+陶瓷多管+布袋除尘器处理达标后，</w:t>
                  </w:r>
                  <w:r>
                    <w:rPr>
                      <w:kern w:val="0"/>
                      <w:szCs w:val="21"/>
                    </w:rPr>
                    <w:t>通过1根</w:t>
                  </w:r>
                  <w:r>
                    <w:rPr>
                      <w:rFonts w:hint="eastAsia"/>
                      <w:kern w:val="0"/>
                      <w:szCs w:val="21"/>
                    </w:rPr>
                    <w:t>30</w:t>
                  </w:r>
                  <w:r>
                    <w:rPr>
                      <w:kern w:val="0"/>
                      <w:szCs w:val="21"/>
                    </w:rPr>
                    <w:t>m高排气筒排放</w:t>
                  </w:r>
                  <w:r>
                    <w:rPr>
                      <w:rFonts w:hint="eastAsia"/>
                      <w:kern w:val="0"/>
                      <w:szCs w:val="21"/>
                    </w:rPr>
                    <w:t>，满足</w:t>
                  </w:r>
                  <w:r>
                    <w:rPr>
                      <w:rFonts w:hint="eastAsia"/>
                      <w:spacing w:val="-6"/>
                      <w:kern w:val="0"/>
                      <w:szCs w:val="21"/>
                    </w:rPr>
                    <w:t>GB13271-2014《锅炉大气污染物排放标准》表2排放限值要求</w:t>
                  </w:r>
                </w:p>
              </w:tc>
              <w:tc>
                <w:tcPr>
                  <w:tcW w:w="832" w:type="dxa"/>
                  <w:vAlign w:val="center"/>
                </w:tcPr>
                <w:p>
                  <w:pPr>
                    <w:autoSpaceDE w:val="0"/>
                    <w:autoSpaceDN w:val="0"/>
                    <w:adjustRightInd w:val="0"/>
                    <w:snapToGrid w:val="0"/>
                    <w:jc w:val="center"/>
                    <w:rPr>
                      <w:kern w:val="0"/>
                      <w:szCs w:val="21"/>
                    </w:rPr>
                  </w:pPr>
                  <w:r>
                    <w:rPr>
                      <w:rFonts w:hint="eastAsia"/>
                      <w:kern w:val="0"/>
                      <w:szCs w:val="21"/>
                    </w:rPr>
                    <w:t>符合</w:t>
                  </w:r>
                </w:p>
              </w:tc>
            </w:tr>
          </w:tbl>
          <w:p>
            <w:pPr>
              <w:autoSpaceDE w:val="0"/>
              <w:autoSpaceDN w:val="0"/>
              <w:spacing w:beforeLines="50" w:line="360" w:lineRule="auto"/>
              <w:ind w:firstLine="482" w:firstLineChars="200"/>
              <w:rPr>
                <w:b/>
                <w:bCs/>
                <w:kern w:val="0"/>
                <w:sz w:val="24"/>
              </w:rPr>
            </w:pPr>
            <w:r>
              <w:rPr>
                <w:rFonts w:hint="eastAsia"/>
                <w:b/>
                <w:bCs/>
                <w:kern w:val="0"/>
                <w:sz w:val="24"/>
              </w:rPr>
              <w:t>5、与吉林省落实《空气质量持续改善行动计划》实施方案的通知（吉政发[2024]8号）符合性分析</w:t>
            </w:r>
          </w:p>
          <w:p>
            <w:pPr>
              <w:autoSpaceDE w:val="0"/>
              <w:autoSpaceDN w:val="0"/>
              <w:spacing w:line="360" w:lineRule="auto"/>
              <w:ind w:firstLine="480" w:firstLineChars="200"/>
              <w:rPr>
                <w:kern w:val="0"/>
                <w:sz w:val="24"/>
              </w:rPr>
            </w:pPr>
            <w:r>
              <w:rPr>
                <w:rFonts w:hint="eastAsia"/>
                <w:kern w:val="0"/>
                <w:sz w:val="24"/>
              </w:rPr>
              <w:t>项目与吉林省人民政府关于印发《吉林省落实&lt;空气质量持续改善行动计划&gt;实施方案》的通知（吉政发[2024]8号）符合性分析详见下表。</w:t>
            </w:r>
          </w:p>
          <w:p>
            <w:pPr>
              <w:pStyle w:val="23"/>
              <w:ind w:left="0" w:firstLine="0"/>
              <w:rPr>
                <w:u w:val="none"/>
              </w:rPr>
            </w:pPr>
            <w:r>
              <w:rPr>
                <w:rFonts w:hint="eastAsia"/>
                <w:u w:val="none"/>
              </w:rPr>
              <w:t>与“吉林省落实空气质量持续改善行动计划”的相符性</w:t>
            </w:r>
          </w:p>
          <w:tbl>
            <w:tblPr>
              <w:tblStyle w:val="19"/>
              <w:tblW w:w="6272"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654"/>
              <w:gridCol w:w="3199"/>
              <w:gridCol w:w="1601"/>
              <w:gridCol w:w="818"/>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4" w:type="dxa"/>
                  <w:vAlign w:val="center"/>
                </w:tcPr>
                <w:p>
                  <w:pPr>
                    <w:autoSpaceDE w:val="0"/>
                    <w:autoSpaceDN w:val="0"/>
                    <w:adjustRightInd w:val="0"/>
                    <w:snapToGrid w:val="0"/>
                    <w:ind w:firstLine="482"/>
                    <w:jc w:val="center"/>
                    <w:rPr>
                      <w:b/>
                      <w:bCs/>
                      <w:kern w:val="0"/>
                      <w:szCs w:val="21"/>
                    </w:rPr>
                  </w:pPr>
                  <w:r>
                    <w:rPr>
                      <w:rFonts w:hint="eastAsia"/>
                      <w:b/>
                      <w:bCs/>
                      <w:kern w:val="0"/>
                      <w:szCs w:val="21"/>
                    </w:rPr>
                    <w:t>序号</w:t>
                  </w:r>
                </w:p>
              </w:tc>
              <w:tc>
                <w:tcPr>
                  <w:tcW w:w="3199" w:type="dxa"/>
                  <w:vAlign w:val="center"/>
                </w:tcPr>
                <w:p>
                  <w:pPr>
                    <w:autoSpaceDE w:val="0"/>
                    <w:autoSpaceDN w:val="0"/>
                    <w:adjustRightInd w:val="0"/>
                    <w:snapToGrid w:val="0"/>
                    <w:ind w:firstLine="482"/>
                    <w:jc w:val="center"/>
                    <w:rPr>
                      <w:b/>
                      <w:bCs/>
                      <w:kern w:val="0"/>
                      <w:szCs w:val="21"/>
                    </w:rPr>
                  </w:pPr>
                  <w:r>
                    <w:rPr>
                      <w:rFonts w:hint="eastAsia"/>
                      <w:b/>
                      <w:bCs/>
                      <w:kern w:val="0"/>
                      <w:szCs w:val="21"/>
                    </w:rPr>
                    <w:t>相关要求</w:t>
                  </w:r>
                </w:p>
              </w:tc>
              <w:tc>
                <w:tcPr>
                  <w:tcW w:w="1601" w:type="dxa"/>
                  <w:vAlign w:val="center"/>
                </w:tcPr>
                <w:p>
                  <w:pPr>
                    <w:autoSpaceDE w:val="0"/>
                    <w:autoSpaceDN w:val="0"/>
                    <w:adjustRightInd w:val="0"/>
                    <w:snapToGrid w:val="0"/>
                    <w:ind w:firstLine="482"/>
                    <w:jc w:val="center"/>
                    <w:rPr>
                      <w:b/>
                      <w:bCs/>
                      <w:kern w:val="0"/>
                      <w:szCs w:val="21"/>
                    </w:rPr>
                  </w:pPr>
                  <w:r>
                    <w:rPr>
                      <w:rFonts w:hint="eastAsia"/>
                      <w:b/>
                      <w:bCs/>
                      <w:kern w:val="0"/>
                      <w:szCs w:val="21"/>
                    </w:rPr>
                    <w:t>本项目</w:t>
                  </w:r>
                </w:p>
              </w:tc>
              <w:tc>
                <w:tcPr>
                  <w:tcW w:w="818" w:type="dxa"/>
                  <w:vAlign w:val="center"/>
                </w:tcPr>
                <w:p>
                  <w:pPr>
                    <w:autoSpaceDE w:val="0"/>
                    <w:autoSpaceDN w:val="0"/>
                    <w:adjustRightInd w:val="0"/>
                    <w:snapToGrid w:val="0"/>
                    <w:ind w:firstLine="438"/>
                    <w:jc w:val="center"/>
                    <w:rPr>
                      <w:b/>
                      <w:bCs/>
                      <w:kern w:val="0"/>
                      <w:szCs w:val="21"/>
                    </w:rPr>
                  </w:pPr>
                  <w:r>
                    <w:rPr>
                      <w:rFonts w:hint="eastAsia"/>
                      <w:b/>
                      <w:bCs/>
                      <w:spacing w:val="-11"/>
                      <w:kern w:val="0"/>
                      <w:szCs w:val="21"/>
                    </w:rPr>
                    <w:t>相符性</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4" w:type="dxa"/>
                  <w:vAlign w:val="center"/>
                </w:tcPr>
                <w:p>
                  <w:pPr>
                    <w:autoSpaceDE w:val="0"/>
                    <w:autoSpaceDN w:val="0"/>
                    <w:adjustRightInd w:val="0"/>
                    <w:snapToGrid w:val="0"/>
                    <w:jc w:val="center"/>
                    <w:rPr>
                      <w:kern w:val="0"/>
                      <w:szCs w:val="21"/>
                    </w:rPr>
                  </w:pPr>
                  <w:r>
                    <w:rPr>
                      <w:rFonts w:hint="eastAsia"/>
                      <w:kern w:val="0"/>
                      <w:szCs w:val="21"/>
                    </w:rPr>
                    <w:t>1</w:t>
                  </w:r>
                </w:p>
              </w:tc>
              <w:tc>
                <w:tcPr>
                  <w:tcW w:w="3199" w:type="dxa"/>
                  <w:vAlign w:val="center"/>
                </w:tcPr>
                <w:p>
                  <w:pPr>
                    <w:pStyle w:val="26"/>
                    <w:spacing w:before="24" w:after="24"/>
                    <w:contextualSpacing/>
                    <w:jc w:val="both"/>
                    <w:rPr>
                      <w:rFonts w:ascii="Times New Roman" w:eastAsia="宋体"/>
                      <w:color w:val="auto"/>
                      <w:szCs w:val="21"/>
                    </w:rPr>
                  </w:pPr>
                  <w:r>
                    <w:rPr>
                      <w:rFonts w:hint="eastAsia" w:ascii="Times New Roman" w:eastAsia="宋体"/>
                      <w:color w:val="auto"/>
                      <w:szCs w:val="21"/>
                    </w:rPr>
                    <w:t>严格新建项目准入。新改扩建项目必须符合国家产业发展规划、政策，以及生态环境保护、产能置换等相关项目准入条件，严格执行相关目标控制要求，坚决遏制盲目上新“两高一低”项目</w:t>
                  </w:r>
                </w:p>
              </w:tc>
              <w:tc>
                <w:tcPr>
                  <w:tcW w:w="1601" w:type="dxa"/>
                  <w:vAlign w:val="center"/>
                </w:tcPr>
                <w:p>
                  <w:pPr>
                    <w:autoSpaceDE w:val="0"/>
                    <w:autoSpaceDN w:val="0"/>
                    <w:adjustRightInd w:val="0"/>
                    <w:snapToGrid w:val="0"/>
                    <w:jc w:val="center"/>
                    <w:rPr>
                      <w:kern w:val="0"/>
                      <w:szCs w:val="21"/>
                    </w:rPr>
                  </w:pPr>
                  <w:r>
                    <w:rPr>
                      <w:rFonts w:hint="eastAsia"/>
                      <w:kern w:val="0"/>
                      <w:szCs w:val="21"/>
                    </w:rPr>
                    <w:t>项目</w:t>
                  </w:r>
                  <w:r>
                    <w:rPr>
                      <w:rFonts w:hint="eastAsia"/>
                      <w:bCs/>
                      <w:kern w:val="0"/>
                      <w:szCs w:val="21"/>
                    </w:rPr>
                    <w:t>符合国家产业发展规划、政策，符合生态环境准入要求，不属于“两高一低”项目</w:t>
                  </w:r>
                </w:p>
              </w:tc>
              <w:tc>
                <w:tcPr>
                  <w:tcW w:w="818" w:type="dxa"/>
                  <w:vAlign w:val="center"/>
                </w:tcPr>
                <w:p>
                  <w:pPr>
                    <w:autoSpaceDE w:val="0"/>
                    <w:autoSpaceDN w:val="0"/>
                    <w:adjustRightInd w:val="0"/>
                    <w:snapToGrid w:val="0"/>
                    <w:jc w:val="center"/>
                    <w:rPr>
                      <w:kern w:val="0"/>
                      <w:szCs w:val="21"/>
                    </w:rPr>
                  </w:pPr>
                  <w:r>
                    <w:rPr>
                      <w:rFonts w:hint="eastAsia"/>
                      <w:kern w:val="0"/>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4" w:type="dxa"/>
                  <w:vAlign w:val="center"/>
                </w:tcPr>
                <w:p>
                  <w:pPr>
                    <w:autoSpaceDE w:val="0"/>
                    <w:autoSpaceDN w:val="0"/>
                    <w:adjustRightInd w:val="0"/>
                    <w:snapToGrid w:val="0"/>
                    <w:jc w:val="center"/>
                    <w:rPr>
                      <w:kern w:val="0"/>
                      <w:szCs w:val="21"/>
                    </w:rPr>
                  </w:pPr>
                  <w:r>
                    <w:rPr>
                      <w:rFonts w:hint="eastAsia"/>
                      <w:kern w:val="0"/>
                      <w:szCs w:val="21"/>
                    </w:rPr>
                    <w:t>2</w:t>
                  </w:r>
                </w:p>
              </w:tc>
              <w:tc>
                <w:tcPr>
                  <w:tcW w:w="3199" w:type="dxa"/>
                  <w:vAlign w:val="center"/>
                </w:tcPr>
                <w:p>
                  <w:pPr>
                    <w:pStyle w:val="26"/>
                    <w:spacing w:before="24" w:after="24"/>
                    <w:contextualSpacing/>
                    <w:jc w:val="both"/>
                    <w:rPr>
                      <w:rFonts w:ascii="Times New Roman" w:eastAsia="宋体"/>
                      <w:color w:val="auto"/>
                      <w:szCs w:val="21"/>
                    </w:rPr>
                  </w:pPr>
                  <w:r>
                    <w:rPr>
                      <w:rFonts w:hint="eastAsia" w:ascii="Times New Roman" w:eastAsia="宋体"/>
                      <w:color w:val="auto"/>
                      <w:szCs w:val="21"/>
                    </w:rPr>
                    <w:t>积极开展燃煤锅炉关停整合。燃煤供热锅炉替代项目纳入城镇供热规划，推进热力管网建设，依托电厂、大型工业企业开展远距离供热示范，持续淘汰管网覆盖范围内的燃煤锅炉和散煤。到2025年，PM</w:t>
                  </w:r>
                  <w:r>
                    <w:rPr>
                      <w:rFonts w:hint="eastAsia" w:ascii="Times New Roman" w:eastAsia="宋体"/>
                      <w:color w:val="auto"/>
                      <w:szCs w:val="21"/>
                      <w:vertAlign w:val="subscript"/>
                    </w:rPr>
                    <w:t>2.5</w:t>
                  </w:r>
                  <w:r>
                    <w:rPr>
                      <w:rFonts w:hint="eastAsia" w:ascii="Times New Roman" w:eastAsia="宋体"/>
                      <w:color w:val="auto"/>
                      <w:szCs w:val="21"/>
                    </w:rPr>
                    <w:t>未达标城市基本淘汰10蒸吨/小时及以下燃煤锅炉</w:t>
                  </w:r>
                </w:p>
              </w:tc>
              <w:tc>
                <w:tcPr>
                  <w:tcW w:w="1601" w:type="dxa"/>
                  <w:vAlign w:val="center"/>
                </w:tcPr>
                <w:p>
                  <w:pPr>
                    <w:autoSpaceDE w:val="0"/>
                    <w:autoSpaceDN w:val="0"/>
                    <w:adjustRightInd w:val="0"/>
                    <w:snapToGrid w:val="0"/>
                    <w:jc w:val="center"/>
                    <w:rPr>
                      <w:kern w:val="0"/>
                      <w:szCs w:val="21"/>
                    </w:rPr>
                  </w:pPr>
                  <w:r>
                    <w:rPr>
                      <w:kern w:val="0"/>
                      <w:szCs w:val="21"/>
                    </w:rPr>
                    <w:t>项目</w:t>
                  </w:r>
                  <w:r>
                    <w:rPr>
                      <w:rFonts w:hint="eastAsia"/>
                      <w:bCs/>
                      <w:kern w:val="0"/>
                      <w:szCs w:val="21"/>
                    </w:rPr>
                    <w:t>不涉及燃煤锅炉</w:t>
                  </w:r>
                </w:p>
              </w:tc>
              <w:tc>
                <w:tcPr>
                  <w:tcW w:w="818" w:type="dxa"/>
                  <w:vAlign w:val="center"/>
                </w:tcPr>
                <w:p>
                  <w:pPr>
                    <w:autoSpaceDE w:val="0"/>
                    <w:autoSpaceDN w:val="0"/>
                    <w:adjustRightInd w:val="0"/>
                    <w:snapToGrid w:val="0"/>
                    <w:jc w:val="center"/>
                    <w:rPr>
                      <w:kern w:val="0"/>
                      <w:szCs w:val="21"/>
                    </w:rPr>
                  </w:pPr>
                  <w:r>
                    <w:rPr>
                      <w:rFonts w:hint="eastAsia"/>
                      <w:kern w:val="0"/>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4" w:type="dxa"/>
                  <w:vAlign w:val="center"/>
                </w:tcPr>
                <w:p>
                  <w:pPr>
                    <w:autoSpaceDE w:val="0"/>
                    <w:autoSpaceDN w:val="0"/>
                    <w:adjustRightInd w:val="0"/>
                    <w:snapToGrid w:val="0"/>
                    <w:jc w:val="center"/>
                    <w:rPr>
                      <w:kern w:val="0"/>
                      <w:szCs w:val="21"/>
                    </w:rPr>
                  </w:pPr>
                  <w:r>
                    <w:rPr>
                      <w:rFonts w:hint="eastAsia"/>
                      <w:kern w:val="0"/>
                      <w:szCs w:val="21"/>
                    </w:rPr>
                    <w:t>3</w:t>
                  </w:r>
                </w:p>
              </w:tc>
              <w:tc>
                <w:tcPr>
                  <w:tcW w:w="3199" w:type="dxa"/>
                  <w:vAlign w:val="center"/>
                </w:tcPr>
                <w:p>
                  <w:pPr>
                    <w:pStyle w:val="26"/>
                    <w:spacing w:before="24" w:after="24"/>
                    <w:contextualSpacing/>
                    <w:jc w:val="both"/>
                    <w:rPr>
                      <w:rFonts w:ascii="Times New Roman" w:eastAsia="宋体"/>
                      <w:color w:val="auto"/>
                      <w:szCs w:val="21"/>
                    </w:rPr>
                  </w:pPr>
                  <w:r>
                    <w:rPr>
                      <w:rFonts w:hint="eastAsia" w:ascii="Times New Roman" w:eastAsia="宋体"/>
                      <w:color w:val="auto"/>
                      <w:szCs w:val="21"/>
                    </w:rPr>
                    <w:t>确保工业企业全面稳定达标排放。全面开展锅炉和工业炉窑简易低效污染治理设施排查，推进燃气锅炉低氮燃烧改造，强化治污设施日常监管，确保达标排放。生物质锅炉氮氧化物排放浓度无法稳定达标的，加装高效脱硝设施。重点涉气企业逐步取消烟气和含VOC</w:t>
                  </w:r>
                  <w:r>
                    <w:rPr>
                      <w:rFonts w:hint="eastAsia" w:ascii="Times New Roman" w:eastAsia="宋体"/>
                      <w:color w:val="auto"/>
                      <w:szCs w:val="21"/>
                      <w:vertAlign w:val="subscript"/>
                    </w:rPr>
                    <w:t>S</w:t>
                  </w:r>
                  <w:r>
                    <w:rPr>
                      <w:rFonts w:hint="eastAsia" w:ascii="Times New Roman" w:eastAsia="宋体"/>
                      <w:color w:val="auto"/>
                      <w:szCs w:val="21"/>
                    </w:rPr>
                    <w:t>废气旁路，因安全生产需要无法取消的，安装在线监控系统及备用处置设施</w:t>
                  </w:r>
                </w:p>
              </w:tc>
              <w:tc>
                <w:tcPr>
                  <w:tcW w:w="1601" w:type="dxa"/>
                  <w:vAlign w:val="center"/>
                </w:tcPr>
                <w:p>
                  <w:pPr>
                    <w:autoSpaceDE w:val="0"/>
                    <w:autoSpaceDN w:val="0"/>
                    <w:adjustRightInd w:val="0"/>
                    <w:snapToGrid w:val="0"/>
                    <w:ind w:firstLine="436"/>
                    <w:jc w:val="center"/>
                    <w:rPr>
                      <w:kern w:val="0"/>
                      <w:szCs w:val="21"/>
                    </w:rPr>
                  </w:pPr>
                  <w:r>
                    <w:rPr>
                      <w:rFonts w:hint="eastAsia"/>
                      <w:spacing w:val="-11"/>
                      <w:kern w:val="0"/>
                      <w:szCs w:val="21"/>
                    </w:rPr>
                    <w:t>项目燃生物质锅炉烟气</w:t>
                  </w:r>
                  <w:r>
                    <w:rPr>
                      <w:spacing w:val="-11"/>
                      <w:kern w:val="0"/>
                      <w:szCs w:val="21"/>
                    </w:rPr>
                    <w:t>采用低氮燃烧</w:t>
                  </w:r>
                  <w:r>
                    <w:rPr>
                      <w:rFonts w:hint="eastAsia"/>
                      <w:spacing w:val="-11"/>
                      <w:kern w:val="0"/>
                      <w:szCs w:val="21"/>
                    </w:rPr>
                    <w:t>+陶瓷多管+布袋除尘器处理达标后，</w:t>
                  </w:r>
                  <w:r>
                    <w:rPr>
                      <w:spacing w:val="-11"/>
                      <w:kern w:val="0"/>
                      <w:szCs w:val="21"/>
                    </w:rPr>
                    <w:t>通过1根</w:t>
                  </w:r>
                  <w:r>
                    <w:rPr>
                      <w:rFonts w:hint="eastAsia"/>
                      <w:spacing w:val="-11"/>
                      <w:kern w:val="0"/>
                      <w:szCs w:val="21"/>
                    </w:rPr>
                    <w:t>30</w:t>
                  </w:r>
                  <w:r>
                    <w:rPr>
                      <w:spacing w:val="-11"/>
                      <w:kern w:val="0"/>
                      <w:szCs w:val="21"/>
                    </w:rPr>
                    <w:t>m高排气筒排放</w:t>
                  </w:r>
                  <w:r>
                    <w:rPr>
                      <w:rFonts w:hint="eastAsia"/>
                      <w:spacing w:val="-11"/>
                      <w:kern w:val="0"/>
                      <w:szCs w:val="21"/>
                    </w:rPr>
                    <w:t>，满足GB13271-2014《锅炉大气污染物排放标准》表2排放限值要求</w:t>
                  </w:r>
                </w:p>
              </w:tc>
              <w:tc>
                <w:tcPr>
                  <w:tcW w:w="818" w:type="dxa"/>
                  <w:vAlign w:val="center"/>
                </w:tcPr>
                <w:p>
                  <w:pPr>
                    <w:autoSpaceDE w:val="0"/>
                    <w:autoSpaceDN w:val="0"/>
                    <w:adjustRightInd w:val="0"/>
                    <w:snapToGrid w:val="0"/>
                    <w:jc w:val="center"/>
                    <w:rPr>
                      <w:kern w:val="0"/>
                      <w:szCs w:val="21"/>
                    </w:rPr>
                  </w:pPr>
                  <w:r>
                    <w:rPr>
                      <w:rFonts w:hint="eastAsia"/>
                      <w:kern w:val="0"/>
                      <w:szCs w:val="21"/>
                    </w:rPr>
                    <w:t>符合</w:t>
                  </w:r>
                </w:p>
              </w:tc>
            </w:tr>
          </w:tbl>
          <w:p>
            <w:pPr>
              <w:autoSpaceDE w:val="0"/>
              <w:autoSpaceDN w:val="0"/>
              <w:spacing w:beforeLines="50" w:line="360" w:lineRule="auto"/>
              <w:ind w:firstLine="482" w:firstLineChars="200"/>
              <w:rPr>
                <w:b/>
                <w:bCs/>
                <w:kern w:val="0"/>
                <w:sz w:val="24"/>
              </w:rPr>
            </w:pPr>
            <w:r>
              <w:rPr>
                <w:rFonts w:hint="eastAsia"/>
                <w:b/>
                <w:bCs/>
                <w:kern w:val="0"/>
                <w:sz w:val="24"/>
              </w:rPr>
              <w:t>6、与通化市落实《空气质量持续改善行动计划》实施方案的通知（通市政函[2024]32号）符合性分析</w:t>
            </w:r>
          </w:p>
          <w:p>
            <w:pPr>
              <w:autoSpaceDE w:val="0"/>
              <w:autoSpaceDN w:val="0"/>
              <w:spacing w:line="360" w:lineRule="auto"/>
              <w:ind w:firstLine="480" w:firstLineChars="200"/>
              <w:rPr>
                <w:b/>
                <w:bCs/>
                <w:kern w:val="0"/>
                <w:sz w:val="24"/>
              </w:rPr>
            </w:pPr>
            <w:r>
              <w:rPr>
                <w:rFonts w:hint="eastAsia"/>
                <w:kern w:val="0"/>
                <w:sz w:val="24"/>
              </w:rPr>
              <w:t>项目与通化市人民政府关于印发《通化市落实&lt;空气质量持续改善行动计划&gt;实施方案》的通知（通市政函[2024]32号）符合性分析详见下表。</w:t>
            </w:r>
          </w:p>
          <w:p>
            <w:pPr>
              <w:pStyle w:val="23"/>
              <w:ind w:left="0" w:firstLine="0"/>
              <w:rPr>
                <w:u w:val="none"/>
              </w:rPr>
            </w:pPr>
            <w:r>
              <w:rPr>
                <w:rFonts w:hint="eastAsia"/>
                <w:u w:val="none"/>
              </w:rPr>
              <w:t>与“通化市落实空气质量持续改善行动计划”的相符性</w:t>
            </w:r>
          </w:p>
          <w:tbl>
            <w:tblPr>
              <w:tblStyle w:val="19"/>
              <w:tblW w:w="6272"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523"/>
              <w:gridCol w:w="3376"/>
              <w:gridCol w:w="1692"/>
              <w:gridCol w:w="681"/>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23" w:type="dxa"/>
                  <w:vAlign w:val="center"/>
                </w:tcPr>
                <w:p>
                  <w:pPr>
                    <w:autoSpaceDE w:val="0"/>
                    <w:autoSpaceDN w:val="0"/>
                    <w:adjustRightInd w:val="0"/>
                    <w:snapToGrid w:val="0"/>
                    <w:ind w:firstLine="482"/>
                    <w:jc w:val="center"/>
                    <w:rPr>
                      <w:b/>
                      <w:bCs/>
                      <w:kern w:val="0"/>
                      <w:szCs w:val="21"/>
                    </w:rPr>
                  </w:pPr>
                  <w:r>
                    <w:rPr>
                      <w:rFonts w:hint="eastAsia"/>
                      <w:b/>
                      <w:bCs/>
                      <w:kern w:val="0"/>
                      <w:szCs w:val="21"/>
                    </w:rPr>
                    <w:t>序号</w:t>
                  </w:r>
                </w:p>
              </w:tc>
              <w:tc>
                <w:tcPr>
                  <w:tcW w:w="3376" w:type="dxa"/>
                  <w:vAlign w:val="center"/>
                </w:tcPr>
                <w:p>
                  <w:pPr>
                    <w:autoSpaceDE w:val="0"/>
                    <w:autoSpaceDN w:val="0"/>
                    <w:adjustRightInd w:val="0"/>
                    <w:snapToGrid w:val="0"/>
                    <w:ind w:firstLine="482"/>
                    <w:jc w:val="center"/>
                    <w:rPr>
                      <w:b/>
                      <w:bCs/>
                      <w:kern w:val="0"/>
                      <w:szCs w:val="21"/>
                    </w:rPr>
                  </w:pPr>
                  <w:r>
                    <w:rPr>
                      <w:rFonts w:hint="eastAsia"/>
                      <w:b/>
                      <w:bCs/>
                      <w:kern w:val="0"/>
                      <w:szCs w:val="21"/>
                    </w:rPr>
                    <w:t>相关要求</w:t>
                  </w:r>
                </w:p>
              </w:tc>
              <w:tc>
                <w:tcPr>
                  <w:tcW w:w="1692" w:type="dxa"/>
                  <w:vAlign w:val="center"/>
                </w:tcPr>
                <w:p>
                  <w:pPr>
                    <w:autoSpaceDE w:val="0"/>
                    <w:autoSpaceDN w:val="0"/>
                    <w:adjustRightInd w:val="0"/>
                    <w:snapToGrid w:val="0"/>
                    <w:ind w:firstLine="482"/>
                    <w:jc w:val="center"/>
                    <w:rPr>
                      <w:b/>
                      <w:bCs/>
                      <w:kern w:val="0"/>
                      <w:szCs w:val="21"/>
                    </w:rPr>
                  </w:pPr>
                  <w:r>
                    <w:rPr>
                      <w:rFonts w:hint="eastAsia"/>
                      <w:b/>
                      <w:bCs/>
                      <w:kern w:val="0"/>
                      <w:szCs w:val="21"/>
                    </w:rPr>
                    <w:t>本项目</w:t>
                  </w:r>
                </w:p>
              </w:tc>
              <w:tc>
                <w:tcPr>
                  <w:tcW w:w="681" w:type="dxa"/>
                  <w:vAlign w:val="center"/>
                </w:tcPr>
                <w:p>
                  <w:pPr>
                    <w:autoSpaceDE w:val="0"/>
                    <w:autoSpaceDN w:val="0"/>
                    <w:adjustRightInd w:val="0"/>
                    <w:snapToGrid w:val="0"/>
                    <w:ind w:firstLine="482"/>
                    <w:jc w:val="center"/>
                    <w:rPr>
                      <w:b/>
                      <w:bCs/>
                      <w:kern w:val="0"/>
                      <w:szCs w:val="21"/>
                    </w:rPr>
                  </w:pPr>
                  <w:r>
                    <w:rPr>
                      <w:rFonts w:hint="eastAsia"/>
                      <w:b/>
                      <w:bCs/>
                      <w:kern w:val="0"/>
                      <w:szCs w:val="21"/>
                    </w:rPr>
                    <w:t>相符性</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23" w:type="dxa"/>
                  <w:vAlign w:val="center"/>
                </w:tcPr>
                <w:p>
                  <w:pPr>
                    <w:autoSpaceDE w:val="0"/>
                    <w:autoSpaceDN w:val="0"/>
                    <w:adjustRightInd w:val="0"/>
                    <w:snapToGrid w:val="0"/>
                    <w:jc w:val="center"/>
                    <w:rPr>
                      <w:kern w:val="0"/>
                      <w:szCs w:val="21"/>
                    </w:rPr>
                  </w:pPr>
                  <w:r>
                    <w:rPr>
                      <w:rFonts w:hint="eastAsia"/>
                      <w:kern w:val="0"/>
                      <w:szCs w:val="21"/>
                    </w:rPr>
                    <w:t>1</w:t>
                  </w:r>
                </w:p>
              </w:tc>
              <w:tc>
                <w:tcPr>
                  <w:tcW w:w="3376" w:type="dxa"/>
                  <w:vAlign w:val="center"/>
                </w:tcPr>
                <w:p>
                  <w:pPr>
                    <w:pStyle w:val="26"/>
                    <w:spacing w:beforeLines="0" w:line="240" w:lineRule="auto"/>
                    <w:ind w:firstLine="456"/>
                    <w:contextualSpacing/>
                    <w:jc w:val="both"/>
                    <w:rPr>
                      <w:rFonts w:ascii="Times New Roman" w:eastAsia="宋体"/>
                      <w:color w:val="auto"/>
                      <w:szCs w:val="21"/>
                    </w:rPr>
                  </w:pPr>
                  <w:r>
                    <w:rPr>
                      <w:rFonts w:hint="eastAsia" w:ascii="Times New Roman" w:eastAsia="宋体"/>
                      <w:color w:val="auto"/>
                      <w:spacing w:val="-6"/>
                      <w:szCs w:val="21"/>
                    </w:rPr>
                    <w:t>积极开展燃煤锅炉关停整合。指导编制城镇供热规划，加快热力管网建设，淘汰管网覆盖范围内的燃煤锅炉。严控新建燃煤锅炉，县级以上城市建成区原则上不再新建35蒸吨/小时以下燃煤锅炉，县级以下地区原则上不再新建10蒸吨/小时以下燃煤锅炉。加大燃煤锅炉达标排放监管力度，紧盯采暖期燃煤锅炉达标情况，对超标企业实行“冬病夏治”，督导不能稳定达标的锅炉进行深度改造，提升达标运行能力</w:t>
                  </w:r>
                </w:p>
              </w:tc>
              <w:tc>
                <w:tcPr>
                  <w:tcW w:w="1692" w:type="dxa"/>
                  <w:vAlign w:val="center"/>
                </w:tcPr>
                <w:p>
                  <w:pPr>
                    <w:autoSpaceDE w:val="0"/>
                    <w:autoSpaceDN w:val="0"/>
                    <w:adjustRightInd w:val="0"/>
                    <w:snapToGrid w:val="0"/>
                    <w:jc w:val="center"/>
                    <w:rPr>
                      <w:kern w:val="0"/>
                      <w:szCs w:val="21"/>
                    </w:rPr>
                  </w:pPr>
                  <w:r>
                    <w:rPr>
                      <w:kern w:val="0"/>
                      <w:szCs w:val="21"/>
                    </w:rPr>
                    <w:t>项目</w:t>
                  </w:r>
                  <w:r>
                    <w:rPr>
                      <w:rFonts w:hint="eastAsia"/>
                      <w:bCs/>
                      <w:kern w:val="0"/>
                      <w:szCs w:val="21"/>
                    </w:rPr>
                    <w:t>不涉及燃煤锅炉</w:t>
                  </w:r>
                </w:p>
              </w:tc>
              <w:tc>
                <w:tcPr>
                  <w:tcW w:w="681" w:type="dxa"/>
                  <w:vAlign w:val="center"/>
                </w:tcPr>
                <w:p>
                  <w:pPr>
                    <w:autoSpaceDE w:val="0"/>
                    <w:autoSpaceDN w:val="0"/>
                    <w:adjustRightInd w:val="0"/>
                    <w:snapToGrid w:val="0"/>
                    <w:jc w:val="center"/>
                    <w:rPr>
                      <w:kern w:val="0"/>
                      <w:szCs w:val="21"/>
                    </w:rPr>
                  </w:pPr>
                  <w:r>
                    <w:rPr>
                      <w:rFonts w:hint="eastAsia"/>
                      <w:kern w:val="0"/>
                      <w:szCs w:val="21"/>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23" w:type="dxa"/>
                  <w:vAlign w:val="center"/>
                </w:tcPr>
                <w:p>
                  <w:pPr>
                    <w:autoSpaceDE w:val="0"/>
                    <w:autoSpaceDN w:val="0"/>
                    <w:adjustRightInd w:val="0"/>
                    <w:snapToGrid w:val="0"/>
                    <w:jc w:val="center"/>
                    <w:rPr>
                      <w:kern w:val="0"/>
                      <w:szCs w:val="21"/>
                    </w:rPr>
                  </w:pPr>
                  <w:r>
                    <w:rPr>
                      <w:rFonts w:hint="eastAsia"/>
                      <w:kern w:val="0"/>
                      <w:szCs w:val="21"/>
                    </w:rPr>
                    <w:t>2</w:t>
                  </w:r>
                </w:p>
              </w:tc>
              <w:tc>
                <w:tcPr>
                  <w:tcW w:w="3376" w:type="dxa"/>
                  <w:vAlign w:val="center"/>
                </w:tcPr>
                <w:p>
                  <w:pPr>
                    <w:pStyle w:val="26"/>
                    <w:spacing w:beforeLines="0" w:line="240" w:lineRule="auto"/>
                    <w:contextualSpacing/>
                    <w:jc w:val="both"/>
                    <w:rPr>
                      <w:rFonts w:ascii="Times New Roman" w:eastAsia="宋体"/>
                      <w:color w:val="auto"/>
                      <w:szCs w:val="21"/>
                    </w:rPr>
                  </w:pPr>
                  <w:r>
                    <w:rPr>
                      <w:rFonts w:hint="eastAsia" w:ascii="Times New Roman" w:eastAsia="宋体"/>
                      <w:color w:val="auto"/>
                      <w:szCs w:val="21"/>
                    </w:rPr>
                    <w:t>加大锅炉和工业炉窑管理力度。持续开展锅炉和工业炉窑简易低效污染治理设施排查，积极推进燃气锅炉低氮燃烧改造。生物质锅炉应配套建设高效除尘设施，氮氧化物排放浓度无法稳定达标的，配套建设脱硝设施，严禁掺烧煤炭、垃圾等其他物料</w:t>
                  </w:r>
                </w:p>
              </w:tc>
              <w:tc>
                <w:tcPr>
                  <w:tcW w:w="1692" w:type="dxa"/>
                  <w:vAlign w:val="center"/>
                </w:tcPr>
                <w:p>
                  <w:pPr>
                    <w:autoSpaceDE w:val="0"/>
                    <w:autoSpaceDN w:val="0"/>
                    <w:adjustRightInd w:val="0"/>
                    <w:snapToGrid w:val="0"/>
                    <w:ind w:firstLine="396"/>
                    <w:jc w:val="center"/>
                    <w:rPr>
                      <w:kern w:val="0"/>
                      <w:szCs w:val="21"/>
                    </w:rPr>
                  </w:pPr>
                  <w:r>
                    <w:rPr>
                      <w:rFonts w:hint="eastAsia"/>
                      <w:spacing w:val="-6"/>
                      <w:kern w:val="0"/>
                      <w:szCs w:val="21"/>
                    </w:rPr>
                    <w:t>项目新建1台2.5t/h燃生物质锅炉，锅炉烟气</w:t>
                  </w:r>
                  <w:r>
                    <w:rPr>
                      <w:spacing w:val="-6"/>
                      <w:kern w:val="0"/>
                      <w:szCs w:val="21"/>
                    </w:rPr>
                    <w:t>采用低氮燃烧</w:t>
                  </w:r>
                  <w:r>
                    <w:rPr>
                      <w:rFonts w:hint="eastAsia"/>
                      <w:spacing w:val="-6"/>
                      <w:kern w:val="0"/>
                      <w:szCs w:val="21"/>
                    </w:rPr>
                    <w:t>+陶瓷多管+布袋除尘器处理达标后，</w:t>
                  </w:r>
                  <w:r>
                    <w:rPr>
                      <w:spacing w:val="-6"/>
                      <w:kern w:val="0"/>
                      <w:szCs w:val="21"/>
                    </w:rPr>
                    <w:t>通过1根</w:t>
                  </w:r>
                  <w:r>
                    <w:rPr>
                      <w:rFonts w:hint="eastAsia"/>
                      <w:spacing w:val="-6"/>
                      <w:kern w:val="0"/>
                      <w:szCs w:val="21"/>
                    </w:rPr>
                    <w:t>30</w:t>
                  </w:r>
                  <w:r>
                    <w:rPr>
                      <w:spacing w:val="-6"/>
                      <w:kern w:val="0"/>
                      <w:szCs w:val="21"/>
                    </w:rPr>
                    <w:t>m高排气筒排放</w:t>
                  </w:r>
                  <w:r>
                    <w:rPr>
                      <w:rFonts w:hint="eastAsia"/>
                      <w:spacing w:val="-6"/>
                      <w:kern w:val="0"/>
                      <w:szCs w:val="21"/>
                    </w:rPr>
                    <w:t>，锅炉烟气满足GB13271-2014《锅炉大气污染物排放标准》表2排放限值要求</w:t>
                  </w:r>
                </w:p>
              </w:tc>
              <w:tc>
                <w:tcPr>
                  <w:tcW w:w="681" w:type="dxa"/>
                  <w:vAlign w:val="center"/>
                </w:tcPr>
                <w:p>
                  <w:pPr>
                    <w:autoSpaceDE w:val="0"/>
                    <w:autoSpaceDN w:val="0"/>
                    <w:adjustRightInd w:val="0"/>
                    <w:snapToGrid w:val="0"/>
                    <w:jc w:val="center"/>
                    <w:rPr>
                      <w:kern w:val="0"/>
                      <w:szCs w:val="21"/>
                    </w:rPr>
                  </w:pPr>
                  <w:r>
                    <w:rPr>
                      <w:rFonts w:hint="eastAsia"/>
                      <w:kern w:val="0"/>
                      <w:szCs w:val="21"/>
                    </w:rPr>
                    <w:t>符合</w:t>
                  </w:r>
                </w:p>
              </w:tc>
            </w:tr>
          </w:tbl>
          <w:p>
            <w:pPr>
              <w:autoSpaceDE w:val="0"/>
              <w:autoSpaceDN w:val="0"/>
              <w:ind w:firstLine="200"/>
              <w:rPr>
                <w:rFonts w:ascii="宋体" w:hAnsi="宋体" w:cs="宋体"/>
                <w:kern w:val="0"/>
                <w:sz w:val="10"/>
                <w:szCs w:val="10"/>
              </w:rPr>
            </w:pPr>
            <w:r>
              <w:rPr>
                <w:rFonts w:hint="eastAsia" w:ascii="宋体" w:hAnsi="宋体" w:cs="宋体"/>
                <w:kern w:val="0"/>
                <w:sz w:val="10"/>
                <w:szCs w:val="10"/>
              </w:rPr>
              <w:t>1</w:t>
            </w:r>
          </w:p>
        </w:tc>
      </w:tr>
    </w:tbl>
    <w:p>
      <w:pPr>
        <w:spacing w:line="360" w:lineRule="auto"/>
        <w:ind w:firstLine="600"/>
        <w:outlineLvl w:val="0"/>
        <w:rPr>
          <w:rFonts w:eastAsia="黑体"/>
          <w:sz w:val="30"/>
        </w:rPr>
        <w:sectPr>
          <w:footerReference r:id="rId3" w:type="default"/>
          <w:pgSz w:w="11906" w:h="16838"/>
          <w:pgMar w:top="1701" w:right="1531" w:bottom="1701" w:left="1531" w:header="851" w:footer="1077" w:gutter="0"/>
          <w:pgNumType w:start="1"/>
          <w:cols w:space="720" w:num="1"/>
          <w:docGrid w:linePitch="312" w:charSpace="0"/>
        </w:sectPr>
      </w:pPr>
    </w:p>
    <w:p>
      <w:pPr>
        <w:pStyle w:val="17"/>
        <w:spacing w:before="120"/>
        <w:ind w:firstLine="600"/>
        <w:jc w:val="center"/>
        <w:outlineLvl w:val="0"/>
        <w:rPr>
          <w:rFonts w:ascii="黑体" w:hAnsi="黑体" w:eastAsia="黑体"/>
          <w:snapToGrid w:val="0"/>
          <w:sz w:val="30"/>
          <w:szCs w:val="30"/>
        </w:rPr>
      </w:pPr>
      <w:r>
        <w:rPr>
          <w:rFonts w:hint="eastAsia" w:ascii="黑体" w:hAnsi="黑体" w:eastAsia="黑体"/>
          <w:snapToGrid w:val="0"/>
          <w:sz w:val="30"/>
          <w:szCs w:val="30"/>
        </w:rPr>
        <w:t>二、建设项目工程分析</w:t>
      </w:r>
    </w:p>
    <w:tbl>
      <w:tblPr>
        <w:tblStyle w:val="19"/>
        <w:tblW w:w="8984"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23"/>
        <w:gridCol w:w="8161"/>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3" w:type="dxa"/>
            <w:vAlign w:val="center"/>
          </w:tcPr>
          <w:p>
            <w:pPr>
              <w:pStyle w:val="17"/>
              <w:adjustRightInd w:val="0"/>
              <w:snapToGrid w:val="0"/>
              <w:spacing w:before="120" w:beforeAutospacing="0" w:after="0" w:afterAutospacing="0"/>
              <w:ind w:firstLine="420"/>
              <w:jc w:val="center"/>
              <w:rPr>
                <w:rFonts w:cs="宋体"/>
                <w:sz w:val="21"/>
                <w:szCs w:val="21"/>
              </w:rPr>
            </w:pPr>
            <w:r>
              <w:rPr>
                <w:rFonts w:hint="eastAsia" w:cs="宋体"/>
                <w:sz w:val="21"/>
                <w:szCs w:val="21"/>
              </w:rPr>
              <w:t>建设内容</w:t>
            </w:r>
          </w:p>
        </w:tc>
        <w:tc>
          <w:tcPr>
            <w:tcW w:w="8161" w:type="dxa"/>
            <w:vAlign w:val="top"/>
          </w:tcPr>
          <w:p>
            <w:pPr>
              <w:spacing w:beforeLines="50" w:line="360" w:lineRule="auto"/>
              <w:ind w:firstLine="482" w:firstLineChars="200"/>
              <w:rPr>
                <w:b/>
                <w:sz w:val="24"/>
              </w:rPr>
            </w:pPr>
            <w:r>
              <w:rPr>
                <w:rFonts w:hint="eastAsia"/>
                <w:b/>
                <w:sz w:val="24"/>
              </w:rPr>
              <w:t>1</w:t>
            </w:r>
            <w:r>
              <w:rPr>
                <w:b/>
                <w:sz w:val="24"/>
              </w:rPr>
              <w:t>、</w:t>
            </w:r>
            <w:r>
              <w:rPr>
                <w:rFonts w:hint="eastAsia"/>
                <w:b/>
                <w:sz w:val="24"/>
              </w:rPr>
              <w:t>项目由来</w:t>
            </w:r>
          </w:p>
          <w:p>
            <w:pPr>
              <w:adjustRightInd w:val="0"/>
              <w:snapToGrid w:val="0"/>
              <w:spacing w:line="360" w:lineRule="auto"/>
              <w:ind w:firstLine="480" w:firstLineChars="200"/>
              <w:rPr>
                <w:bCs/>
                <w:sz w:val="24"/>
              </w:rPr>
            </w:pPr>
            <w:r>
              <w:rPr>
                <w:rFonts w:hint="eastAsia"/>
                <w:bCs/>
                <w:sz w:val="24"/>
              </w:rPr>
              <w:t>柳河启城水泥制品有限公司位于吉林省通化市柳河县五道沟镇教堂子村，企业于2017年委托吉林大学编制了《柳河启城水泥管厂水泥管生产线项目环境影响报告表》，并于2017年4月取得了原柳河县环境保护局关于此项目的批复，批复文号为柳环审字[2017]6号，该项目于2017年9月30日通过竣工环境保护验收，验收文号为柳环验（2017）15号。</w:t>
            </w:r>
          </w:p>
          <w:p>
            <w:pPr>
              <w:adjustRightInd w:val="0"/>
              <w:snapToGrid w:val="0"/>
              <w:spacing w:line="360" w:lineRule="auto"/>
              <w:ind w:firstLine="480" w:firstLineChars="200"/>
              <w:rPr>
                <w:bCs/>
                <w:sz w:val="24"/>
              </w:rPr>
            </w:pPr>
            <w:r>
              <w:rPr>
                <w:rFonts w:hint="eastAsia"/>
                <w:bCs/>
                <w:sz w:val="24"/>
              </w:rPr>
              <w:t>根据《产业结构调整指导目录（2024年本）》中“二、落后产品—（七）机械—66.每小时2蒸吨及以下生物质锅炉”为淘汰类，企业现有1台1t/h生物质锅炉属于淘汰类。为了响应产业政策，企业拟拆除现有1台1t/h生物质锅炉，并在现有锅炉房内新建1台2.5t/h生物质锅炉为企业生产提供热源。项目锅炉建成后，原项目产品产量及产品用热均不改变。</w:t>
            </w:r>
          </w:p>
          <w:p>
            <w:pPr>
              <w:spacing w:line="360" w:lineRule="auto"/>
              <w:ind w:firstLine="482" w:firstLineChars="200"/>
              <w:rPr>
                <w:b/>
                <w:sz w:val="24"/>
              </w:rPr>
            </w:pPr>
            <w:r>
              <w:rPr>
                <w:rFonts w:hint="eastAsia"/>
                <w:b/>
                <w:sz w:val="24"/>
              </w:rPr>
              <w:t>2</w:t>
            </w:r>
            <w:r>
              <w:rPr>
                <w:b/>
                <w:sz w:val="24"/>
              </w:rPr>
              <w:t>、建设内容及建设规模</w:t>
            </w:r>
          </w:p>
          <w:p>
            <w:pPr>
              <w:adjustRightInd w:val="0"/>
              <w:snapToGrid w:val="0"/>
              <w:spacing w:line="360" w:lineRule="auto"/>
              <w:ind w:firstLine="480" w:firstLineChars="200"/>
              <w:rPr>
                <w:bCs/>
                <w:sz w:val="24"/>
              </w:rPr>
            </w:pPr>
            <w:r>
              <w:rPr>
                <w:rFonts w:hint="eastAsia"/>
                <w:bCs/>
                <w:sz w:val="24"/>
              </w:rPr>
              <w:t>本项目拟拆除现有1台1t/h燃生物质蒸汽锅炉及其配套设施等，并在现有锅炉房内新建1台2.5t/h燃生物质蒸汽锅炉及其配套设施等，为企业生产提供热源，不新增占地，用地性质为工业用地。项目锅炉预计年运行时间约为200d，年燃生物质颗粒约为300t/a。本</w:t>
            </w:r>
            <w:r>
              <w:rPr>
                <w:bCs/>
                <w:sz w:val="24"/>
              </w:rPr>
              <w:t>项目工程组成详见</w:t>
            </w:r>
            <w:r>
              <w:rPr>
                <w:rFonts w:hint="eastAsia"/>
                <w:bCs/>
                <w:sz w:val="24"/>
              </w:rPr>
              <w:t>下表</w:t>
            </w:r>
            <w:r>
              <w:rPr>
                <w:bCs/>
                <w:sz w:val="24"/>
              </w:rPr>
              <w:t>。</w:t>
            </w:r>
          </w:p>
          <w:p>
            <w:pPr>
              <w:pStyle w:val="23"/>
              <w:ind w:left="0" w:firstLine="0"/>
              <w:rPr>
                <w:u w:val="none"/>
              </w:rPr>
            </w:pPr>
            <w:r>
              <w:rPr>
                <w:u w:val="none"/>
              </w:rPr>
              <w:t>主要项目组成情况一览表</w:t>
            </w:r>
          </w:p>
          <w:tbl>
            <w:tblPr>
              <w:tblStyle w:val="19"/>
              <w:tblW w:w="7942" w:type="dxa"/>
              <w:jc w:val="center"/>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Layout w:type="fixed"/>
              <w:tblCellMar>
                <w:top w:w="0" w:type="dxa"/>
                <w:left w:w="108" w:type="dxa"/>
                <w:bottom w:w="0" w:type="dxa"/>
                <w:right w:w="108" w:type="dxa"/>
              </w:tblCellMar>
            </w:tblPr>
            <w:tblGrid>
              <w:gridCol w:w="759"/>
              <w:gridCol w:w="1309"/>
              <w:gridCol w:w="4959"/>
              <w:gridCol w:w="915"/>
            </w:tblGrid>
            <w:tr>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340" w:hRule="atLeast"/>
                <w:jc w:val="center"/>
              </w:trPr>
              <w:tc>
                <w:tcPr>
                  <w:tcW w:w="759" w:type="dxa"/>
                  <w:vAlign w:val="center"/>
                </w:tcPr>
                <w:p>
                  <w:pPr>
                    <w:ind w:firstLine="482"/>
                    <w:jc w:val="center"/>
                    <w:rPr>
                      <w:b/>
                      <w:bCs/>
                      <w:szCs w:val="21"/>
                    </w:rPr>
                  </w:pPr>
                  <w:r>
                    <w:rPr>
                      <w:b/>
                      <w:bCs/>
                      <w:szCs w:val="21"/>
                    </w:rPr>
                    <w:t>工程名称</w:t>
                  </w:r>
                </w:p>
              </w:tc>
              <w:tc>
                <w:tcPr>
                  <w:tcW w:w="1309" w:type="dxa"/>
                  <w:vAlign w:val="center"/>
                </w:tcPr>
                <w:p>
                  <w:pPr>
                    <w:ind w:firstLine="482"/>
                    <w:jc w:val="center"/>
                    <w:rPr>
                      <w:b/>
                      <w:bCs/>
                      <w:szCs w:val="21"/>
                    </w:rPr>
                  </w:pPr>
                  <w:r>
                    <w:rPr>
                      <w:b/>
                      <w:bCs/>
                      <w:szCs w:val="21"/>
                    </w:rPr>
                    <w:t>建设名称</w:t>
                  </w:r>
                </w:p>
              </w:tc>
              <w:tc>
                <w:tcPr>
                  <w:tcW w:w="4959" w:type="dxa"/>
                  <w:vAlign w:val="center"/>
                </w:tcPr>
                <w:p>
                  <w:pPr>
                    <w:ind w:firstLine="482"/>
                    <w:jc w:val="center"/>
                    <w:rPr>
                      <w:b/>
                      <w:bCs/>
                      <w:szCs w:val="21"/>
                    </w:rPr>
                  </w:pPr>
                  <w:r>
                    <w:rPr>
                      <w:b/>
                      <w:bCs/>
                      <w:szCs w:val="21"/>
                    </w:rPr>
                    <w:t>工程内容</w:t>
                  </w:r>
                </w:p>
              </w:tc>
              <w:tc>
                <w:tcPr>
                  <w:tcW w:w="915" w:type="dxa"/>
                  <w:vAlign w:val="center"/>
                </w:tcPr>
                <w:p>
                  <w:pPr>
                    <w:ind w:firstLine="482"/>
                    <w:jc w:val="center"/>
                    <w:rPr>
                      <w:b/>
                      <w:bCs/>
                      <w:szCs w:val="21"/>
                    </w:rPr>
                  </w:pPr>
                  <w:r>
                    <w:rPr>
                      <w:rFonts w:hint="eastAsia"/>
                      <w:b/>
                      <w:bCs/>
                      <w:szCs w:val="21"/>
                    </w:rPr>
                    <w:t>备注</w:t>
                  </w:r>
                </w:p>
              </w:tc>
            </w:tr>
            <w:tr>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340" w:hRule="atLeast"/>
                <w:jc w:val="center"/>
              </w:trPr>
              <w:tc>
                <w:tcPr>
                  <w:tcW w:w="759" w:type="dxa"/>
                  <w:vAlign w:val="center"/>
                </w:tcPr>
                <w:p>
                  <w:pPr>
                    <w:jc w:val="center"/>
                    <w:rPr>
                      <w:szCs w:val="21"/>
                      <w:u w:val="single"/>
                    </w:rPr>
                  </w:pPr>
                  <w:r>
                    <w:rPr>
                      <w:szCs w:val="21"/>
                      <w:u w:val="single"/>
                    </w:rPr>
                    <w:t>主体工程</w:t>
                  </w:r>
                </w:p>
              </w:tc>
              <w:tc>
                <w:tcPr>
                  <w:tcW w:w="1309" w:type="dxa"/>
                  <w:vAlign w:val="center"/>
                </w:tcPr>
                <w:p>
                  <w:pPr>
                    <w:jc w:val="center"/>
                    <w:rPr>
                      <w:szCs w:val="21"/>
                      <w:u w:val="single"/>
                    </w:rPr>
                  </w:pPr>
                  <w:r>
                    <w:rPr>
                      <w:rFonts w:hint="eastAsia"/>
                      <w:szCs w:val="21"/>
                      <w:u w:val="single"/>
                    </w:rPr>
                    <w:t>锅炉房</w:t>
                  </w:r>
                </w:p>
              </w:tc>
              <w:tc>
                <w:tcPr>
                  <w:tcW w:w="4959" w:type="dxa"/>
                  <w:vAlign w:val="center"/>
                </w:tcPr>
                <w:p>
                  <w:pPr>
                    <w:jc w:val="center"/>
                    <w:rPr>
                      <w:szCs w:val="21"/>
                      <w:u w:val="single"/>
                    </w:rPr>
                  </w:pPr>
                  <w:r>
                    <w:rPr>
                      <w:szCs w:val="21"/>
                      <w:u w:val="single"/>
                    </w:rPr>
                    <w:t>锅炉房</w:t>
                  </w:r>
                  <w:r>
                    <w:rPr>
                      <w:rFonts w:hint="eastAsia"/>
                      <w:szCs w:val="21"/>
                      <w:u w:val="single"/>
                    </w:rPr>
                    <w:t>占地</w:t>
                  </w:r>
                  <w:r>
                    <w:rPr>
                      <w:szCs w:val="21"/>
                      <w:u w:val="single"/>
                    </w:rPr>
                    <w:t>面积</w:t>
                  </w:r>
                  <w:r>
                    <w:rPr>
                      <w:rFonts w:hint="eastAsia"/>
                      <w:szCs w:val="21"/>
                      <w:u w:val="single"/>
                    </w:rPr>
                    <w:t>240</w:t>
                  </w:r>
                  <w:r>
                    <w:rPr>
                      <w:szCs w:val="21"/>
                      <w:u w:val="single"/>
                    </w:rPr>
                    <w:t>m</w:t>
                  </w:r>
                  <w:r>
                    <w:rPr>
                      <w:szCs w:val="21"/>
                      <w:u w:val="single"/>
                      <w:vertAlign w:val="superscript"/>
                    </w:rPr>
                    <w:t>2</w:t>
                  </w:r>
                  <w:r>
                    <w:rPr>
                      <w:szCs w:val="21"/>
                      <w:u w:val="single"/>
                    </w:rPr>
                    <w:t>，</w:t>
                  </w:r>
                  <w:r>
                    <w:rPr>
                      <w:rFonts w:hint="eastAsia"/>
                      <w:szCs w:val="21"/>
                      <w:u w:val="single"/>
                    </w:rPr>
                    <w:t>建筑面积140m</w:t>
                  </w:r>
                  <w:r>
                    <w:rPr>
                      <w:rFonts w:hint="eastAsia"/>
                      <w:szCs w:val="21"/>
                      <w:u w:val="single"/>
                      <w:vertAlign w:val="superscript"/>
                    </w:rPr>
                    <w:t>2</w:t>
                  </w:r>
                  <w:r>
                    <w:rPr>
                      <w:rFonts w:hint="eastAsia"/>
                      <w:szCs w:val="21"/>
                      <w:u w:val="single"/>
                    </w:rPr>
                    <w:t>。</w:t>
                  </w:r>
                  <w:r>
                    <w:rPr>
                      <w:szCs w:val="21"/>
                      <w:u w:val="single"/>
                    </w:rPr>
                    <w:t>拟拆除现有1台1t/h生物质锅炉</w:t>
                  </w:r>
                  <w:r>
                    <w:rPr>
                      <w:rFonts w:hint="eastAsia"/>
                      <w:szCs w:val="21"/>
                      <w:u w:val="single"/>
                    </w:rPr>
                    <w:t>及其配套设施</w:t>
                  </w:r>
                  <w:r>
                    <w:rPr>
                      <w:szCs w:val="21"/>
                      <w:u w:val="single"/>
                    </w:rPr>
                    <w:t>，</w:t>
                  </w:r>
                  <w:r>
                    <w:rPr>
                      <w:rFonts w:hint="eastAsia"/>
                      <w:szCs w:val="21"/>
                      <w:u w:val="single"/>
                    </w:rPr>
                    <w:t>重新购置安装</w:t>
                  </w:r>
                  <w:r>
                    <w:rPr>
                      <w:szCs w:val="21"/>
                      <w:u w:val="single"/>
                    </w:rPr>
                    <w:t>1台2.5t/h生物质锅炉</w:t>
                  </w:r>
                  <w:r>
                    <w:rPr>
                      <w:rFonts w:hint="eastAsia"/>
                      <w:szCs w:val="21"/>
                      <w:u w:val="single"/>
                    </w:rPr>
                    <w:t>及其配套设施</w:t>
                  </w:r>
                </w:p>
              </w:tc>
              <w:tc>
                <w:tcPr>
                  <w:tcW w:w="915" w:type="dxa"/>
                  <w:vAlign w:val="center"/>
                </w:tcPr>
                <w:p>
                  <w:pPr>
                    <w:jc w:val="center"/>
                    <w:rPr>
                      <w:szCs w:val="21"/>
                      <w:u w:val="single"/>
                    </w:rPr>
                  </w:pPr>
                  <w:r>
                    <w:rPr>
                      <w:rFonts w:hint="eastAsia"/>
                      <w:szCs w:val="21"/>
                      <w:u w:val="single"/>
                    </w:rPr>
                    <w:t>利用现有</w:t>
                  </w:r>
                  <w:r>
                    <w:rPr>
                      <w:szCs w:val="21"/>
                      <w:u w:val="single"/>
                    </w:rPr>
                    <w:t>锅炉房</w:t>
                  </w:r>
                  <w:r>
                    <w:rPr>
                      <w:rFonts w:hint="eastAsia"/>
                      <w:szCs w:val="21"/>
                      <w:u w:val="single"/>
                    </w:rPr>
                    <w:t>，新建锅炉</w:t>
                  </w:r>
                </w:p>
              </w:tc>
            </w:tr>
            <w:tr>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340" w:hRule="atLeast"/>
                <w:jc w:val="center"/>
              </w:trPr>
              <w:tc>
                <w:tcPr>
                  <w:tcW w:w="759" w:type="dxa"/>
                  <w:vMerge w:val="restart"/>
                  <w:vAlign w:val="center"/>
                </w:tcPr>
                <w:p>
                  <w:pPr>
                    <w:jc w:val="center"/>
                    <w:rPr>
                      <w:szCs w:val="21"/>
                      <w:u w:val="single"/>
                    </w:rPr>
                  </w:pPr>
                  <w:r>
                    <w:rPr>
                      <w:rFonts w:hint="eastAsia"/>
                      <w:szCs w:val="21"/>
                      <w:u w:val="single"/>
                    </w:rPr>
                    <w:t>储运工程</w:t>
                  </w:r>
                </w:p>
              </w:tc>
              <w:tc>
                <w:tcPr>
                  <w:tcW w:w="1309" w:type="dxa"/>
                  <w:vAlign w:val="center"/>
                </w:tcPr>
                <w:p>
                  <w:pPr>
                    <w:jc w:val="center"/>
                    <w:rPr>
                      <w:szCs w:val="21"/>
                      <w:u w:val="single"/>
                    </w:rPr>
                  </w:pPr>
                  <w:r>
                    <w:rPr>
                      <w:rFonts w:hint="eastAsia"/>
                      <w:szCs w:val="21"/>
                      <w:u w:val="single"/>
                    </w:rPr>
                    <w:t>燃料存放区</w:t>
                  </w:r>
                </w:p>
              </w:tc>
              <w:tc>
                <w:tcPr>
                  <w:tcW w:w="4959" w:type="dxa"/>
                  <w:vAlign w:val="center"/>
                </w:tcPr>
                <w:p>
                  <w:pPr>
                    <w:jc w:val="center"/>
                    <w:rPr>
                      <w:szCs w:val="21"/>
                      <w:u w:val="single"/>
                    </w:rPr>
                  </w:pPr>
                  <w:r>
                    <w:rPr>
                      <w:rFonts w:hint="eastAsia"/>
                      <w:szCs w:val="21"/>
                      <w:u w:val="single"/>
                    </w:rPr>
                    <w:t>占地面积约30m</w:t>
                  </w:r>
                  <w:r>
                    <w:rPr>
                      <w:rFonts w:hint="eastAsia"/>
                      <w:szCs w:val="21"/>
                      <w:u w:val="single"/>
                      <w:vertAlign w:val="superscript"/>
                    </w:rPr>
                    <w:t>2</w:t>
                  </w:r>
                  <w:r>
                    <w:rPr>
                      <w:rFonts w:hint="eastAsia"/>
                      <w:szCs w:val="21"/>
                      <w:u w:val="single"/>
                    </w:rPr>
                    <w:t>，位于锅炉房内，用于袋装生物质成型颗粒的贮存</w:t>
                  </w:r>
                </w:p>
              </w:tc>
              <w:tc>
                <w:tcPr>
                  <w:tcW w:w="915" w:type="dxa"/>
                  <w:vAlign w:val="center"/>
                </w:tcPr>
                <w:p>
                  <w:pPr>
                    <w:jc w:val="center"/>
                    <w:rPr>
                      <w:szCs w:val="21"/>
                      <w:u w:val="single"/>
                    </w:rPr>
                  </w:pPr>
                  <w:r>
                    <w:rPr>
                      <w:rFonts w:hint="eastAsia"/>
                      <w:szCs w:val="21"/>
                      <w:u w:val="single"/>
                    </w:rPr>
                    <w:t>利用现有</w:t>
                  </w:r>
                </w:p>
              </w:tc>
            </w:tr>
            <w:tr>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340" w:hRule="atLeast"/>
                <w:jc w:val="center"/>
              </w:trPr>
              <w:tc>
                <w:tcPr>
                  <w:tcW w:w="759" w:type="dxa"/>
                  <w:vMerge w:val="continue"/>
                  <w:vAlign w:val="center"/>
                </w:tcPr>
                <w:p>
                  <w:pPr>
                    <w:jc w:val="center"/>
                    <w:rPr>
                      <w:szCs w:val="21"/>
                      <w:u w:val="single"/>
                    </w:rPr>
                  </w:pPr>
                </w:p>
              </w:tc>
              <w:tc>
                <w:tcPr>
                  <w:tcW w:w="1309" w:type="dxa"/>
                  <w:vAlign w:val="center"/>
                </w:tcPr>
                <w:p>
                  <w:pPr>
                    <w:jc w:val="center"/>
                    <w:rPr>
                      <w:szCs w:val="21"/>
                      <w:u w:val="single"/>
                    </w:rPr>
                  </w:pPr>
                  <w:r>
                    <w:rPr>
                      <w:rFonts w:hint="eastAsia"/>
                      <w:szCs w:val="21"/>
                      <w:u w:val="single"/>
                    </w:rPr>
                    <w:t>灰渣储存区</w:t>
                  </w:r>
                </w:p>
              </w:tc>
              <w:tc>
                <w:tcPr>
                  <w:tcW w:w="4959" w:type="dxa"/>
                  <w:vAlign w:val="center"/>
                </w:tcPr>
                <w:p>
                  <w:pPr>
                    <w:jc w:val="center"/>
                    <w:rPr>
                      <w:szCs w:val="21"/>
                      <w:u w:val="single"/>
                    </w:rPr>
                  </w:pPr>
                  <w:r>
                    <w:rPr>
                      <w:rFonts w:hint="eastAsia"/>
                      <w:szCs w:val="21"/>
                      <w:u w:val="single"/>
                    </w:rPr>
                    <w:t>占地面积约20m</w:t>
                  </w:r>
                  <w:r>
                    <w:rPr>
                      <w:rFonts w:hint="eastAsia"/>
                      <w:szCs w:val="21"/>
                      <w:u w:val="single"/>
                      <w:vertAlign w:val="superscript"/>
                    </w:rPr>
                    <w:t>2</w:t>
                  </w:r>
                  <w:r>
                    <w:rPr>
                      <w:rFonts w:hint="eastAsia"/>
                      <w:szCs w:val="21"/>
                      <w:u w:val="single"/>
                    </w:rPr>
                    <w:t>，位于锅炉房内，用于灰渣暂存，灰渣袋装存储</w:t>
                  </w:r>
                </w:p>
              </w:tc>
              <w:tc>
                <w:tcPr>
                  <w:tcW w:w="915" w:type="dxa"/>
                  <w:vAlign w:val="center"/>
                </w:tcPr>
                <w:p>
                  <w:pPr>
                    <w:jc w:val="center"/>
                    <w:rPr>
                      <w:szCs w:val="21"/>
                      <w:u w:val="single"/>
                    </w:rPr>
                  </w:pPr>
                  <w:r>
                    <w:rPr>
                      <w:rFonts w:hint="eastAsia"/>
                      <w:szCs w:val="21"/>
                      <w:u w:val="single"/>
                    </w:rPr>
                    <w:t>利用现有</w:t>
                  </w:r>
                </w:p>
              </w:tc>
            </w:tr>
            <w:tr>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340" w:hRule="atLeast"/>
                <w:jc w:val="center"/>
              </w:trPr>
              <w:tc>
                <w:tcPr>
                  <w:tcW w:w="759" w:type="dxa"/>
                  <w:vAlign w:val="center"/>
                </w:tcPr>
                <w:p>
                  <w:pPr>
                    <w:jc w:val="center"/>
                    <w:rPr>
                      <w:szCs w:val="21"/>
                    </w:rPr>
                  </w:pPr>
                  <w:r>
                    <w:rPr>
                      <w:rFonts w:hint="eastAsia"/>
                      <w:szCs w:val="21"/>
                    </w:rPr>
                    <w:t>辅助工程</w:t>
                  </w:r>
                </w:p>
              </w:tc>
              <w:tc>
                <w:tcPr>
                  <w:tcW w:w="1309" w:type="dxa"/>
                  <w:vAlign w:val="center"/>
                </w:tcPr>
                <w:p>
                  <w:pPr>
                    <w:jc w:val="center"/>
                    <w:rPr>
                      <w:szCs w:val="21"/>
                    </w:rPr>
                  </w:pPr>
                  <w:r>
                    <w:rPr>
                      <w:rFonts w:hint="eastAsia"/>
                      <w:szCs w:val="21"/>
                    </w:rPr>
                    <w:t>排气筒</w:t>
                  </w:r>
                </w:p>
              </w:tc>
              <w:tc>
                <w:tcPr>
                  <w:tcW w:w="4959" w:type="dxa"/>
                  <w:vAlign w:val="center"/>
                </w:tcPr>
                <w:p>
                  <w:pPr>
                    <w:jc w:val="center"/>
                    <w:rPr>
                      <w:szCs w:val="21"/>
                    </w:rPr>
                  </w:pPr>
                  <w:r>
                    <w:rPr>
                      <w:rFonts w:hint="eastAsia"/>
                      <w:szCs w:val="21"/>
                    </w:rPr>
                    <w:t>新建1根30m</w:t>
                  </w:r>
                  <w:r>
                    <w:rPr>
                      <w:rFonts w:hint="eastAsia"/>
                    </w:rPr>
                    <w:t>高排气筒排放</w:t>
                  </w:r>
                </w:p>
              </w:tc>
              <w:tc>
                <w:tcPr>
                  <w:tcW w:w="915" w:type="dxa"/>
                  <w:vAlign w:val="center"/>
                </w:tcPr>
                <w:p>
                  <w:pPr>
                    <w:jc w:val="center"/>
                    <w:rPr>
                      <w:szCs w:val="21"/>
                    </w:rPr>
                  </w:pPr>
                  <w:r>
                    <w:rPr>
                      <w:rFonts w:hint="eastAsia"/>
                      <w:szCs w:val="21"/>
                    </w:rPr>
                    <w:t>新建</w:t>
                  </w:r>
                </w:p>
              </w:tc>
            </w:tr>
            <w:tr>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340" w:hRule="atLeast"/>
                <w:jc w:val="center"/>
              </w:trPr>
              <w:tc>
                <w:tcPr>
                  <w:tcW w:w="759" w:type="dxa"/>
                  <w:vMerge w:val="restart"/>
                  <w:tcBorders>
                    <w:top w:val="single" w:color="auto" w:sz="4" w:space="0"/>
                  </w:tcBorders>
                  <w:vAlign w:val="center"/>
                </w:tcPr>
                <w:p>
                  <w:pPr>
                    <w:jc w:val="center"/>
                    <w:rPr>
                      <w:szCs w:val="21"/>
                    </w:rPr>
                  </w:pPr>
                  <w:r>
                    <w:rPr>
                      <w:szCs w:val="21"/>
                    </w:rPr>
                    <w:t>公用工程</w:t>
                  </w:r>
                </w:p>
              </w:tc>
              <w:tc>
                <w:tcPr>
                  <w:tcW w:w="1309" w:type="dxa"/>
                  <w:vAlign w:val="center"/>
                </w:tcPr>
                <w:p>
                  <w:pPr>
                    <w:jc w:val="center"/>
                    <w:rPr>
                      <w:szCs w:val="21"/>
                    </w:rPr>
                  </w:pPr>
                  <w:r>
                    <w:rPr>
                      <w:szCs w:val="21"/>
                    </w:rPr>
                    <w:t>给水</w:t>
                  </w:r>
                </w:p>
              </w:tc>
              <w:tc>
                <w:tcPr>
                  <w:tcW w:w="4959" w:type="dxa"/>
                  <w:vAlign w:val="center"/>
                </w:tcPr>
                <w:p>
                  <w:pPr>
                    <w:jc w:val="center"/>
                    <w:rPr>
                      <w:szCs w:val="21"/>
                    </w:rPr>
                  </w:pPr>
                  <w:r>
                    <w:rPr>
                      <w:szCs w:val="21"/>
                    </w:rPr>
                    <w:t>厂区现有深水井供给</w:t>
                  </w:r>
                </w:p>
              </w:tc>
              <w:tc>
                <w:tcPr>
                  <w:tcW w:w="915" w:type="dxa"/>
                  <w:vAlign w:val="center"/>
                </w:tcPr>
                <w:p>
                  <w:pPr>
                    <w:jc w:val="center"/>
                    <w:rPr>
                      <w:szCs w:val="21"/>
                    </w:rPr>
                  </w:pPr>
                  <w:r>
                    <w:rPr>
                      <w:rFonts w:hint="eastAsia"/>
                      <w:szCs w:val="21"/>
                    </w:rPr>
                    <w:t>--</w:t>
                  </w:r>
                </w:p>
              </w:tc>
            </w:tr>
            <w:tr>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340" w:hRule="atLeast"/>
                <w:jc w:val="center"/>
              </w:trPr>
              <w:tc>
                <w:tcPr>
                  <w:tcW w:w="759" w:type="dxa"/>
                  <w:vMerge w:val="continue"/>
                  <w:vAlign w:val="center"/>
                </w:tcPr>
                <w:p>
                  <w:pPr>
                    <w:jc w:val="center"/>
                    <w:rPr>
                      <w:szCs w:val="21"/>
                    </w:rPr>
                  </w:pPr>
                </w:p>
              </w:tc>
              <w:tc>
                <w:tcPr>
                  <w:tcW w:w="1309" w:type="dxa"/>
                  <w:vAlign w:val="center"/>
                </w:tcPr>
                <w:p>
                  <w:pPr>
                    <w:jc w:val="center"/>
                    <w:rPr>
                      <w:szCs w:val="21"/>
                    </w:rPr>
                  </w:pPr>
                  <w:r>
                    <w:rPr>
                      <w:szCs w:val="21"/>
                    </w:rPr>
                    <w:t>排水</w:t>
                  </w:r>
                </w:p>
              </w:tc>
              <w:tc>
                <w:tcPr>
                  <w:tcW w:w="4959" w:type="dxa"/>
                  <w:vAlign w:val="center"/>
                </w:tcPr>
                <w:p>
                  <w:pPr>
                    <w:jc w:val="center"/>
                    <w:rPr>
                      <w:szCs w:val="21"/>
                    </w:rPr>
                  </w:pPr>
                  <w:r>
                    <w:rPr>
                      <w:rFonts w:hint="eastAsia"/>
                      <w:szCs w:val="21"/>
                    </w:rPr>
                    <w:t>锅炉排污水、软化处理废水及蒸汽冷凝水用于浇渣降尘或回用于生产，不外排</w:t>
                  </w:r>
                </w:p>
              </w:tc>
              <w:tc>
                <w:tcPr>
                  <w:tcW w:w="915" w:type="dxa"/>
                  <w:vAlign w:val="center"/>
                </w:tcPr>
                <w:p>
                  <w:pPr>
                    <w:jc w:val="center"/>
                    <w:rPr>
                      <w:szCs w:val="21"/>
                    </w:rPr>
                  </w:pPr>
                  <w:r>
                    <w:rPr>
                      <w:rFonts w:hint="eastAsia"/>
                      <w:szCs w:val="21"/>
                    </w:rPr>
                    <w:t>--</w:t>
                  </w:r>
                </w:p>
              </w:tc>
            </w:tr>
            <w:tr>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340" w:hRule="atLeast"/>
                <w:jc w:val="center"/>
              </w:trPr>
              <w:tc>
                <w:tcPr>
                  <w:tcW w:w="759" w:type="dxa"/>
                  <w:vMerge w:val="continue"/>
                  <w:vAlign w:val="center"/>
                </w:tcPr>
                <w:p>
                  <w:pPr>
                    <w:jc w:val="center"/>
                    <w:rPr>
                      <w:szCs w:val="21"/>
                    </w:rPr>
                  </w:pPr>
                </w:p>
              </w:tc>
              <w:tc>
                <w:tcPr>
                  <w:tcW w:w="1309" w:type="dxa"/>
                  <w:vAlign w:val="center"/>
                </w:tcPr>
                <w:p>
                  <w:pPr>
                    <w:jc w:val="center"/>
                    <w:rPr>
                      <w:szCs w:val="21"/>
                    </w:rPr>
                  </w:pPr>
                  <w:r>
                    <w:rPr>
                      <w:szCs w:val="21"/>
                    </w:rPr>
                    <w:t>供电</w:t>
                  </w:r>
                </w:p>
              </w:tc>
              <w:tc>
                <w:tcPr>
                  <w:tcW w:w="4959" w:type="dxa"/>
                  <w:vAlign w:val="center"/>
                </w:tcPr>
                <w:p>
                  <w:pPr>
                    <w:jc w:val="center"/>
                    <w:rPr>
                      <w:szCs w:val="21"/>
                    </w:rPr>
                  </w:pPr>
                  <w:r>
                    <w:rPr>
                      <w:szCs w:val="21"/>
                    </w:rPr>
                    <w:t>由当地供电部门统一供给</w:t>
                  </w:r>
                </w:p>
              </w:tc>
              <w:tc>
                <w:tcPr>
                  <w:tcW w:w="915" w:type="dxa"/>
                  <w:vAlign w:val="center"/>
                </w:tcPr>
                <w:p>
                  <w:pPr>
                    <w:jc w:val="center"/>
                    <w:rPr>
                      <w:szCs w:val="21"/>
                    </w:rPr>
                  </w:pPr>
                  <w:r>
                    <w:rPr>
                      <w:rFonts w:hint="eastAsia"/>
                      <w:szCs w:val="21"/>
                    </w:rPr>
                    <w:t>--</w:t>
                  </w:r>
                </w:p>
              </w:tc>
            </w:tr>
            <w:tr>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340" w:hRule="atLeast"/>
                <w:jc w:val="center"/>
              </w:trPr>
              <w:tc>
                <w:tcPr>
                  <w:tcW w:w="759" w:type="dxa"/>
                  <w:vMerge w:val="restart"/>
                  <w:tcBorders>
                    <w:top w:val="single" w:color="auto" w:sz="4" w:space="0"/>
                  </w:tcBorders>
                  <w:vAlign w:val="center"/>
                </w:tcPr>
                <w:p>
                  <w:pPr>
                    <w:jc w:val="center"/>
                    <w:rPr>
                      <w:szCs w:val="21"/>
                    </w:rPr>
                  </w:pPr>
                  <w:r>
                    <w:rPr>
                      <w:szCs w:val="21"/>
                    </w:rPr>
                    <w:t>环保工程</w:t>
                  </w:r>
                </w:p>
              </w:tc>
              <w:tc>
                <w:tcPr>
                  <w:tcW w:w="1309" w:type="dxa"/>
                  <w:vAlign w:val="center"/>
                </w:tcPr>
                <w:p>
                  <w:pPr>
                    <w:jc w:val="center"/>
                    <w:rPr>
                      <w:szCs w:val="21"/>
                    </w:rPr>
                  </w:pPr>
                  <w:r>
                    <w:rPr>
                      <w:szCs w:val="21"/>
                    </w:rPr>
                    <w:t>废水</w:t>
                  </w:r>
                </w:p>
              </w:tc>
              <w:tc>
                <w:tcPr>
                  <w:tcW w:w="4959" w:type="dxa"/>
                  <w:vAlign w:val="center"/>
                </w:tcPr>
                <w:p>
                  <w:pPr>
                    <w:jc w:val="center"/>
                    <w:rPr>
                      <w:szCs w:val="21"/>
                    </w:rPr>
                  </w:pPr>
                  <w:r>
                    <w:rPr>
                      <w:rFonts w:hint="eastAsia"/>
                      <w:szCs w:val="21"/>
                    </w:rPr>
                    <w:t>锅炉排污水、软化处理废水及蒸汽冷凝水用于浇渣降尘或回用于生产，不外排</w:t>
                  </w:r>
                </w:p>
              </w:tc>
              <w:tc>
                <w:tcPr>
                  <w:tcW w:w="915" w:type="dxa"/>
                  <w:vAlign w:val="center"/>
                </w:tcPr>
                <w:p>
                  <w:pPr>
                    <w:jc w:val="center"/>
                    <w:rPr>
                      <w:szCs w:val="21"/>
                    </w:rPr>
                  </w:pPr>
                  <w:r>
                    <w:rPr>
                      <w:rFonts w:hint="eastAsia"/>
                      <w:szCs w:val="21"/>
                    </w:rPr>
                    <w:t>--</w:t>
                  </w:r>
                </w:p>
              </w:tc>
            </w:tr>
            <w:tr>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340" w:hRule="atLeast"/>
                <w:jc w:val="center"/>
              </w:trPr>
              <w:tc>
                <w:tcPr>
                  <w:tcW w:w="759" w:type="dxa"/>
                  <w:vMerge w:val="continue"/>
                  <w:vAlign w:val="center"/>
                </w:tcPr>
                <w:p>
                  <w:pPr>
                    <w:jc w:val="center"/>
                    <w:rPr>
                      <w:szCs w:val="21"/>
                    </w:rPr>
                  </w:pPr>
                </w:p>
              </w:tc>
              <w:tc>
                <w:tcPr>
                  <w:tcW w:w="1309" w:type="dxa"/>
                  <w:vAlign w:val="center"/>
                </w:tcPr>
                <w:p>
                  <w:pPr>
                    <w:jc w:val="center"/>
                    <w:rPr>
                      <w:szCs w:val="21"/>
                    </w:rPr>
                  </w:pPr>
                  <w:r>
                    <w:rPr>
                      <w:rFonts w:hint="eastAsia"/>
                      <w:szCs w:val="21"/>
                    </w:rPr>
                    <w:t>废气</w:t>
                  </w:r>
                </w:p>
              </w:tc>
              <w:tc>
                <w:tcPr>
                  <w:tcW w:w="4959" w:type="dxa"/>
                  <w:vAlign w:val="center"/>
                </w:tcPr>
                <w:p>
                  <w:pPr>
                    <w:adjustRightInd w:val="0"/>
                    <w:snapToGrid w:val="0"/>
                    <w:jc w:val="center"/>
                    <w:rPr>
                      <w:szCs w:val="21"/>
                    </w:rPr>
                  </w:pPr>
                  <w:r>
                    <w:rPr>
                      <w:rFonts w:hint="eastAsia"/>
                    </w:rPr>
                    <w:t>锅炉烟气采用低氮燃烧+陶瓷多管+布袋除尘器处理达标后，通过1根30m高排气筒排放</w:t>
                  </w:r>
                </w:p>
              </w:tc>
              <w:tc>
                <w:tcPr>
                  <w:tcW w:w="915" w:type="dxa"/>
                  <w:vAlign w:val="center"/>
                </w:tcPr>
                <w:p>
                  <w:pPr>
                    <w:adjustRightInd w:val="0"/>
                    <w:snapToGrid w:val="0"/>
                    <w:jc w:val="center"/>
                    <w:rPr>
                      <w:szCs w:val="21"/>
                    </w:rPr>
                  </w:pPr>
                  <w:r>
                    <w:rPr>
                      <w:rFonts w:hint="eastAsia"/>
                      <w:szCs w:val="21"/>
                    </w:rPr>
                    <w:t>新建</w:t>
                  </w:r>
                </w:p>
              </w:tc>
            </w:tr>
            <w:tr>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340" w:hRule="atLeast"/>
                <w:jc w:val="center"/>
              </w:trPr>
              <w:tc>
                <w:tcPr>
                  <w:tcW w:w="759" w:type="dxa"/>
                  <w:vMerge w:val="continue"/>
                  <w:vAlign w:val="center"/>
                </w:tcPr>
                <w:p>
                  <w:pPr>
                    <w:jc w:val="center"/>
                    <w:rPr>
                      <w:szCs w:val="21"/>
                    </w:rPr>
                  </w:pPr>
                </w:p>
              </w:tc>
              <w:tc>
                <w:tcPr>
                  <w:tcW w:w="1309" w:type="dxa"/>
                  <w:vAlign w:val="center"/>
                </w:tcPr>
                <w:p>
                  <w:pPr>
                    <w:jc w:val="center"/>
                    <w:rPr>
                      <w:szCs w:val="21"/>
                    </w:rPr>
                  </w:pPr>
                  <w:r>
                    <w:rPr>
                      <w:szCs w:val="21"/>
                    </w:rPr>
                    <w:t>噪声</w:t>
                  </w:r>
                </w:p>
              </w:tc>
              <w:tc>
                <w:tcPr>
                  <w:tcW w:w="4959" w:type="dxa"/>
                  <w:vAlign w:val="center"/>
                </w:tcPr>
                <w:p>
                  <w:pPr>
                    <w:adjustRightInd w:val="0"/>
                    <w:snapToGrid w:val="0"/>
                    <w:jc w:val="center"/>
                    <w:rPr>
                      <w:szCs w:val="21"/>
                    </w:rPr>
                  </w:pPr>
                  <w:r>
                    <w:rPr>
                      <w:szCs w:val="21"/>
                    </w:rPr>
                    <w:t>采取隔音、减震、消声等措施</w:t>
                  </w:r>
                </w:p>
              </w:tc>
              <w:tc>
                <w:tcPr>
                  <w:tcW w:w="915" w:type="dxa"/>
                  <w:vAlign w:val="center"/>
                </w:tcPr>
                <w:p>
                  <w:pPr>
                    <w:adjustRightInd w:val="0"/>
                    <w:snapToGrid w:val="0"/>
                    <w:jc w:val="center"/>
                    <w:rPr>
                      <w:szCs w:val="21"/>
                    </w:rPr>
                  </w:pPr>
                  <w:r>
                    <w:rPr>
                      <w:rFonts w:hint="eastAsia"/>
                      <w:szCs w:val="21"/>
                    </w:rPr>
                    <w:t>--</w:t>
                  </w:r>
                </w:p>
              </w:tc>
            </w:tr>
            <w:tr>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CellMar>
                  <w:top w:w="0" w:type="dxa"/>
                  <w:left w:w="108" w:type="dxa"/>
                  <w:bottom w:w="0" w:type="dxa"/>
                  <w:right w:w="108" w:type="dxa"/>
                </w:tblCellMar>
              </w:tblPrEx>
              <w:trPr>
                <w:trHeight w:val="340" w:hRule="atLeast"/>
                <w:jc w:val="center"/>
              </w:trPr>
              <w:tc>
                <w:tcPr>
                  <w:tcW w:w="759" w:type="dxa"/>
                  <w:vMerge w:val="continue"/>
                  <w:vAlign w:val="center"/>
                </w:tcPr>
                <w:p>
                  <w:pPr>
                    <w:jc w:val="center"/>
                    <w:rPr>
                      <w:szCs w:val="21"/>
                    </w:rPr>
                  </w:pPr>
                </w:p>
              </w:tc>
              <w:tc>
                <w:tcPr>
                  <w:tcW w:w="1309" w:type="dxa"/>
                  <w:vAlign w:val="center"/>
                </w:tcPr>
                <w:p>
                  <w:pPr>
                    <w:jc w:val="center"/>
                    <w:rPr>
                      <w:szCs w:val="21"/>
                    </w:rPr>
                  </w:pPr>
                  <w:r>
                    <w:rPr>
                      <w:szCs w:val="21"/>
                    </w:rPr>
                    <w:t>固体废物</w:t>
                  </w:r>
                </w:p>
              </w:tc>
              <w:tc>
                <w:tcPr>
                  <w:tcW w:w="4959" w:type="dxa"/>
                  <w:vAlign w:val="center"/>
                </w:tcPr>
                <w:p>
                  <w:pPr>
                    <w:jc w:val="center"/>
                    <w:rPr>
                      <w:szCs w:val="21"/>
                    </w:rPr>
                  </w:pPr>
                  <w:r>
                    <w:rPr>
                      <w:szCs w:val="21"/>
                    </w:rPr>
                    <w:t>项目</w:t>
                  </w:r>
                  <w:r>
                    <w:rPr>
                      <w:rFonts w:hint="eastAsia"/>
                      <w:szCs w:val="21"/>
                    </w:rPr>
                    <w:t>除尘器收集的粉尘、锅炉灰渣外售用作农肥；废离子交换树脂、废布袋由厂家回收</w:t>
                  </w:r>
                </w:p>
              </w:tc>
              <w:tc>
                <w:tcPr>
                  <w:tcW w:w="915" w:type="dxa"/>
                  <w:vAlign w:val="center"/>
                </w:tcPr>
                <w:p>
                  <w:pPr>
                    <w:jc w:val="center"/>
                    <w:rPr>
                      <w:szCs w:val="21"/>
                    </w:rPr>
                  </w:pPr>
                  <w:r>
                    <w:rPr>
                      <w:rFonts w:hint="eastAsia"/>
                      <w:szCs w:val="21"/>
                    </w:rPr>
                    <w:t>--</w:t>
                  </w:r>
                </w:p>
              </w:tc>
            </w:tr>
          </w:tbl>
          <w:p>
            <w:pPr>
              <w:adjustRightInd w:val="0"/>
              <w:snapToGrid w:val="0"/>
              <w:spacing w:beforeLines="50" w:line="360" w:lineRule="auto"/>
              <w:ind w:firstLine="482" w:firstLineChars="200"/>
              <w:rPr>
                <w:b/>
                <w:sz w:val="24"/>
              </w:rPr>
            </w:pPr>
            <w:r>
              <w:rPr>
                <w:rFonts w:hint="eastAsia"/>
                <w:b/>
                <w:sz w:val="24"/>
              </w:rPr>
              <w:t>3、平面布置</w:t>
            </w:r>
          </w:p>
          <w:p>
            <w:pPr>
              <w:adjustRightInd w:val="0"/>
              <w:snapToGrid w:val="0"/>
              <w:spacing w:line="360" w:lineRule="auto"/>
              <w:ind w:firstLine="480" w:firstLineChars="200"/>
              <w:rPr>
                <w:bCs/>
                <w:sz w:val="24"/>
              </w:rPr>
            </w:pPr>
            <w:r>
              <w:rPr>
                <w:sz w:val="24"/>
              </w:rPr>
              <w:t>本项目建设地点位于</w:t>
            </w:r>
            <w:r>
              <w:rPr>
                <w:rFonts w:hint="eastAsia"/>
                <w:bCs/>
                <w:sz w:val="24"/>
              </w:rPr>
              <w:t>吉林省通化市柳河县五道沟镇教堂子村柳河启城水泥制品有限公司</w:t>
            </w:r>
            <w:r>
              <w:rPr>
                <w:rFonts w:hint="eastAsia"/>
                <w:sz w:val="24"/>
              </w:rPr>
              <w:t>现有厂区内，项目锅炉房位于厂区西北侧，生产区位于锅炉房东南侧，办公区位于厂区东南侧，</w:t>
            </w:r>
            <w:r>
              <w:rPr>
                <w:rFonts w:hint="eastAsia"/>
                <w:bCs/>
                <w:sz w:val="24"/>
              </w:rPr>
              <w:t>项目</w:t>
            </w:r>
            <w:r>
              <w:rPr>
                <w:bCs/>
                <w:sz w:val="24"/>
              </w:rPr>
              <w:t>平面布置较为合理</w:t>
            </w:r>
            <w:r>
              <w:rPr>
                <w:rFonts w:hint="eastAsia"/>
                <w:bCs/>
                <w:sz w:val="24"/>
              </w:rPr>
              <w:t>，</w:t>
            </w:r>
            <w:r>
              <w:rPr>
                <w:bCs/>
                <w:sz w:val="24"/>
              </w:rPr>
              <w:t>厂区平面布置图详见附图</w:t>
            </w:r>
            <w:r>
              <w:rPr>
                <w:rFonts w:hint="eastAsia"/>
                <w:bCs/>
                <w:sz w:val="24"/>
              </w:rPr>
              <w:t>4，周围环境状况见附图5。</w:t>
            </w:r>
          </w:p>
          <w:p>
            <w:pPr>
              <w:adjustRightInd w:val="0"/>
              <w:snapToGrid w:val="0"/>
              <w:spacing w:line="360" w:lineRule="auto"/>
              <w:ind w:firstLine="480" w:firstLineChars="200"/>
              <w:rPr>
                <w:bCs/>
                <w:sz w:val="24"/>
                <w:u w:val="single"/>
              </w:rPr>
            </w:pPr>
            <w:r>
              <w:rPr>
                <w:rFonts w:hint="eastAsia"/>
                <w:bCs/>
                <w:sz w:val="24"/>
                <w:u w:val="single"/>
              </w:rPr>
              <w:t>本项目利用现有锅炉房进行建设。现有锅炉房占地面积240m</w:t>
            </w:r>
            <w:r>
              <w:rPr>
                <w:rFonts w:hint="eastAsia"/>
                <w:bCs/>
                <w:sz w:val="24"/>
                <w:u w:val="single"/>
                <w:vertAlign w:val="superscript"/>
              </w:rPr>
              <w:t>2</w:t>
            </w:r>
            <w:r>
              <w:rPr>
                <w:rFonts w:hint="eastAsia"/>
                <w:bCs/>
                <w:sz w:val="24"/>
                <w:u w:val="single"/>
              </w:rPr>
              <w:t>，建筑面积140m</w:t>
            </w:r>
            <w:r>
              <w:rPr>
                <w:rFonts w:hint="eastAsia"/>
                <w:bCs/>
                <w:sz w:val="24"/>
                <w:u w:val="single"/>
                <w:vertAlign w:val="superscript"/>
              </w:rPr>
              <w:t>2</w:t>
            </w:r>
            <w:r>
              <w:rPr>
                <w:rFonts w:hint="eastAsia"/>
                <w:bCs/>
                <w:sz w:val="24"/>
                <w:u w:val="single"/>
              </w:rPr>
              <w:t>。锅炉房内南侧设有燃料存放区（30m</w:t>
            </w:r>
            <w:r>
              <w:rPr>
                <w:rFonts w:hint="eastAsia"/>
                <w:bCs/>
                <w:sz w:val="24"/>
                <w:u w:val="single"/>
                <w:vertAlign w:val="superscript"/>
              </w:rPr>
              <w:t>2</w:t>
            </w:r>
            <w:r>
              <w:rPr>
                <w:rFonts w:hint="eastAsia"/>
                <w:bCs/>
                <w:sz w:val="24"/>
                <w:u w:val="single"/>
              </w:rPr>
              <w:t>）和灰渣储存区（20m</w:t>
            </w:r>
            <w:r>
              <w:rPr>
                <w:rFonts w:hint="eastAsia"/>
                <w:bCs/>
                <w:sz w:val="24"/>
                <w:u w:val="single"/>
                <w:vertAlign w:val="superscript"/>
              </w:rPr>
              <w:t>2</w:t>
            </w:r>
            <w:r>
              <w:rPr>
                <w:rFonts w:hint="eastAsia"/>
                <w:bCs/>
                <w:sz w:val="24"/>
                <w:u w:val="single"/>
              </w:rPr>
              <w:t>），可满足新建锅炉的燃料存储和灰渣暂存需求。本次新建锅炉</w:t>
            </w:r>
            <w:r>
              <w:rPr>
                <w:bCs/>
                <w:sz w:val="24"/>
                <w:u w:val="single"/>
              </w:rPr>
              <w:t>位于锅炉房北侧，尺寸约为5.3m×4.2m×3.1m（投影面积约22.26m</w:t>
            </w:r>
            <w:r>
              <w:rPr>
                <w:bCs/>
                <w:sz w:val="24"/>
                <w:u w:val="single"/>
                <w:vertAlign w:val="superscript"/>
              </w:rPr>
              <w:t>2</w:t>
            </w:r>
            <w:r>
              <w:rPr>
                <w:bCs/>
                <w:sz w:val="24"/>
                <w:u w:val="single"/>
              </w:rPr>
              <w:t>），</w:t>
            </w:r>
            <w:r>
              <w:rPr>
                <w:rFonts w:hint="eastAsia"/>
                <w:bCs/>
                <w:sz w:val="24"/>
                <w:u w:val="single"/>
              </w:rPr>
              <w:t>布置于锅炉房北侧后，四周可预留满足《锅炉房设计标准》（GB 50041-2020）要求的操作通道和检修间距。扣除南侧存储区域后，剩余约90m</w:t>
            </w:r>
            <w:r>
              <w:rPr>
                <w:rFonts w:hint="eastAsia"/>
                <w:bCs/>
                <w:sz w:val="24"/>
                <w:u w:val="single"/>
                <w:vertAlign w:val="superscript"/>
              </w:rPr>
              <w:t>2</w:t>
            </w:r>
            <w:r>
              <w:rPr>
                <w:rFonts w:hint="eastAsia"/>
                <w:bCs/>
                <w:sz w:val="24"/>
                <w:u w:val="single"/>
              </w:rPr>
              <w:t>空间可容纳本次新建锅炉及其配套设施，空间布局合理紧凑。综上，项目依托现有锅炉房可行。</w:t>
            </w:r>
          </w:p>
          <w:p>
            <w:pPr>
              <w:adjustRightInd w:val="0"/>
              <w:snapToGrid w:val="0"/>
              <w:spacing w:line="360" w:lineRule="auto"/>
              <w:ind w:firstLine="482" w:firstLineChars="200"/>
              <w:rPr>
                <w:b/>
                <w:sz w:val="24"/>
              </w:rPr>
            </w:pPr>
            <w:r>
              <w:rPr>
                <w:rFonts w:hint="eastAsia"/>
                <w:b/>
                <w:sz w:val="24"/>
              </w:rPr>
              <w:t>4</w:t>
            </w:r>
            <w:r>
              <w:rPr>
                <w:b/>
                <w:sz w:val="24"/>
              </w:rPr>
              <w:t>、主要生产设备</w:t>
            </w:r>
          </w:p>
          <w:p>
            <w:pPr>
              <w:adjustRightInd w:val="0"/>
              <w:snapToGrid w:val="0"/>
              <w:spacing w:line="360" w:lineRule="auto"/>
              <w:ind w:firstLine="480" w:firstLineChars="200"/>
              <w:rPr>
                <w:bCs/>
                <w:sz w:val="24"/>
              </w:rPr>
            </w:pPr>
            <w:r>
              <w:rPr>
                <w:bCs/>
                <w:sz w:val="24"/>
              </w:rPr>
              <w:t>本项目主要生产设备详见下表。</w:t>
            </w:r>
          </w:p>
          <w:p>
            <w:pPr>
              <w:pStyle w:val="23"/>
              <w:ind w:left="0" w:firstLine="0"/>
            </w:pPr>
            <w:r>
              <w:t>本项目主要生产设备一览表</w:t>
            </w:r>
          </w:p>
          <w:tbl>
            <w:tblPr>
              <w:tblStyle w:val="19"/>
              <w:tblW w:w="7942"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99"/>
              <w:gridCol w:w="2227"/>
              <w:gridCol w:w="2351"/>
              <w:gridCol w:w="855"/>
              <w:gridCol w:w="855"/>
              <w:gridCol w:w="855"/>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99" w:type="dxa"/>
                  <w:vAlign w:val="center"/>
                </w:tcPr>
                <w:p>
                  <w:pPr>
                    <w:ind w:firstLine="482"/>
                    <w:jc w:val="center"/>
                    <w:rPr>
                      <w:b/>
                      <w:bCs/>
                      <w:u w:val="single"/>
                    </w:rPr>
                  </w:pPr>
                  <w:r>
                    <w:rPr>
                      <w:b/>
                      <w:bCs/>
                      <w:u w:val="single"/>
                    </w:rPr>
                    <w:t>序号</w:t>
                  </w:r>
                </w:p>
              </w:tc>
              <w:tc>
                <w:tcPr>
                  <w:tcW w:w="2227" w:type="dxa"/>
                  <w:vAlign w:val="center"/>
                </w:tcPr>
                <w:p>
                  <w:pPr>
                    <w:ind w:firstLine="482"/>
                    <w:jc w:val="center"/>
                    <w:rPr>
                      <w:b/>
                      <w:bCs/>
                      <w:u w:val="single"/>
                    </w:rPr>
                  </w:pPr>
                  <w:r>
                    <w:rPr>
                      <w:b/>
                      <w:bCs/>
                      <w:u w:val="single"/>
                    </w:rPr>
                    <w:t>设备名称</w:t>
                  </w:r>
                </w:p>
              </w:tc>
              <w:tc>
                <w:tcPr>
                  <w:tcW w:w="2351" w:type="dxa"/>
                  <w:vAlign w:val="center"/>
                </w:tcPr>
                <w:p>
                  <w:pPr>
                    <w:ind w:firstLine="482"/>
                    <w:jc w:val="center"/>
                    <w:rPr>
                      <w:b/>
                      <w:bCs/>
                      <w:u w:val="single"/>
                    </w:rPr>
                  </w:pPr>
                  <w:r>
                    <w:rPr>
                      <w:rFonts w:hint="eastAsia"/>
                      <w:b/>
                      <w:bCs/>
                      <w:u w:val="single"/>
                    </w:rPr>
                    <w:t>规格型号</w:t>
                  </w:r>
                </w:p>
              </w:tc>
              <w:tc>
                <w:tcPr>
                  <w:tcW w:w="855" w:type="dxa"/>
                  <w:vAlign w:val="center"/>
                </w:tcPr>
                <w:p>
                  <w:pPr>
                    <w:ind w:firstLine="482"/>
                    <w:jc w:val="center"/>
                    <w:rPr>
                      <w:b/>
                      <w:bCs/>
                      <w:u w:val="single"/>
                    </w:rPr>
                  </w:pPr>
                  <w:r>
                    <w:rPr>
                      <w:b/>
                      <w:bCs/>
                      <w:u w:val="single"/>
                    </w:rPr>
                    <w:t>单位</w:t>
                  </w:r>
                </w:p>
              </w:tc>
              <w:tc>
                <w:tcPr>
                  <w:tcW w:w="855" w:type="dxa"/>
                  <w:vAlign w:val="center"/>
                </w:tcPr>
                <w:p>
                  <w:pPr>
                    <w:ind w:firstLine="482"/>
                    <w:jc w:val="center"/>
                    <w:rPr>
                      <w:b/>
                      <w:bCs/>
                      <w:u w:val="single"/>
                    </w:rPr>
                  </w:pPr>
                  <w:r>
                    <w:rPr>
                      <w:b/>
                      <w:bCs/>
                      <w:u w:val="single"/>
                    </w:rPr>
                    <w:t>数量</w:t>
                  </w:r>
                </w:p>
              </w:tc>
              <w:tc>
                <w:tcPr>
                  <w:tcW w:w="855" w:type="dxa"/>
                  <w:vAlign w:val="center"/>
                </w:tcPr>
                <w:p>
                  <w:pPr>
                    <w:ind w:firstLine="482"/>
                    <w:jc w:val="center"/>
                    <w:rPr>
                      <w:b/>
                      <w:bCs/>
                      <w:u w:val="single"/>
                    </w:rPr>
                  </w:pPr>
                  <w:r>
                    <w:rPr>
                      <w:b/>
                      <w:bCs/>
                      <w:u w:val="single"/>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99" w:type="dxa"/>
                  <w:vAlign w:val="center"/>
                </w:tcPr>
                <w:p>
                  <w:pPr>
                    <w:jc w:val="center"/>
                    <w:rPr>
                      <w:u w:val="single"/>
                    </w:rPr>
                  </w:pPr>
                  <w:r>
                    <w:rPr>
                      <w:u w:val="single"/>
                    </w:rPr>
                    <w:t>1</w:t>
                  </w:r>
                </w:p>
              </w:tc>
              <w:tc>
                <w:tcPr>
                  <w:tcW w:w="2227" w:type="dxa"/>
                  <w:vAlign w:val="center"/>
                </w:tcPr>
                <w:p>
                  <w:pPr>
                    <w:jc w:val="center"/>
                    <w:rPr>
                      <w:szCs w:val="21"/>
                      <w:u w:val="single"/>
                    </w:rPr>
                  </w:pPr>
                  <w:r>
                    <w:rPr>
                      <w:rFonts w:hint="eastAsia"/>
                      <w:szCs w:val="21"/>
                      <w:u w:val="single"/>
                    </w:rPr>
                    <w:t>燃生物质蒸汽锅炉</w:t>
                  </w:r>
                </w:p>
              </w:tc>
              <w:tc>
                <w:tcPr>
                  <w:tcW w:w="2351" w:type="dxa"/>
                  <w:vAlign w:val="center"/>
                </w:tcPr>
                <w:p>
                  <w:pPr>
                    <w:jc w:val="center"/>
                    <w:rPr>
                      <w:szCs w:val="21"/>
                      <w:u w:val="single"/>
                    </w:rPr>
                  </w:pPr>
                  <w:r>
                    <w:rPr>
                      <w:szCs w:val="21"/>
                      <w:u w:val="single"/>
                    </w:rPr>
                    <w:t>DZL2.5-1.25-SCⅡ</w:t>
                  </w:r>
                </w:p>
              </w:tc>
              <w:tc>
                <w:tcPr>
                  <w:tcW w:w="855" w:type="dxa"/>
                  <w:vAlign w:val="center"/>
                </w:tcPr>
                <w:p>
                  <w:pPr>
                    <w:jc w:val="center"/>
                    <w:rPr>
                      <w:u w:val="single"/>
                    </w:rPr>
                  </w:pPr>
                  <w:r>
                    <w:rPr>
                      <w:u w:val="single"/>
                    </w:rPr>
                    <w:t>台</w:t>
                  </w:r>
                </w:p>
              </w:tc>
              <w:tc>
                <w:tcPr>
                  <w:tcW w:w="855" w:type="dxa"/>
                  <w:vAlign w:val="center"/>
                </w:tcPr>
                <w:p>
                  <w:pPr>
                    <w:jc w:val="center"/>
                    <w:rPr>
                      <w:u w:val="single"/>
                    </w:rPr>
                  </w:pPr>
                  <w:r>
                    <w:rPr>
                      <w:rFonts w:hint="eastAsia"/>
                      <w:u w:val="single"/>
                    </w:rPr>
                    <w:t>1</w:t>
                  </w:r>
                </w:p>
              </w:tc>
              <w:tc>
                <w:tcPr>
                  <w:tcW w:w="855" w:type="dxa"/>
                  <w:vAlign w:val="center"/>
                </w:tcPr>
                <w:p>
                  <w:pPr>
                    <w:jc w:val="center"/>
                    <w:rPr>
                      <w:u w:val="single"/>
                    </w:rPr>
                  </w:pPr>
                  <w:r>
                    <w:rPr>
                      <w:rFonts w:hint="eastAsia"/>
                      <w:u w:val="single"/>
                    </w:rPr>
                    <w:t>新建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99" w:type="dxa"/>
                  <w:vAlign w:val="center"/>
                </w:tcPr>
                <w:p>
                  <w:pPr>
                    <w:jc w:val="center"/>
                    <w:rPr>
                      <w:u w:val="single"/>
                    </w:rPr>
                  </w:pPr>
                  <w:r>
                    <w:rPr>
                      <w:rFonts w:hint="eastAsia"/>
                      <w:u w:val="single"/>
                    </w:rPr>
                    <w:t>2</w:t>
                  </w:r>
                </w:p>
              </w:tc>
              <w:tc>
                <w:tcPr>
                  <w:tcW w:w="2227" w:type="dxa"/>
                  <w:vAlign w:val="center"/>
                </w:tcPr>
                <w:p>
                  <w:pPr>
                    <w:jc w:val="center"/>
                    <w:rPr>
                      <w:szCs w:val="21"/>
                      <w:u w:val="single"/>
                    </w:rPr>
                  </w:pPr>
                  <w:r>
                    <w:rPr>
                      <w:rFonts w:hint="eastAsia"/>
                      <w:szCs w:val="21"/>
                      <w:u w:val="single"/>
                    </w:rPr>
                    <w:t>鼓风机</w:t>
                  </w:r>
                </w:p>
              </w:tc>
              <w:tc>
                <w:tcPr>
                  <w:tcW w:w="2351" w:type="dxa"/>
                  <w:vAlign w:val="center"/>
                </w:tcPr>
                <w:p>
                  <w:pPr>
                    <w:jc w:val="center"/>
                    <w:rPr>
                      <w:szCs w:val="21"/>
                      <w:u w:val="single"/>
                    </w:rPr>
                  </w:pPr>
                  <w:r>
                    <w:rPr>
                      <w:rFonts w:hint="eastAsia"/>
                      <w:szCs w:val="21"/>
                      <w:u w:val="single"/>
                    </w:rPr>
                    <w:t>锅炉配套</w:t>
                  </w:r>
                </w:p>
              </w:tc>
              <w:tc>
                <w:tcPr>
                  <w:tcW w:w="855" w:type="dxa"/>
                  <w:vAlign w:val="center"/>
                </w:tcPr>
                <w:p>
                  <w:pPr>
                    <w:jc w:val="center"/>
                    <w:rPr>
                      <w:u w:val="single"/>
                    </w:rPr>
                  </w:pPr>
                  <w:r>
                    <w:rPr>
                      <w:u w:val="single"/>
                    </w:rPr>
                    <w:t>台</w:t>
                  </w:r>
                </w:p>
              </w:tc>
              <w:tc>
                <w:tcPr>
                  <w:tcW w:w="855" w:type="dxa"/>
                  <w:vAlign w:val="center"/>
                </w:tcPr>
                <w:p>
                  <w:pPr>
                    <w:jc w:val="center"/>
                    <w:rPr>
                      <w:u w:val="single"/>
                    </w:rPr>
                  </w:pPr>
                  <w:r>
                    <w:rPr>
                      <w:rFonts w:hint="eastAsia"/>
                      <w:u w:val="single"/>
                    </w:rPr>
                    <w:t>1</w:t>
                  </w:r>
                </w:p>
              </w:tc>
              <w:tc>
                <w:tcPr>
                  <w:tcW w:w="855" w:type="dxa"/>
                  <w:vAlign w:val="center"/>
                </w:tcPr>
                <w:p>
                  <w:pPr>
                    <w:jc w:val="center"/>
                    <w:rPr>
                      <w:u w:val="single"/>
                    </w:rPr>
                  </w:pPr>
                  <w:r>
                    <w:rPr>
                      <w:rFonts w:hint="eastAsia"/>
                      <w:u w:val="single"/>
                    </w:rPr>
                    <w:t>新建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99" w:type="dxa"/>
                  <w:vAlign w:val="center"/>
                </w:tcPr>
                <w:p>
                  <w:pPr>
                    <w:jc w:val="center"/>
                    <w:rPr>
                      <w:u w:val="single"/>
                    </w:rPr>
                  </w:pPr>
                  <w:r>
                    <w:rPr>
                      <w:rFonts w:hint="eastAsia"/>
                      <w:u w:val="single"/>
                    </w:rPr>
                    <w:t>3</w:t>
                  </w:r>
                </w:p>
              </w:tc>
              <w:tc>
                <w:tcPr>
                  <w:tcW w:w="2227" w:type="dxa"/>
                  <w:vAlign w:val="center"/>
                </w:tcPr>
                <w:p>
                  <w:pPr>
                    <w:jc w:val="center"/>
                    <w:rPr>
                      <w:szCs w:val="21"/>
                      <w:u w:val="single"/>
                    </w:rPr>
                  </w:pPr>
                  <w:r>
                    <w:rPr>
                      <w:rFonts w:hint="eastAsia"/>
                      <w:szCs w:val="21"/>
                      <w:u w:val="single"/>
                    </w:rPr>
                    <w:t>引风机</w:t>
                  </w:r>
                </w:p>
              </w:tc>
              <w:tc>
                <w:tcPr>
                  <w:tcW w:w="2351" w:type="dxa"/>
                  <w:vAlign w:val="center"/>
                </w:tcPr>
                <w:p>
                  <w:pPr>
                    <w:jc w:val="center"/>
                    <w:rPr>
                      <w:szCs w:val="21"/>
                      <w:u w:val="single"/>
                    </w:rPr>
                  </w:pPr>
                  <w:r>
                    <w:rPr>
                      <w:rFonts w:hint="eastAsia"/>
                      <w:szCs w:val="21"/>
                      <w:u w:val="single"/>
                    </w:rPr>
                    <w:t>锅炉配套</w:t>
                  </w:r>
                </w:p>
              </w:tc>
              <w:tc>
                <w:tcPr>
                  <w:tcW w:w="855" w:type="dxa"/>
                  <w:vAlign w:val="center"/>
                </w:tcPr>
                <w:p>
                  <w:pPr>
                    <w:jc w:val="center"/>
                    <w:rPr>
                      <w:u w:val="single"/>
                    </w:rPr>
                  </w:pPr>
                  <w:r>
                    <w:rPr>
                      <w:u w:val="single"/>
                    </w:rPr>
                    <w:t>台</w:t>
                  </w:r>
                </w:p>
              </w:tc>
              <w:tc>
                <w:tcPr>
                  <w:tcW w:w="855" w:type="dxa"/>
                  <w:vAlign w:val="center"/>
                </w:tcPr>
                <w:p>
                  <w:pPr>
                    <w:jc w:val="center"/>
                    <w:rPr>
                      <w:u w:val="single"/>
                    </w:rPr>
                  </w:pPr>
                  <w:r>
                    <w:rPr>
                      <w:rFonts w:hint="eastAsia"/>
                      <w:u w:val="single"/>
                    </w:rPr>
                    <w:t>1</w:t>
                  </w:r>
                </w:p>
              </w:tc>
              <w:tc>
                <w:tcPr>
                  <w:tcW w:w="855" w:type="dxa"/>
                  <w:vAlign w:val="center"/>
                </w:tcPr>
                <w:p>
                  <w:pPr>
                    <w:jc w:val="center"/>
                    <w:rPr>
                      <w:u w:val="single"/>
                    </w:rPr>
                  </w:pPr>
                  <w:r>
                    <w:rPr>
                      <w:rFonts w:hint="eastAsia"/>
                      <w:u w:val="single"/>
                    </w:rPr>
                    <w:t>新建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99" w:type="dxa"/>
                  <w:vAlign w:val="center"/>
                </w:tcPr>
                <w:p>
                  <w:pPr>
                    <w:jc w:val="center"/>
                    <w:rPr>
                      <w:u w:val="single"/>
                    </w:rPr>
                  </w:pPr>
                  <w:r>
                    <w:rPr>
                      <w:rFonts w:hint="eastAsia"/>
                      <w:u w:val="single"/>
                    </w:rPr>
                    <w:t>4</w:t>
                  </w:r>
                </w:p>
              </w:tc>
              <w:tc>
                <w:tcPr>
                  <w:tcW w:w="2227" w:type="dxa"/>
                  <w:vAlign w:val="center"/>
                </w:tcPr>
                <w:p>
                  <w:pPr>
                    <w:jc w:val="center"/>
                    <w:rPr>
                      <w:szCs w:val="21"/>
                      <w:u w:val="single"/>
                    </w:rPr>
                  </w:pPr>
                  <w:r>
                    <w:rPr>
                      <w:rFonts w:hint="eastAsia"/>
                      <w:szCs w:val="21"/>
                      <w:u w:val="single"/>
                    </w:rPr>
                    <w:t>泵类</w:t>
                  </w:r>
                </w:p>
              </w:tc>
              <w:tc>
                <w:tcPr>
                  <w:tcW w:w="2351" w:type="dxa"/>
                  <w:vAlign w:val="center"/>
                </w:tcPr>
                <w:p>
                  <w:pPr>
                    <w:jc w:val="center"/>
                    <w:rPr>
                      <w:szCs w:val="21"/>
                      <w:u w:val="single"/>
                    </w:rPr>
                  </w:pPr>
                  <w:r>
                    <w:rPr>
                      <w:rFonts w:hint="eastAsia"/>
                      <w:szCs w:val="21"/>
                      <w:u w:val="single"/>
                    </w:rPr>
                    <w:t>锅炉配套</w:t>
                  </w:r>
                </w:p>
              </w:tc>
              <w:tc>
                <w:tcPr>
                  <w:tcW w:w="855" w:type="dxa"/>
                  <w:vAlign w:val="center"/>
                </w:tcPr>
                <w:p>
                  <w:pPr>
                    <w:jc w:val="center"/>
                    <w:rPr>
                      <w:u w:val="single"/>
                    </w:rPr>
                  </w:pPr>
                  <w:r>
                    <w:rPr>
                      <w:u w:val="single"/>
                    </w:rPr>
                    <w:t>台</w:t>
                  </w:r>
                </w:p>
              </w:tc>
              <w:tc>
                <w:tcPr>
                  <w:tcW w:w="855" w:type="dxa"/>
                  <w:vAlign w:val="center"/>
                </w:tcPr>
                <w:p>
                  <w:pPr>
                    <w:jc w:val="center"/>
                    <w:rPr>
                      <w:u w:val="single"/>
                    </w:rPr>
                  </w:pPr>
                  <w:r>
                    <w:rPr>
                      <w:rFonts w:hint="eastAsia"/>
                      <w:u w:val="single"/>
                    </w:rPr>
                    <w:t>1</w:t>
                  </w:r>
                </w:p>
              </w:tc>
              <w:tc>
                <w:tcPr>
                  <w:tcW w:w="855" w:type="dxa"/>
                  <w:vAlign w:val="center"/>
                </w:tcPr>
                <w:p>
                  <w:pPr>
                    <w:jc w:val="center"/>
                    <w:rPr>
                      <w:u w:val="single"/>
                    </w:rPr>
                  </w:pPr>
                  <w:r>
                    <w:rPr>
                      <w:rFonts w:hint="eastAsia"/>
                      <w:u w:val="single"/>
                    </w:rPr>
                    <w:t>新建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99" w:type="dxa"/>
                  <w:vAlign w:val="center"/>
                </w:tcPr>
                <w:p>
                  <w:pPr>
                    <w:jc w:val="center"/>
                    <w:rPr>
                      <w:u w:val="single"/>
                    </w:rPr>
                  </w:pPr>
                  <w:r>
                    <w:rPr>
                      <w:rFonts w:hint="eastAsia"/>
                      <w:u w:val="single"/>
                    </w:rPr>
                    <w:t>5</w:t>
                  </w:r>
                </w:p>
              </w:tc>
              <w:tc>
                <w:tcPr>
                  <w:tcW w:w="2227" w:type="dxa"/>
                  <w:vAlign w:val="center"/>
                </w:tcPr>
                <w:p>
                  <w:pPr>
                    <w:jc w:val="center"/>
                    <w:rPr>
                      <w:szCs w:val="21"/>
                      <w:u w:val="single"/>
                    </w:rPr>
                  </w:pPr>
                  <w:r>
                    <w:rPr>
                      <w:rFonts w:hint="eastAsia"/>
                      <w:szCs w:val="21"/>
                      <w:u w:val="single"/>
                    </w:rPr>
                    <w:t>软水制备系统</w:t>
                  </w:r>
                </w:p>
              </w:tc>
              <w:tc>
                <w:tcPr>
                  <w:tcW w:w="2351" w:type="dxa"/>
                  <w:vAlign w:val="center"/>
                </w:tcPr>
                <w:p>
                  <w:pPr>
                    <w:jc w:val="center"/>
                    <w:rPr>
                      <w:szCs w:val="21"/>
                      <w:u w:val="single"/>
                    </w:rPr>
                  </w:pPr>
                  <w:r>
                    <w:rPr>
                      <w:rFonts w:hint="eastAsia"/>
                      <w:szCs w:val="21"/>
                      <w:u w:val="single"/>
                    </w:rPr>
                    <w:t>/</w:t>
                  </w:r>
                </w:p>
              </w:tc>
              <w:tc>
                <w:tcPr>
                  <w:tcW w:w="855" w:type="dxa"/>
                  <w:vAlign w:val="center"/>
                </w:tcPr>
                <w:p>
                  <w:pPr>
                    <w:jc w:val="center"/>
                    <w:rPr>
                      <w:u w:val="single"/>
                    </w:rPr>
                  </w:pPr>
                  <w:r>
                    <w:rPr>
                      <w:u w:val="single"/>
                    </w:rPr>
                    <w:t>台</w:t>
                  </w:r>
                </w:p>
              </w:tc>
              <w:tc>
                <w:tcPr>
                  <w:tcW w:w="855" w:type="dxa"/>
                  <w:vAlign w:val="center"/>
                </w:tcPr>
                <w:p>
                  <w:pPr>
                    <w:jc w:val="center"/>
                    <w:rPr>
                      <w:u w:val="single"/>
                    </w:rPr>
                  </w:pPr>
                  <w:r>
                    <w:rPr>
                      <w:rFonts w:hint="eastAsia"/>
                      <w:u w:val="single"/>
                    </w:rPr>
                    <w:t>1</w:t>
                  </w:r>
                </w:p>
              </w:tc>
              <w:tc>
                <w:tcPr>
                  <w:tcW w:w="855" w:type="dxa"/>
                  <w:vAlign w:val="center"/>
                </w:tcPr>
                <w:p>
                  <w:pPr>
                    <w:jc w:val="center"/>
                    <w:rPr>
                      <w:u w:val="single"/>
                    </w:rPr>
                  </w:pPr>
                  <w:r>
                    <w:rPr>
                      <w:rFonts w:hint="eastAsia"/>
                      <w:u w:val="single"/>
                    </w:rPr>
                    <w:t>新建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99" w:type="dxa"/>
                  <w:vAlign w:val="center"/>
                </w:tcPr>
                <w:p>
                  <w:pPr>
                    <w:jc w:val="center"/>
                    <w:rPr>
                      <w:u w:val="single"/>
                    </w:rPr>
                  </w:pPr>
                  <w:r>
                    <w:rPr>
                      <w:rFonts w:hint="eastAsia"/>
                      <w:u w:val="single"/>
                    </w:rPr>
                    <w:t>6</w:t>
                  </w:r>
                </w:p>
              </w:tc>
              <w:tc>
                <w:tcPr>
                  <w:tcW w:w="2227" w:type="dxa"/>
                  <w:vAlign w:val="center"/>
                </w:tcPr>
                <w:p>
                  <w:pPr>
                    <w:jc w:val="center"/>
                    <w:rPr>
                      <w:szCs w:val="21"/>
                      <w:u w:val="single"/>
                    </w:rPr>
                  </w:pPr>
                  <w:r>
                    <w:rPr>
                      <w:rFonts w:hint="eastAsia"/>
                      <w:szCs w:val="21"/>
                      <w:u w:val="single"/>
                    </w:rPr>
                    <w:t>低氮燃烧</w:t>
                  </w:r>
                </w:p>
              </w:tc>
              <w:tc>
                <w:tcPr>
                  <w:tcW w:w="2351" w:type="dxa"/>
                  <w:vAlign w:val="center"/>
                </w:tcPr>
                <w:p>
                  <w:pPr>
                    <w:jc w:val="center"/>
                    <w:rPr>
                      <w:szCs w:val="21"/>
                      <w:u w:val="single"/>
                    </w:rPr>
                  </w:pPr>
                  <w:r>
                    <w:rPr>
                      <w:rFonts w:hint="eastAsia"/>
                      <w:szCs w:val="21"/>
                      <w:u w:val="single"/>
                    </w:rPr>
                    <w:t>/</w:t>
                  </w:r>
                </w:p>
              </w:tc>
              <w:tc>
                <w:tcPr>
                  <w:tcW w:w="855" w:type="dxa"/>
                  <w:vAlign w:val="center"/>
                </w:tcPr>
                <w:p>
                  <w:pPr>
                    <w:jc w:val="center"/>
                    <w:rPr>
                      <w:u w:val="single"/>
                    </w:rPr>
                  </w:pPr>
                  <w:r>
                    <w:rPr>
                      <w:u w:val="single"/>
                    </w:rPr>
                    <w:t>台</w:t>
                  </w:r>
                </w:p>
              </w:tc>
              <w:tc>
                <w:tcPr>
                  <w:tcW w:w="855" w:type="dxa"/>
                  <w:vAlign w:val="center"/>
                </w:tcPr>
                <w:p>
                  <w:pPr>
                    <w:jc w:val="center"/>
                    <w:rPr>
                      <w:u w:val="single"/>
                    </w:rPr>
                  </w:pPr>
                  <w:r>
                    <w:rPr>
                      <w:rFonts w:hint="eastAsia"/>
                      <w:u w:val="single"/>
                    </w:rPr>
                    <w:t>1</w:t>
                  </w:r>
                </w:p>
              </w:tc>
              <w:tc>
                <w:tcPr>
                  <w:tcW w:w="855" w:type="dxa"/>
                  <w:vAlign w:val="center"/>
                </w:tcPr>
                <w:p>
                  <w:pPr>
                    <w:jc w:val="center"/>
                    <w:rPr>
                      <w:u w:val="single"/>
                    </w:rPr>
                  </w:pPr>
                  <w:r>
                    <w:rPr>
                      <w:rFonts w:hint="eastAsia"/>
                      <w:u w:val="single"/>
                    </w:rPr>
                    <w:t>新建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99" w:type="dxa"/>
                  <w:vAlign w:val="center"/>
                </w:tcPr>
                <w:p>
                  <w:pPr>
                    <w:jc w:val="center"/>
                    <w:rPr>
                      <w:u w:val="single"/>
                    </w:rPr>
                  </w:pPr>
                  <w:r>
                    <w:rPr>
                      <w:rFonts w:hint="eastAsia"/>
                      <w:u w:val="single"/>
                    </w:rPr>
                    <w:t>7</w:t>
                  </w:r>
                </w:p>
              </w:tc>
              <w:tc>
                <w:tcPr>
                  <w:tcW w:w="2227" w:type="dxa"/>
                  <w:vAlign w:val="center"/>
                </w:tcPr>
                <w:p>
                  <w:pPr>
                    <w:jc w:val="center"/>
                    <w:rPr>
                      <w:szCs w:val="21"/>
                      <w:u w:val="single"/>
                    </w:rPr>
                  </w:pPr>
                  <w:r>
                    <w:rPr>
                      <w:rFonts w:hint="eastAsia"/>
                      <w:szCs w:val="21"/>
                      <w:u w:val="single"/>
                    </w:rPr>
                    <w:t>除尘器</w:t>
                  </w:r>
                </w:p>
              </w:tc>
              <w:tc>
                <w:tcPr>
                  <w:tcW w:w="2351" w:type="dxa"/>
                  <w:vAlign w:val="center"/>
                </w:tcPr>
                <w:p>
                  <w:pPr>
                    <w:jc w:val="center"/>
                    <w:rPr>
                      <w:szCs w:val="21"/>
                      <w:u w:val="single"/>
                    </w:rPr>
                  </w:pPr>
                  <w:r>
                    <w:rPr>
                      <w:rFonts w:hint="eastAsia"/>
                      <w:szCs w:val="21"/>
                      <w:u w:val="single"/>
                    </w:rPr>
                    <w:t>陶瓷多管+布袋除尘器</w:t>
                  </w:r>
                </w:p>
              </w:tc>
              <w:tc>
                <w:tcPr>
                  <w:tcW w:w="855" w:type="dxa"/>
                  <w:vAlign w:val="center"/>
                </w:tcPr>
                <w:p>
                  <w:pPr>
                    <w:jc w:val="center"/>
                    <w:rPr>
                      <w:u w:val="single"/>
                    </w:rPr>
                  </w:pPr>
                  <w:r>
                    <w:rPr>
                      <w:rFonts w:hint="eastAsia"/>
                      <w:u w:val="single"/>
                    </w:rPr>
                    <w:t>套</w:t>
                  </w:r>
                </w:p>
              </w:tc>
              <w:tc>
                <w:tcPr>
                  <w:tcW w:w="855" w:type="dxa"/>
                  <w:vAlign w:val="center"/>
                </w:tcPr>
                <w:p>
                  <w:pPr>
                    <w:jc w:val="center"/>
                    <w:rPr>
                      <w:u w:val="single"/>
                    </w:rPr>
                  </w:pPr>
                  <w:r>
                    <w:rPr>
                      <w:rFonts w:hint="eastAsia"/>
                      <w:u w:val="single"/>
                    </w:rPr>
                    <w:t>1</w:t>
                  </w:r>
                </w:p>
              </w:tc>
              <w:tc>
                <w:tcPr>
                  <w:tcW w:w="855" w:type="dxa"/>
                  <w:vAlign w:val="center"/>
                </w:tcPr>
                <w:p>
                  <w:pPr>
                    <w:jc w:val="center"/>
                    <w:rPr>
                      <w:u w:val="single"/>
                    </w:rPr>
                  </w:pPr>
                  <w:r>
                    <w:rPr>
                      <w:rFonts w:hint="eastAsia"/>
                      <w:u w:val="single"/>
                    </w:rPr>
                    <w:t>新建</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99" w:type="dxa"/>
                  <w:vAlign w:val="center"/>
                </w:tcPr>
                <w:p>
                  <w:pPr>
                    <w:jc w:val="center"/>
                    <w:rPr>
                      <w:u w:val="single"/>
                    </w:rPr>
                  </w:pPr>
                  <w:r>
                    <w:rPr>
                      <w:rFonts w:hint="eastAsia"/>
                      <w:u w:val="single"/>
                    </w:rPr>
                    <w:t>8</w:t>
                  </w:r>
                </w:p>
              </w:tc>
              <w:tc>
                <w:tcPr>
                  <w:tcW w:w="2227" w:type="dxa"/>
                  <w:vAlign w:val="center"/>
                </w:tcPr>
                <w:p>
                  <w:pPr>
                    <w:jc w:val="center"/>
                    <w:rPr>
                      <w:szCs w:val="21"/>
                      <w:u w:val="single"/>
                    </w:rPr>
                  </w:pPr>
                  <w:r>
                    <w:rPr>
                      <w:rFonts w:hint="eastAsia"/>
                      <w:szCs w:val="21"/>
                      <w:u w:val="single"/>
                    </w:rPr>
                    <w:t>排气筒</w:t>
                  </w:r>
                </w:p>
              </w:tc>
              <w:tc>
                <w:tcPr>
                  <w:tcW w:w="2351" w:type="dxa"/>
                  <w:vAlign w:val="center"/>
                </w:tcPr>
                <w:p>
                  <w:pPr>
                    <w:jc w:val="center"/>
                    <w:rPr>
                      <w:szCs w:val="21"/>
                      <w:u w:val="single"/>
                    </w:rPr>
                  </w:pPr>
                  <w:r>
                    <w:rPr>
                      <w:rFonts w:hint="eastAsia"/>
                      <w:szCs w:val="21"/>
                      <w:u w:val="single"/>
                    </w:rPr>
                    <w:t>30m</w:t>
                  </w:r>
                </w:p>
              </w:tc>
              <w:tc>
                <w:tcPr>
                  <w:tcW w:w="855" w:type="dxa"/>
                  <w:vAlign w:val="center"/>
                </w:tcPr>
                <w:p>
                  <w:pPr>
                    <w:jc w:val="center"/>
                    <w:rPr>
                      <w:u w:val="single"/>
                    </w:rPr>
                  </w:pPr>
                  <w:r>
                    <w:rPr>
                      <w:rFonts w:hint="eastAsia"/>
                      <w:u w:val="single"/>
                    </w:rPr>
                    <w:t>根</w:t>
                  </w:r>
                </w:p>
              </w:tc>
              <w:tc>
                <w:tcPr>
                  <w:tcW w:w="855" w:type="dxa"/>
                  <w:vAlign w:val="center"/>
                </w:tcPr>
                <w:p>
                  <w:pPr>
                    <w:jc w:val="center"/>
                    <w:rPr>
                      <w:u w:val="single"/>
                    </w:rPr>
                  </w:pPr>
                  <w:r>
                    <w:rPr>
                      <w:rFonts w:hint="eastAsia"/>
                      <w:u w:val="single"/>
                    </w:rPr>
                    <w:t>1</w:t>
                  </w:r>
                </w:p>
              </w:tc>
              <w:tc>
                <w:tcPr>
                  <w:tcW w:w="855" w:type="dxa"/>
                  <w:vAlign w:val="center"/>
                </w:tcPr>
                <w:p>
                  <w:pPr>
                    <w:jc w:val="center"/>
                    <w:rPr>
                      <w:u w:val="single"/>
                    </w:rPr>
                  </w:pPr>
                  <w:r>
                    <w:rPr>
                      <w:rFonts w:hint="eastAsia"/>
                      <w:u w:val="single"/>
                    </w:rPr>
                    <w:t>新建</w:t>
                  </w:r>
                </w:p>
              </w:tc>
            </w:tr>
          </w:tbl>
          <w:p>
            <w:pPr>
              <w:adjustRightInd w:val="0"/>
              <w:snapToGrid w:val="0"/>
              <w:spacing w:beforeLines="50" w:line="360" w:lineRule="auto"/>
              <w:ind w:firstLine="482" w:firstLineChars="200"/>
              <w:rPr>
                <w:b/>
                <w:sz w:val="24"/>
              </w:rPr>
            </w:pPr>
            <w:r>
              <w:rPr>
                <w:rFonts w:hint="eastAsia"/>
                <w:b/>
                <w:sz w:val="24"/>
              </w:rPr>
              <w:t>5</w:t>
            </w:r>
            <w:r>
              <w:rPr>
                <w:b/>
                <w:sz w:val="24"/>
              </w:rPr>
              <w:t>、主要</w:t>
            </w:r>
            <w:r>
              <w:rPr>
                <w:rFonts w:hint="eastAsia"/>
                <w:b/>
                <w:sz w:val="24"/>
              </w:rPr>
              <w:t>原辅材料</w:t>
            </w:r>
          </w:p>
          <w:p>
            <w:pPr>
              <w:adjustRightInd w:val="0"/>
              <w:snapToGrid w:val="0"/>
              <w:spacing w:line="360" w:lineRule="auto"/>
              <w:ind w:firstLine="480" w:firstLineChars="200"/>
              <w:rPr>
                <w:b/>
                <w:bCs/>
                <w:szCs w:val="21"/>
              </w:rPr>
            </w:pPr>
            <w:r>
              <w:rPr>
                <w:rFonts w:hint="eastAsia"/>
                <w:bCs/>
                <w:sz w:val="24"/>
              </w:rPr>
              <w:t>根据企业提供资料，</w:t>
            </w:r>
            <w:r>
              <w:rPr>
                <w:bCs/>
                <w:sz w:val="24"/>
              </w:rPr>
              <w:t>项目建成后主要原辅材料消耗情况详见</w:t>
            </w:r>
            <w:r>
              <w:rPr>
                <w:rFonts w:hint="eastAsia"/>
                <w:bCs/>
                <w:sz w:val="24"/>
              </w:rPr>
              <w:t>下表</w:t>
            </w:r>
            <w:r>
              <w:rPr>
                <w:bCs/>
                <w:sz w:val="24"/>
              </w:rPr>
              <w:t>。</w:t>
            </w:r>
          </w:p>
          <w:p>
            <w:pPr>
              <w:pStyle w:val="23"/>
              <w:ind w:left="0" w:firstLine="0"/>
              <w:rPr>
                <w:u w:val="none"/>
              </w:rPr>
            </w:pPr>
            <w:r>
              <w:rPr>
                <w:rFonts w:hint="eastAsia"/>
                <w:u w:val="none"/>
              </w:rPr>
              <w:t>本项目</w:t>
            </w:r>
            <w:r>
              <w:rPr>
                <w:u w:val="none"/>
              </w:rPr>
              <w:t>原辅材料消耗情况一览表</w:t>
            </w:r>
          </w:p>
          <w:tbl>
            <w:tblPr>
              <w:tblStyle w:val="19"/>
              <w:tblW w:w="7942"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698"/>
              <w:gridCol w:w="1736"/>
              <w:gridCol w:w="639"/>
              <w:gridCol w:w="1148"/>
              <w:gridCol w:w="1364"/>
              <w:gridCol w:w="1074"/>
              <w:gridCol w:w="128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98" w:type="dxa"/>
                  <w:tcBorders>
                    <w:tl2br w:val="nil"/>
                    <w:tr2bl w:val="nil"/>
                  </w:tcBorders>
                  <w:vAlign w:val="center"/>
                </w:tcPr>
                <w:p>
                  <w:pPr>
                    <w:adjustRightInd w:val="0"/>
                    <w:snapToGrid w:val="0"/>
                    <w:ind w:firstLine="482"/>
                    <w:jc w:val="center"/>
                    <w:rPr>
                      <w:b/>
                      <w:bCs/>
                      <w:kern w:val="0"/>
                      <w:szCs w:val="21"/>
                    </w:rPr>
                  </w:pPr>
                  <w:r>
                    <w:rPr>
                      <w:b/>
                      <w:bCs/>
                      <w:kern w:val="0"/>
                      <w:szCs w:val="21"/>
                    </w:rPr>
                    <w:t>序号</w:t>
                  </w:r>
                </w:p>
              </w:tc>
              <w:tc>
                <w:tcPr>
                  <w:tcW w:w="1736" w:type="dxa"/>
                  <w:tcBorders>
                    <w:tl2br w:val="nil"/>
                    <w:tr2bl w:val="nil"/>
                  </w:tcBorders>
                  <w:vAlign w:val="center"/>
                </w:tcPr>
                <w:p>
                  <w:pPr>
                    <w:adjustRightInd w:val="0"/>
                    <w:snapToGrid w:val="0"/>
                    <w:ind w:firstLine="482"/>
                    <w:jc w:val="center"/>
                    <w:rPr>
                      <w:b/>
                      <w:bCs/>
                      <w:kern w:val="0"/>
                      <w:szCs w:val="21"/>
                    </w:rPr>
                  </w:pPr>
                  <w:r>
                    <w:rPr>
                      <w:b/>
                      <w:bCs/>
                      <w:kern w:val="0"/>
                      <w:szCs w:val="21"/>
                    </w:rPr>
                    <w:t>名称</w:t>
                  </w:r>
                </w:p>
              </w:tc>
              <w:tc>
                <w:tcPr>
                  <w:tcW w:w="639" w:type="dxa"/>
                  <w:tcBorders>
                    <w:tl2br w:val="nil"/>
                    <w:tr2bl w:val="nil"/>
                  </w:tcBorders>
                  <w:vAlign w:val="center"/>
                </w:tcPr>
                <w:p>
                  <w:pPr>
                    <w:adjustRightInd w:val="0"/>
                    <w:snapToGrid w:val="0"/>
                    <w:ind w:firstLine="482"/>
                    <w:jc w:val="center"/>
                    <w:rPr>
                      <w:b/>
                      <w:bCs/>
                      <w:kern w:val="0"/>
                      <w:szCs w:val="21"/>
                    </w:rPr>
                  </w:pPr>
                  <w:r>
                    <w:rPr>
                      <w:b/>
                      <w:bCs/>
                      <w:kern w:val="0"/>
                      <w:szCs w:val="21"/>
                    </w:rPr>
                    <w:t>单位</w:t>
                  </w:r>
                </w:p>
              </w:tc>
              <w:tc>
                <w:tcPr>
                  <w:tcW w:w="1148" w:type="dxa"/>
                  <w:tcBorders>
                    <w:tl2br w:val="nil"/>
                    <w:tr2bl w:val="nil"/>
                  </w:tcBorders>
                  <w:vAlign w:val="center"/>
                </w:tcPr>
                <w:p>
                  <w:pPr>
                    <w:adjustRightInd w:val="0"/>
                    <w:snapToGrid w:val="0"/>
                    <w:ind w:firstLine="482"/>
                    <w:jc w:val="center"/>
                    <w:rPr>
                      <w:b/>
                      <w:bCs/>
                      <w:kern w:val="0"/>
                      <w:szCs w:val="21"/>
                    </w:rPr>
                  </w:pPr>
                  <w:r>
                    <w:rPr>
                      <w:rFonts w:hint="eastAsia"/>
                      <w:b/>
                      <w:bCs/>
                      <w:kern w:val="0"/>
                      <w:szCs w:val="21"/>
                    </w:rPr>
                    <w:t>现有项目年用量</w:t>
                  </w:r>
                </w:p>
              </w:tc>
              <w:tc>
                <w:tcPr>
                  <w:tcW w:w="1364" w:type="dxa"/>
                  <w:tcBorders>
                    <w:tl2br w:val="nil"/>
                    <w:tr2bl w:val="nil"/>
                  </w:tcBorders>
                  <w:vAlign w:val="center"/>
                </w:tcPr>
                <w:p>
                  <w:pPr>
                    <w:adjustRightInd w:val="0"/>
                    <w:snapToGrid w:val="0"/>
                    <w:ind w:firstLine="482"/>
                    <w:jc w:val="center"/>
                    <w:rPr>
                      <w:b/>
                      <w:bCs/>
                      <w:kern w:val="0"/>
                      <w:szCs w:val="21"/>
                    </w:rPr>
                  </w:pPr>
                  <w:r>
                    <w:rPr>
                      <w:rFonts w:hint="eastAsia"/>
                      <w:b/>
                      <w:bCs/>
                      <w:kern w:val="0"/>
                      <w:szCs w:val="21"/>
                    </w:rPr>
                    <w:t>本项目建成后年用量</w:t>
                  </w:r>
                </w:p>
              </w:tc>
              <w:tc>
                <w:tcPr>
                  <w:tcW w:w="1074" w:type="dxa"/>
                  <w:tcBorders>
                    <w:tl2br w:val="nil"/>
                    <w:tr2bl w:val="nil"/>
                  </w:tcBorders>
                  <w:vAlign w:val="center"/>
                </w:tcPr>
                <w:p>
                  <w:pPr>
                    <w:adjustRightInd w:val="0"/>
                    <w:snapToGrid w:val="0"/>
                    <w:ind w:firstLine="482"/>
                    <w:jc w:val="center"/>
                    <w:rPr>
                      <w:b/>
                      <w:bCs/>
                      <w:kern w:val="0"/>
                      <w:szCs w:val="21"/>
                    </w:rPr>
                  </w:pPr>
                  <w:r>
                    <w:rPr>
                      <w:rFonts w:hint="eastAsia"/>
                      <w:b/>
                      <w:bCs/>
                      <w:kern w:val="0"/>
                      <w:szCs w:val="21"/>
                    </w:rPr>
                    <w:t>变化情况</w:t>
                  </w:r>
                </w:p>
              </w:tc>
              <w:tc>
                <w:tcPr>
                  <w:tcW w:w="1283" w:type="dxa"/>
                  <w:tcBorders>
                    <w:tl2br w:val="nil"/>
                    <w:tr2bl w:val="nil"/>
                  </w:tcBorders>
                  <w:vAlign w:val="center"/>
                </w:tcPr>
                <w:p>
                  <w:pPr>
                    <w:adjustRightInd w:val="0"/>
                    <w:snapToGrid w:val="0"/>
                    <w:ind w:firstLine="482"/>
                    <w:jc w:val="center"/>
                    <w:rPr>
                      <w:b/>
                      <w:bCs/>
                      <w:kern w:val="0"/>
                      <w:szCs w:val="21"/>
                    </w:rPr>
                  </w:pPr>
                  <w:r>
                    <w:rPr>
                      <w:b/>
                      <w:bCs/>
                      <w:kern w:val="0"/>
                      <w:szCs w:val="21"/>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98" w:type="dxa"/>
                  <w:tcBorders>
                    <w:tl2br w:val="nil"/>
                    <w:tr2bl w:val="nil"/>
                  </w:tcBorders>
                  <w:vAlign w:val="center"/>
                </w:tcPr>
                <w:p>
                  <w:pPr>
                    <w:adjustRightInd w:val="0"/>
                    <w:snapToGrid w:val="0"/>
                    <w:jc w:val="center"/>
                    <w:rPr>
                      <w:kern w:val="0"/>
                      <w:szCs w:val="21"/>
                    </w:rPr>
                  </w:pPr>
                  <w:r>
                    <w:rPr>
                      <w:rFonts w:hint="eastAsia"/>
                      <w:kern w:val="0"/>
                      <w:szCs w:val="21"/>
                    </w:rPr>
                    <w:t>1</w:t>
                  </w:r>
                </w:p>
              </w:tc>
              <w:tc>
                <w:tcPr>
                  <w:tcW w:w="1736" w:type="dxa"/>
                  <w:tcBorders>
                    <w:tl2br w:val="nil"/>
                    <w:tr2bl w:val="nil"/>
                  </w:tcBorders>
                  <w:vAlign w:val="center"/>
                </w:tcPr>
                <w:p>
                  <w:pPr>
                    <w:jc w:val="center"/>
                    <w:rPr>
                      <w:szCs w:val="21"/>
                    </w:rPr>
                  </w:pPr>
                  <w:r>
                    <w:rPr>
                      <w:rFonts w:hint="eastAsia"/>
                      <w:szCs w:val="21"/>
                    </w:rPr>
                    <w:t>生物质成型颗粒</w:t>
                  </w:r>
                </w:p>
              </w:tc>
              <w:tc>
                <w:tcPr>
                  <w:tcW w:w="639" w:type="dxa"/>
                  <w:tcBorders>
                    <w:tl2br w:val="nil"/>
                    <w:tr2bl w:val="nil"/>
                  </w:tcBorders>
                  <w:vAlign w:val="center"/>
                </w:tcPr>
                <w:p>
                  <w:pPr>
                    <w:jc w:val="center"/>
                    <w:rPr>
                      <w:szCs w:val="21"/>
                    </w:rPr>
                  </w:pPr>
                  <w:r>
                    <w:rPr>
                      <w:rFonts w:hint="eastAsia"/>
                      <w:szCs w:val="21"/>
                    </w:rPr>
                    <w:t>t/a</w:t>
                  </w:r>
                </w:p>
              </w:tc>
              <w:tc>
                <w:tcPr>
                  <w:tcW w:w="1148" w:type="dxa"/>
                  <w:tcBorders>
                    <w:tl2br w:val="nil"/>
                    <w:tr2bl w:val="nil"/>
                  </w:tcBorders>
                  <w:vAlign w:val="center"/>
                </w:tcPr>
                <w:p>
                  <w:pPr>
                    <w:jc w:val="center"/>
                    <w:rPr>
                      <w:szCs w:val="21"/>
                    </w:rPr>
                  </w:pPr>
                  <w:r>
                    <w:rPr>
                      <w:rFonts w:hint="eastAsia"/>
                      <w:szCs w:val="21"/>
                    </w:rPr>
                    <w:t>300</w:t>
                  </w:r>
                </w:p>
              </w:tc>
              <w:tc>
                <w:tcPr>
                  <w:tcW w:w="1364" w:type="dxa"/>
                  <w:tcBorders>
                    <w:tl2br w:val="nil"/>
                    <w:tr2bl w:val="nil"/>
                  </w:tcBorders>
                  <w:vAlign w:val="center"/>
                </w:tcPr>
                <w:p>
                  <w:pPr>
                    <w:jc w:val="center"/>
                    <w:rPr>
                      <w:szCs w:val="21"/>
                    </w:rPr>
                  </w:pPr>
                  <w:r>
                    <w:rPr>
                      <w:rFonts w:hint="eastAsia"/>
                      <w:szCs w:val="21"/>
                    </w:rPr>
                    <w:t>300</w:t>
                  </w:r>
                </w:p>
              </w:tc>
              <w:tc>
                <w:tcPr>
                  <w:tcW w:w="1074" w:type="dxa"/>
                  <w:tcBorders>
                    <w:tl2br w:val="nil"/>
                    <w:tr2bl w:val="nil"/>
                  </w:tcBorders>
                  <w:vAlign w:val="center"/>
                </w:tcPr>
                <w:p>
                  <w:pPr>
                    <w:jc w:val="center"/>
                    <w:rPr>
                      <w:szCs w:val="21"/>
                    </w:rPr>
                  </w:pPr>
                  <w:r>
                    <w:rPr>
                      <w:rFonts w:hint="eastAsia"/>
                      <w:szCs w:val="21"/>
                    </w:rPr>
                    <w:t>0</w:t>
                  </w:r>
                </w:p>
              </w:tc>
              <w:tc>
                <w:tcPr>
                  <w:tcW w:w="1283" w:type="dxa"/>
                  <w:tcBorders>
                    <w:tl2br w:val="nil"/>
                    <w:tr2bl w:val="nil"/>
                  </w:tcBorders>
                  <w:vAlign w:val="center"/>
                </w:tcPr>
                <w:p>
                  <w:pPr>
                    <w:adjustRightInd w:val="0"/>
                    <w:snapToGrid w:val="0"/>
                    <w:jc w:val="center"/>
                    <w:rPr>
                      <w:kern w:val="0"/>
                      <w:szCs w:val="21"/>
                    </w:rPr>
                  </w:pPr>
                  <w:r>
                    <w:rPr>
                      <w:rFonts w:hint="eastAsia"/>
                      <w:kern w:val="0"/>
                      <w:szCs w:val="21"/>
                    </w:rPr>
                    <w:t>外购，袋装</w:t>
                  </w:r>
                </w:p>
              </w:tc>
            </w:tr>
          </w:tbl>
          <w:p>
            <w:pPr>
              <w:adjustRightInd w:val="0"/>
              <w:snapToGrid w:val="0"/>
              <w:spacing w:beforeLines="50" w:line="360" w:lineRule="auto"/>
              <w:ind w:firstLine="480" w:firstLineChars="200"/>
              <w:rPr>
                <w:bCs/>
                <w:sz w:val="24"/>
              </w:rPr>
            </w:pPr>
            <w:r>
              <w:rPr>
                <w:rFonts w:hint="eastAsia"/>
                <w:bCs/>
                <w:sz w:val="24"/>
              </w:rPr>
              <w:t>根据企业提供资料，项目生物质燃料成分分析详见下表。</w:t>
            </w:r>
          </w:p>
          <w:p>
            <w:pPr>
              <w:pStyle w:val="23"/>
              <w:ind w:left="0" w:firstLine="0"/>
              <w:rPr>
                <w:u w:val="none"/>
              </w:rPr>
            </w:pPr>
            <w:r>
              <w:rPr>
                <w:rFonts w:hint="eastAsia"/>
                <w:u w:val="none"/>
              </w:rPr>
              <w:t>燃料成分分析一览表</w:t>
            </w:r>
          </w:p>
          <w:tbl>
            <w:tblPr>
              <w:tblStyle w:val="19"/>
              <w:tblW w:w="7942"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657"/>
              <w:gridCol w:w="617"/>
              <w:gridCol w:w="2375"/>
              <w:gridCol w:w="1501"/>
              <w:gridCol w:w="1420"/>
              <w:gridCol w:w="1372"/>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7" w:type="dxa"/>
                  <w:tcBorders>
                    <w:tl2br w:val="nil"/>
                    <w:tr2bl w:val="nil"/>
                  </w:tcBorders>
                  <w:vAlign w:val="center"/>
                </w:tcPr>
                <w:p>
                  <w:pPr>
                    <w:adjustRightInd w:val="0"/>
                    <w:snapToGrid w:val="0"/>
                    <w:ind w:firstLine="482"/>
                    <w:jc w:val="center"/>
                    <w:rPr>
                      <w:b/>
                      <w:bCs/>
                      <w:kern w:val="0"/>
                      <w:szCs w:val="21"/>
                    </w:rPr>
                  </w:pPr>
                  <w:r>
                    <w:rPr>
                      <w:b/>
                      <w:bCs/>
                      <w:kern w:val="0"/>
                      <w:szCs w:val="21"/>
                    </w:rPr>
                    <w:t>序号</w:t>
                  </w:r>
                </w:p>
              </w:tc>
              <w:tc>
                <w:tcPr>
                  <w:tcW w:w="2992" w:type="dxa"/>
                  <w:gridSpan w:val="2"/>
                  <w:tcBorders>
                    <w:tl2br w:val="nil"/>
                    <w:tr2bl w:val="nil"/>
                  </w:tcBorders>
                  <w:vAlign w:val="center"/>
                </w:tcPr>
                <w:p>
                  <w:pPr>
                    <w:adjustRightInd w:val="0"/>
                    <w:snapToGrid w:val="0"/>
                    <w:ind w:firstLine="482"/>
                    <w:jc w:val="center"/>
                    <w:rPr>
                      <w:b/>
                      <w:bCs/>
                      <w:kern w:val="0"/>
                      <w:szCs w:val="21"/>
                    </w:rPr>
                  </w:pPr>
                  <w:r>
                    <w:rPr>
                      <w:b/>
                      <w:bCs/>
                      <w:kern w:val="0"/>
                      <w:szCs w:val="21"/>
                    </w:rPr>
                    <w:t>成分</w:t>
                  </w:r>
                </w:p>
              </w:tc>
              <w:tc>
                <w:tcPr>
                  <w:tcW w:w="1501" w:type="dxa"/>
                  <w:tcBorders>
                    <w:tl2br w:val="nil"/>
                    <w:tr2bl w:val="nil"/>
                  </w:tcBorders>
                  <w:vAlign w:val="center"/>
                </w:tcPr>
                <w:p>
                  <w:pPr>
                    <w:spacing w:line="300" w:lineRule="exact"/>
                    <w:ind w:firstLine="482"/>
                    <w:jc w:val="center"/>
                    <w:rPr>
                      <w:b/>
                      <w:bCs/>
                      <w:kern w:val="0"/>
                      <w:szCs w:val="21"/>
                    </w:rPr>
                  </w:pPr>
                  <w:r>
                    <w:rPr>
                      <w:b/>
                      <w:bCs/>
                    </w:rPr>
                    <w:t>符号</w:t>
                  </w:r>
                </w:p>
              </w:tc>
              <w:tc>
                <w:tcPr>
                  <w:tcW w:w="1420" w:type="dxa"/>
                  <w:tcBorders>
                    <w:tl2br w:val="nil"/>
                    <w:tr2bl w:val="nil"/>
                  </w:tcBorders>
                  <w:vAlign w:val="center"/>
                </w:tcPr>
                <w:p>
                  <w:pPr>
                    <w:adjustRightInd w:val="0"/>
                    <w:snapToGrid w:val="0"/>
                    <w:ind w:firstLine="482"/>
                    <w:jc w:val="center"/>
                    <w:rPr>
                      <w:b/>
                      <w:bCs/>
                      <w:kern w:val="0"/>
                      <w:szCs w:val="21"/>
                    </w:rPr>
                  </w:pPr>
                  <w:r>
                    <w:rPr>
                      <w:b/>
                      <w:bCs/>
                      <w:kern w:val="0"/>
                      <w:szCs w:val="21"/>
                    </w:rPr>
                    <w:t>单位</w:t>
                  </w:r>
                </w:p>
              </w:tc>
              <w:tc>
                <w:tcPr>
                  <w:tcW w:w="1372" w:type="dxa"/>
                  <w:tcBorders>
                    <w:tl2br w:val="nil"/>
                    <w:tr2bl w:val="nil"/>
                  </w:tcBorders>
                  <w:vAlign w:val="center"/>
                </w:tcPr>
                <w:p>
                  <w:pPr>
                    <w:adjustRightInd w:val="0"/>
                    <w:snapToGrid w:val="0"/>
                    <w:ind w:firstLine="482"/>
                    <w:jc w:val="center"/>
                    <w:rPr>
                      <w:b/>
                      <w:bCs/>
                      <w:kern w:val="0"/>
                      <w:szCs w:val="21"/>
                    </w:rPr>
                  </w:pPr>
                  <w:r>
                    <w:rPr>
                      <w:b/>
                      <w:bCs/>
                      <w:kern w:val="0"/>
                      <w:szCs w:val="21"/>
                    </w:rPr>
                    <w:t>含量</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7" w:type="dxa"/>
                  <w:tcBorders>
                    <w:tl2br w:val="nil"/>
                    <w:tr2bl w:val="nil"/>
                  </w:tcBorders>
                  <w:vAlign w:val="center"/>
                </w:tcPr>
                <w:p>
                  <w:pPr>
                    <w:adjustRightInd w:val="0"/>
                    <w:snapToGrid w:val="0"/>
                    <w:jc w:val="center"/>
                    <w:rPr>
                      <w:kern w:val="0"/>
                      <w:szCs w:val="21"/>
                    </w:rPr>
                  </w:pPr>
                  <w:r>
                    <w:rPr>
                      <w:kern w:val="0"/>
                      <w:szCs w:val="21"/>
                    </w:rPr>
                    <w:t>1</w:t>
                  </w:r>
                </w:p>
              </w:tc>
              <w:tc>
                <w:tcPr>
                  <w:tcW w:w="2992" w:type="dxa"/>
                  <w:gridSpan w:val="2"/>
                  <w:tcBorders>
                    <w:tl2br w:val="nil"/>
                    <w:tr2bl w:val="nil"/>
                  </w:tcBorders>
                  <w:vAlign w:val="center"/>
                </w:tcPr>
                <w:p>
                  <w:pPr>
                    <w:spacing w:line="300" w:lineRule="exact"/>
                    <w:jc w:val="center"/>
                  </w:pPr>
                  <w:r>
                    <w:rPr>
                      <w:rFonts w:hint="eastAsia"/>
                    </w:rPr>
                    <w:t>全水</w:t>
                  </w:r>
                </w:p>
              </w:tc>
              <w:tc>
                <w:tcPr>
                  <w:tcW w:w="1501" w:type="dxa"/>
                  <w:tcBorders>
                    <w:tl2br w:val="nil"/>
                    <w:tr2bl w:val="nil"/>
                  </w:tcBorders>
                  <w:vAlign w:val="center"/>
                </w:tcPr>
                <w:p>
                  <w:pPr>
                    <w:spacing w:line="300" w:lineRule="exact"/>
                    <w:jc w:val="center"/>
                  </w:pPr>
                  <w:r>
                    <w:rPr>
                      <w:rFonts w:hint="eastAsia"/>
                    </w:rPr>
                    <w:t>M</w:t>
                  </w:r>
                  <w:r>
                    <w:rPr>
                      <w:rFonts w:hint="eastAsia"/>
                      <w:vertAlign w:val="subscript"/>
                    </w:rPr>
                    <w:t>t</w:t>
                  </w:r>
                </w:p>
              </w:tc>
              <w:tc>
                <w:tcPr>
                  <w:tcW w:w="1420" w:type="dxa"/>
                  <w:tcBorders>
                    <w:tl2br w:val="nil"/>
                    <w:tr2bl w:val="nil"/>
                  </w:tcBorders>
                  <w:vAlign w:val="center"/>
                </w:tcPr>
                <w:p>
                  <w:pPr>
                    <w:spacing w:line="300" w:lineRule="exact"/>
                    <w:jc w:val="center"/>
                  </w:pPr>
                  <w:r>
                    <w:rPr>
                      <w:rFonts w:hint="eastAsia"/>
                    </w:rPr>
                    <w:t>%</w:t>
                  </w:r>
                </w:p>
              </w:tc>
              <w:tc>
                <w:tcPr>
                  <w:tcW w:w="1372" w:type="dxa"/>
                  <w:tcBorders>
                    <w:tl2br w:val="nil"/>
                    <w:tr2bl w:val="nil"/>
                  </w:tcBorders>
                  <w:vAlign w:val="center"/>
                </w:tcPr>
                <w:p>
                  <w:pPr>
                    <w:jc w:val="center"/>
                    <w:rPr>
                      <w:szCs w:val="21"/>
                    </w:rPr>
                  </w:pPr>
                  <w:r>
                    <w:rPr>
                      <w:rFonts w:hint="eastAsia"/>
                      <w:szCs w:val="21"/>
                    </w:rPr>
                    <w:t>6.4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7" w:type="dxa"/>
                  <w:tcBorders>
                    <w:tl2br w:val="nil"/>
                    <w:tr2bl w:val="nil"/>
                  </w:tcBorders>
                  <w:vAlign w:val="center"/>
                </w:tcPr>
                <w:p>
                  <w:pPr>
                    <w:adjustRightInd w:val="0"/>
                    <w:snapToGrid w:val="0"/>
                    <w:jc w:val="center"/>
                    <w:rPr>
                      <w:kern w:val="0"/>
                      <w:szCs w:val="21"/>
                    </w:rPr>
                  </w:pPr>
                  <w:r>
                    <w:rPr>
                      <w:kern w:val="0"/>
                      <w:szCs w:val="21"/>
                    </w:rPr>
                    <w:t>2</w:t>
                  </w:r>
                </w:p>
              </w:tc>
              <w:tc>
                <w:tcPr>
                  <w:tcW w:w="2992" w:type="dxa"/>
                  <w:gridSpan w:val="2"/>
                  <w:tcBorders>
                    <w:tl2br w:val="nil"/>
                    <w:tr2bl w:val="nil"/>
                  </w:tcBorders>
                  <w:vAlign w:val="center"/>
                </w:tcPr>
                <w:p>
                  <w:pPr>
                    <w:spacing w:line="300" w:lineRule="exact"/>
                    <w:jc w:val="center"/>
                  </w:pPr>
                  <w:r>
                    <w:rPr>
                      <w:rFonts w:hint="eastAsia"/>
                    </w:rPr>
                    <w:t>空气干燥基水分</w:t>
                  </w:r>
                </w:p>
              </w:tc>
              <w:tc>
                <w:tcPr>
                  <w:tcW w:w="1501" w:type="dxa"/>
                  <w:tcBorders>
                    <w:tl2br w:val="nil"/>
                    <w:tr2bl w:val="nil"/>
                  </w:tcBorders>
                  <w:vAlign w:val="center"/>
                </w:tcPr>
                <w:p>
                  <w:pPr>
                    <w:spacing w:line="300" w:lineRule="exact"/>
                    <w:jc w:val="center"/>
                  </w:pPr>
                  <w:r>
                    <w:rPr>
                      <w:rFonts w:hint="eastAsia"/>
                    </w:rPr>
                    <w:t>M</w:t>
                  </w:r>
                  <w:r>
                    <w:rPr>
                      <w:rFonts w:hint="eastAsia"/>
                      <w:vertAlign w:val="subscript"/>
                    </w:rPr>
                    <w:t>ad</w:t>
                  </w:r>
                </w:p>
              </w:tc>
              <w:tc>
                <w:tcPr>
                  <w:tcW w:w="1420" w:type="dxa"/>
                  <w:tcBorders>
                    <w:tl2br w:val="nil"/>
                    <w:tr2bl w:val="nil"/>
                  </w:tcBorders>
                  <w:vAlign w:val="center"/>
                </w:tcPr>
                <w:p>
                  <w:pPr>
                    <w:spacing w:line="300" w:lineRule="exact"/>
                    <w:jc w:val="center"/>
                  </w:pPr>
                  <w:r>
                    <w:rPr>
                      <w:rFonts w:hint="eastAsia"/>
                    </w:rPr>
                    <w:t>%</w:t>
                  </w:r>
                </w:p>
              </w:tc>
              <w:tc>
                <w:tcPr>
                  <w:tcW w:w="1372" w:type="dxa"/>
                  <w:tcBorders>
                    <w:tl2br w:val="nil"/>
                    <w:tr2bl w:val="nil"/>
                  </w:tcBorders>
                  <w:vAlign w:val="center"/>
                </w:tcPr>
                <w:p>
                  <w:pPr>
                    <w:jc w:val="center"/>
                    <w:rPr>
                      <w:szCs w:val="21"/>
                    </w:rPr>
                  </w:pPr>
                  <w:r>
                    <w:rPr>
                      <w:rFonts w:hint="eastAsia"/>
                      <w:szCs w:val="21"/>
                    </w:rPr>
                    <w:t>3.42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7" w:type="dxa"/>
                  <w:tcBorders>
                    <w:tl2br w:val="nil"/>
                    <w:tr2bl w:val="nil"/>
                  </w:tcBorders>
                  <w:vAlign w:val="center"/>
                </w:tcPr>
                <w:p>
                  <w:pPr>
                    <w:adjustRightInd w:val="0"/>
                    <w:snapToGrid w:val="0"/>
                    <w:jc w:val="center"/>
                    <w:rPr>
                      <w:kern w:val="0"/>
                      <w:szCs w:val="21"/>
                    </w:rPr>
                  </w:pPr>
                  <w:r>
                    <w:rPr>
                      <w:kern w:val="0"/>
                      <w:szCs w:val="21"/>
                    </w:rPr>
                    <w:t>3</w:t>
                  </w:r>
                </w:p>
              </w:tc>
              <w:tc>
                <w:tcPr>
                  <w:tcW w:w="2992" w:type="dxa"/>
                  <w:gridSpan w:val="2"/>
                  <w:tcBorders>
                    <w:tl2br w:val="nil"/>
                    <w:tr2bl w:val="nil"/>
                  </w:tcBorders>
                  <w:vAlign w:val="center"/>
                </w:tcPr>
                <w:p>
                  <w:pPr>
                    <w:spacing w:line="300" w:lineRule="exact"/>
                    <w:jc w:val="center"/>
                  </w:pPr>
                  <w:r>
                    <w:rPr>
                      <w:rFonts w:hint="eastAsia"/>
                    </w:rPr>
                    <w:t>干基灰分</w:t>
                  </w:r>
                </w:p>
              </w:tc>
              <w:tc>
                <w:tcPr>
                  <w:tcW w:w="1501" w:type="dxa"/>
                  <w:tcBorders>
                    <w:tl2br w:val="nil"/>
                    <w:tr2bl w:val="nil"/>
                  </w:tcBorders>
                  <w:vAlign w:val="center"/>
                </w:tcPr>
                <w:p>
                  <w:pPr>
                    <w:spacing w:line="300" w:lineRule="exact"/>
                    <w:jc w:val="center"/>
                  </w:pPr>
                  <w:r>
                    <w:rPr>
                      <w:rFonts w:hint="eastAsia"/>
                    </w:rPr>
                    <w:t>A</w:t>
                  </w:r>
                  <w:r>
                    <w:rPr>
                      <w:rFonts w:hint="eastAsia"/>
                      <w:vertAlign w:val="subscript"/>
                    </w:rPr>
                    <w:t>d</w:t>
                  </w:r>
                </w:p>
              </w:tc>
              <w:tc>
                <w:tcPr>
                  <w:tcW w:w="1420" w:type="dxa"/>
                  <w:tcBorders>
                    <w:tl2br w:val="nil"/>
                    <w:tr2bl w:val="nil"/>
                  </w:tcBorders>
                  <w:vAlign w:val="center"/>
                </w:tcPr>
                <w:p>
                  <w:pPr>
                    <w:spacing w:line="300" w:lineRule="exact"/>
                    <w:jc w:val="center"/>
                  </w:pPr>
                  <w:r>
                    <w:rPr>
                      <w:rFonts w:hint="eastAsia"/>
                    </w:rPr>
                    <w:t>%</w:t>
                  </w:r>
                </w:p>
              </w:tc>
              <w:tc>
                <w:tcPr>
                  <w:tcW w:w="1372" w:type="dxa"/>
                  <w:tcBorders>
                    <w:tl2br w:val="nil"/>
                    <w:tr2bl w:val="nil"/>
                  </w:tcBorders>
                  <w:vAlign w:val="center"/>
                </w:tcPr>
                <w:p>
                  <w:pPr>
                    <w:jc w:val="center"/>
                    <w:rPr>
                      <w:szCs w:val="21"/>
                    </w:rPr>
                  </w:pPr>
                  <w:r>
                    <w:rPr>
                      <w:rFonts w:hint="eastAsia"/>
                      <w:szCs w:val="21"/>
                    </w:rPr>
                    <w:t>1.39</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7" w:type="dxa"/>
                  <w:tcBorders>
                    <w:tl2br w:val="nil"/>
                    <w:tr2bl w:val="nil"/>
                  </w:tcBorders>
                  <w:vAlign w:val="center"/>
                </w:tcPr>
                <w:p>
                  <w:pPr>
                    <w:adjustRightInd w:val="0"/>
                    <w:snapToGrid w:val="0"/>
                    <w:jc w:val="center"/>
                    <w:rPr>
                      <w:kern w:val="0"/>
                      <w:szCs w:val="21"/>
                    </w:rPr>
                  </w:pPr>
                  <w:r>
                    <w:rPr>
                      <w:kern w:val="0"/>
                      <w:szCs w:val="21"/>
                    </w:rPr>
                    <w:t>4</w:t>
                  </w:r>
                </w:p>
              </w:tc>
              <w:tc>
                <w:tcPr>
                  <w:tcW w:w="2992" w:type="dxa"/>
                  <w:gridSpan w:val="2"/>
                  <w:tcBorders>
                    <w:tl2br w:val="nil"/>
                    <w:tr2bl w:val="nil"/>
                  </w:tcBorders>
                  <w:vAlign w:val="center"/>
                </w:tcPr>
                <w:p>
                  <w:pPr>
                    <w:spacing w:line="300" w:lineRule="exact"/>
                    <w:jc w:val="center"/>
                  </w:pPr>
                  <w:r>
                    <w:rPr>
                      <w:rFonts w:hint="eastAsia"/>
                    </w:rPr>
                    <w:t>干基挥发分</w:t>
                  </w:r>
                </w:p>
              </w:tc>
              <w:tc>
                <w:tcPr>
                  <w:tcW w:w="1501" w:type="dxa"/>
                  <w:tcBorders>
                    <w:tl2br w:val="nil"/>
                    <w:tr2bl w:val="nil"/>
                  </w:tcBorders>
                  <w:vAlign w:val="center"/>
                </w:tcPr>
                <w:p>
                  <w:pPr>
                    <w:spacing w:line="300" w:lineRule="exact"/>
                    <w:jc w:val="center"/>
                  </w:pPr>
                  <w:r>
                    <w:rPr>
                      <w:rFonts w:hint="eastAsia"/>
                    </w:rPr>
                    <w:t>V</w:t>
                  </w:r>
                  <w:r>
                    <w:rPr>
                      <w:rFonts w:hint="eastAsia"/>
                      <w:vertAlign w:val="subscript"/>
                    </w:rPr>
                    <w:t>d</w:t>
                  </w:r>
                </w:p>
              </w:tc>
              <w:tc>
                <w:tcPr>
                  <w:tcW w:w="1420" w:type="dxa"/>
                  <w:tcBorders>
                    <w:tl2br w:val="nil"/>
                    <w:tr2bl w:val="nil"/>
                  </w:tcBorders>
                  <w:vAlign w:val="center"/>
                </w:tcPr>
                <w:p>
                  <w:pPr>
                    <w:spacing w:line="300" w:lineRule="exact"/>
                    <w:jc w:val="center"/>
                  </w:pPr>
                  <w:r>
                    <w:rPr>
                      <w:rFonts w:hint="eastAsia"/>
                    </w:rPr>
                    <w:t>%</w:t>
                  </w:r>
                </w:p>
              </w:tc>
              <w:tc>
                <w:tcPr>
                  <w:tcW w:w="1372" w:type="dxa"/>
                  <w:tcBorders>
                    <w:tl2br w:val="nil"/>
                    <w:tr2bl w:val="nil"/>
                  </w:tcBorders>
                  <w:vAlign w:val="center"/>
                </w:tcPr>
                <w:p>
                  <w:pPr>
                    <w:jc w:val="center"/>
                    <w:rPr>
                      <w:szCs w:val="21"/>
                    </w:rPr>
                  </w:pPr>
                  <w:r>
                    <w:rPr>
                      <w:rFonts w:hint="eastAsia"/>
                      <w:szCs w:val="21"/>
                    </w:rPr>
                    <w:t>84.52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7" w:type="dxa"/>
                  <w:tcBorders>
                    <w:tl2br w:val="nil"/>
                    <w:tr2bl w:val="nil"/>
                  </w:tcBorders>
                  <w:vAlign w:val="center"/>
                </w:tcPr>
                <w:p>
                  <w:pPr>
                    <w:adjustRightInd w:val="0"/>
                    <w:snapToGrid w:val="0"/>
                    <w:jc w:val="center"/>
                    <w:rPr>
                      <w:kern w:val="0"/>
                      <w:szCs w:val="21"/>
                    </w:rPr>
                  </w:pPr>
                  <w:r>
                    <w:rPr>
                      <w:kern w:val="0"/>
                      <w:szCs w:val="21"/>
                    </w:rPr>
                    <w:t>5</w:t>
                  </w:r>
                </w:p>
              </w:tc>
              <w:tc>
                <w:tcPr>
                  <w:tcW w:w="2992" w:type="dxa"/>
                  <w:gridSpan w:val="2"/>
                  <w:tcBorders>
                    <w:tl2br w:val="nil"/>
                    <w:tr2bl w:val="nil"/>
                  </w:tcBorders>
                  <w:vAlign w:val="center"/>
                </w:tcPr>
                <w:p>
                  <w:pPr>
                    <w:spacing w:line="300" w:lineRule="exact"/>
                    <w:jc w:val="center"/>
                  </w:pPr>
                  <w:r>
                    <w:rPr>
                      <w:rFonts w:hint="eastAsia"/>
                    </w:rPr>
                    <w:t>空气干燥基硫分</w:t>
                  </w:r>
                </w:p>
              </w:tc>
              <w:tc>
                <w:tcPr>
                  <w:tcW w:w="1501" w:type="dxa"/>
                  <w:tcBorders>
                    <w:tl2br w:val="nil"/>
                    <w:tr2bl w:val="nil"/>
                  </w:tcBorders>
                  <w:vAlign w:val="center"/>
                </w:tcPr>
                <w:p>
                  <w:pPr>
                    <w:spacing w:line="300" w:lineRule="exact"/>
                    <w:jc w:val="center"/>
                  </w:pPr>
                  <w:r>
                    <w:rPr>
                      <w:rFonts w:hint="eastAsia"/>
                    </w:rPr>
                    <w:t>S</w:t>
                  </w:r>
                  <w:r>
                    <w:rPr>
                      <w:rFonts w:hint="eastAsia"/>
                      <w:vertAlign w:val="subscript"/>
                    </w:rPr>
                    <w:t>t,ad</w:t>
                  </w:r>
                </w:p>
              </w:tc>
              <w:tc>
                <w:tcPr>
                  <w:tcW w:w="1420" w:type="dxa"/>
                  <w:tcBorders>
                    <w:tl2br w:val="nil"/>
                    <w:tr2bl w:val="nil"/>
                  </w:tcBorders>
                  <w:vAlign w:val="center"/>
                </w:tcPr>
                <w:p>
                  <w:pPr>
                    <w:spacing w:line="300" w:lineRule="exact"/>
                    <w:jc w:val="center"/>
                  </w:pPr>
                  <w:r>
                    <w:rPr>
                      <w:rFonts w:hint="eastAsia"/>
                    </w:rPr>
                    <w:t>%</w:t>
                  </w:r>
                </w:p>
              </w:tc>
              <w:tc>
                <w:tcPr>
                  <w:tcW w:w="1372" w:type="dxa"/>
                  <w:tcBorders>
                    <w:tl2br w:val="nil"/>
                    <w:tr2bl w:val="nil"/>
                  </w:tcBorders>
                  <w:vAlign w:val="center"/>
                </w:tcPr>
                <w:p>
                  <w:pPr>
                    <w:jc w:val="center"/>
                    <w:rPr>
                      <w:szCs w:val="21"/>
                    </w:rPr>
                  </w:pPr>
                  <w:r>
                    <w:rPr>
                      <w:rFonts w:hint="eastAsia"/>
                      <w:szCs w:val="21"/>
                    </w:rPr>
                    <w:t>0.01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7" w:type="dxa"/>
                  <w:tcBorders>
                    <w:tl2br w:val="nil"/>
                    <w:tr2bl w:val="nil"/>
                  </w:tcBorders>
                  <w:vAlign w:val="center"/>
                </w:tcPr>
                <w:p>
                  <w:pPr>
                    <w:adjustRightInd w:val="0"/>
                    <w:snapToGrid w:val="0"/>
                    <w:jc w:val="center"/>
                    <w:rPr>
                      <w:kern w:val="0"/>
                      <w:szCs w:val="21"/>
                    </w:rPr>
                  </w:pPr>
                  <w:r>
                    <w:rPr>
                      <w:kern w:val="0"/>
                      <w:szCs w:val="21"/>
                    </w:rPr>
                    <w:t>6</w:t>
                  </w:r>
                </w:p>
              </w:tc>
              <w:tc>
                <w:tcPr>
                  <w:tcW w:w="617" w:type="dxa"/>
                  <w:vMerge w:val="restart"/>
                  <w:tcBorders>
                    <w:tl2br w:val="nil"/>
                    <w:tr2bl w:val="nil"/>
                  </w:tcBorders>
                  <w:vAlign w:val="center"/>
                </w:tcPr>
                <w:p>
                  <w:pPr>
                    <w:spacing w:line="300" w:lineRule="exact"/>
                    <w:jc w:val="center"/>
                  </w:pPr>
                  <w:r>
                    <w:rPr>
                      <w:rFonts w:hint="eastAsia"/>
                    </w:rPr>
                    <w:t>发热值</w:t>
                  </w:r>
                </w:p>
              </w:tc>
              <w:tc>
                <w:tcPr>
                  <w:tcW w:w="2375" w:type="dxa"/>
                  <w:tcBorders>
                    <w:tl2br w:val="nil"/>
                    <w:tr2bl w:val="nil"/>
                  </w:tcBorders>
                  <w:vAlign w:val="center"/>
                </w:tcPr>
                <w:p>
                  <w:pPr>
                    <w:spacing w:line="300" w:lineRule="exact"/>
                    <w:jc w:val="center"/>
                  </w:pPr>
                  <w:r>
                    <w:rPr>
                      <w:rFonts w:hint="eastAsia"/>
                    </w:rPr>
                    <w:t>收到基低位发热量</w:t>
                  </w:r>
                </w:p>
              </w:tc>
              <w:tc>
                <w:tcPr>
                  <w:tcW w:w="1501" w:type="dxa"/>
                  <w:tcBorders>
                    <w:tl2br w:val="nil"/>
                    <w:tr2bl w:val="nil"/>
                  </w:tcBorders>
                  <w:vAlign w:val="center"/>
                </w:tcPr>
                <w:p>
                  <w:pPr>
                    <w:spacing w:line="300" w:lineRule="exact"/>
                    <w:jc w:val="center"/>
                  </w:pPr>
                  <w:r>
                    <w:t>Q</w:t>
                  </w:r>
                  <w:r>
                    <w:rPr>
                      <w:rFonts w:hint="eastAsia"/>
                      <w:vertAlign w:val="subscript"/>
                    </w:rPr>
                    <w:t>net,ar</w:t>
                  </w:r>
                </w:p>
              </w:tc>
              <w:tc>
                <w:tcPr>
                  <w:tcW w:w="1420" w:type="dxa"/>
                  <w:tcBorders>
                    <w:tl2br w:val="nil"/>
                    <w:tr2bl w:val="nil"/>
                  </w:tcBorders>
                  <w:vAlign w:val="center"/>
                </w:tcPr>
                <w:p>
                  <w:pPr>
                    <w:spacing w:line="300" w:lineRule="exact"/>
                    <w:jc w:val="center"/>
                  </w:pPr>
                  <w:r>
                    <w:rPr>
                      <w:rFonts w:hint="eastAsia"/>
                    </w:rPr>
                    <w:t>MJ/kg</w:t>
                  </w:r>
                </w:p>
              </w:tc>
              <w:tc>
                <w:tcPr>
                  <w:tcW w:w="1372" w:type="dxa"/>
                  <w:tcBorders>
                    <w:tl2br w:val="nil"/>
                    <w:tr2bl w:val="nil"/>
                  </w:tcBorders>
                  <w:vAlign w:val="center"/>
                </w:tcPr>
                <w:p>
                  <w:pPr>
                    <w:jc w:val="center"/>
                    <w:rPr>
                      <w:szCs w:val="21"/>
                    </w:rPr>
                  </w:pPr>
                  <w:r>
                    <w:rPr>
                      <w:rFonts w:hint="eastAsia"/>
                      <w:szCs w:val="21"/>
                    </w:rPr>
                    <w:t>17.59</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7" w:type="dxa"/>
                  <w:tcBorders>
                    <w:tl2br w:val="nil"/>
                    <w:tr2bl w:val="nil"/>
                  </w:tcBorders>
                  <w:vAlign w:val="center"/>
                </w:tcPr>
                <w:p>
                  <w:pPr>
                    <w:adjustRightInd w:val="0"/>
                    <w:snapToGrid w:val="0"/>
                    <w:jc w:val="center"/>
                    <w:rPr>
                      <w:kern w:val="0"/>
                      <w:szCs w:val="21"/>
                    </w:rPr>
                  </w:pPr>
                  <w:r>
                    <w:rPr>
                      <w:kern w:val="0"/>
                      <w:szCs w:val="21"/>
                    </w:rPr>
                    <w:t>7</w:t>
                  </w:r>
                </w:p>
              </w:tc>
              <w:tc>
                <w:tcPr>
                  <w:tcW w:w="617" w:type="dxa"/>
                  <w:vMerge w:val="continue"/>
                  <w:tcBorders>
                    <w:tl2br w:val="nil"/>
                    <w:tr2bl w:val="nil"/>
                  </w:tcBorders>
                  <w:vAlign w:val="center"/>
                </w:tcPr>
                <w:p>
                  <w:pPr>
                    <w:spacing w:line="300" w:lineRule="exact"/>
                    <w:jc w:val="center"/>
                  </w:pPr>
                </w:p>
              </w:tc>
              <w:tc>
                <w:tcPr>
                  <w:tcW w:w="2375" w:type="dxa"/>
                  <w:tcBorders>
                    <w:tl2br w:val="nil"/>
                    <w:tr2bl w:val="nil"/>
                  </w:tcBorders>
                  <w:vAlign w:val="center"/>
                </w:tcPr>
                <w:p>
                  <w:pPr>
                    <w:spacing w:line="300" w:lineRule="exact"/>
                    <w:jc w:val="center"/>
                  </w:pPr>
                  <w:r>
                    <w:rPr>
                      <w:rFonts w:hint="eastAsia"/>
                    </w:rPr>
                    <w:t>空干基高位发热量</w:t>
                  </w:r>
                </w:p>
              </w:tc>
              <w:tc>
                <w:tcPr>
                  <w:tcW w:w="1501" w:type="dxa"/>
                  <w:tcBorders>
                    <w:tl2br w:val="nil"/>
                    <w:tr2bl w:val="nil"/>
                  </w:tcBorders>
                  <w:vAlign w:val="center"/>
                </w:tcPr>
                <w:p>
                  <w:pPr>
                    <w:spacing w:line="300" w:lineRule="exact"/>
                    <w:jc w:val="center"/>
                  </w:pPr>
                  <w:r>
                    <w:rPr>
                      <w:rFonts w:hint="eastAsia"/>
                    </w:rPr>
                    <w:t>Q</w:t>
                  </w:r>
                  <w:r>
                    <w:rPr>
                      <w:rFonts w:hint="eastAsia"/>
                      <w:vertAlign w:val="subscript"/>
                    </w:rPr>
                    <w:t>gr,ad</w:t>
                  </w:r>
                </w:p>
              </w:tc>
              <w:tc>
                <w:tcPr>
                  <w:tcW w:w="1420" w:type="dxa"/>
                  <w:tcBorders>
                    <w:tl2br w:val="nil"/>
                    <w:tr2bl w:val="nil"/>
                  </w:tcBorders>
                  <w:vAlign w:val="center"/>
                </w:tcPr>
                <w:p>
                  <w:pPr>
                    <w:spacing w:line="300" w:lineRule="exact"/>
                    <w:jc w:val="center"/>
                  </w:pPr>
                  <w:r>
                    <w:rPr>
                      <w:rFonts w:hint="eastAsia"/>
                    </w:rPr>
                    <w:t>MJ/kg</w:t>
                  </w:r>
                </w:p>
              </w:tc>
              <w:tc>
                <w:tcPr>
                  <w:tcW w:w="1372" w:type="dxa"/>
                  <w:tcBorders>
                    <w:tl2br w:val="nil"/>
                    <w:tr2bl w:val="nil"/>
                  </w:tcBorders>
                  <w:vAlign w:val="center"/>
                </w:tcPr>
                <w:p>
                  <w:pPr>
                    <w:jc w:val="center"/>
                    <w:rPr>
                      <w:szCs w:val="21"/>
                    </w:rPr>
                  </w:pPr>
                  <w:r>
                    <w:rPr>
                      <w:rFonts w:hint="eastAsia"/>
                      <w:szCs w:val="21"/>
                    </w:rPr>
                    <w:t>19.59</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7" w:type="dxa"/>
                  <w:tcBorders>
                    <w:tl2br w:val="nil"/>
                    <w:tr2bl w:val="nil"/>
                  </w:tcBorders>
                  <w:vAlign w:val="center"/>
                </w:tcPr>
                <w:p>
                  <w:pPr>
                    <w:adjustRightInd w:val="0"/>
                    <w:snapToGrid w:val="0"/>
                    <w:jc w:val="center"/>
                    <w:rPr>
                      <w:kern w:val="0"/>
                      <w:szCs w:val="21"/>
                    </w:rPr>
                  </w:pPr>
                  <w:r>
                    <w:rPr>
                      <w:kern w:val="0"/>
                      <w:szCs w:val="21"/>
                    </w:rPr>
                    <w:t>8</w:t>
                  </w:r>
                </w:p>
              </w:tc>
              <w:tc>
                <w:tcPr>
                  <w:tcW w:w="617" w:type="dxa"/>
                  <w:vMerge w:val="continue"/>
                  <w:tcBorders>
                    <w:tl2br w:val="nil"/>
                    <w:tr2bl w:val="nil"/>
                  </w:tcBorders>
                  <w:vAlign w:val="center"/>
                </w:tcPr>
                <w:p>
                  <w:pPr>
                    <w:spacing w:line="300" w:lineRule="exact"/>
                    <w:jc w:val="center"/>
                  </w:pPr>
                </w:p>
              </w:tc>
              <w:tc>
                <w:tcPr>
                  <w:tcW w:w="2375" w:type="dxa"/>
                  <w:tcBorders>
                    <w:tl2br w:val="nil"/>
                    <w:tr2bl w:val="nil"/>
                  </w:tcBorders>
                  <w:vAlign w:val="center"/>
                </w:tcPr>
                <w:p>
                  <w:pPr>
                    <w:spacing w:line="300" w:lineRule="exact"/>
                    <w:jc w:val="center"/>
                  </w:pPr>
                  <w:r>
                    <w:rPr>
                      <w:rFonts w:hint="eastAsia"/>
                    </w:rPr>
                    <w:t>干基高位发热量</w:t>
                  </w:r>
                </w:p>
              </w:tc>
              <w:tc>
                <w:tcPr>
                  <w:tcW w:w="1501" w:type="dxa"/>
                  <w:tcBorders>
                    <w:tl2br w:val="nil"/>
                    <w:tr2bl w:val="nil"/>
                  </w:tcBorders>
                  <w:vAlign w:val="center"/>
                </w:tcPr>
                <w:p>
                  <w:pPr>
                    <w:spacing w:line="300" w:lineRule="exact"/>
                    <w:jc w:val="center"/>
                  </w:pPr>
                  <w:r>
                    <w:rPr>
                      <w:rFonts w:hint="eastAsia"/>
                    </w:rPr>
                    <w:t>Q</w:t>
                  </w:r>
                  <w:r>
                    <w:rPr>
                      <w:rFonts w:hint="eastAsia"/>
                      <w:vertAlign w:val="subscript"/>
                    </w:rPr>
                    <w:t>gr,d</w:t>
                  </w:r>
                </w:p>
              </w:tc>
              <w:tc>
                <w:tcPr>
                  <w:tcW w:w="1420" w:type="dxa"/>
                  <w:tcBorders>
                    <w:tl2br w:val="nil"/>
                    <w:tr2bl w:val="nil"/>
                  </w:tcBorders>
                  <w:vAlign w:val="center"/>
                </w:tcPr>
                <w:p>
                  <w:pPr>
                    <w:spacing w:line="300" w:lineRule="exact"/>
                    <w:jc w:val="center"/>
                  </w:pPr>
                  <w:r>
                    <w:rPr>
                      <w:rFonts w:hint="eastAsia"/>
                    </w:rPr>
                    <w:t>MJ/kg</w:t>
                  </w:r>
                </w:p>
              </w:tc>
              <w:tc>
                <w:tcPr>
                  <w:tcW w:w="1372" w:type="dxa"/>
                  <w:tcBorders>
                    <w:tl2br w:val="nil"/>
                    <w:tr2bl w:val="nil"/>
                  </w:tcBorders>
                  <w:vAlign w:val="center"/>
                </w:tcPr>
                <w:p>
                  <w:pPr>
                    <w:jc w:val="center"/>
                    <w:rPr>
                      <w:szCs w:val="21"/>
                    </w:rPr>
                  </w:pPr>
                  <w:r>
                    <w:rPr>
                      <w:rFonts w:hint="eastAsia"/>
                      <w:szCs w:val="21"/>
                    </w:rPr>
                    <w:t>20.28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7" w:type="dxa"/>
                  <w:tcBorders>
                    <w:tl2br w:val="nil"/>
                    <w:tr2bl w:val="nil"/>
                  </w:tcBorders>
                  <w:vAlign w:val="center"/>
                </w:tcPr>
                <w:p>
                  <w:pPr>
                    <w:adjustRightInd w:val="0"/>
                    <w:snapToGrid w:val="0"/>
                    <w:jc w:val="center"/>
                    <w:rPr>
                      <w:kern w:val="0"/>
                      <w:szCs w:val="21"/>
                    </w:rPr>
                  </w:pPr>
                  <w:r>
                    <w:rPr>
                      <w:kern w:val="0"/>
                      <w:szCs w:val="21"/>
                    </w:rPr>
                    <w:t>9</w:t>
                  </w:r>
                </w:p>
              </w:tc>
              <w:tc>
                <w:tcPr>
                  <w:tcW w:w="2992" w:type="dxa"/>
                  <w:gridSpan w:val="2"/>
                  <w:tcBorders>
                    <w:tl2br w:val="nil"/>
                    <w:tr2bl w:val="nil"/>
                  </w:tcBorders>
                  <w:vAlign w:val="center"/>
                </w:tcPr>
                <w:p>
                  <w:pPr>
                    <w:spacing w:line="300" w:lineRule="exact"/>
                    <w:jc w:val="center"/>
                  </w:pPr>
                  <w:r>
                    <w:rPr>
                      <w:rFonts w:hint="eastAsia"/>
                    </w:rPr>
                    <w:t>固定碳</w:t>
                  </w:r>
                </w:p>
              </w:tc>
              <w:tc>
                <w:tcPr>
                  <w:tcW w:w="1501" w:type="dxa"/>
                  <w:tcBorders>
                    <w:tl2br w:val="nil"/>
                    <w:tr2bl w:val="nil"/>
                  </w:tcBorders>
                  <w:vAlign w:val="center"/>
                </w:tcPr>
                <w:p>
                  <w:pPr>
                    <w:spacing w:line="300" w:lineRule="exact"/>
                    <w:jc w:val="center"/>
                  </w:pPr>
                  <w:r>
                    <w:rPr>
                      <w:rFonts w:hint="eastAsia"/>
                    </w:rPr>
                    <w:t>FC</w:t>
                  </w:r>
                  <w:r>
                    <w:rPr>
                      <w:rFonts w:hint="eastAsia"/>
                      <w:vertAlign w:val="subscript"/>
                    </w:rPr>
                    <w:t>ad</w:t>
                  </w:r>
                </w:p>
              </w:tc>
              <w:tc>
                <w:tcPr>
                  <w:tcW w:w="1420" w:type="dxa"/>
                  <w:tcBorders>
                    <w:tl2br w:val="nil"/>
                    <w:tr2bl w:val="nil"/>
                  </w:tcBorders>
                  <w:vAlign w:val="center"/>
                </w:tcPr>
                <w:p>
                  <w:pPr>
                    <w:spacing w:line="300" w:lineRule="exact"/>
                    <w:jc w:val="center"/>
                  </w:pPr>
                  <w:r>
                    <w:rPr>
                      <w:rFonts w:hint="eastAsia"/>
                    </w:rPr>
                    <w:t>%</w:t>
                  </w:r>
                </w:p>
              </w:tc>
              <w:tc>
                <w:tcPr>
                  <w:tcW w:w="1372" w:type="dxa"/>
                  <w:tcBorders>
                    <w:tl2br w:val="nil"/>
                    <w:tr2bl w:val="nil"/>
                  </w:tcBorders>
                  <w:vAlign w:val="center"/>
                </w:tcPr>
                <w:p>
                  <w:pPr>
                    <w:jc w:val="center"/>
                    <w:rPr>
                      <w:szCs w:val="21"/>
                    </w:rPr>
                  </w:pPr>
                  <w:r>
                    <w:rPr>
                      <w:rFonts w:hint="eastAsia"/>
                      <w:szCs w:val="21"/>
                    </w:rPr>
                    <w:t>13.61</w:t>
                  </w:r>
                </w:p>
              </w:tc>
            </w:tr>
          </w:tbl>
          <w:p>
            <w:pPr>
              <w:adjustRightInd w:val="0"/>
              <w:snapToGrid w:val="0"/>
              <w:ind w:firstLine="422" w:firstLineChars="200"/>
              <w:rPr>
                <w:b/>
                <w:szCs w:val="21"/>
              </w:rPr>
            </w:pPr>
            <w:r>
              <w:rPr>
                <w:rFonts w:hint="eastAsia"/>
                <w:b/>
                <w:szCs w:val="21"/>
              </w:rPr>
              <w:t>注：根据生物质燃料成分分析表可知，生物质燃料主要由碳、硫等元素组成，不含汞及其化合物。</w:t>
            </w:r>
          </w:p>
          <w:p>
            <w:pPr>
              <w:adjustRightInd w:val="0"/>
              <w:snapToGrid w:val="0"/>
              <w:spacing w:beforeLines="50" w:line="360" w:lineRule="auto"/>
              <w:ind w:firstLine="480" w:firstLineChars="200"/>
              <w:rPr>
                <w:bCs/>
                <w:sz w:val="24"/>
                <w:u w:val="single"/>
              </w:rPr>
            </w:pPr>
            <w:r>
              <w:rPr>
                <w:rFonts w:hint="eastAsia"/>
                <w:bCs/>
                <w:sz w:val="24"/>
                <w:u w:val="single"/>
              </w:rPr>
              <w:t>企业冬季不生产，故无需供暖。生物质锅炉为企业生产养护工序提供热源。根据建设单位提供，现有1台1t/h生物质锅炉年生物质燃料消耗量约为300t，年运行200d，日运行8h。拟改造为1台2.5t/h生物质锅炉，改造后总用热负荷不变，年运行天数仍为200d。经核算，为满足厂区现有用热负荷，锅炉日均运行时间约为3.5h。</w:t>
            </w:r>
          </w:p>
          <w:p>
            <w:pPr>
              <w:adjustRightInd w:val="0"/>
              <w:snapToGrid w:val="0"/>
              <w:spacing w:line="360" w:lineRule="auto"/>
              <w:ind w:firstLine="480" w:firstLineChars="200"/>
              <w:rPr>
                <w:bCs/>
                <w:sz w:val="24"/>
                <w:u w:val="single"/>
              </w:rPr>
            </w:pPr>
            <w:r>
              <w:rPr>
                <w:rFonts w:hint="eastAsia"/>
                <w:bCs/>
                <w:sz w:val="24"/>
                <w:u w:val="single"/>
              </w:rPr>
              <w:t>本项目</w:t>
            </w:r>
            <w:r>
              <w:rPr>
                <w:bCs/>
                <w:sz w:val="24"/>
                <w:u w:val="single"/>
              </w:rPr>
              <w:t>锅炉满负荷运行热量为：2.5t/h×600000kcal/t×</w:t>
            </w:r>
            <w:r>
              <w:rPr>
                <w:rFonts w:hint="eastAsia"/>
                <w:bCs/>
                <w:sz w:val="24"/>
                <w:u w:val="single"/>
              </w:rPr>
              <w:t>7</w:t>
            </w:r>
            <w:r>
              <w:rPr>
                <w:bCs/>
                <w:sz w:val="24"/>
                <w:u w:val="single"/>
              </w:rPr>
              <w:t>00h=</w:t>
            </w:r>
            <w:r>
              <w:rPr>
                <w:rFonts w:hint="eastAsia"/>
                <w:bCs/>
                <w:sz w:val="24"/>
                <w:u w:val="single"/>
              </w:rPr>
              <w:t>1.05</w:t>
            </w:r>
            <w:r>
              <w:rPr>
                <w:bCs/>
                <w:sz w:val="24"/>
                <w:u w:val="single"/>
              </w:rPr>
              <w:t>×10</w:t>
            </w:r>
            <w:r>
              <w:rPr>
                <w:bCs/>
                <w:sz w:val="24"/>
                <w:u w:val="single"/>
                <w:vertAlign w:val="superscript"/>
              </w:rPr>
              <w:t>9</w:t>
            </w:r>
            <w:r>
              <w:rPr>
                <w:bCs/>
                <w:sz w:val="24"/>
                <w:u w:val="single"/>
              </w:rPr>
              <w:t>kcal。</w:t>
            </w:r>
          </w:p>
          <w:p>
            <w:pPr>
              <w:adjustRightInd w:val="0"/>
              <w:snapToGrid w:val="0"/>
              <w:spacing w:line="360" w:lineRule="auto"/>
              <w:ind w:firstLine="480" w:firstLineChars="200"/>
              <w:rPr>
                <w:bCs/>
                <w:sz w:val="24"/>
                <w:u w:val="single"/>
              </w:rPr>
            </w:pPr>
            <w:r>
              <w:rPr>
                <w:rFonts w:hint="eastAsia"/>
                <w:bCs/>
                <w:sz w:val="24"/>
                <w:u w:val="single"/>
              </w:rPr>
              <w:t>本项目使用生物质燃料收到基低位发热量为17.59MJ/kg（约4204</w:t>
            </w:r>
            <w:r>
              <w:rPr>
                <w:bCs/>
                <w:sz w:val="24"/>
                <w:u w:val="single"/>
              </w:rPr>
              <w:t>kcal/kg</w:t>
            </w:r>
            <w:r>
              <w:rPr>
                <w:rFonts w:hint="eastAsia"/>
                <w:bCs/>
                <w:sz w:val="24"/>
                <w:u w:val="single"/>
              </w:rPr>
              <w:t>）。根据《生物质锅炉技术规范》（GB/T44906-2024）中“表3锅炉热效率限定值”燃料收到基低位发热</w:t>
            </w:r>
            <w:r>
              <w:rPr>
                <w:bCs/>
                <w:sz w:val="24"/>
                <w:u w:val="single"/>
              </w:rPr>
              <w:t>量8374KJ/kg≤Q</w:t>
            </w:r>
            <w:r>
              <w:rPr>
                <w:bCs/>
                <w:sz w:val="24"/>
                <w:u w:val="single"/>
                <w:vertAlign w:val="subscript"/>
              </w:rPr>
              <w:t>net.v.ar</w:t>
            </w:r>
            <w:r>
              <w:rPr>
                <w:bCs/>
                <w:sz w:val="24"/>
                <w:u w:val="single"/>
              </w:rPr>
              <w:t>≤18000KJ/kg、燃料干燥无灰基挥发分V</w:t>
            </w:r>
            <w:r>
              <w:rPr>
                <w:bCs/>
                <w:sz w:val="24"/>
                <w:u w:val="single"/>
                <w:vertAlign w:val="subscript"/>
              </w:rPr>
              <w:t>daf</w:t>
            </w:r>
            <w:r>
              <w:rPr>
                <w:bCs/>
                <w:sz w:val="24"/>
                <w:u w:val="single"/>
              </w:rPr>
              <w:t>＞67%时，</w:t>
            </w:r>
            <w:r>
              <w:rPr>
                <w:rFonts w:hint="eastAsia"/>
                <w:bCs/>
                <w:sz w:val="24"/>
                <w:u w:val="single"/>
              </w:rPr>
              <w:t>锅炉额定工况下的热效率限定值为83%。本项目燃料发热量及挥发分均满足上述条件，锅炉按最大热负荷计算，则生物质燃料消耗量为：1.05</w:t>
            </w:r>
            <w:r>
              <w:rPr>
                <w:bCs/>
                <w:sz w:val="24"/>
                <w:u w:val="single"/>
              </w:rPr>
              <w:t>×10</w:t>
            </w:r>
            <w:r>
              <w:rPr>
                <w:bCs/>
                <w:sz w:val="24"/>
                <w:u w:val="single"/>
                <w:vertAlign w:val="superscript"/>
              </w:rPr>
              <w:t>9</w:t>
            </w:r>
            <w:r>
              <w:rPr>
                <w:bCs/>
                <w:sz w:val="24"/>
                <w:u w:val="single"/>
              </w:rPr>
              <w:t>kcal÷4</w:t>
            </w:r>
            <w:r>
              <w:rPr>
                <w:rFonts w:hint="eastAsia"/>
                <w:bCs/>
                <w:sz w:val="24"/>
                <w:u w:val="single"/>
              </w:rPr>
              <w:t>204</w:t>
            </w:r>
            <w:r>
              <w:rPr>
                <w:bCs/>
                <w:sz w:val="24"/>
                <w:u w:val="single"/>
              </w:rPr>
              <w:t>kcal/kg÷83%×10</w:t>
            </w:r>
            <w:r>
              <w:rPr>
                <w:bCs/>
                <w:sz w:val="24"/>
                <w:u w:val="single"/>
                <w:vertAlign w:val="superscript"/>
              </w:rPr>
              <w:t>-3</w:t>
            </w:r>
            <w:r>
              <w:rPr>
                <w:bCs/>
                <w:sz w:val="24"/>
                <w:u w:val="single"/>
              </w:rPr>
              <w:t>≈</w:t>
            </w:r>
            <w:r>
              <w:rPr>
                <w:rFonts w:hint="eastAsia"/>
                <w:bCs/>
                <w:sz w:val="24"/>
                <w:u w:val="single"/>
              </w:rPr>
              <w:t>300</w:t>
            </w:r>
            <w:r>
              <w:rPr>
                <w:bCs/>
                <w:sz w:val="24"/>
                <w:u w:val="single"/>
              </w:rPr>
              <w:t>t/a。</w:t>
            </w:r>
          </w:p>
          <w:p>
            <w:pPr>
              <w:adjustRightInd w:val="0"/>
              <w:snapToGrid w:val="0"/>
              <w:spacing w:line="360" w:lineRule="auto"/>
              <w:ind w:firstLine="422" w:firstLineChars="200"/>
              <w:rPr>
                <w:b/>
                <w:sz w:val="24"/>
              </w:rPr>
            </w:pPr>
            <w:r>
              <w:rPr>
                <w:rFonts w:hint="eastAsia"/>
                <w:b/>
                <w:szCs w:val="21"/>
              </w:rPr>
              <w:t>6</w:t>
            </w:r>
            <w:r>
              <w:rPr>
                <w:b/>
                <w:sz w:val="24"/>
              </w:rPr>
              <w:t>、公用工程</w:t>
            </w:r>
          </w:p>
          <w:p>
            <w:pPr>
              <w:adjustRightInd w:val="0"/>
              <w:snapToGrid w:val="0"/>
              <w:spacing w:line="360" w:lineRule="auto"/>
              <w:ind w:firstLine="480" w:firstLineChars="200"/>
              <w:rPr>
                <w:bCs/>
                <w:sz w:val="24"/>
              </w:rPr>
            </w:pPr>
            <w:r>
              <w:rPr>
                <w:rFonts w:hint="eastAsia"/>
                <w:bCs/>
                <w:sz w:val="24"/>
              </w:rPr>
              <w:t>（1）</w:t>
            </w:r>
            <w:r>
              <w:rPr>
                <w:bCs/>
                <w:sz w:val="24"/>
              </w:rPr>
              <w:t>给排水</w:t>
            </w:r>
          </w:p>
          <w:p>
            <w:pPr>
              <w:adjustRightInd w:val="0"/>
              <w:snapToGrid w:val="0"/>
              <w:spacing w:line="360" w:lineRule="auto"/>
              <w:ind w:firstLine="480" w:firstLineChars="200"/>
              <w:rPr>
                <w:bCs/>
                <w:sz w:val="24"/>
                <w:lang w:val="zh-CN"/>
              </w:rPr>
            </w:pPr>
            <w:r>
              <w:rPr>
                <w:bCs/>
                <w:sz w:val="24"/>
                <w:lang w:val="zh-CN"/>
              </w:rPr>
              <w:t>①给水</w:t>
            </w:r>
          </w:p>
          <w:p>
            <w:pPr>
              <w:adjustRightInd w:val="0"/>
              <w:snapToGrid w:val="0"/>
              <w:spacing w:line="360" w:lineRule="auto"/>
              <w:ind w:firstLine="480" w:firstLineChars="200"/>
              <w:rPr>
                <w:bCs/>
                <w:sz w:val="24"/>
                <w:u w:val="single"/>
              </w:rPr>
            </w:pPr>
            <w:r>
              <w:rPr>
                <w:bCs/>
                <w:sz w:val="24"/>
                <w:u w:val="single"/>
                <w:lang w:val="zh-CN"/>
              </w:rPr>
              <w:t>本项目不新增员工，员工均由企业内部进行调配，故无新增生活用水</w:t>
            </w:r>
            <w:r>
              <w:rPr>
                <w:rFonts w:hint="eastAsia"/>
                <w:bCs/>
                <w:sz w:val="24"/>
                <w:u w:val="single"/>
                <w:lang w:val="zh-CN"/>
              </w:rPr>
              <w:t>；</w:t>
            </w:r>
            <w:r>
              <w:rPr>
                <w:rFonts w:hint="eastAsia"/>
                <w:bCs/>
                <w:sz w:val="24"/>
                <w:u w:val="single"/>
              </w:rPr>
              <w:t>本</w:t>
            </w:r>
            <w:r>
              <w:rPr>
                <w:rFonts w:hint="eastAsia"/>
                <w:bCs/>
                <w:sz w:val="24"/>
                <w:u w:val="single"/>
                <w:lang w:val="zh-CN"/>
              </w:rPr>
              <w:t>项目用水主要为锅炉</w:t>
            </w:r>
            <w:r>
              <w:rPr>
                <w:rFonts w:hint="eastAsia"/>
                <w:bCs/>
                <w:sz w:val="24"/>
                <w:u w:val="single"/>
              </w:rPr>
              <w:t>用</w:t>
            </w:r>
            <w:r>
              <w:rPr>
                <w:rFonts w:hint="eastAsia"/>
                <w:bCs/>
                <w:sz w:val="24"/>
                <w:u w:val="single"/>
                <w:lang w:val="zh-CN"/>
              </w:rPr>
              <w:t>水，</w:t>
            </w:r>
            <w:r>
              <w:rPr>
                <w:rFonts w:hint="eastAsia"/>
                <w:bCs/>
                <w:sz w:val="24"/>
                <w:u w:val="single"/>
              </w:rPr>
              <w:t>根据企业提供资料，项目建设1台2.5t/h生物质锅炉（年运行200d，3.5h/d），生物质锅炉补水量为8.75t/d（1750t/a），锅炉排污水量为补水量为10%，即锅炉排污水量为0.88t/d（175t/a），锅炉产蒸汽量为7.87t/d（1575t/a）用于水泥制品养护，其中10%蒸汽冷凝后回用于生产，20%蒸汽进入水泥制品内，70%蒸汽蒸发到环境中。</w:t>
            </w:r>
          </w:p>
          <w:p>
            <w:pPr>
              <w:adjustRightInd w:val="0"/>
              <w:snapToGrid w:val="0"/>
              <w:spacing w:line="360" w:lineRule="auto"/>
              <w:ind w:firstLine="480" w:firstLineChars="200"/>
              <w:rPr>
                <w:bCs/>
                <w:sz w:val="24"/>
                <w:u w:val="single"/>
              </w:rPr>
            </w:pPr>
            <w:r>
              <w:rPr>
                <w:rFonts w:hint="eastAsia"/>
                <w:bCs/>
                <w:sz w:val="24"/>
                <w:u w:val="single"/>
              </w:rPr>
              <w:t>由于锅炉用水需要软化处理，有处理水量的3%的软化废水产生，因此锅炉新鲜用水量为9.02t/d（1804t/a），项目用水由厂区现有深水井供给，能够满足项目用水需要。</w:t>
            </w:r>
          </w:p>
          <w:p>
            <w:pPr>
              <w:adjustRightInd w:val="0"/>
              <w:snapToGrid w:val="0"/>
              <w:spacing w:line="360" w:lineRule="auto"/>
              <w:ind w:firstLine="480" w:firstLineChars="200"/>
              <w:rPr>
                <w:bCs/>
                <w:sz w:val="24"/>
                <w:lang w:val="zh-CN"/>
              </w:rPr>
            </w:pPr>
            <w:r>
              <w:rPr>
                <w:rFonts w:hint="eastAsia"/>
                <w:bCs/>
                <w:sz w:val="24"/>
                <w:lang w:val="zh-CN"/>
              </w:rPr>
              <w:t>②排水</w:t>
            </w:r>
          </w:p>
          <w:p>
            <w:pPr>
              <w:adjustRightInd w:val="0"/>
              <w:snapToGrid w:val="0"/>
              <w:spacing w:line="360" w:lineRule="auto"/>
              <w:ind w:firstLine="480" w:firstLineChars="200"/>
              <w:rPr>
                <w:bCs/>
                <w:sz w:val="24"/>
                <w:u w:val="single"/>
              </w:rPr>
            </w:pPr>
            <w:r>
              <w:rPr>
                <w:rFonts w:hint="eastAsia"/>
                <w:bCs/>
                <w:sz w:val="24"/>
                <w:u w:val="single"/>
              </w:rPr>
              <w:t>本项目不新增员工，员工均由企业内部进行调配，故无新增生活污水产生；</w:t>
            </w:r>
            <w:r>
              <w:rPr>
                <w:rFonts w:hint="eastAsia"/>
                <w:bCs/>
                <w:sz w:val="24"/>
                <w:u w:val="single"/>
                <w:lang w:val="zh-CN"/>
              </w:rPr>
              <w:t>项目</w:t>
            </w:r>
            <w:r>
              <w:rPr>
                <w:rFonts w:hint="eastAsia"/>
                <w:bCs/>
                <w:sz w:val="24"/>
                <w:u w:val="single"/>
              </w:rPr>
              <w:t>废水主要为锅炉排污水、软化处理废水及蒸汽冷凝水，其中锅炉排污水产生量为0.88t/d（175t/a），软化处理废水产生量为0.27t/d（54t/a），蒸汽冷凝水产生量为0.79t/d（157.5t/a），部分用于浇渣降尘，剩余部分全部回用于生产，均不外排。</w:t>
            </w:r>
          </w:p>
          <w:p>
            <w:pPr>
              <w:adjustRightInd w:val="0"/>
              <w:snapToGrid w:val="0"/>
              <w:spacing w:line="360" w:lineRule="auto"/>
              <w:ind w:firstLine="480" w:firstLineChars="200"/>
              <w:rPr>
                <w:bCs/>
                <w:sz w:val="24"/>
                <w:u w:val="single"/>
              </w:rPr>
            </w:pPr>
            <w:r>
              <w:rPr>
                <w:rFonts w:hint="eastAsia"/>
                <w:bCs/>
                <w:sz w:val="24"/>
                <w:u w:val="single"/>
              </w:rPr>
              <w:t>项目锅炉灰渣产生量约为19.48t/a，灰渣加湿控制含水率15-20%，按照20%含水率计算，则浇渣用水量约为4.87t/a。锅炉排污水及软化处理废水中4.87t/a用于浇渣降尘，剩余废水及蒸汽冷凝水全部回用于生产，不外排。</w:t>
            </w:r>
          </w:p>
          <w:p>
            <w:pPr>
              <w:adjustRightInd w:val="0"/>
              <w:snapToGrid w:val="0"/>
              <w:spacing w:line="360" w:lineRule="auto"/>
              <w:ind w:firstLine="480" w:firstLineChars="200"/>
              <w:rPr>
                <w:bCs/>
                <w:sz w:val="24"/>
                <w:u w:val="single"/>
              </w:rPr>
            </w:pPr>
            <w:r>
              <w:rPr>
                <w:rFonts w:hint="eastAsia"/>
                <w:bCs/>
                <w:sz w:val="24"/>
                <w:u w:val="single"/>
              </w:rPr>
              <w:t>本项目给排水平衡详见下图。</w:t>
            </w:r>
          </w:p>
          <w:p>
            <w:pPr>
              <w:spacing w:line="360" w:lineRule="auto"/>
              <w:ind w:firstLine="420"/>
              <w:jc w:val="center"/>
              <w:rPr>
                <w:bCs/>
                <w:sz w:val="24"/>
              </w:rPr>
            </w:pPr>
            <w:r>
              <w:rPr>
                <w:rFonts w:ascii="Times New Roman" w:hAnsi="Times New Roman" w:eastAsia="宋体" w:cs="Times New Roman"/>
                <w:kern w:val="2"/>
                <w:sz w:val="21"/>
                <w:szCs w:val="24"/>
                <w:lang w:val="en-US" w:eastAsia="zh-CN" w:bidi="ar-SA"/>
              </w:rPr>
              <w:pict>
                <v:group id="组合 1025" o:spid="_x0000_s1026" o:spt="203" style="height:143.4pt;width:386.3pt;" coordorigin="3132,262559" coordsize="7726,2868">
                  <o:lock v:ext="edit" position="f" selection="f" grouping="f" rotation="f" cropping="f" text="f" aspectratio="f"/>
                  <v:rect id="_x0000_s1027" o:spid="_x0000_s1027" o:spt="1" style="position:absolute;left:5575;top:264989;height:424;width:1416;" fillcolor="#FFFFFF" filled="f" o:preferrelative="t" stroked="f" coordsize="21600,21600">
                    <v:path/>
                    <v:fill on="f" color2="#FFFFFF" focussize="0,0"/>
                    <v:stroke on="f"/>
                    <v:imagedata gain="65536f" blacklevel="0f" gamma="0" o:title=""/>
                    <o:lock v:ext="edit" position="f" selection="f" grouping="f" rotation="f" cropping="f" text="f" aspectratio="f"/>
                    <v:textbox>
                      <w:txbxContent>
                        <w:p>
                          <w:pPr>
                            <w:jc w:val="center"/>
                          </w:pPr>
                          <w:r>
                            <w:rPr>
                              <w:rFonts w:hint="eastAsia"/>
                            </w:rPr>
                            <w:t>浇渣降尘</w:t>
                          </w:r>
                        </w:p>
                      </w:txbxContent>
                    </v:textbox>
                  </v:rect>
                  <v:group id="组合 1027" o:spid="_x0000_s1028" o:spt="203" style="position:absolute;left:3132;top:262559;height:2868;width:7726;" coordorigin="3132,262559" coordsize="7726,2869">
                    <o:lock v:ext="edit" position="f" selection="f" grouping="f" rotation="f" cropping="f" text="f" aspectratio="f"/>
                    <v:group id="组合 1028" o:spid="_x0000_s1029" o:spt="203" style="position:absolute;left:3132;top:262559;height:2869;width:7726;" coordorigin="3132,262544" coordsize="7726,2869">
                      <o:lock v:ext="edit" position="f" selection="f" grouping="f" rotation="f" cropping="f" text="f" aspectratio="f"/>
                      <v:group id="组合 1029" o:spid="_x0000_s1030" o:spt="203" style="position:absolute;left:3132;top:262544;height:2869;width:7726;" coordorigin="3132,262958" coordsize="7726,2869">
                        <o:lock v:ext="edit" position="f" selection="f" grouping="f" rotation="f" cropping="f" text="f" aspectratio="f"/>
                        <v:group id="组合 1030" o:spid="_x0000_s1031" o:spt="203" style="position:absolute;left:3132;top:262958;height:2869;width:7091;" coordorigin="2759,122864" coordsize="7091,2869">
                          <o:lock v:ext="edit" position="f" selection="f" grouping="f" rotation="f" cropping="f" text="f" aspectratio="f"/>
                          <v:shape id="_x0000_s1032" o:spid="_x0000_s1032" o:spt="75" type="#_x0000_t75" style="position:absolute;left:8521;top:123194;flip:y;height:393;width:210;" o:ole="t" fillcolor="#FFFFFF" filled="f" o:preferrelative="t" stroked="t" coordsize="21600,21600">
                            <v:path arrowok="t"/>
                            <v:fill on="f" color2="#FFFFFF" focussize="0,0"/>
                            <v:stroke color="#000000" color2="#FFFFFF" miterlimit="2" dashstyle="dash" endarrow="block"/>
                            <v:imagedata gain="65536f" blacklevel="0f" gamma="0" o:title=""/>
                            <o:lock v:ext="edit" position="f" selection="f" grouping="f" rotation="f" cropping="f" text="f" aspectratio="f"/>
                          </v:shape>
                          <v:shape id="_x0000_s1033" o:spid="_x0000_s1033" o:spt="75" type="#_x0000_t75" style="position:absolute;left:3367;top:123441;height:396;width:896;" o:ole="t" fillcolor="#FFFFFF" filled="f" o:preferrelative="t" stroked="f" coordsize="21600,21600">
                            <v:path/>
                            <v:fill on="f" color2="#FFFFFF" focussize="0,0"/>
                            <v:stroke on="f"/>
                            <v:imagedata gain="65536f" blacklevel="0f" gamma="0" o:title=""/>
                            <o:lock v:ext="edit" position="f" selection="f" grouping="f" rotation="f" cropping="f" text="f" aspectratio="f"/>
                            <v:textbox>
                              <w:txbxContent>
                                <w:p>
                                  <w:pPr>
                                    <w:jc w:val="center"/>
                                  </w:pPr>
                                  <w:r>
                                    <w:rPr>
                                      <w:rFonts w:hint="eastAsia"/>
                                    </w:rPr>
                                    <w:t>1804</w:t>
                                  </w:r>
                                </w:p>
                              </w:txbxContent>
                            </v:textbox>
                          </v:shape>
                          <v:shape id="_x0000_s1034" o:spid="_x0000_s1034" o:spt="75" type="#_x0000_t75" style="position:absolute;left:2759;top:123610;height:423;width:936;" o:ole="t" fillcolor="#FFFFFF" filled="f" o:preferrelative="t" stroked="f" coordsize="21600,21600">
                            <v:path/>
                            <v:fill on="f" color2="#FFFFFF" focussize="0,0"/>
                            <v:stroke on="f"/>
                            <v:imagedata gain="65536f" blacklevel="0f" gamma="0" o:title=""/>
                            <o:lock v:ext="edit" position="f" selection="f" grouping="f" rotation="f" cropping="f" text="f" aspectratio="f"/>
                            <v:textbox>
                              <w:txbxContent>
                                <w:p>
                                  <w:r>
                                    <w:rPr>
                                      <w:rFonts w:hint="eastAsia"/>
                                    </w:rPr>
                                    <w:t>新鲜水</w:t>
                                  </w:r>
                                </w:p>
                              </w:txbxContent>
                            </v:textbox>
                          </v:shape>
                          <v:shape id="_x0000_s1035" o:spid="_x0000_s1035" o:spt="75" type="#_x0000_t75" style="position:absolute;left:4121;top:123615;height:450;width:1566;" o:ole="t" fillcolor="#FFFFFF" filled="t" o:preferrelative="t" stroked="t" coordsize="21600,21600">
                            <v:path/>
                            <v:fill on="t" focussize="0,0"/>
                            <v:stroke color="#000000" color2="#FFFFFF" miterlimit="2"/>
                            <v:imagedata gain="65536f" blacklevel="0f" gamma="0" o:title=""/>
                            <o:lock v:ext="edit" position="f" selection="f" grouping="f" rotation="f" cropping="f" text="f" aspectratio="f"/>
                            <v:textbox>
                              <w:txbxContent>
                                <w:p>
                                  <w:pPr>
                                    <w:jc w:val="center"/>
                                  </w:pPr>
                                  <w:r>
                                    <w:rPr>
                                      <w:rFonts w:hint="eastAsia"/>
                                    </w:rPr>
                                    <w:t>软化系统用水</w:t>
                                  </w:r>
                                </w:p>
                              </w:txbxContent>
                            </v:textbox>
                          </v:shape>
                          <v:shape id="_x0000_s1036" o:spid="_x0000_s1036" o:spt="75" type="#_x0000_t75" style="position:absolute;left:5704;top:123808;height:3;width:581;" o:ole="t" fillcolor="#FFFFFF" filled="f" o:preferrelative="t" stroked="t" coordsize="21600,21600">
                            <v:path arrowok="t"/>
                            <v:fill on="f" color2="#FFFFFF" focussize="0,0"/>
                            <v:stroke color="#000000" color2="#FFFFFF" miterlimit="2" endarrow="block"/>
                            <v:imagedata gain="65536f" blacklevel="0f" gamma="0" o:title=""/>
                            <o:lock v:ext="edit" position="f" selection="f" grouping="f" rotation="f" cropping="f" text="f" aspectratio="f"/>
                          </v:shape>
                          <v:shape id="_x0000_s1037" o:spid="_x0000_s1037" o:spt="75" type="#_x0000_t75" style="position:absolute;left:5542;top:123456;height:449;width:790;" o:ole="t" fillcolor="#FFFFFF" filled="f" o:preferrelative="t" stroked="f" coordsize="21600,21600">
                            <v:path/>
                            <v:fill on="f" color2="#FFFFFF" focussize="0,0"/>
                            <v:stroke on="f"/>
                            <v:imagedata gain="65536f" blacklevel="0f" gamma="0" o:title=""/>
                            <o:lock v:ext="edit" position="f" selection="f" grouping="f" rotation="f" cropping="f" text="f" aspectratio="f"/>
                            <v:textbox>
                              <w:txbxContent>
                                <w:p>
                                  <w:pPr>
                                    <w:jc w:val="center"/>
                                  </w:pPr>
                                  <w:r>
                                    <w:rPr>
                                      <w:rFonts w:hint="eastAsia"/>
                                    </w:rPr>
                                    <w:t>1750</w:t>
                                  </w:r>
                                </w:p>
                              </w:txbxContent>
                            </v:textbox>
                          </v:shape>
                          <v:shape id="_x0000_s1038" o:spid="_x0000_s1038" o:spt="75" type="#_x0000_t75" style="position:absolute;left:4879;top:124156;height:447;width:713;" o:ole="t" fillcolor="#FFFFFF" filled="f" o:preferrelative="t" stroked="f" coordsize="21600,21600">
                            <v:path/>
                            <v:fill on="f" color2="#FFFFFF" focussize="0,0"/>
                            <v:stroke on="f"/>
                            <v:imagedata gain="65536f" blacklevel="0f" gamma="0" o:title=""/>
                            <o:lock v:ext="edit" position="f" selection="f" grouping="f" rotation="f" cropping="f" text="f" aspectratio="f"/>
                            <v:textbox>
                              <w:txbxContent>
                                <w:p>
                                  <w:r>
                                    <w:rPr>
                                      <w:rFonts w:hint="eastAsia"/>
                                    </w:rPr>
                                    <w:t>54</w:t>
                                  </w:r>
                                </w:p>
                              </w:txbxContent>
                            </v:textbox>
                          </v:shape>
                          <v:shape id="_x0000_s1039" o:spid="_x0000_s1039" o:spt="75" type="#_x0000_t75" style="position:absolute;left:6280;top:123602;height:464;width:1165;" o:ole="t" fillcolor="#FFFFFF" filled="t" o:preferrelative="t" stroked="t" coordsize="21600,21600">
                            <v:path/>
                            <v:fill on="t" focussize="0,0"/>
                            <v:stroke color="#000000" color2="#FFFFFF" miterlimit="2"/>
                            <v:imagedata gain="65536f" blacklevel="0f" gamma="0" o:title=""/>
                            <o:lock v:ext="edit" position="f" selection="f" grouping="f" rotation="f" cropping="f" text="f" aspectratio="f"/>
                            <v:textbox>
                              <w:txbxContent>
                                <w:p>
                                  <w:pPr>
                                    <w:jc w:val="center"/>
                                  </w:pPr>
                                  <w:r>
                                    <w:rPr>
                                      <w:rFonts w:hint="eastAsia"/>
                                    </w:rPr>
                                    <w:t>锅炉补水</w:t>
                                  </w:r>
                                </w:p>
                              </w:txbxContent>
                            </v:textbox>
                          </v:shape>
                          <v:shape id="_x0000_s1040" o:spid="_x0000_s1040" o:spt="75" type="#_x0000_t75" style="position:absolute;left:5722;top:123246;flip:y;height:2881;width:1244;rotation:17694719f;" o:ole="t" fillcolor="#FFFFFF" filled="t" o:preferrelative="t" stroked="t" coordsize="21600,21600" adj="10791">
                            <v:path arrowok="t"/>
                            <v:fill on="t" focussize="0,0"/>
                            <v:stroke color="#000000" color2="#FFFFFF" miterlimit="2" endarrow="block"/>
                            <v:imagedata gain="65536f" blacklevel="0f" gamma="0" o:title=""/>
                            <o:lock v:ext="edit" position="f" selection="f" grouping="f" rotation="f" cropping="f" text="f" aspectratio="f"/>
                          </v:shape>
                          <v:shape id="_x0000_s1041" o:spid="_x0000_s1041" o:spt="75" type="#_x0000_t75" style="position:absolute;left:7077;top:125309;height:424;width:1416;" o:ole="t" fillcolor="#FFFFFF" filled="f" o:preferrelative="t" stroked="f" coordsize="21600,21600">
                            <v:path/>
                            <v:fill on="f" color2="#FFFFFF" focussize="0,0"/>
                            <v:stroke on="f"/>
                            <v:imagedata gain="65536f" blacklevel="0f" gamma="0" o:title=""/>
                            <o:lock v:ext="edit" position="f" selection="f" grouping="f" rotation="f" cropping="f" text="f" aspectratio="f"/>
                            <v:textbox>
                              <w:txbxContent>
                                <w:p>
                                  <w:pPr>
                                    <w:jc w:val="center"/>
                                  </w:pPr>
                                  <w:r>
                                    <w:rPr>
                                      <w:rFonts w:hint="eastAsia"/>
                                    </w:rPr>
                                    <w:t>回用于生产</w:t>
                                  </w:r>
                                </w:p>
                              </w:txbxContent>
                            </v:textbox>
                          </v:shape>
                          <v:rect id="_x0000_s1042" o:spid="_x0000_s1042" o:spt="1" style="position:absolute;left:9222;top:123468;height:375;width:628;" fillcolor="#FFFFFF" filled="f" o:preferrelative="t" stroked="f" coordsize="21600,21600">
                            <v:path/>
                            <v:fill on="f" color2="#FFFFFF" focussize="0,0"/>
                            <v:stroke on="f"/>
                            <v:imagedata gain="65536f" blacklevel="0f" gamma="0" o:title=""/>
                            <o:lock v:ext="edit" position="f" selection="f" grouping="f" rotation="f" cropping="f" text="f" aspectratio="f"/>
                            <v:textbox>
                              <w:txbxContent>
                                <w:p>
                                  <w:r>
                                    <w:rPr>
                                      <w:rFonts w:hint="eastAsia"/>
                                    </w:rPr>
                                    <w:t>315</w:t>
                                  </w:r>
                                </w:p>
                              </w:txbxContent>
                            </v:textbox>
                          </v:rect>
                          <v:line id="_x0000_s1043" o:spid="_x0000_s1043" o:spt="20" style="position:absolute;left:7458;top:123812;flip:y;height:3;width:532;" fillcolor="#FFFFFF" filled="f" o:preferrelative="t" stroked="t" coordsize="21600,21600">
                            <v:path arrowok="t"/>
                            <v:fill on="f" color2="#FFFFFF" focussize="0,0"/>
                            <v:stroke color="#000000" color2="#FFFFFF" miterlimit="2" endarrow="block"/>
                            <v:imagedata gain="65536f" blacklevel="0f" gamma="0" o:title=""/>
                            <o:lock v:ext="edit" position="f" selection="f" grouping="f" rotation="f" cropping="f" text="f" aspectratio="f"/>
                          </v:line>
                          <v:shape id="_x0000_s1044" o:spid="_x0000_s1044" o:spt="202" type="#_x0000_t202" style="position:absolute;left:7838;top:122864;height:421;width:1837;" fillcolor="#FFFFFF" filled="f" o:preferrelative="t" stroked="f" coordsize="21600,21600">
                            <v:path/>
                            <v:fill on="f" color2="#FFFFFF" focussize="0,0"/>
                            <v:stroke on="f"/>
                            <v:imagedata gain="65536f" blacklevel="0f" gamma="0" o:title=""/>
                            <o:lock v:ext="edit" position="f" selection="f" grouping="f" rotation="f" cropping="f" text="f" aspectratio="f"/>
                            <v:textbox>
                              <w:txbxContent>
                                <w:p>
                                  <w:pPr>
                                    <w:jc w:val="center"/>
                                  </w:pPr>
                                  <w:r>
                                    <w:rPr>
                                      <w:rFonts w:hint="eastAsia"/>
                                    </w:rPr>
                                    <w:t>蒸发1102.5</w:t>
                                  </w:r>
                                </w:p>
                              </w:txbxContent>
                            </v:textbox>
                          </v:shape>
                          <v:rect id="_x0000_s1045" o:spid="_x0000_s1045" o:spt="1" style="position:absolute;left:7354;top:123488;height:447;width:713;" fillcolor="#FFFFFF" filled="f" o:preferrelative="t" stroked="f" coordsize="21600,21600">
                            <v:path/>
                            <v:fill on="f" color2="#FFFFFF" focussize="0,0"/>
                            <v:stroke on="f"/>
                            <v:imagedata gain="65536f" blacklevel="0f" gamma="0" o:title=""/>
                            <o:lock v:ext="edit" position="f" selection="f" grouping="f" rotation="f" cropping="f" text="f" aspectratio="f"/>
                            <v:textbox>
                              <w:txbxContent>
                                <w:p>
                                  <w:r>
                                    <w:rPr>
                                      <w:rFonts w:hint="eastAsia"/>
                                    </w:rPr>
                                    <w:t>1575</w:t>
                                  </w:r>
                                </w:p>
                              </w:txbxContent>
                            </v:textbox>
                          </v:rect>
                          <v:line id="_x0000_s1046" o:spid="_x0000_s1046" o:spt="20" style="position:absolute;left:3611;top:123789;flip:y;height:1;width:516;" fillcolor="#FFFFFF" filled="f" o:preferrelative="t" stroked="t" coordsize="21600,21600">
                            <v:path arrowok="t"/>
                            <v:fill on="f" color2="#FFFFFF" focussize="0,0"/>
                            <v:stroke color="#000000" color2="#FFFFFF" miterlimit="2" endarrow="block"/>
                            <v:imagedata gain="65536f" blacklevel="0f" gamma="0" o:title=""/>
                            <o:lock v:ext="edit" position="f" selection="f" grouping="f" rotation="f" cropping="f" text="f" aspectratio="f"/>
                          </v:line>
                          <v:line id="_x0000_s1047" o:spid="_x0000_s1047" o:spt="20" style="position:absolute;left:9336;top:123842;height:13;width:407;" fillcolor="#FFFFFF" filled="f" o:preferrelative="t" stroked="t" coordsize="21600,21600">
                            <v:path arrowok="t"/>
                            <v:fill on="f" color2="#FFFFFF" focussize="0,0"/>
                            <v:stroke color="#000000" color2="#FFFFFF" miterlimit="2" endarrow="block"/>
                            <v:imagedata gain="65536f" blacklevel="0f" gamma="0" o:title=""/>
                            <o:lock v:ext="edit" position="f" selection="f" grouping="f" rotation="f" cropping="f" text="f" aspectratio="f"/>
                          </v:line>
                          <v:rect id="_x0000_s1048" o:spid="_x0000_s1048" o:spt="1" style="position:absolute;left:6824;top:124180;height:347;width:680;" fillcolor="#FFFFFF" filled="f" o:preferrelative="t" stroked="f" coordsize="21600,21600">
                            <v:path/>
                            <v:fill on="f" color2="#FFFFFF" focussize="0,0"/>
                            <v:stroke on="f"/>
                            <v:imagedata gain="65536f" blacklevel="0f" gamma="0" o:title=""/>
                            <o:lock v:ext="edit" position="f" selection="f" grouping="f" rotation="f" cropping="f" text="f" aspectratio="f"/>
                            <v:textbox>
                              <w:txbxContent>
                                <w:p>
                                  <w:r>
                                    <w:rPr>
                                      <w:rFonts w:hint="eastAsia"/>
                                    </w:rPr>
                                    <w:t>175</w:t>
                                  </w:r>
                                </w:p>
                              </w:txbxContent>
                            </v:textbox>
                          </v:rect>
                        </v:group>
                        <v:shape id="_x0000_s1049" o:spid="_x0000_s1049" o:spt="202" type="#_x0000_t202" style="position:absolute;left:8348;top:263711;height:450;width:1361;" fillcolor="#FFFFFF" filled="t" o:preferrelative="t" stroked="t" coordsize="21600,21600">
                          <v:path/>
                          <v:fill on="t" focussize="0,0"/>
                          <v:stroke color="#000000" color2="#FFFFFF" miterlimit="2"/>
                          <v:imagedata gain="65536f" blacklevel="0f" gamma="0" o:title=""/>
                          <o:lock v:ext="edit" position="f" selection="f" grouping="f" rotation="f" cropping="f" text="f" aspectratio="f"/>
                          <v:textbox>
                            <w:txbxContent>
                              <w:p>
                                <w:pPr>
                                  <w:jc w:val="center"/>
                                </w:pPr>
                                <w:r>
                                  <w:rPr>
                                    <w:rFonts w:hint="eastAsia"/>
                                  </w:rPr>
                                  <w:t>养护用蒸汽</w:t>
                                </w:r>
                              </w:p>
                            </w:txbxContent>
                          </v:textbox>
                        </v:shape>
                        <v:shape id="_x0000_s1050" o:spid="_x0000_s1050" o:spt="202" type="#_x0000_t202" style="position:absolute;left:10116;top:263723;height:452;width:742;" fillcolor="#FFFFFF" filled="f" o:preferrelative="t" stroked="f" coordsize="21600,21600">
                          <v:path/>
                          <v:fill on="f" color2="#FFFFFF" focussize="0,0"/>
                          <v:stroke on="f"/>
                          <v:imagedata gain="65536f" blacklevel="0f" gamma="0" o:title=""/>
                          <o:lock v:ext="edit" position="f" selection="f" grouping="f" rotation="f" cropping="f" text="f" aspectratio="f"/>
                          <v:textbox>
                            <w:txbxContent>
                              <w:p>
                                <w:pPr>
                                  <w:jc w:val="center"/>
                                </w:pPr>
                                <w:r>
                                  <w:rPr>
                                    <w:rFonts w:hint="eastAsia"/>
                                  </w:rPr>
                                  <w:t>产品</w:t>
                                </w:r>
                              </w:p>
                            </w:txbxContent>
                          </v:textbox>
                        </v:shape>
                      </v:group>
                      <v:shape id="_x0000_s1051" o:spid="_x0000_s1051" o:spt="34" type="#_x0000_t34" style="position:absolute;left:7075;top:263906;flip:y;height:922;width:1243;rotation:17694719f;" fillcolor="#FFFFFF" filled="t" o:preferrelative="t" stroked="t" coordsize="21600,21600" adj="10800">
                        <v:path arrowok="t"/>
                        <v:fill on="t" focussize="0,0"/>
                        <v:stroke color="#000000" color2="#FFFFFF" miterlimit="2" endarrow="block"/>
                        <v:imagedata gain="65536f" blacklevel="0f" gamma="0" o:title=""/>
                        <o:lock v:ext="edit" position="f" selection="f" grouping="f" rotation="f" cropping="f" text="f" aspectratio="f"/>
                      </v:shape>
                      <v:shape id="_x0000_s1052" o:spid="_x0000_s1052" o:spt="34" type="#_x0000_t34" style="position:absolute;left:7972;top:263932;height:871;width:1242;rotation:5898240f;" fillcolor="#FFFFFF" filled="t" o:preferrelative="t" stroked="t" coordsize="21600,21600" adj="10791">
                        <v:path arrowok="t"/>
                        <v:fill on="t" focussize="0,0"/>
                        <v:stroke color="#000000" color2="#FFFFFF" miterlimit="2" endarrow="block"/>
                        <v:imagedata gain="65536f" blacklevel="0f" gamma="0" o:title=""/>
                        <o:lock v:ext="edit" position="f" selection="f" grouping="f" rotation="f" cropping="f" text="f" aspectratio="f"/>
                      </v:shape>
                    </v:group>
                    <v:rect id="_x0000_s1053" o:spid="_x0000_s1053" o:spt="1" style="position:absolute;left:8877;top:263725;height:720;width:1144;" fillcolor="#FFFFFF" filled="f" o:preferrelative="t" stroked="f" coordsize="21600,21600">
                      <v:path/>
                      <v:fill on="f" color2="#FFFFFF" focussize="0,0"/>
                      <v:stroke on="f"/>
                      <v:imagedata gain="65536f" blacklevel="0f" gamma="0" o:title=""/>
                      <o:lock v:ext="edit" position="f" selection="f" grouping="f" rotation="f" cropping="f" text="f" aspectratio="f"/>
                      <v:textbox>
                        <w:txbxContent>
                          <w:p>
                            <w:pPr>
                              <w:jc w:val="center"/>
                            </w:pPr>
                            <w:r>
                              <w:rPr>
                                <w:rFonts w:hint="eastAsia"/>
                              </w:rPr>
                              <w:t>冷凝水157.5</w:t>
                            </w:r>
                          </w:p>
                        </w:txbxContent>
                      </v:textbox>
                    </v:rect>
                    <v:shape id="_x0000_s1054" o:spid="_x0000_s1054" o:spt="34" type="#_x0000_t34" style="position:absolute;left:5165;top:263871;flip:y;height:1006;width:1229;rotation:17694719f;" fillcolor="#FFFFFF" filled="t" o:preferrelative="t" stroked="t" coordsize="21600,21600" adj="10800">
                      <v:path arrowok="t"/>
                      <v:fill on="t" focussize="0,0"/>
                      <v:stroke color="#000000" color2="#FFFFFF" miterlimit="2" endarrow="block"/>
                      <v:imagedata gain="65536f" blacklevel="0f" gamma="0" o:title=""/>
                      <o:lock v:ext="edit" position="f" selection="f" grouping="f" rotation="f" cropping="f" text="f" aspectratio="f"/>
                    </v:shape>
                    <v:rect id="_x0000_s1055" o:spid="_x0000_s1055" o:spt="1" style="position:absolute;left:5522;top:264421;height:447;width:713;" fillcolor="#FFFFFF" filled="f" o:preferrelative="t" stroked="f" coordsize="21600,21600">
                      <v:path/>
                      <v:fill on="f" color2="#FFFFFF" focussize="0,0"/>
                      <v:stroke on="f"/>
                      <v:imagedata gain="65536f" blacklevel="0f" gamma="0" o:title=""/>
                      <o:lock v:ext="edit" position="f" selection="f" grouping="f" rotation="f" cropping="f" text="f" aspectratio="f"/>
                      <v:textbox>
                        <w:txbxContent>
                          <w:p>
                            <w:r>
                              <w:rPr>
                                <w:rFonts w:hint="eastAsia"/>
                              </w:rPr>
                              <w:t>4.87</w:t>
                            </w:r>
                          </w:p>
                        </w:txbxContent>
                      </v:textbox>
                    </v:rect>
                    <v:rect id="_x0000_s1056" o:spid="_x0000_s1056" o:spt="1" style="position:absolute;left:7278;top:264451;height:447;width:937;" fillcolor="#FFFFFF" filled="f" o:preferrelative="t" stroked="f" coordsize="21600,21600">
                      <v:path/>
                      <v:fill on="f" color2="#FFFFFF" focussize="0,0"/>
                      <v:stroke on="f"/>
                      <v:imagedata gain="65536f" blacklevel="0f" gamma="0" o:title=""/>
                      <o:lock v:ext="edit" position="f" selection="f" grouping="f" rotation="f" cropping="f" text="f" aspectratio="f"/>
                      <v:textbox>
                        <w:txbxContent>
                          <w:p>
                            <w:r>
                              <w:rPr>
                                <w:rFonts w:hint="eastAsia"/>
                              </w:rPr>
                              <w:t>381.63</w:t>
                            </w:r>
                          </w:p>
                        </w:txbxContent>
                      </v:textbox>
                    </v:rect>
                  </v:group>
                  <w10:wrap type="none"/>
                  <w10:anchorlock/>
                </v:group>
                <o:OLEObject Type="Embed" ProgID="" ShapeID="_x0000_s1032" DrawAspect="Content" ObjectID="_1468075725" r:id="rId6">
                  <o:LockedField>false</o:LockedField>
                </o:OLEObject>
                <o:OLEObject Type="Embed" ProgID="" ShapeID="_x0000_s1033" DrawAspect="Content" ObjectID="_1468075726" r:id="rId7">
                  <o:LockedField>false</o:LockedField>
                </o:OLEObject>
                <o:OLEObject Type="Embed" ProgID="" ShapeID="_x0000_s1034" DrawAspect="Content" ObjectID="_1468075727" r:id="rId8">
                  <o:LockedField>false</o:LockedField>
                </o:OLEObject>
                <o:OLEObject Type="Embed" ProgID="" ShapeID="_x0000_s1035" DrawAspect="Content" ObjectID="_1468075728" r:id="rId9">
                  <o:LockedField>false</o:LockedField>
                </o:OLEObject>
                <o:OLEObject Type="Embed" ProgID="" ShapeID="_x0000_s1036" DrawAspect="Content" ObjectID="_1468075729" r:id="rId10">
                  <o:LockedField>false</o:LockedField>
                </o:OLEObject>
                <o:OLEObject Type="Embed" ProgID="" ShapeID="_x0000_s1037" DrawAspect="Content" ObjectID="_1468075730" r:id="rId11">
                  <o:LockedField>false</o:LockedField>
                </o:OLEObject>
                <o:OLEObject Type="Embed" ProgID="" ShapeID="_x0000_s1038" DrawAspect="Content" ObjectID="_1468075731" r:id="rId12">
                  <o:LockedField>false</o:LockedField>
                </o:OLEObject>
                <o:OLEObject Type="Embed" ProgID="" ShapeID="_x0000_s1039" DrawAspect="Content" ObjectID="_1468075732" r:id="rId13">
                  <o:LockedField>false</o:LockedField>
                </o:OLEObject>
                <o:OLEObject Type="Embed" ProgID="" ShapeID="_x0000_s1040" DrawAspect="Content" ObjectID="_1468075733" r:id="rId14">
                  <o:LockedField>false</o:LockedField>
                </o:OLEObject>
                <o:OLEObject Type="Embed" ProgID="" ShapeID="_x0000_s1041" DrawAspect="Content" ObjectID="_1468075734" r:id="rId15">
                  <o:LockedField>false</o:LockedField>
                </o:OLEObject>
              </w:pict>
            </w:r>
          </w:p>
          <w:p>
            <w:pPr>
              <w:ind w:firstLine="482"/>
              <w:jc w:val="center"/>
              <w:rPr>
                <w:b/>
                <w:szCs w:val="21"/>
                <w:u w:val="single"/>
              </w:rPr>
            </w:pPr>
            <w:r>
              <w:rPr>
                <w:b/>
                <w:szCs w:val="21"/>
                <w:u w:val="single"/>
              </w:rPr>
              <w:t>图1   本项目给排水平衡图    单位</w:t>
            </w:r>
            <w:r>
              <w:rPr>
                <w:rFonts w:hint="eastAsia"/>
                <w:b/>
                <w:szCs w:val="21"/>
                <w:u w:val="single"/>
              </w:rPr>
              <w:t>：t</w:t>
            </w:r>
            <w:r>
              <w:rPr>
                <w:b/>
                <w:szCs w:val="21"/>
                <w:u w:val="single"/>
              </w:rPr>
              <w:t>/</w:t>
            </w:r>
            <w:r>
              <w:rPr>
                <w:rFonts w:hint="eastAsia"/>
                <w:b/>
                <w:szCs w:val="21"/>
                <w:u w:val="single"/>
              </w:rPr>
              <w:t>a</w:t>
            </w:r>
          </w:p>
          <w:p>
            <w:pPr>
              <w:ind w:firstLine="420" w:firstLineChars="200"/>
              <w:rPr>
                <w:bCs/>
                <w:szCs w:val="21"/>
                <w:u w:val="single"/>
              </w:rPr>
            </w:pPr>
          </w:p>
          <w:p>
            <w:pPr>
              <w:adjustRightInd w:val="0"/>
              <w:snapToGrid w:val="0"/>
              <w:spacing w:line="360" w:lineRule="auto"/>
              <w:ind w:firstLine="480" w:firstLineChars="200"/>
              <w:rPr>
                <w:bCs/>
                <w:sz w:val="24"/>
              </w:rPr>
            </w:pPr>
            <w:r>
              <w:rPr>
                <w:rFonts w:hint="eastAsia"/>
                <w:bCs/>
                <w:sz w:val="24"/>
              </w:rPr>
              <w:t>项目建成后全厂给排水平衡详见下图。</w:t>
            </w:r>
          </w:p>
          <w:p>
            <w:pPr>
              <w:spacing w:line="360" w:lineRule="auto"/>
              <w:ind w:firstLine="420"/>
              <w:jc w:val="center"/>
              <w:rPr>
                <w:bCs/>
                <w:sz w:val="24"/>
              </w:rPr>
            </w:pPr>
            <w:r>
              <w:rPr>
                <w:rFonts w:ascii="Times New Roman" w:hAnsi="Times New Roman" w:eastAsia="宋体" w:cs="Times New Roman"/>
                <w:kern w:val="2"/>
                <w:sz w:val="21"/>
                <w:szCs w:val="24"/>
                <w:lang w:val="en-US" w:eastAsia="zh-CN" w:bidi="ar-SA"/>
              </w:rPr>
              <w:pict>
                <v:group id="组合 1056" o:spid="_x0000_s1057" o:spt="203" style="height:248.3pt;width:387pt;" coordorigin="2864,261053" coordsize="7741,4966">
                  <o:lock v:ext="edit" position="f" selection="f" grouping="f" rotation="f" cropping="f" text="f" aspectratio="f"/>
                  <v:group id="组合 1057" o:spid="_x0000_s1058" o:spt="203" style="position:absolute;left:2864;top:261053;height:4966;width:7741;" coordorigin="2864,261053" coordsize="7741,4966">
                    <o:lock v:ext="edit" position="f" selection="f" grouping="f" rotation="f" cropping="f" text="f" aspectratio="f"/>
                    <v:group id="组合 1058" o:spid="_x0000_s1059" o:spt="203" style="position:absolute;left:2864;top:261053;height:4966;width:7741;" coordorigin="2864,261053" coordsize="7741,4966">
                      <o:lock v:ext="edit" position="f" selection="f" grouping="f" rotation="f" cropping="f" text="f" aspectratio="f"/>
                      <v:group id="组合 1059" o:spid="_x0000_s1060" o:spt="203" style="position:absolute;left:2864;top:261053;height:4966;width:7741;" coordorigin="2864,259812" coordsize="7741,4966">
                        <o:lock v:ext="edit" position="f" selection="f" grouping="f" rotation="f" cropping="f" text="f" aspectratio="f"/>
                        <v:group id="组合 1060" o:spid="_x0000_s1061" o:spt="203" style="position:absolute;left:2864;top:259812;height:4966;width:7741;" coordorigin="3149,262116" coordsize="7741,4966">
                          <o:lock v:ext="edit" position="f" selection="f" grouping="f" rotation="f" cropping="f" text="f" aspectratio="f"/>
                          <v:group id="组合 1061" o:spid="_x0000_s1062" o:spt="203" style="position:absolute;left:3149;top:262116;height:4856;width:7741;" coordorigin="3149,261186" coordsize="7741,4856">
                            <o:lock v:ext="edit" position="f" selection="f" grouping="f" rotation="f" cropping="f" text="f" aspectratio="f"/>
                            <v:rect id="矩形 2" o:spid="_x0000_s1063" o:spt="1" style="position:absolute;left:4822;top:265184;height:375;width:896;" fillcolor="#FFFFFF" filled="f" o:preferrelative="t" stroked="f" coordsize="21600,21600">
                              <v:path/>
                              <v:fill on="f" color2="#FFFFFF" focussize="0,0"/>
                              <v:stroke on="f"/>
                              <v:imagedata gain="65536f" blacklevel="0f" gamma="0" o:title=""/>
                              <o:lock v:ext="edit" position="f" selection="f" grouping="f" rotation="f" cropping="f" text="f" aspectratio="f"/>
                              <v:textbox>
                                <w:txbxContent>
                                  <w:p>
                                    <w:pPr>
                                      <w:jc w:val="center"/>
                                    </w:pPr>
                                    <w:r>
                                      <w:rPr>
                                        <w:rFonts w:hint="eastAsia"/>
                                      </w:rPr>
                                      <w:t>63</w:t>
                                    </w:r>
                                  </w:p>
                                </w:txbxContent>
                              </v:textbox>
                            </v:rect>
                            <v:group id="组合 1063" o:spid="_x0000_s1064" o:spt="203" style="position:absolute;left:3149;top:261186;height:4856;width:7741;" coordorigin="3149,261186" coordsize="7741,4856">
                              <o:lock v:ext="edit" position="f" selection="f" grouping="f" rotation="f" cropping="f" text="f" aspectratio="f"/>
                              <v:group id="组合 1064" o:spid="_x0000_s1065" o:spt="203" style="position:absolute;left:3149;top:261186;height:4856;width:7741;" coordorigin="3134,260888" coordsize="7741,4856">
                                <o:lock v:ext="edit" position="f" selection="f" grouping="f" rotation="f" cropping="f" text="f" aspectratio="f"/>
                                <v:group id="组合 1065" o:spid="_x0000_s1066" o:spt="203" style="position:absolute;left:3134;top:260888;height:3284;width:7741;" coordorigin="3117,262559" coordsize="7741,3284">
                                  <o:lock v:ext="edit" position="f" selection="f" grouping="f" rotation="f" cropping="f" text="f" aspectratio="f"/>
                                  <v:rect id="矩形 76" o:spid="_x0000_s1067" o:spt="1" style="position:absolute;left:7360;top:265019;height:424;width:1416;" fillcolor="#FFFFFF" filled="f" o:preferrelative="t" stroked="f" coordsize="21600,21600">
                                    <v:path/>
                                    <v:fill on="f" color2="#FFFFFF" focussize="0,0"/>
                                    <v:stroke on="f"/>
                                    <v:imagedata gain="65536f" blacklevel="0f" gamma="0" o:title=""/>
                                    <o:lock v:ext="edit" position="f" selection="f" grouping="f" rotation="f" cropping="f" text="f" aspectratio="f"/>
                                    <v:textbox>
                                      <w:txbxContent>
                                        <w:p>
                                          <w:pPr>
                                            <w:jc w:val="center"/>
                                          </w:pPr>
                                          <w:r>
                                            <w:rPr>
                                              <w:rFonts w:hint="eastAsia"/>
                                            </w:rPr>
                                            <w:t>浇渣降尘</w:t>
                                          </w:r>
                                        </w:p>
                                      </w:txbxContent>
                                    </v:textbox>
                                  </v:rect>
                                  <v:group id="组合 1067" o:spid="_x0000_s1068" o:spt="203" style="position:absolute;left:3117;top:262559;height:3284;width:7741;" coordorigin="3117,262559" coordsize="7741,3284">
                                    <o:lock v:ext="edit" position="f" selection="f" grouping="f" rotation="f" cropping="f" text="f" aspectratio="f"/>
                                    <v:group id="组合 1068" o:spid="_x0000_s1069" o:spt="203" style="position:absolute;left:3117;top:262559;height:3284;width:7741;" coordorigin="3117,262544" coordsize="7741,3284">
                                      <o:lock v:ext="edit" position="f" selection="f" grouping="f" rotation="f" cropping="f" text="f" aspectratio="f"/>
                                      <v:group id="组合 1069" o:spid="_x0000_s1070" o:spt="203" style="position:absolute;left:3117;top:262544;height:3284;width:7741;" coordorigin="3117,262958" coordsize="7741,3284">
                                        <o:lock v:ext="edit" position="f" selection="f" grouping="f" rotation="f" cropping="f" text="f" aspectratio="f"/>
                                        <v:group id="组合 1070" o:spid="_x0000_s1071" o:spt="203" style="position:absolute;left:3117;top:262958;height:3284;width:7106;" coordorigin="2744,122864" coordsize="7106,3284">
                                          <o:lock v:ext="edit" position="f" selection="f" grouping="f" rotation="f" cropping="f" text="f" aspectratio="f"/>
                                          <v:line id="直接连接符 1" o:spid="_x0000_s1072" o:spt="20" style="position:absolute;left:8521;top:123194;flip:y;height:393;width:210;" fillcolor="#FFFFFF" filled="f" o:preferrelative="t" stroked="t" coordsize="21600,21600">
                                            <v:path arrowok="t"/>
                                            <v:fill on="f" color2="#FFFFFF" focussize="0,0"/>
                                            <v:stroke color="#000000" color2="#FFFFFF" miterlimit="2" dashstyle="dash" endarrow="block"/>
                                            <v:imagedata gain="65536f" blacklevel="0f" gamma="0" o:title=""/>
                                            <o:lock v:ext="edit" position="f" selection="f" grouping="f" rotation="f" cropping="f" text="f" aspectratio="f"/>
                                          </v:line>
                                          <v:rect id="矩形 2" o:spid="_x0000_s1073" o:spt="1" style="position:absolute;left:3697;top:124581;height:396;width:896;" fillcolor="#FFFFFF" filled="f" o:preferrelative="t" stroked="f" coordsize="21600,21600">
                                            <v:path/>
                                            <v:fill on="f" color2="#FFFFFF" focussize="0,0"/>
                                            <v:stroke on="f"/>
                                            <v:imagedata gain="65536f" blacklevel="0f" gamma="0" o:title=""/>
                                            <o:lock v:ext="edit" position="f" selection="f" grouping="f" rotation="f" cropping="f" text="f" aspectratio="f"/>
                                            <v:textbox>
                                              <w:txbxContent>
                                                <w:p>
                                                  <w:pPr>
                                                    <w:jc w:val="center"/>
                                                  </w:pPr>
                                                  <w:r>
                                                    <w:rPr>
                                                      <w:rFonts w:hint="eastAsia"/>
                                                    </w:rPr>
                                                    <w:t>1804</w:t>
                                                  </w:r>
                                                </w:p>
                                              </w:txbxContent>
                                            </v:textbox>
                                          </v:rect>
                                          <v:rect id="矩形 3" o:spid="_x0000_s1074" o:spt="1" style="position:absolute;left:2744;top:125725;height:423;width:936;" fillcolor="#FFFFFF" filled="f" o:preferrelative="t" stroked="f" coordsize="21600,21600">
                                            <v:path/>
                                            <v:fill on="f" color2="#FFFFFF" focussize="0,0"/>
                                            <v:stroke on="f"/>
                                            <v:imagedata gain="65536f" blacklevel="0f" gamma="0" o:title=""/>
                                            <o:lock v:ext="edit" position="f" selection="f" grouping="f" rotation="f" cropping="f" text="f" aspectratio="f"/>
                                            <v:textbox>
                                              <w:txbxContent>
                                                <w:p>
                                                  <w:r>
                                                    <w:rPr>
                                                      <w:rFonts w:hint="eastAsia"/>
                                                    </w:rPr>
                                                    <w:t>新鲜水</w:t>
                                                  </w:r>
                                                </w:p>
                                              </w:txbxContent>
                                            </v:textbox>
                                          </v:rect>
                                          <v:shape id="文本框 5" o:spid="_x0000_s1075" o:spt="202" type="#_x0000_t202" style="position:absolute;left:4121;top:123615;height:450;width:1566;" fillcolor="#FFFFFF" filled="t" o:preferrelative="t" stroked="t" coordsize="21600,21600">
                                            <v:path/>
                                            <v:fill on="t" focussize="0,0"/>
                                            <v:stroke color="#000000" color2="#FFFFFF" miterlimit="2"/>
                                            <v:imagedata gain="65536f" blacklevel="0f" gamma="0" o:title=""/>
                                            <o:lock v:ext="edit" position="f" selection="f" grouping="f" rotation="f" cropping="f" text="f" aspectratio="f"/>
                                            <v:textbox>
                                              <w:txbxContent>
                                                <w:p>
                                                  <w:pPr>
                                                    <w:jc w:val="center"/>
                                                  </w:pPr>
                                                  <w:r>
                                                    <w:rPr>
                                                      <w:rFonts w:hint="eastAsia"/>
                                                    </w:rPr>
                                                    <w:t>软化系统用水</w:t>
                                                  </w:r>
                                                </w:p>
                                              </w:txbxContent>
                                            </v:textbox>
                                          </v:shape>
                                          <v:line id="直接连接符 6" o:spid="_x0000_s1076" o:spt="20" style="position:absolute;left:5704;top:123808;height:3;width:581;" fillcolor="#FFFFFF" filled="f" o:preferrelative="t" stroked="t" coordsize="21600,21600">
                                            <v:path arrowok="t"/>
                                            <v:fill on="f" color2="#FFFFFF" focussize="0,0"/>
                                            <v:stroke color="#000000" color2="#FFFFFF" miterlimit="2" endarrow="block"/>
                                            <v:imagedata gain="65536f" blacklevel="0f" gamma="0" o:title=""/>
                                            <o:lock v:ext="edit" position="f" selection="f" grouping="f" rotation="f" cropping="f" text="f" aspectratio="f"/>
                                          </v:line>
                                          <v:rect id="矩形 7" o:spid="_x0000_s1077" o:spt="1" style="position:absolute;left:5542;top:123456;height:449;width:790;" fillcolor="#FFFFFF" filled="f" o:preferrelative="t" stroked="f" coordsize="21600,21600">
                                            <v:path/>
                                            <v:fill on="f" color2="#FFFFFF" focussize="0,0"/>
                                            <v:stroke on="f"/>
                                            <v:imagedata gain="65536f" blacklevel="0f" gamma="0" o:title=""/>
                                            <o:lock v:ext="edit" position="f" selection="f" grouping="f" rotation="f" cropping="f" text="f" aspectratio="f"/>
                                            <v:textbox>
                                              <w:txbxContent>
                                                <w:p>
                                                  <w:pPr>
                                                    <w:jc w:val="center"/>
                                                  </w:pPr>
                                                  <w:r>
                                                    <w:rPr>
                                                      <w:rFonts w:hint="eastAsia"/>
                                                    </w:rPr>
                                                    <w:t>1750</w:t>
                                                  </w:r>
                                                </w:p>
                                              </w:txbxContent>
                                            </v:textbox>
                                          </v:rect>
                                          <v:rect id="矩形 8" o:spid="_x0000_s1078" o:spt="1" style="position:absolute;left:4879;top:124156;height:447;width:713;" fillcolor="#FFFFFF" filled="f" o:preferrelative="t" stroked="f" coordsize="21600,21600">
                                            <v:path/>
                                            <v:fill on="f" color2="#FFFFFF" focussize="0,0"/>
                                            <v:stroke on="f"/>
                                            <v:imagedata gain="65536f" blacklevel="0f" gamma="0" o:title=""/>
                                            <o:lock v:ext="edit" position="f" selection="f" grouping="f" rotation="f" cropping="f" text="f" aspectratio="f"/>
                                            <v:textbox>
                                              <w:txbxContent>
                                                <w:p>
                                                  <w:r>
                                                    <w:rPr>
                                                      <w:rFonts w:hint="eastAsia"/>
                                                    </w:rPr>
                                                    <w:t>54</w:t>
                                                  </w:r>
                                                </w:p>
                                              </w:txbxContent>
                                            </v:textbox>
                                          </v:rect>
                                          <v:shape id="文本框 9" o:spid="_x0000_s1079" o:spt="202" type="#_x0000_t202" style="position:absolute;left:6280;top:123602;height:464;width:1165;" fillcolor="#FFFFFF" filled="t" o:preferrelative="t" stroked="t" coordsize="21600,21600">
                                            <v:path/>
                                            <v:fill on="t" focussize="0,0"/>
                                            <v:stroke color="#000000" color2="#FFFFFF" miterlimit="2"/>
                                            <v:imagedata gain="65536f" blacklevel="0f" gamma="0" o:title=""/>
                                            <o:lock v:ext="edit" position="f" selection="f" grouping="f" rotation="f" cropping="f" text="f" aspectratio="f"/>
                                            <v:textbox>
                                              <w:txbxContent>
                                                <w:p>
                                                  <w:pPr>
                                                    <w:jc w:val="center"/>
                                                  </w:pPr>
                                                  <w:r>
                                                    <w:rPr>
                                                      <w:rFonts w:hint="eastAsia"/>
                                                    </w:rPr>
                                                    <w:t>锅炉补水</w:t>
                                                  </w:r>
                                                </w:p>
                                              </w:txbxContent>
                                            </v:textbox>
                                          </v:shape>
                                          <v:shape id="肘形连接符 25" o:spid="_x0000_s1080" o:spt="34" type="#_x0000_t34" style="position:absolute;left:5722;top:123246;flip:y;height:2881;width:1244;rotation:17694719f;" fillcolor="#FFFFFF" filled="t" o:preferrelative="t" stroked="t" coordsize="21600,21600" adj="10791">
                                            <v:path arrowok="t"/>
                                            <v:fill on="t" focussize="0,0"/>
                                            <v:stroke color="#000000" color2="#FFFFFF" miterlimit="2" endarrow="block"/>
                                            <v:imagedata gain="65536f" blacklevel="0f" gamma="0" o:title=""/>
                                            <o:lock v:ext="edit" position="f" selection="f" grouping="f" rotation="f" cropping="f" text="f" aspectratio="f"/>
                                          </v:shape>
                                          <v:rect id="矩形 29" o:spid="_x0000_s1081" o:spt="1" style="position:absolute;left:9222;top:123468;height:375;width:628;" fillcolor="#FFFFFF" filled="f" o:preferrelative="t" stroked="f" coordsize="21600,21600">
                                            <v:path/>
                                            <v:fill on="f" color2="#FFFFFF" focussize="0,0"/>
                                            <v:stroke on="f"/>
                                            <v:imagedata gain="65536f" blacklevel="0f" gamma="0" o:title=""/>
                                            <o:lock v:ext="edit" position="f" selection="f" grouping="f" rotation="f" cropping="f" text="f" aspectratio="f"/>
                                            <v:textbox>
                                              <w:txbxContent>
                                                <w:p>
                                                  <w:r>
                                                    <w:rPr>
                                                      <w:rFonts w:hint="eastAsia"/>
                                                    </w:rPr>
                                                    <w:t>315</w:t>
                                                  </w:r>
                                                </w:p>
                                              </w:txbxContent>
                                            </v:textbox>
                                          </v:rect>
                                          <v:line id="直接连接符 30" o:spid="_x0000_s1082" o:spt="20" style="position:absolute;left:7458;top:123812;flip:y;height:3;width:532;" fillcolor="#FFFFFF" filled="f" o:preferrelative="t" stroked="t" coordsize="21600,21600">
                                            <v:path arrowok="t"/>
                                            <v:fill on="f" color2="#FFFFFF" focussize="0,0"/>
                                            <v:stroke color="#000000" color2="#FFFFFF" miterlimit="2" endarrow="block"/>
                                            <v:imagedata gain="65536f" blacklevel="0f" gamma="0" o:title=""/>
                                            <o:lock v:ext="edit" position="f" selection="f" grouping="f" rotation="f" cropping="f" text="f" aspectratio="f"/>
                                          </v:line>
                                          <v:shape id="文本框 31" o:spid="_x0000_s1083" o:spt="202" type="#_x0000_t202" style="position:absolute;left:7838;top:122864;height:421;width:1837;" fillcolor="#FFFFFF" filled="f" o:preferrelative="t" stroked="f" coordsize="21600,21600">
                                            <v:path/>
                                            <v:fill on="f" color2="#FFFFFF" focussize="0,0"/>
                                            <v:stroke on="f"/>
                                            <v:imagedata gain="65536f" blacklevel="0f" gamma="0" o:title=""/>
                                            <o:lock v:ext="edit" position="f" selection="f" grouping="f" rotation="f" cropping="f" text="f" aspectratio="f"/>
                                            <v:textbox>
                                              <w:txbxContent>
                                                <w:p>
                                                  <w:pPr>
                                                    <w:jc w:val="center"/>
                                                  </w:pPr>
                                                  <w:r>
                                                    <w:rPr>
                                                      <w:rFonts w:hint="eastAsia"/>
                                                    </w:rPr>
                                                    <w:t>蒸发1102.5</w:t>
                                                  </w:r>
                                                </w:p>
                                              </w:txbxContent>
                                            </v:textbox>
                                          </v:shape>
                                          <v:rect id="矩形 32" o:spid="_x0000_s1084" o:spt="1" style="position:absolute;left:7354;top:123488;height:447;width:713;" fillcolor="#FFFFFF" filled="f" o:preferrelative="t" stroked="f" coordsize="21600,21600">
                                            <v:path/>
                                            <v:fill on="f" color2="#FFFFFF" focussize="0,0"/>
                                            <v:stroke on="f"/>
                                            <v:imagedata gain="65536f" blacklevel="0f" gamma="0" o:title=""/>
                                            <o:lock v:ext="edit" position="f" selection="f" grouping="f" rotation="f" cropping="f" text="f" aspectratio="f"/>
                                            <v:textbox>
                                              <w:txbxContent>
                                                <w:p>
                                                  <w:r>
                                                    <w:rPr>
                                                      <w:rFonts w:hint="eastAsia"/>
                                                    </w:rPr>
                                                    <w:t>1575</w:t>
                                                  </w:r>
                                                </w:p>
                                              </w:txbxContent>
                                            </v:textbox>
                                          </v:rect>
                                          <v:line id="直接连接符 36" o:spid="_x0000_s1085" o:spt="20" style="position:absolute;left:9336;top:123842;height:13;width:407;" fillcolor="#FFFFFF" filled="f" o:preferrelative="t" stroked="t" coordsize="21600,21600">
                                            <v:path arrowok="t"/>
                                            <v:fill on="f" color2="#FFFFFF" focussize="0,0"/>
                                            <v:stroke color="#000000" color2="#FFFFFF" miterlimit="2" endarrow="block"/>
                                            <v:imagedata gain="65536f" blacklevel="0f" gamma="0" o:title=""/>
                                            <o:lock v:ext="edit" position="f" selection="f" grouping="f" rotation="f" cropping="f" text="f" aspectratio="f"/>
                                          </v:line>
                                          <v:rect id="矩形 39" o:spid="_x0000_s1086" o:spt="1" style="position:absolute;left:6824;top:124180;height:347;width:680;" fillcolor="#FFFFFF" filled="f" o:preferrelative="t" stroked="f" coordsize="21600,21600">
                                            <v:path/>
                                            <v:fill on="f" color2="#FFFFFF" focussize="0,0"/>
                                            <v:stroke on="f"/>
                                            <v:imagedata gain="65536f" blacklevel="0f" gamma="0" o:title=""/>
                                            <o:lock v:ext="edit" position="f" selection="f" grouping="f" rotation="f" cropping="f" text="f" aspectratio="f"/>
                                            <v:textbox>
                                              <w:txbxContent>
                                                <w:p>
                                                  <w:r>
                                                    <w:rPr>
                                                      <w:rFonts w:hint="eastAsia"/>
                                                    </w:rPr>
                                                    <w:t>175</w:t>
                                                  </w:r>
                                                </w:p>
                                              </w:txbxContent>
                                            </v:textbox>
                                          </v:rect>
                                        </v:group>
                                        <v:shape id="文本框 68" o:spid="_x0000_s1087" o:spt="202" type="#_x0000_t202" style="position:absolute;left:8348;top:263711;height:450;width:1361;" fillcolor="#FFFFFF" filled="t" o:preferrelative="t" stroked="t" coordsize="21600,21600">
                                          <v:path/>
                                          <v:fill on="t" focussize="0,0"/>
                                          <v:stroke color="#000000" color2="#FFFFFF" miterlimit="2"/>
                                          <v:imagedata gain="65536f" blacklevel="0f" gamma="0" o:title=""/>
                                          <o:lock v:ext="edit" position="f" selection="f" grouping="f" rotation="f" cropping="f" text="f" aspectratio="f"/>
                                          <v:textbox>
                                            <w:txbxContent>
                                              <w:p>
                                                <w:pPr>
                                                  <w:jc w:val="center"/>
                                                </w:pPr>
                                                <w:r>
                                                  <w:rPr>
                                                    <w:rFonts w:hint="eastAsia"/>
                                                  </w:rPr>
                                                  <w:t>养护用蒸汽</w:t>
                                                </w:r>
                                              </w:p>
                                            </w:txbxContent>
                                          </v:textbox>
                                        </v:shape>
                                        <v:shape id="文本框 69" o:spid="_x0000_s1088" o:spt="202" type="#_x0000_t202" style="position:absolute;left:10116;top:263723;height:452;width:742;" fillcolor="#FFFFFF" filled="f" o:preferrelative="t" stroked="f" coordsize="21600,21600">
                                          <v:path/>
                                          <v:fill on="f" color2="#FFFFFF" focussize="0,0"/>
                                          <v:stroke on="f"/>
                                          <v:imagedata gain="65536f" blacklevel="0f" gamma="0" o:title=""/>
                                          <o:lock v:ext="edit" position="f" selection="f" grouping="f" rotation="f" cropping="f" text="f" aspectratio="f"/>
                                          <v:textbox>
                                            <w:txbxContent>
                                              <w:p>
                                                <w:pPr>
                                                  <w:jc w:val="center"/>
                                                </w:pPr>
                                                <w:r>
                                                  <w:rPr>
                                                    <w:rFonts w:hint="eastAsia"/>
                                                  </w:rPr>
                                                  <w:t>产品</w:t>
                                                </w:r>
                                              </w:p>
                                            </w:txbxContent>
                                          </v:textbox>
                                        </v:shape>
                                      </v:group>
                                      <v:shape id="肘形连接符 71" o:spid="_x0000_s1089" o:spt="34" type="#_x0000_t34" style="position:absolute;left:7075;top:263906;flip:y;height:922;width:1243;rotation:17694719f;" fillcolor="#FFFFFF" filled="t" o:preferrelative="t" stroked="t" coordsize="21600,21600" adj="10800">
                                        <v:path arrowok="t"/>
                                        <v:fill on="t" focussize="0,0"/>
                                        <v:stroke color="#000000" color2="#FFFFFF" miterlimit="2" endarrow="block"/>
                                        <v:imagedata gain="65536f" blacklevel="0f" gamma="0" o:title=""/>
                                        <o:lock v:ext="edit" position="f" selection="f" grouping="f" rotation="f" cropping="f" text="f" aspectratio="f"/>
                                      </v:shape>
                                      <v:shape id="肘形连接符 72" o:spid="_x0000_s1090" o:spt="34" type="#_x0000_t34" style="position:absolute;left:7972;top:263932;height:871;width:1242;rotation:5898240f;" fillcolor="#FFFFFF" filled="t" o:preferrelative="t" stroked="t" coordsize="21600,21600" adj="10791">
                                        <v:path arrowok="t"/>
                                        <v:fill on="t" focussize="0,0"/>
                                        <v:stroke color="#000000" color2="#FFFFFF" miterlimit="2" endarrow="block"/>
                                        <v:imagedata gain="65536f" blacklevel="0f" gamma="0" o:title=""/>
                                        <o:lock v:ext="edit" position="f" selection="f" grouping="f" rotation="f" cropping="f" text="f" aspectratio="f"/>
                                      </v:shape>
                                    </v:group>
                                    <v:rect id="矩形 74" o:spid="_x0000_s1091" o:spt="1" style="position:absolute;left:8877;top:263725;height:720;width:1144;" fillcolor="#FFFFFF" filled="f" o:preferrelative="t" stroked="f" coordsize="21600,21600">
                                      <v:path/>
                                      <v:fill on="f" color2="#FFFFFF" focussize="0,0"/>
                                      <v:stroke on="f"/>
                                      <v:imagedata gain="65536f" blacklevel="0f" gamma="0" o:title=""/>
                                      <o:lock v:ext="edit" position="f" selection="f" grouping="f" rotation="f" cropping="f" text="f" aspectratio="f"/>
                                      <v:textbox>
                                        <w:txbxContent>
                                          <w:p>
                                            <w:pPr>
                                              <w:jc w:val="center"/>
                                            </w:pPr>
                                            <w:r>
                                              <w:rPr>
                                                <w:rFonts w:hint="eastAsia"/>
                                              </w:rPr>
                                              <w:t>冷凝水157.5</w:t>
                                            </w:r>
                                          </w:p>
                                        </w:txbxContent>
                                      </v:textbox>
                                    </v:rect>
                                    <v:shape id="肘形连接符 77" o:spid="_x0000_s1092" o:spt="34" type="#_x0000_t34" style="position:absolute;left:4859;top:264178;flip:y;height:1029;width:1865;rotation:17694719f;" fillcolor="#FFFFFF" filled="t" o:preferrelative="t" stroked="t" coordsize="21600,21600" adj="7157">
                                      <v:path arrowok="t"/>
                                      <v:fill on="t" focussize="0,0"/>
                                      <v:stroke color="#000000" color2="#FFFFFF" miterlimit="2" endarrow="block"/>
                                      <v:imagedata gain="65536f" blacklevel="0f" gamma="0" o:title=""/>
                                      <o:lock v:ext="edit" position="f" selection="f" grouping="f" rotation="f" cropping="f" text="f" aspectratio="f"/>
                                    </v:shape>
                                    <v:rect id="矩形 78" o:spid="_x0000_s1093" o:spt="1" style="position:absolute;left:8207;top:264421;height:447;width:713;" fillcolor="#FFFFFF" filled="f" o:preferrelative="t" stroked="f" coordsize="21600,21600">
                                      <v:path/>
                                      <v:fill on="f" color2="#FFFFFF" focussize="0,0"/>
                                      <v:stroke on="f"/>
                                      <v:imagedata gain="65536f" blacklevel="0f" gamma="0" o:title=""/>
                                      <o:lock v:ext="edit" position="f" selection="f" grouping="f" rotation="f" cropping="f" text="f" aspectratio="f"/>
                                      <v:textbox>
                                        <w:txbxContent>
                                          <w:p>
                                            <w:r>
                                              <w:rPr>
                                                <w:rFonts w:hint="eastAsia"/>
                                              </w:rPr>
                                              <w:t>4.87</w:t>
                                            </w:r>
                                          </w:p>
                                        </w:txbxContent>
                                      </v:textbox>
                                    </v:rect>
                                    <v:rect id="矩形 79" o:spid="_x0000_s1094" o:spt="1" style="position:absolute;left:5493;top:264451;height:447;width:937;" fillcolor="#FFFFFF" filled="f" o:preferrelative="t" stroked="f" coordsize="21600,21600">
                                      <v:path/>
                                      <v:fill on="f" color2="#FFFFFF" focussize="0,0"/>
                                      <v:stroke on="f"/>
                                      <v:imagedata gain="65536f" blacklevel="0f" gamma="0" o:title=""/>
                                      <o:lock v:ext="edit" position="f" selection="f" grouping="f" rotation="f" cropping="f" text="f" aspectratio="f"/>
                                      <v:textbox>
                                        <w:txbxContent>
                                          <w:p>
                                            <w:r>
                                              <w:rPr>
                                                <w:rFonts w:hint="eastAsia"/>
                                              </w:rPr>
                                              <w:t>381.63</w:t>
                                            </w:r>
                                          </w:p>
                                        </w:txbxContent>
                                      </v:textbox>
                                    </v:rect>
                                  </v:group>
                                </v:group>
                                <v:shape id="文本框 9" o:spid="_x0000_s1095" o:spt="202" type="#_x0000_t202" style="position:absolute;left:5710;top:265280;height:464;width:1165;" fillcolor="#FFFFFF" filled="t" o:preferrelative="t" stroked="t" coordsize="21600,21600">
                                  <v:path/>
                                  <v:fill on="t" focussize="0,0"/>
                                  <v:stroke color="#000000" color2="#FFFFFF" miterlimit="2"/>
                                  <v:imagedata gain="65536f" blacklevel="0f" gamma="0" o:title=""/>
                                  <o:lock v:ext="edit" position="f" selection="f" grouping="f" rotation="f" cropping="f" text="f" aspectratio="f"/>
                                  <v:textbox>
                                    <w:txbxContent>
                                      <w:p>
                                        <w:pPr>
                                          <w:jc w:val="center"/>
                                        </w:pPr>
                                        <w:r>
                                          <w:rPr>
                                            <w:rFonts w:hint="eastAsia"/>
                                          </w:rPr>
                                          <w:t>生活用水</w:t>
                                        </w:r>
                                      </w:p>
                                    </w:txbxContent>
                                  </v:textbox>
                                </v:shape>
                              </v:group>
                              <v:shape id="肘形连接符 25" o:spid="_x0000_s1096" o:spt="34" type="#_x0000_t34" style="position:absolute;left:4085;top:264250;height:1561;width:1640;" fillcolor="#FFFFFF" filled="t" o:preferrelative="t" stroked="t" coordsize="21600,21600" adj="10800">
                                <v:path arrowok="t"/>
                                <v:fill on="t" focussize="0,0"/>
                                <v:stroke color="#000000" color2="#FFFFFF" miterlimit="2" endarrow="block"/>
                                <v:imagedata gain="65536f" blacklevel="0f" gamma="0" o:title=""/>
                                <o:lock v:ext="edit" position="f" selection="f" grouping="f" rotation="f" cropping="f" text="f" aspectratio="f"/>
                              </v:shape>
                              <v:shape id="肘形连接符 25" o:spid="_x0000_s1097" o:spt="33" type="#_x0000_t33" style="position:absolute;left:4085;top:262410;flip:y;height:1849;width:835;" fillcolor="#FFFFFF" filled="t" o:preferrelative="t" stroked="t" coordsize="21600,21600">
                                <v:path arrowok="t"/>
                                <v:fill on="t" focussize="0,0"/>
                                <v:stroke color="#000000" color2="#FFFFFF" miterlimit="2" endarrow="block"/>
                                <v:imagedata gain="65536f" blacklevel="0f" gamma="0" o:title=""/>
                                <o:lock v:ext="edit" position="f" selection="f" grouping="f" rotation="f" cropping="f" text="f" aspectratio="f"/>
                              </v:shape>
                            </v:group>
                          </v:group>
                          <v:shape id="文本框 31" o:spid="_x0000_s1098" o:spt="202" type="#_x0000_t202" style="position:absolute;left:5993;top:265836;height:421;width:1837;" fillcolor="#FFFFFF" filled="f" o:preferrelative="t" stroked="f" coordsize="21600,21600">
                            <v:path/>
                            <v:fill on="f" color2="#FFFFFF" focussize="0,0"/>
                            <v:stroke on="f"/>
                            <v:imagedata gain="65536f" blacklevel="0f" gamma="0" o:title=""/>
                            <o:lock v:ext="edit" position="f" selection="f" grouping="f" rotation="f" cropping="f" text="f" aspectratio="f"/>
                            <v:textbox>
                              <w:txbxContent>
                                <w:p>
                                  <w:pPr>
                                    <w:jc w:val="center"/>
                                  </w:pPr>
                                  <w:r>
                                    <w:rPr>
                                      <w:rFonts w:hint="eastAsia"/>
                                    </w:rPr>
                                    <w:t>损耗12.6</w:t>
                                  </w:r>
                                </w:p>
                              </w:txbxContent>
                            </v:textbox>
                          </v:shape>
                          <v:rect id="矩形 2" o:spid="_x0000_s1099" o:spt="1" style="position:absolute;left:7087;top:266383;height:396;width:896;" fillcolor="#FFFFFF" filled="f" o:preferrelative="t" stroked="f" coordsize="21600,21600">
                            <v:path/>
                            <v:fill on="f" color2="#FFFFFF" focussize="0,0"/>
                            <v:stroke on="f"/>
                            <v:imagedata gain="65536f" blacklevel="0f" gamma="0" o:title=""/>
                            <o:lock v:ext="edit" position="f" selection="f" grouping="f" rotation="f" cropping="f" text="f" aspectratio="f"/>
                            <v:textbox>
                              <w:txbxContent>
                                <w:p>
                                  <w:pPr>
                                    <w:jc w:val="center"/>
                                  </w:pPr>
                                  <w:r>
                                    <w:rPr>
                                      <w:rFonts w:hint="eastAsia"/>
                                    </w:rPr>
                                    <w:t>50.4</w:t>
                                  </w:r>
                                </w:p>
                              </w:txbxContent>
                            </v:textbox>
                          </v:rect>
                          <v:shape id="文本框 69" o:spid="_x0000_s1100" o:spt="202" type="#_x0000_t202" style="position:absolute;left:8169;top:266376;height:706;width:2031;" fillcolor="#FFFFFF" filled="f" o:preferrelative="t" stroked="f" coordsize="21600,21600">
                            <v:path/>
                            <v:fill on="f" color2="#FFFFFF" focussize="0,0"/>
                            <v:stroke on="f"/>
                            <v:imagedata gain="65536f" blacklevel="0f" gamma="0" o:title=""/>
                            <o:lock v:ext="edit" position="f" selection="f" grouping="f" rotation="f" cropping="f" text="f" aspectratio="f"/>
                            <v:textbox>
                              <w:txbxContent>
                                <w:p>
                                  <w:pPr>
                                    <w:jc w:val="center"/>
                                  </w:pPr>
                                  <w:r>
                                    <w:rPr>
                                      <w:rFonts w:hint="eastAsia"/>
                                    </w:rPr>
                                    <w:t>排入防渗旱厕，定期清掏用作农肥</w:t>
                                  </w:r>
                                </w:p>
                              </w:txbxContent>
                            </v:textbox>
                          </v:shape>
                          <v:line id="直接连接符 36" o:spid="_x0000_s1101" o:spt="20" style="position:absolute;left:6890;top:266729;flip:y;height:11;width:1279;" fillcolor="#FFFFFF" filled="f" o:preferrelative="t" stroked="t" coordsize="21600,21600">
                            <v:path arrowok="t"/>
                            <v:fill on="f" color2="#FFFFFF" focussize="0,0"/>
                            <v:stroke color="#000000" color2="#FFFFFF" miterlimit="2" endarrow="block"/>
                            <v:imagedata gain="65536f" blacklevel="0f" gamma="0" o:title=""/>
                            <o:lock v:ext="edit" position="f" selection="f" grouping="f" rotation="f" cropping="f" text="f" aspectratio="f"/>
                          </v:line>
                          <v:line id="直接连接符 36" o:spid="_x0000_s1102" o:spt="20" style="position:absolute;left:6308;top:266257;flip:y;height:265;width:604;" fillcolor="#FFFFFF" filled="f" o:preferrelative="t" stroked="t" coordsize="21600,21600">
                            <v:path arrowok="t"/>
                            <v:fill on="f" color2="#FFFFFF" focussize="0,0"/>
                            <v:stroke color="#000000" color2="#FFFFFF" miterlimit="2" dashstyle="dash" endarrow="block"/>
                            <v:imagedata gain="65536f" blacklevel="0f" gamma="0" o:title=""/>
                            <o:lock v:ext="edit" position="f" selection="f" grouping="f" rotation="f" cropping="f" text="f" aspectratio="f"/>
                          </v:line>
                        </v:group>
                        <v:shape id="文本框 9" o:spid="_x0000_s1103" o:spt="202" type="#_x0000_t202" style="position:absolute;left:5470;top:262878;height:464;width:1165;" fillcolor="#FFFFFF" filled="t" o:preferrelative="t" stroked="t" coordsize="21600,21600">
                          <v:path/>
                          <v:fill on="t" focussize="0,0"/>
                          <v:stroke color="#000000" color2="#FFFFFF" miterlimit="2"/>
                          <v:imagedata gain="65536f" blacklevel="0f" gamma="0" o:title=""/>
                          <o:lock v:ext="edit" position="f" selection="f" grouping="f" rotation="f" cropping="f" text="f" aspectratio="f"/>
                          <v:textbox>
                            <w:txbxContent>
                              <w:p>
                                <w:pPr>
                                  <w:jc w:val="center"/>
                                </w:pPr>
                                <w:r>
                                  <w:rPr>
                                    <w:rFonts w:hint="eastAsia"/>
                                  </w:rPr>
                                  <w:t>生产用水</w:t>
                                </w:r>
                              </w:p>
                            </w:txbxContent>
                          </v:textbox>
                        </v:shape>
                        <v:shape id="肘形连接符 25" o:spid="_x0000_s1104" o:spt="34" type="#_x0000_t34" style="position:absolute;left:3800;top:262885;height:225;width:1670;" fillcolor="#FFFFFF" filled="t" o:preferrelative="t" stroked="t" coordsize="21600,21600" adj="10800">
                          <v:path arrowok="t"/>
                          <v:fill on="t" focussize="0,0"/>
                          <v:stroke color="#000000" color2="#FFFFFF" miterlimit="2" endarrow="block"/>
                          <v:imagedata gain="65536f" blacklevel="0f" gamma="0" o:title=""/>
                          <o:lock v:ext="edit" position="f" selection="f" grouping="f" rotation="f" cropping="f" text="f" aspectratio="f"/>
                        </v:shape>
                      </v:group>
                      <v:rect id="矩形 76" o:spid="_x0000_s1105" o:spt="1" style="position:absolute;left:7452;top:264117;height:453;width:1131;" fillcolor="#FFFFFF" filled="f" o:preferrelative="t" stroked="f" coordsize="21600,21600">
                        <v:path/>
                        <v:fill on="f" color2="#FFFFFF" focussize="0,0"/>
                        <v:stroke on="f"/>
                        <v:imagedata gain="65536f" blacklevel="0f" gamma="0" o:title=""/>
                        <o:lock v:ext="edit" position="f" selection="f" grouping="f" rotation="f" cropping="f" text="f" aspectratio="f"/>
                        <v:textbox>
                          <w:txbxContent>
                            <w:p>
                              <w:pPr>
                                <w:jc w:val="center"/>
                              </w:pPr>
                              <w:r>
                                <w:rPr>
                                  <w:rFonts w:hint="eastAsia"/>
                                </w:rPr>
                                <w:t>进入产品</w:t>
                              </w:r>
                            </w:p>
                          </w:txbxContent>
                        </v:textbox>
                      </v:rect>
                      <v:line id="直接连接符 36" o:spid="_x0000_s1106" o:spt="20" style="position:absolute;left:6635;top:264344;flip:y;height:7;width:817;" fillcolor="#FFFFFF" filled="f" o:preferrelative="t" stroked="t" coordsize="21600,21600">
                        <v:path arrowok="t"/>
                        <v:fill on="f" color2="#FFFFFF" focussize="0,0"/>
                        <v:stroke color="#000000" color2="#FFFFFF" miterlimit="2" endarrow="block"/>
                        <v:imagedata gain="65536f" blacklevel="0f" gamma="0" o:title=""/>
                        <o:lock v:ext="edit" position="f" selection="f" grouping="f" rotation="f" cropping="f" text="f" aspectratio="f"/>
                      </v:line>
                    </v:group>
                    <v:rect id="矩形 2" o:spid="_x0000_s1107" o:spt="1" style="position:absolute;left:4597;top:263955;height:426;width:1001;" fillcolor="#FFFFFF" filled="f" o:preferrelative="t" stroked="f" coordsize="21600,21600">
                      <v:path/>
                      <v:fill on="f" color2="#FFFFFF" focussize="0,0"/>
                      <v:stroke on="f"/>
                      <v:imagedata gain="65536f" blacklevel="0f" gamma="0" o:title=""/>
                      <o:lock v:ext="edit" position="f" selection="f" grouping="f" rotation="f" cropping="f" text="f" aspectratio="f"/>
                      <v:textbox>
                        <w:txbxContent>
                          <w:p>
                            <w:pPr>
                              <w:jc w:val="center"/>
                            </w:pPr>
                            <w:r>
                              <w:rPr>
                                <w:rFonts w:hint="eastAsia"/>
                              </w:rPr>
                              <w:t>1528.37</w:t>
                            </w:r>
                          </w:p>
                        </w:txbxContent>
                      </v:textbox>
                    </v:rect>
                    <v:rect id="矩形 2" o:spid="_x0000_s1108" o:spt="1" style="position:absolute;left:6562;top:263985;height:396;width:1031;" fillcolor="#FFFFFF" filled="f" o:preferrelative="t" stroked="f" coordsize="21600,21600">
                      <v:path/>
                      <v:fill on="f" color2="#FFFFFF" focussize="0,0"/>
                      <v:stroke on="f"/>
                      <v:imagedata gain="65536f" blacklevel="0f" gamma="0" o:title=""/>
                      <o:lock v:ext="edit" position="f" selection="f" grouping="f" rotation="f" cropping="f" text="f" aspectratio="f"/>
                      <v:textbox>
                        <w:txbxContent>
                          <w:p>
                            <w:pPr>
                              <w:jc w:val="center"/>
                            </w:pPr>
                            <w:r>
                              <w:rPr>
                                <w:rFonts w:hint="eastAsia"/>
                              </w:rPr>
                              <w:t>1910</w:t>
                            </w:r>
                          </w:p>
                        </w:txbxContent>
                      </v:textbox>
                    </v:rect>
                  </v:group>
                  <v:rect id="矩形 2" o:spid="_x0000_s1109" o:spt="1" style="position:absolute;left:3667;top:264150;height:426;width:1001;" fillcolor="#FFFFFF" filled="f" o:preferrelative="t" stroked="f" coordsize="21600,21600">
                    <v:path/>
                    <v:fill on="f" color2="#FFFFFF" focussize="0,0"/>
                    <v:stroke on="f"/>
                    <v:imagedata gain="65536f" blacklevel="0f" gamma="0" o:title=""/>
                    <o:lock v:ext="edit" position="f" selection="f" grouping="f" rotation="f" cropping="f" text="f" aspectratio="f"/>
                    <v:textbox>
                      <w:txbxContent>
                        <w:p>
                          <w:pPr>
                            <w:jc w:val="center"/>
                          </w:pPr>
                          <w:r>
                            <w:rPr>
                              <w:rFonts w:hint="eastAsia"/>
                            </w:rPr>
                            <w:t>3395.37</w:t>
                          </w:r>
                        </w:p>
                      </w:txbxContent>
                    </v:textbox>
                  </v:rect>
                  <w10:wrap type="none"/>
                  <w10:anchorlock/>
                </v:group>
              </w:pict>
            </w:r>
          </w:p>
          <w:p>
            <w:pPr>
              <w:spacing w:afterLines="50"/>
              <w:ind w:firstLine="482"/>
              <w:jc w:val="center"/>
              <w:rPr>
                <w:b/>
                <w:szCs w:val="21"/>
              </w:rPr>
            </w:pPr>
            <w:r>
              <w:rPr>
                <w:b/>
                <w:szCs w:val="21"/>
              </w:rPr>
              <w:t>图</w:t>
            </w:r>
            <w:r>
              <w:rPr>
                <w:rFonts w:hint="eastAsia"/>
                <w:b/>
                <w:szCs w:val="21"/>
              </w:rPr>
              <w:t>2</w:t>
            </w:r>
            <w:r>
              <w:rPr>
                <w:b/>
                <w:szCs w:val="21"/>
              </w:rPr>
              <w:t xml:space="preserve">   本项目</w:t>
            </w:r>
            <w:r>
              <w:rPr>
                <w:rFonts w:hint="eastAsia"/>
                <w:b/>
                <w:szCs w:val="21"/>
              </w:rPr>
              <w:t>建成后全厂</w:t>
            </w:r>
            <w:r>
              <w:rPr>
                <w:b/>
                <w:szCs w:val="21"/>
              </w:rPr>
              <w:t>给排水平衡图    单位</w:t>
            </w:r>
            <w:r>
              <w:rPr>
                <w:rFonts w:hint="eastAsia"/>
                <w:b/>
                <w:szCs w:val="21"/>
              </w:rPr>
              <w:t>：t</w:t>
            </w:r>
            <w:r>
              <w:rPr>
                <w:b/>
                <w:szCs w:val="21"/>
              </w:rPr>
              <w:t>/</w:t>
            </w:r>
            <w:r>
              <w:rPr>
                <w:rFonts w:hint="eastAsia"/>
                <w:b/>
                <w:szCs w:val="21"/>
              </w:rPr>
              <w:t>a</w:t>
            </w:r>
          </w:p>
          <w:p>
            <w:pPr>
              <w:spacing w:line="360" w:lineRule="auto"/>
              <w:ind w:firstLine="480" w:firstLineChars="200"/>
              <w:rPr>
                <w:bCs/>
                <w:sz w:val="24"/>
              </w:rPr>
            </w:pPr>
            <w:r>
              <w:rPr>
                <w:bCs/>
                <w:sz w:val="24"/>
              </w:rPr>
              <w:t>（2）供电</w:t>
            </w:r>
          </w:p>
          <w:p>
            <w:pPr>
              <w:spacing w:line="360" w:lineRule="auto"/>
              <w:ind w:firstLine="480" w:firstLineChars="200"/>
              <w:rPr>
                <w:bCs/>
                <w:sz w:val="24"/>
              </w:rPr>
            </w:pPr>
            <w:r>
              <w:rPr>
                <w:bCs/>
                <w:sz w:val="24"/>
              </w:rPr>
              <w:t>本项目用电由当地供电</w:t>
            </w:r>
            <w:r>
              <w:rPr>
                <w:rFonts w:hint="eastAsia"/>
                <w:bCs/>
                <w:sz w:val="24"/>
              </w:rPr>
              <w:t>部门</w:t>
            </w:r>
            <w:r>
              <w:rPr>
                <w:bCs/>
                <w:sz w:val="24"/>
              </w:rPr>
              <w:t>供给，可满足本项目需要。</w:t>
            </w:r>
          </w:p>
          <w:p>
            <w:pPr>
              <w:spacing w:line="360" w:lineRule="auto"/>
              <w:ind w:firstLine="480" w:firstLineChars="200"/>
              <w:rPr>
                <w:bCs/>
                <w:sz w:val="24"/>
                <w:u w:val="single"/>
              </w:rPr>
            </w:pPr>
            <w:r>
              <w:rPr>
                <w:rFonts w:hint="eastAsia"/>
                <w:bCs/>
                <w:sz w:val="24"/>
                <w:u w:val="single"/>
              </w:rPr>
              <w:t>（3）供热</w:t>
            </w:r>
          </w:p>
          <w:p>
            <w:pPr>
              <w:spacing w:line="360" w:lineRule="auto"/>
              <w:ind w:firstLine="480" w:firstLineChars="200"/>
              <w:rPr>
                <w:bCs/>
                <w:sz w:val="24"/>
                <w:u w:val="single"/>
              </w:rPr>
            </w:pPr>
            <w:r>
              <w:rPr>
                <w:rFonts w:hint="eastAsia"/>
                <w:bCs/>
                <w:sz w:val="24"/>
                <w:u w:val="single"/>
              </w:rPr>
              <w:t>本项目为锅炉改造项目，拆除现有1台1t/h生物质锅炉，新建1台2.5t/h生物质锅炉为企业生产提供热源；企业冬季不生产，故无需供暖。</w:t>
            </w:r>
          </w:p>
          <w:p>
            <w:pPr>
              <w:spacing w:line="360" w:lineRule="auto"/>
              <w:ind w:firstLine="482" w:firstLineChars="200"/>
              <w:rPr>
                <w:b/>
                <w:sz w:val="24"/>
              </w:rPr>
            </w:pPr>
            <w:r>
              <w:rPr>
                <w:rFonts w:hint="eastAsia"/>
                <w:b/>
                <w:sz w:val="24"/>
              </w:rPr>
              <w:t>7、劳动定员及工作制度</w:t>
            </w:r>
          </w:p>
          <w:p>
            <w:pPr>
              <w:spacing w:line="360" w:lineRule="auto"/>
              <w:ind w:firstLine="480" w:firstLineChars="200"/>
              <w:rPr>
                <w:bCs/>
                <w:sz w:val="24"/>
              </w:rPr>
            </w:pPr>
            <w:r>
              <w:rPr>
                <w:rFonts w:hint="eastAsia"/>
                <w:bCs/>
                <w:sz w:val="24"/>
              </w:rPr>
              <w:t>根据企业提供资料，项目不新增员工，员工均由企业内部进行调配，年生产200天，每天工作8h；锅炉预计年运行天数为200d，每天预计运行3.5h。</w:t>
            </w:r>
          </w:p>
          <w:p>
            <w:pPr>
              <w:adjustRightInd w:val="0"/>
              <w:snapToGrid w:val="0"/>
              <w:spacing w:line="360" w:lineRule="auto"/>
              <w:ind w:firstLine="482" w:firstLineChars="200"/>
              <w:rPr>
                <w:b/>
                <w:sz w:val="24"/>
              </w:rPr>
            </w:pPr>
            <w:r>
              <w:rPr>
                <w:rFonts w:hint="eastAsia"/>
                <w:b/>
                <w:sz w:val="24"/>
              </w:rPr>
              <w:t>8、项目实施进度安排</w:t>
            </w:r>
          </w:p>
          <w:p>
            <w:pPr>
              <w:adjustRightInd w:val="0"/>
              <w:snapToGrid w:val="0"/>
              <w:spacing w:line="360" w:lineRule="auto"/>
              <w:ind w:firstLine="480" w:firstLineChars="200"/>
              <w:rPr>
                <w:rFonts w:ascii="宋体" w:hAnsi="宋体" w:cs="宋体"/>
                <w:bCs/>
                <w:szCs w:val="21"/>
              </w:rPr>
            </w:pPr>
            <w:r>
              <w:rPr>
                <w:rFonts w:hint="eastAsia"/>
                <w:bCs/>
                <w:sz w:val="24"/>
              </w:rPr>
              <w:t>本项目计划开工时间为2026年8月，计划竣工时间为2026年9月。</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4" w:hRule="atLeast"/>
          <w:jc w:val="center"/>
        </w:trPr>
        <w:tc>
          <w:tcPr>
            <w:tcW w:w="823" w:type="dxa"/>
            <w:vAlign w:val="center"/>
          </w:tcPr>
          <w:p>
            <w:pPr>
              <w:pStyle w:val="17"/>
              <w:adjustRightInd w:val="0"/>
              <w:snapToGrid w:val="0"/>
              <w:spacing w:before="120" w:beforeAutospacing="0" w:after="0" w:afterAutospacing="0"/>
              <w:ind w:firstLine="420"/>
              <w:jc w:val="center"/>
              <w:rPr>
                <w:rFonts w:cs="宋体"/>
                <w:sz w:val="21"/>
                <w:szCs w:val="21"/>
              </w:rPr>
            </w:pPr>
            <w:r>
              <w:rPr>
                <w:rFonts w:hint="eastAsia" w:cs="宋体"/>
                <w:sz w:val="21"/>
                <w:szCs w:val="21"/>
              </w:rPr>
              <w:t>工艺流程和产排污环节</w:t>
            </w:r>
          </w:p>
        </w:tc>
        <w:tc>
          <w:tcPr>
            <w:tcW w:w="8161" w:type="dxa"/>
            <w:vAlign w:val="top"/>
          </w:tcPr>
          <w:p>
            <w:pPr>
              <w:adjustRightInd w:val="0"/>
              <w:snapToGrid w:val="0"/>
              <w:ind w:firstLine="420" w:firstLineChars="200"/>
              <w:rPr>
                <w:kern w:val="0"/>
                <w:szCs w:val="21"/>
                <w:highlight w:val="yellow"/>
              </w:rPr>
            </w:pPr>
          </w:p>
          <w:p>
            <w:pPr>
              <w:adjustRightInd w:val="0"/>
              <w:snapToGrid w:val="0"/>
              <w:spacing w:line="360" w:lineRule="auto"/>
              <w:ind w:firstLine="480" w:firstLineChars="200"/>
              <w:rPr>
                <w:kern w:val="0"/>
                <w:sz w:val="24"/>
              </w:rPr>
            </w:pPr>
            <w:r>
              <w:rPr>
                <w:rFonts w:hint="eastAsia"/>
                <w:kern w:val="0"/>
                <w:sz w:val="24"/>
              </w:rPr>
              <w:t>1、施工期工艺流程及产排污节点</w:t>
            </w:r>
          </w:p>
          <w:p>
            <w:pPr>
              <w:adjustRightInd w:val="0"/>
              <w:snapToGrid w:val="0"/>
              <w:spacing w:line="360" w:lineRule="auto"/>
              <w:ind w:firstLine="480" w:firstLineChars="200"/>
              <w:rPr>
                <w:kern w:val="0"/>
                <w:sz w:val="24"/>
              </w:rPr>
            </w:pPr>
            <w:r>
              <w:rPr>
                <w:rFonts w:hint="eastAsia"/>
                <w:kern w:val="0"/>
                <w:sz w:val="24"/>
              </w:rPr>
              <w:t>本项目施工期内容主要为拆除现有1台1t/h生物质锅炉及其配套设施、1根25m排气筒，安装1台2.5t/h生物质锅炉及其配套设施、1根30m排气筒。项目锅炉房依托现有，施工期设备安装及拆除将对环境造成一定影响，项目施工期工程量较小，施工期短暂，不涉及大规模土建工程，项目施工期废水、废气、噪声、固废产生环境影响很小。</w:t>
            </w:r>
          </w:p>
          <w:p>
            <w:pPr>
              <w:adjustRightInd w:val="0"/>
              <w:snapToGrid w:val="0"/>
              <w:spacing w:line="360" w:lineRule="auto"/>
              <w:ind w:firstLine="480" w:firstLineChars="200"/>
              <w:rPr>
                <w:bCs/>
                <w:sz w:val="24"/>
              </w:rPr>
            </w:pPr>
            <w:r>
              <w:rPr>
                <w:rFonts w:hint="eastAsia"/>
                <w:kern w:val="0"/>
                <w:sz w:val="24"/>
              </w:rPr>
              <w:t>项目施工期工艺流程和产污环节</w:t>
            </w:r>
            <w:r>
              <w:rPr>
                <w:rFonts w:hint="eastAsia"/>
                <w:bCs/>
                <w:sz w:val="24"/>
              </w:rPr>
              <w:t>详见下图：</w:t>
            </w:r>
          </w:p>
          <w:p>
            <w:pPr>
              <w:adjustRightInd w:val="0"/>
              <w:snapToGrid w:val="0"/>
              <w:spacing w:line="360" w:lineRule="auto"/>
              <w:jc w:val="center"/>
              <w:rPr>
                <w:kern w:val="0"/>
                <w:sz w:val="24"/>
              </w:rPr>
            </w:pPr>
            <w:r>
              <w:rPr>
                <w:rFonts w:ascii="Times New Roman" w:hAnsi="Times New Roman" w:eastAsia="宋体" w:cs="Times New Roman"/>
                <w:kern w:val="2"/>
                <w:sz w:val="24"/>
                <w:szCs w:val="24"/>
                <w:lang w:val="en-US" w:eastAsia="zh-CN" w:bidi="ar-SA"/>
              </w:rPr>
              <w:pict>
                <v:group id="组合 1109" o:spid="_x0000_s1110" o:spt="203" style="height:70.1pt;width:264.8pt;" coordorigin="4484,332178" coordsize="5296,1402">
                  <o:lock v:ext="edit" position="f" selection="f" grouping="f" rotation="f" cropping="f" text="f" aspectratio="f"/>
                  <v:group id="组合 1110" o:spid="_x0000_s1111" o:spt="203" style="position:absolute;left:4520;top:333100;height:480;width:2095;" coordorigin="2615,333115" coordsize="2095,480">
                    <o:lock v:ext="edit" position="f" selection="f" grouping="f" rotation="f" cropping="f" text="f" aspectratio="f"/>
                    <v:shape id="文本框 10" o:spid="_x0000_s1112" o:spt="202" type="#_x0000_t202" style="position:absolute;left:2615;top:333115;height:480;width:1450;" fillcolor="#FFFFFF" filled="t" o:preferrelative="t" stroked="t" coordsize="21600,21600">
                      <v:path/>
                      <v:fill on="t" focussize="0,0"/>
                      <v:stroke color="#000000" color2="#FFFFFF" miterlimit="2"/>
                      <v:imagedata gain="65536f" blacklevel="0f" gamma="0" o:title=""/>
                      <o:lock v:ext="edit" position="f" selection="f" grouping="f" rotation="f" cropping="f" text="f" aspectratio="f"/>
                      <v:textbox>
                        <w:txbxContent>
                          <w:p>
                            <w:pPr>
                              <w:jc w:val="center"/>
                            </w:pPr>
                            <w:r>
                              <w:rPr>
                                <w:rFonts w:hint="eastAsia"/>
                              </w:rPr>
                              <w:t>旧设备拆除</w:t>
                            </w:r>
                          </w:p>
                        </w:txbxContent>
                      </v:textbox>
                    </v:shape>
                    <v:line id="直接连接符 11" o:spid="_x0000_s1113" o:spt="20" style="position:absolute;left:4080;top:333355;height:1;width:630;" fillcolor="#FFFFFF" filled="f" o:preferrelative="t" stroked="t" coordsize="21600,21600">
                      <v:path arrowok="t"/>
                      <v:fill on="f" color2="#FFFFFF" focussize="0,0"/>
                      <v:stroke color="#000000" color2="#FFFFFF" miterlimit="2" endarrow="block"/>
                      <v:imagedata gain="65536f" blacklevel="0f" gamma="0" o:title=""/>
                      <o:lock v:ext="edit" position="f" selection="f" grouping="f" rotation="f" cropping="f" text="f" aspectratio="f"/>
                    </v:line>
                  </v:group>
                  <v:group id="组合 1113" o:spid="_x0000_s1114" o:spt="203" style="position:absolute;left:6629;top:333085;height:480;width:1891;" coordorigin="2819,333115" coordsize="1891,480">
                    <o:lock v:ext="edit" position="f" selection="f" grouping="f" rotation="f" cropping="f" text="f" aspectratio="f"/>
                    <v:shape id="文本框 13" o:spid="_x0000_s1115" o:spt="202" type="#_x0000_t202" style="position:absolute;left:2819;top:333115;height:480;width:1246;" fillcolor="#FFFFFF" filled="t" o:preferrelative="t" stroked="t" coordsize="21600,21600">
                      <v:path/>
                      <v:fill on="t" focussize="0,0"/>
                      <v:stroke color="#000000" color2="#FFFFFF" miterlimit="2"/>
                      <v:imagedata gain="65536f" blacklevel="0f" gamma="0" o:title=""/>
                      <o:lock v:ext="edit" position="f" selection="f" grouping="f" rotation="f" cropping="f" text="f" aspectratio="f"/>
                      <v:textbox>
                        <w:txbxContent>
                          <w:p>
                            <w:pPr>
                              <w:jc w:val="center"/>
                            </w:pPr>
                            <w:r>
                              <w:rPr>
                                <w:rFonts w:hint="eastAsia"/>
                              </w:rPr>
                              <w:t>设备安装</w:t>
                            </w:r>
                          </w:p>
                        </w:txbxContent>
                      </v:textbox>
                    </v:shape>
                    <v:line id="直接连接符 14" o:spid="_x0000_s1116" o:spt="20" style="position:absolute;left:4080;top:333355;height:1;width:630;" fillcolor="#FFFFFF" filled="f" o:preferrelative="t" stroked="t" coordsize="21600,21600">
                      <v:path arrowok="t"/>
                      <v:fill on="f" color2="#FFFFFF" focussize="0,0"/>
                      <v:stroke color="#000000" color2="#FFFFFF" miterlimit="2" endarrow="block"/>
                      <v:imagedata gain="65536f" blacklevel="0f" gamma="0" o:title=""/>
                      <o:lock v:ext="edit" position="f" selection="f" grouping="f" rotation="f" cropping="f" text="f" aspectratio="f"/>
                    </v:line>
                  </v:group>
                  <v:shape id="文本框 16" o:spid="_x0000_s1117" o:spt="202" type="#_x0000_t202" style="position:absolute;left:8534;top:333070;height:480;width:1246;" fillcolor="#FFFFFF" filled="t" o:preferrelative="t" stroked="t" coordsize="21600,21600">
                    <v:path/>
                    <v:fill on="t" focussize="0,0"/>
                    <v:stroke color="#000000" color2="#FFFFFF" miterlimit="2"/>
                    <v:imagedata gain="65536f" blacklevel="0f" gamma="0" o:title=""/>
                    <o:lock v:ext="edit" position="f" selection="f" grouping="f" rotation="f" cropping="f" text="f" aspectratio="f"/>
                    <v:textbox>
                      <w:txbxContent>
                        <w:p>
                          <w:pPr>
                            <w:jc w:val="center"/>
                          </w:pPr>
                          <w:r>
                            <w:rPr>
                              <w:rFonts w:hint="eastAsia"/>
                            </w:rPr>
                            <w:t>工程验收</w:t>
                          </w:r>
                        </w:p>
                      </w:txbxContent>
                    </v:textbox>
                  </v:shape>
                  <v:line id="直接连接符 17" o:spid="_x0000_s1118" o:spt="20" style="position:absolute;left:7245;top:332666;flip:x y;height:434;width:1;" fillcolor="#FFFFFF" filled="f" o:preferrelative="t" stroked="t" coordsize="21600,21600">
                    <v:path arrowok="t"/>
                    <v:fill on="f" color2="#FFFFFF" focussize="0,0"/>
                    <v:stroke color="#000000" color2="#FFFFFF" miterlimit="2" dashstyle="dash" endarrow="block"/>
                    <v:imagedata gain="65536f" blacklevel="0f" gamma="0" o:title=""/>
                    <o:lock v:ext="edit" position="f" selection="f" grouping="f" rotation="f" cropping="f" text="f" aspectratio="f"/>
                  </v:line>
                  <v:shape id="文本框 18" o:spid="_x0000_s1119" o:spt="202" type="#_x0000_t202" style="position:absolute;left:4484;top:332178;height:480;width:3286;" fillcolor="#FFFFFF" filled="t" o:preferrelative="t" stroked="f" coordsize="21600,21600">
                    <v:path/>
                    <v:fill on="t" focussize="0,0"/>
                    <v:stroke on="f"/>
                    <v:imagedata gain="65536f" blacklevel="0f" gamma="0" o:title=""/>
                    <o:lock v:ext="edit" position="f" selection="f" grouping="f" rotation="f" cropping="f" text="f" aspectratio="f"/>
                    <v:textbox>
                      <w:txbxContent>
                        <w:p>
                          <w:pPr>
                            <w:jc w:val="center"/>
                          </w:pPr>
                          <w:r>
                            <w:rPr>
                              <w:rFonts w:hint="eastAsia"/>
                            </w:rPr>
                            <w:t>噪声、废水、废气、固体废物</w:t>
                          </w:r>
                        </w:p>
                      </w:txbxContent>
                    </v:textbox>
                  </v:shape>
                  <v:line id="直接连接符 19" o:spid="_x0000_s1120" o:spt="20" style="position:absolute;left:5344;top:332679;flip:x y;height:421;width:12;" fillcolor="#FFFFFF" filled="f" o:preferrelative="t" stroked="t" coordsize="21600,21600">
                    <v:path arrowok="t"/>
                    <v:fill on="f" color2="#FFFFFF" focussize="0,0"/>
                    <v:stroke color="#000000" color2="#FFFFFF" miterlimit="2" dashstyle="dash" endarrow="block"/>
                    <v:imagedata gain="65536f" blacklevel="0f" gamma="0" o:title=""/>
                    <o:lock v:ext="edit" position="f" selection="f" grouping="f" rotation="f" cropping="f" text="f" aspectratio="f"/>
                  </v:line>
                  <w10:wrap type="none"/>
                  <w10:anchorlock/>
                </v:group>
              </w:pict>
            </w:r>
          </w:p>
          <w:p>
            <w:pPr>
              <w:spacing w:afterLines="50"/>
              <w:ind w:firstLine="482"/>
              <w:jc w:val="center"/>
              <w:rPr>
                <w:b/>
                <w:bCs/>
                <w:kern w:val="0"/>
                <w:szCs w:val="21"/>
              </w:rPr>
            </w:pPr>
            <w:r>
              <w:rPr>
                <w:b/>
                <w:bCs/>
                <w:kern w:val="0"/>
                <w:szCs w:val="21"/>
              </w:rPr>
              <w:t>图</w:t>
            </w:r>
            <w:r>
              <w:rPr>
                <w:rFonts w:hint="eastAsia"/>
                <w:b/>
                <w:bCs/>
                <w:kern w:val="0"/>
                <w:szCs w:val="21"/>
              </w:rPr>
              <w:t>3</w:t>
            </w:r>
            <w:r>
              <w:rPr>
                <w:b/>
                <w:bCs/>
                <w:kern w:val="0"/>
                <w:szCs w:val="21"/>
              </w:rPr>
              <w:t xml:space="preserve">  </w:t>
            </w:r>
            <w:r>
              <w:rPr>
                <w:rFonts w:hint="eastAsia"/>
                <w:b/>
                <w:bCs/>
                <w:kern w:val="0"/>
                <w:szCs w:val="21"/>
              </w:rPr>
              <w:t>施工期</w:t>
            </w:r>
            <w:r>
              <w:rPr>
                <w:b/>
                <w:bCs/>
                <w:kern w:val="0"/>
                <w:szCs w:val="21"/>
              </w:rPr>
              <w:t>工艺流程及产排污节点图</w:t>
            </w:r>
          </w:p>
          <w:p>
            <w:pPr>
              <w:adjustRightInd w:val="0"/>
              <w:snapToGrid w:val="0"/>
              <w:spacing w:line="360" w:lineRule="auto"/>
              <w:ind w:firstLine="480" w:firstLineChars="200"/>
              <w:rPr>
                <w:kern w:val="0"/>
                <w:sz w:val="24"/>
              </w:rPr>
            </w:pPr>
            <w:r>
              <w:rPr>
                <w:rFonts w:hint="eastAsia"/>
                <w:kern w:val="0"/>
                <w:sz w:val="24"/>
              </w:rPr>
              <w:t>2、运营期工艺流程及产排污节点</w:t>
            </w:r>
          </w:p>
          <w:p>
            <w:pPr>
              <w:adjustRightInd w:val="0"/>
              <w:snapToGrid w:val="0"/>
              <w:spacing w:line="360" w:lineRule="auto"/>
              <w:ind w:firstLine="480" w:firstLineChars="200"/>
              <w:rPr>
                <w:bCs/>
                <w:sz w:val="24"/>
                <w:u w:val="single"/>
              </w:rPr>
            </w:pPr>
            <w:r>
              <w:rPr>
                <w:rFonts w:hint="eastAsia"/>
                <w:bCs/>
                <w:sz w:val="24"/>
                <w:u w:val="single"/>
              </w:rPr>
              <w:t>本项目燃生物质蒸汽锅炉用于企业水泥管生产过程中的养护工序，为养护工序提供所需的饱和水蒸</w:t>
            </w:r>
            <w:r>
              <w:rPr>
                <w:rFonts w:hint="eastAsia"/>
                <w:bCs/>
                <w:sz w:val="24"/>
                <w:u w:val="single"/>
                <w:lang w:eastAsia="zh-CN"/>
              </w:rPr>
              <w:t>气</w:t>
            </w:r>
            <w:r>
              <w:rPr>
                <w:rFonts w:hint="eastAsia"/>
                <w:bCs/>
                <w:sz w:val="24"/>
                <w:u w:val="single"/>
              </w:rPr>
              <w:t>。</w:t>
            </w:r>
            <w:r>
              <w:rPr>
                <w:rFonts w:hint="eastAsia"/>
                <w:kern w:val="0"/>
                <w:sz w:val="24"/>
                <w:u w:val="single"/>
              </w:rPr>
              <w:t>项目燃生物质锅炉燃料为生物质成型颗粒，生物质颗粒经输送系统送至锅炉燃烧产生蒸汽用于生产。</w:t>
            </w:r>
            <w:r>
              <w:rPr>
                <w:rFonts w:hint="eastAsia"/>
                <w:bCs/>
                <w:sz w:val="24"/>
                <w:u w:val="single"/>
              </w:rPr>
              <w:t>锅炉产生的</w:t>
            </w:r>
            <w:r>
              <w:rPr>
                <w:rFonts w:hint="eastAsia"/>
                <w:kern w:val="0"/>
                <w:sz w:val="24"/>
                <w:u w:val="single"/>
              </w:rPr>
              <w:t>蒸汽用于现有水泥制品养护</w:t>
            </w:r>
            <w:r>
              <w:rPr>
                <w:rFonts w:hint="eastAsia"/>
                <w:bCs/>
                <w:sz w:val="24"/>
                <w:u w:val="single"/>
              </w:rPr>
              <w:t>工段。</w:t>
            </w:r>
            <w:r>
              <w:rPr>
                <w:rFonts w:hint="eastAsia"/>
                <w:kern w:val="0"/>
                <w:sz w:val="24"/>
                <w:u w:val="single"/>
              </w:rPr>
              <w:t>锅炉运行过程中会产生锅炉烟气，主要污染物为颗粒物、SO</w:t>
            </w:r>
            <w:r>
              <w:rPr>
                <w:rFonts w:hint="eastAsia"/>
                <w:kern w:val="0"/>
                <w:sz w:val="24"/>
                <w:u w:val="single"/>
                <w:vertAlign w:val="subscript"/>
              </w:rPr>
              <w:t>2</w:t>
            </w:r>
            <w:r>
              <w:rPr>
                <w:rFonts w:hint="eastAsia"/>
                <w:kern w:val="0"/>
                <w:sz w:val="24"/>
                <w:u w:val="single"/>
              </w:rPr>
              <w:t>及NO</w:t>
            </w:r>
            <w:r>
              <w:rPr>
                <w:rFonts w:hint="eastAsia"/>
                <w:kern w:val="0"/>
                <w:sz w:val="24"/>
                <w:u w:val="single"/>
                <w:vertAlign w:val="subscript"/>
              </w:rPr>
              <w:t>X</w:t>
            </w:r>
            <w:r>
              <w:rPr>
                <w:rFonts w:hint="eastAsia"/>
                <w:bCs/>
                <w:sz w:val="24"/>
                <w:u w:val="single"/>
              </w:rPr>
              <w:t>等废气污染物，产生的锅炉烟气</w:t>
            </w:r>
            <w:r>
              <w:rPr>
                <w:rFonts w:hint="eastAsia"/>
                <w:kern w:val="0"/>
                <w:sz w:val="24"/>
                <w:u w:val="single"/>
              </w:rPr>
              <w:t>通过低氮燃烧+陶瓷多管+布袋除尘器处理后通过30m高排气筒排放。</w:t>
            </w:r>
          </w:p>
          <w:p>
            <w:pPr>
              <w:adjustRightInd w:val="0"/>
              <w:snapToGrid w:val="0"/>
              <w:spacing w:line="360" w:lineRule="auto"/>
              <w:ind w:firstLine="480" w:firstLineChars="200"/>
              <w:rPr>
                <w:bCs/>
                <w:sz w:val="24"/>
                <w:u w:val="single"/>
              </w:rPr>
            </w:pPr>
            <w:r>
              <w:rPr>
                <w:rFonts w:hint="eastAsia"/>
                <w:bCs/>
                <w:sz w:val="24"/>
                <w:u w:val="single"/>
              </w:rPr>
              <w:t>本项目运营期工艺流程和产污环节详见下图：</w:t>
            </w:r>
          </w:p>
          <w:p>
            <w:pPr>
              <w:jc w:val="center"/>
              <w:rPr>
                <w:b/>
                <w:bCs/>
                <w:kern w:val="0"/>
                <w:szCs w:val="21"/>
              </w:rPr>
            </w:pPr>
            <w:r>
              <w:rPr>
                <w:rFonts w:ascii="Times New Roman" w:hAnsi="Times New Roman" w:eastAsia="宋体" w:cs="Times New Roman"/>
                <w:kern w:val="2"/>
                <w:sz w:val="21"/>
                <w:szCs w:val="24"/>
                <w:lang w:val="en-US" w:eastAsia="zh-CN" w:bidi="ar-SA"/>
              </w:rPr>
              <w:pict>
                <v:group id="组合 1120" o:spid="_x0000_s1121" o:spt="203" style="height:164.6pt;width:320.8pt;" coordorigin="3386,283208" coordsize="6416,3292">
                  <o:lock v:ext="edit" position="f" selection="f" grouping="f" rotation="f" cropping="f" text="f" aspectratio="f"/>
                  <v:group id="组合 1121" o:spid="_x0000_s1122" o:spt="203" style="position:absolute;left:3386;top:283208;height:2486;width:6416;" coordorigin="9790,175002" coordsize="6416,2486">
                    <o:lock v:ext="edit" position="f" selection="f" grouping="f" rotation="f" cropping="f" text="f" aspectratio="f"/>
                    <v:shape id="_x0000_s1123" o:spid="_x0000_s1123" o:spt="202" type="#_x0000_t202" style="position:absolute;left:14735;top:175117;height:465;width:1471;" fillcolor="#FFFFFF" filled="t" o:preferrelative="t" stroked="t" coordsize="21600,21600">
                      <v:path/>
                      <v:fill on="t" focussize="0,0"/>
                      <v:stroke color="#000000" color2="#FFFFFF" miterlimit="2"/>
                      <v:imagedata gain="65536f" blacklevel="0f" gamma="0" o:title=""/>
                      <o:lock v:ext="edit" position="f" selection="f" grouping="f" rotation="f" cropping="f" text="f" aspectratio="f"/>
                      <v:textbox>
                        <w:txbxContent>
                          <w:p>
                            <w:pPr>
                              <w:jc w:val="center"/>
                            </w:pPr>
                            <w:r>
                              <w:rPr>
                                <w:rFonts w:hint="eastAsia"/>
                              </w:rPr>
                              <w:t>30m排气筒</w:t>
                            </w:r>
                          </w:p>
                        </w:txbxContent>
                      </v:textbox>
                    </v:shape>
                    <v:shape id="_x0000_s1124" o:spid="_x0000_s1124" o:spt="32" type="#_x0000_t32" style="position:absolute;left:14071;top:175350;flip:y;height:1;width:664;" fillcolor="#FFFFFF" filled="t" o:preferrelative="t" stroked="t" coordsize="21600,21600">
                      <v:path arrowok="t"/>
                      <v:fill on="t" focussize="0,0"/>
                      <v:stroke color="#000000" color2="#FFFFFF" miterlimit="2" endarrow="block"/>
                      <v:imagedata gain="65536f" blacklevel="0f" gamma="0" o:title=""/>
                      <o:lock v:ext="edit" position="f" selection="f" grouping="f" rotation="f" cropping="f" text="f" aspectratio="f"/>
                    </v:shape>
                    <v:shape id="_x0000_s1125" o:spid="_x0000_s1125" o:spt="202" type="#_x0000_t202" style="position:absolute;left:11758;top:175002;height:697;width:2313;" fillcolor="#FFFFFF" filled="t" o:preferrelative="t" stroked="t" coordsize="21600,21600">
                      <v:path/>
                      <v:fill on="t" focussize="0,0"/>
                      <v:stroke color="#000000" color2="#FFFFFF" miterlimit="2"/>
                      <v:imagedata gain="65536f" blacklevel="0f" gamma="0" o:title=""/>
                      <o:lock v:ext="edit" position="f" selection="f" grouping="f" rotation="f" cropping="f" text="f" aspectratio="f"/>
                      <v:textbox>
                        <w:txbxContent>
                          <w:p>
                            <w:pPr>
                              <w:jc w:val="center"/>
                            </w:pPr>
                            <w:r>
                              <w:rPr>
                                <w:rFonts w:hint="eastAsia"/>
                              </w:rPr>
                              <w:t>低氮燃烧+陶瓷多管+布袋除尘器</w:t>
                            </w:r>
                          </w:p>
                        </w:txbxContent>
                      </v:textbox>
                    </v:shape>
                    <v:shape id="_x0000_s1126" o:spid="_x0000_s1126" o:spt="32" type="#_x0000_t32" style="position:absolute;left:12906;top:175712;flip:y;height:504;width:4;" fillcolor="#FFFFFF" filled="t" o:preferrelative="t" stroked="t" coordsize="21600,21600">
                      <v:path arrowok="t"/>
                      <v:fill on="t" focussize="0,0"/>
                      <v:stroke color="#000000" color2="#FFFFFF" miterlimit="2" dashstyle="dash" endarrow="block"/>
                      <v:imagedata gain="65536f" blacklevel="0f" gamma="0" o:title=""/>
                      <o:lock v:ext="edit" position="f" selection="f" grouping="f" rotation="f" cropping="f" text="f" aspectratio="f"/>
                    </v:shape>
                    <v:shape id="_x0000_s1127" o:spid="_x0000_s1127" o:spt="202" type="#_x0000_t202" style="position:absolute;left:14200;top:176240;height:465;width:780;" fillcolor="#FFFFFF" filled="f" o:preferrelative="t" stroked="f" coordsize="21600,21600">
                      <v:path/>
                      <v:fill on="f" color2="#FFFFFF" focussize="0,0"/>
                      <v:stroke on="f"/>
                      <v:imagedata gain="65536f" blacklevel="0f" gamma="0" o:title=""/>
                      <o:lock v:ext="edit" position="f" selection="f" grouping="f" rotation="f" cropping="f" text="f" aspectratio="f"/>
                      <v:textbox>
                        <w:txbxContent>
                          <w:p>
                            <w:pPr>
                              <w:jc w:val="center"/>
                            </w:pPr>
                            <w:r>
                              <w:rPr>
                                <w:rFonts w:hint="eastAsia"/>
                              </w:rPr>
                              <w:t>蒸汽</w:t>
                            </w:r>
                          </w:p>
                        </w:txbxContent>
                      </v:textbox>
                    </v:shape>
                    <v:shape id="_x0000_s1128" o:spid="_x0000_s1128" o:spt="202" type="#_x0000_t202" style="position:absolute;left:9790;top:176157;height:665;width:1045;" fillcolor="#FFFFFF" filled="t" o:preferrelative="t" stroked="f" coordsize="21600,21600">
                      <v:path/>
                      <v:fill on="t" focussize="0,0"/>
                      <v:stroke on="f"/>
                      <v:imagedata gain="65536f" blacklevel="0f" gamma="0" o:title=""/>
                      <o:lock v:ext="edit" position="f" selection="f" grouping="f" rotation="f" cropping="f" text="f" aspectratio="f"/>
                      <v:textbox>
                        <w:txbxContent>
                          <w:p>
                            <w:pPr>
                              <w:jc w:val="center"/>
                            </w:pPr>
                            <w:r>
                              <w:rPr>
                                <w:rFonts w:hint="eastAsia"/>
                              </w:rPr>
                              <w:t>生物质颗粒</w:t>
                            </w:r>
                          </w:p>
                        </w:txbxContent>
                      </v:textbox>
                    </v:shape>
                    <v:shape id="_x0000_s1129" o:spid="_x0000_s1129" o:spt="32" type="#_x0000_t32" style="position:absolute;left:10835;top:176485;flip:y;height:5;width:772;" fillcolor="#FFFFFF" filled="t" o:preferrelative="t" stroked="t" coordsize="21600,21600">
                      <v:path arrowok="t"/>
                      <v:fill on="t" focussize="0,0"/>
                      <v:stroke color="#000000" color2="#FFFFFF" miterlimit="2" endarrow="block"/>
                      <v:imagedata gain="65536f" blacklevel="0f" gamma="0" o:title=""/>
                      <o:lock v:ext="edit" position="f" selection="f" grouping="f" rotation="f" cropping="f" text="f" aspectratio="f"/>
                    </v:shape>
                    <v:shape id="_x0000_s1130" o:spid="_x0000_s1130" o:spt="32" type="#_x0000_t32" style="position:absolute;left:13296;top:176474;height:0;width:825;" fillcolor="#FFFFFF" filled="t" o:preferrelative="t" stroked="t" coordsize="21600,21600">
                      <v:path arrowok="t"/>
                      <v:fill on="t" focussize="0,0"/>
                      <v:stroke color="#000000" color2="#FFFFFF" miterlimit="2" endarrow="block"/>
                      <v:imagedata gain="65536f" blacklevel="0f" gamma="0" o:title=""/>
                      <o:lock v:ext="edit" position="f" selection="f" grouping="f" rotation="f" cropping="f" text="f" aspectratio="f"/>
                    </v:shape>
                    <v:shape id="_x0000_s1131" o:spid="_x0000_s1131" o:spt="202" type="#_x0000_t202" style="position:absolute;left:11607;top:176252;height:465;width:1665;" fillcolor="#FFFFFF" filled="t" o:preferrelative="t" stroked="t" coordsize="21600,21600">
                      <v:path/>
                      <v:fill on="t" focussize="0,0"/>
                      <v:stroke color="#000000" color2="#FFFFFF" miterlimit="2"/>
                      <v:imagedata gain="65536f" blacklevel="0f" gamma="0" o:title=""/>
                      <o:lock v:ext="edit" position="f" selection="f" grouping="f" rotation="f" cropping="f" text="f" aspectratio="f"/>
                      <v:textbox>
                        <w:txbxContent>
                          <w:p>
                            <w:pPr>
                              <w:jc w:val="center"/>
                            </w:pPr>
                            <w:r>
                              <w:rPr>
                                <w:rFonts w:hint="eastAsia"/>
                              </w:rPr>
                              <w:t>燃生物质锅炉</w:t>
                            </w:r>
                          </w:p>
                        </w:txbxContent>
                      </v:textbox>
                    </v:shape>
                    <v:shape id="_x0000_s1132" o:spid="_x0000_s1132" o:spt="32" type="#_x0000_t32" style="position:absolute;left:14590;top:176705;height:255;width:2;" fillcolor="#FFFFFF" filled="t" o:preferrelative="t" stroked="t" coordsize="21600,21600">
                      <v:path arrowok="t"/>
                      <v:fill on="t" focussize="0,0"/>
                      <v:stroke color="#000000" color2="#FFFFFF" miterlimit="2" endarrow="block"/>
                      <v:imagedata gain="65536f" blacklevel="0f" gamma="0" o:title=""/>
                      <o:lock v:ext="edit" position="f" selection="f" grouping="f" rotation="f" cropping="f" text="f" aspectratio="f"/>
                    </v:shape>
                    <v:shape id="_x0000_s1133" o:spid="_x0000_s1133" o:spt="202" type="#_x0000_t202" style="position:absolute;left:13774;top:176960;height:479;width:1635;" fillcolor="#FFFFFF" filled="t" o:preferrelative="t" stroked="f" coordsize="21600,21600">
                      <v:path/>
                      <v:fill on="t" focussize="0,0"/>
                      <v:stroke on="f"/>
                      <v:imagedata gain="65536f" blacklevel="0f" gamma="0" o:title=""/>
                      <o:lock v:ext="edit" position="f" selection="f" grouping="f" rotation="f" cropping="f" text="f" aspectratio="f"/>
                      <v:textbox>
                        <w:txbxContent>
                          <w:p>
                            <w:pPr>
                              <w:jc w:val="center"/>
                            </w:pPr>
                            <w:r>
                              <w:rPr>
                                <w:rFonts w:hint="eastAsia"/>
                              </w:rPr>
                              <w:t>用于生产养护</w:t>
                            </w:r>
                          </w:p>
                        </w:txbxContent>
                      </v:textbox>
                    </v:shape>
                    <v:shape id="_x0000_s1134" o:spid="_x0000_s1134" o:spt="32" type="#_x0000_t32" style="position:absolute;left:12440;top:176717;height:306;width:11;" fillcolor="#FFFFFF" filled="t" o:preferrelative="t" stroked="t" coordsize="21600,21600">
                      <v:path arrowok="t"/>
                      <v:fill on="t" focussize="0,0"/>
                      <v:stroke color="#000000" color2="#FFFFFF" miterlimit="2" dashstyle="dashDot" endarrow="block"/>
                      <v:imagedata gain="65536f" blacklevel="0f" gamma="0" o:title=""/>
                      <o:lock v:ext="edit" position="f" selection="f" grouping="f" rotation="f" cropping="f" text="f" aspectratio="f"/>
                    </v:shape>
                    <v:shape id="_x0000_s1135" o:spid="_x0000_s1135" o:spt="202" type="#_x0000_t202" style="position:absolute;left:11517;top:177023;height:465;width:1868;" fillcolor="#FFFFFF" filled="f" o:preferrelative="t" stroked="f" coordsize="21600,21600">
                      <v:path/>
                      <v:fill on="f" color2="#FFFFFF" focussize="0,0"/>
                      <v:stroke on="f"/>
                      <v:imagedata gain="65536f" blacklevel="0f" gamma="0" o:title=""/>
                      <o:lock v:ext="edit" position="f" selection="f" grouping="f" rotation="f" cropping="f" text="f" aspectratio="f"/>
                      <v:textbox>
                        <w:txbxContent>
                          <w:p>
                            <w:r>
                              <w:rPr>
                                <w:rFonts w:hint="eastAsia"/>
                              </w:rPr>
                              <w:t>灰渣、废水、噪声</w:t>
                            </w:r>
                          </w:p>
                        </w:txbxContent>
                      </v:textbox>
                    </v:shape>
                    <v:shape id="_x0000_s1136" o:spid="_x0000_s1136" o:spt="202" type="#_x0000_t202" style="position:absolute;left:12937;top:175752;height:465;width:1279;" fillcolor="#FFFFFF" filled="f" o:preferrelative="t" stroked="f" coordsize="21600,21600">
                      <v:path/>
                      <v:fill on="f" color2="#FFFFFF" focussize="0,0"/>
                      <v:stroke on="f"/>
                      <v:imagedata gain="65536f" blacklevel="0f" gamma="0" o:title=""/>
                      <o:lock v:ext="edit" position="f" selection="f" grouping="f" rotation="f" cropping="f" text="f" aspectratio="f"/>
                      <v:textbox>
                        <w:txbxContent>
                          <w:p>
                            <w:pPr>
                              <w:jc w:val="center"/>
                            </w:pPr>
                            <w:r>
                              <w:rPr>
                                <w:rFonts w:hint="eastAsia"/>
                              </w:rPr>
                              <w:t>锅炉烟气</w:t>
                            </w:r>
                          </w:p>
                        </w:txbxContent>
                      </v:textbox>
                    </v:shape>
                    <v:shape id="_x0000_s1137" o:spid="_x0000_s1137" o:spt="202" type="#_x0000_t202" style="position:absolute;left:10329;top:175607;height:429;width:568;" fillcolor="#FFFFFF" filled="f" o:preferrelative="t" stroked="f" coordsize="21600,21600">
                      <v:path/>
                      <v:fill on="f" color2="#FFFFFF" focussize="0,0"/>
                      <v:stroke on="f"/>
                      <v:imagedata gain="65536f" blacklevel="0f" gamma="0" o:title=""/>
                      <o:lock v:ext="edit" position="f" selection="f" grouping="f" rotation="f" cropping="f" text="f" aspectratio="f"/>
                      <v:textbox>
                        <w:txbxContent>
                          <w:p>
                            <w:pPr>
                              <w:jc w:val="center"/>
                            </w:pPr>
                            <w:r>
                              <w:rPr>
                                <w:rFonts w:hint="eastAsia"/>
                              </w:rPr>
                              <w:t>水</w:t>
                            </w:r>
                          </w:p>
                        </w:txbxContent>
                      </v:textbox>
                    </v:shape>
                    <v:shape id="_x0000_s1138" o:spid="_x0000_s1138" o:spt="33" type="#_x0000_t33" style="position:absolute;left:10897;top:175822;height:430;width:1243;" fillcolor="#FFFFFF" filled="t" o:preferrelative="t" stroked="t" coordsize="21600,21600">
                      <v:path arrowok="t"/>
                      <v:fill on="t" focussize="0,0"/>
                      <v:stroke color="#000000" color2="#FFFFFF" miterlimit="2" endarrow="block"/>
                      <v:imagedata gain="65536f" blacklevel="0f" gamma="0" o:title=""/>
                      <o:lock v:ext="edit" position="f" selection="f" grouping="f" rotation="f" cropping="f" text="f" aspectratio="f"/>
                    </v:shape>
                  </v:group>
                  <v:shape id="_x0000_s1139" o:spid="_x0000_s1139" o:spt="202" type="#_x0000_t202" style="position:absolute;left:7368;top:286021;height:479;width:1635;" fillcolor="#FFFFFF" filled="t" o:preferrelative="t" stroked="f" coordsize="21600,21600">
                    <v:path/>
                    <v:fill on="t" focussize="0,0"/>
                    <v:stroke on="f"/>
                    <v:imagedata gain="65536f" blacklevel="0f" gamma="0" o:title=""/>
                    <o:lock v:ext="edit" position="f" selection="f" grouping="f" rotation="f" cropping="f" text="f" aspectratio="f"/>
                    <v:textbox>
                      <w:txbxContent>
                        <w:p>
                          <w:pPr>
                            <w:jc w:val="center"/>
                          </w:pPr>
                          <w:r>
                            <w:rPr>
                              <w:rFonts w:hint="eastAsia"/>
                            </w:rPr>
                            <w:t>回用于生产</w:t>
                          </w:r>
                        </w:p>
                      </w:txbxContent>
                    </v:textbox>
                  </v:shape>
                  <v:shape id="_x0000_s1140" o:spid="_x0000_s1140" o:spt="32" type="#_x0000_t32" style="position:absolute;left:8186;top:285645;flip:x;height:376;width:2;" fillcolor="#FFFFFF" filled="t" o:preferrelative="t" stroked="t" coordsize="21600,21600">
                    <v:path arrowok="t"/>
                    <v:fill on="t" focussize="0,0"/>
                    <v:stroke color="#000000" color2="#FFFFFF" miterlimit="2" dashstyle="dashDot" endarrow="block"/>
                    <v:imagedata gain="65536f" blacklevel="0f" gamma="0" o:title=""/>
                    <o:lock v:ext="edit" position="f" selection="f" grouping="f" rotation="f" cropping="f" text="f" aspectratio="f"/>
                  </v:shape>
                  <v:shape id="_x0000_s1141" o:spid="_x0000_s1141" o:spt="202" type="#_x0000_t202" style="position:absolute;left:8035;top:285524;height:479;width:1076;" fillcolor="#FFFFFF" filled="f" o:preferrelative="t" stroked="f" coordsize="21600,21600">
                    <v:path/>
                    <v:fill on="f" color2="#FFFFFF" focussize="0,0"/>
                    <v:stroke on="f"/>
                    <v:imagedata gain="65536f" blacklevel="0f" gamma="0" o:title=""/>
                    <o:lock v:ext="edit" position="f" selection="f" grouping="f" rotation="f" cropping="f" text="f" aspectratio="f"/>
                    <v:textbox>
                      <w:txbxContent>
                        <w:p>
                          <w:pPr>
                            <w:jc w:val="center"/>
                          </w:pPr>
                          <w:r>
                            <w:rPr>
                              <w:rFonts w:hint="eastAsia"/>
                            </w:rPr>
                            <w:t>冷凝水</w:t>
                          </w:r>
                        </w:p>
                      </w:txbxContent>
                    </v:textbox>
                  </v:shape>
                  <w10:wrap type="none"/>
                  <w10:anchorlock/>
                </v:group>
              </w:pict>
            </w:r>
          </w:p>
          <w:p>
            <w:pPr>
              <w:spacing w:afterLines="50"/>
              <w:ind w:firstLine="482"/>
              <w:jc w:val="center"/>
              <w:rPr>
                <w:b/>
                <w:bCs/>
                <w:kern w:val="0"/>
                <w:szCs w:val="21"/>
                <w:u w:val="single"/>
              </w:rPr>
            </w:pPr>
            <w:r>
              <w:rPr>
                <w:b/>
                <w:bCs/>
                <w:kern w:val="0"/>
                <w:szCs w:val="21"/>
                <w:u w:val="single"/>
              </w:rPr>
              <w:t>图</w:t>
            </w:r>
            <w:r>
              <w:rPr>
                <w:rFonts w:hint="eastAsia"/>
                <w:b/>
                <w:bCs/>
                <w:kern w:val="0"/>
                <w:szCs w:val="21"/>
                <w:u w:val="single"/>
              </w:rPr>
              <w:t>4</w:t>
            </w:r>
            <w:r>
              <w:rPr>
                <w:b/>
                <w:bCs/>
                <w:kern w:val="0"/>
                <w:szCs w:val="21"/>
                <w:u w:val="single"/>
              </w:rPr>
              <w:t xml:space="preserve">  </w:t>
            </w:r>
            <w:r>
              <w:rPr>
                <w:rFonts w:hint="eastAsia"/>
                <w:b/>
                <w:bCs/>
                <w:kern w:val="0"/>
                <w:szCs w:val="21"/>
                <w:u w:val="single"/>
              </w:rPr>
              <w:t>运营期</w:t>
            </w:r>
            <w:r>
              <w:rPr>
                <w:b/>
                <w:bCs/>
                <w:kern w:val="0"/>
                <w:szCs w:val="21"/>
                <w:u w:val="single"/>
              </w:rPr>
              <w:t>工艺流程及产排污节点图</w:t>
            </w:r>
          </w:p>
          <w:p>
            <w:pPr>
              <w:spacing w:line="360" w:lineRule="auto"/>
              <w:ind w:firstLine="480" w:firstLineChars="200"/>
              <w:rPr>
                <w:bCs/>
                <w:sz w:val="24"/>
              </w:rPr>
            </w:pPr>
            <w:r>
              <w:rPr>
                <w:rFonts w:hint="eastAsia"/>
                <w:bCs/>
                <w:sz w:val="24"/>
              </w:rPr>
              <w:t>（1）废水</w:t>
            </w:r>
          </w:p>
          <w:p>
            <w:pPr>
              <w:spacing w:line="360" w:lineRule="auto"/>
              <w:ind w:firstLine="480" w:firstLineChars="200"/>
              <w:rPr>
                <w:bCs/>
                <w:sz w:val="24"/>
              </w:rPr>
            </w:pPr>
            <w:r>
              <w:rPr>
                <w:rFonts w:hint="eastAsia"/>
                <w:bCs/>
                <w:sz w:val="24"/>
              </w:rPr>
              <w:t>项目废水主要为锅炉排污水、软化处理废水及蒸汽冷凝水，用于浇渣降尘或回用于生产，不外排。</w:t>
            </w:r>
          </w:p>
          <w:p>
            <w:pPr>
              <w:spacing w:line="360" w:lineRule="auto"/>
              <w:ind w:firstLine="480" w:firstLineChars="200"/>
              <w:rPr>
                <w:bCs/>
                <w:sz w:val="24"/>
              </w:rPr>
            </w:pPr>
            <w:r>
              <w:rPr>
                <w:rFonts w:hint="eastAsia"/>
                <w:bCs/>
                <w:sz w:val="24"/>
              </w:rPr>
              <w:t>（2）废气</w:t>
            </w:r>
          </w:p>
          <w:p>
            <w:pPr>
              <w:spacing w:line="360" w:lineRule="auto"/>
              <w:ind w:firstLine="480" w:firstLineChars="200"/>
              <w:rPr>
                <w:bCs/>
                <w:sz w:val="24"/>
              </w:rPr>
            </w:pPr>
            <w:r>
              <w:rPr>
                <w:rFonts w:hint="eastAsia"/>
                <w:bCs/>
                <w:sz w:val="24"/>
              </w:rPr>
              <w:t>项目废气主要包括锅炉燃烧产生的锅炉烟气。</w:t>
            </w:r>
          </w:p>
          <w:p>
            <w:pPr>
              <w:spacing w:line="360" w:lineRule="auto"/>
              <w:ind w:firstLine="480" w:firstLineChars="200"/>
              <w:rPr>
                <w:bCs/>
                <w:sz w:val="24"/>
              </w:rPr>
            </w:pPr>
            <w:r>
              <w:rPr>
                <w:rFonts w:hint="eastAsia"/>
                <w:bCs/>
                <w:sz w:val="24"/>
              </w:rPr>
              <w:t>（3）噪声</w:t>
            </w:r>
          </w:p>
          <w:p>
            <w:pPr>
              <w:spacing w:line="360" w:lineRule="auto"/>
              <w:ind w:firstLine="480" w:firstLineChars="200"/>
              <w:rPr>
                <w:bCs/>
                <w:sz w:val="24"/>
              </w:rPr>
            </w:pPr>
            <w:r>
              <w:rPr>
                <w:rFonts w:hint="eastAsia"/>
                <w:bCs/>
                <w:sz w:val="24"/>
              </w:rPr>
              <w:t>项目营运期主要噪声源来自锅炉运行噪声。</w:t>
            </w:r>
          </w:p>
          <w:p>
            <w:pPr>
              <w:spacing w:line="360" w:lineRule="auto"/>
              <w:ind w:firstLine="480" w:firstLineChars="200"/>
              <w:rPr>
                <w:bCs/>
                <w:sz w:val="24"/>
              </w:rPr>
            </w:pPr>
            <w:r>
              <w:rPr>
                <w:rFonts w:hint="eastAsia"/>
                <w:bCs/>
                <w:sz w:val="24"/>
              </w:rPr>
              <w:t>（4）固体废物</w:t>
            </w:r>
          </w:p>
          <w:p>
            <w:pPr>
              <w:spacing w:line="360" w:lineRule="auto"/>
              <w:ind w:firstLine="480" w:firstLineChars="200"/>
              <w:rPr>
                <w:rFonts w:ascii="宋体" w:hAnsi="宋体"/>
                <w:bCs/>
                <w:szCs w:val="21"/>
              </w:rPr>
            </w:pPr>
            <w:r>
              <w:rPr>
                <w:rFonts w:hint="eastAsia"/>
                <w:bCs/>
                <w:sz w:val="24"/>
              </w:rPr>
              <w:t>项目固体废物主要为除尘器收集的粉尘、锅炉灰渣、废离子交换树脂、废布袋。</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3" w:type="dxa"/>
            <w:vAlign w:val="center"/>
          </w:tcPr>
          <w:p>
            <w:pPr>
              <w:pStyle w:val="17"/>
              <w:adjustRightInd w:val="0"/>
              <w:snapToGrid w:val="0"/>
              <w:spacing w:before="120" w:beforeAutospacing="0" w:after="0" w:afterAutospacing="0"/>
              <w:ind w:firstLine="420"/>
              <w:jc w:val="center"/>
              <w:rPr>
                <w:rFonts w:cs="宋体"/>
                <w:sz w:val="21"/>
                <w:szCs w:val="21"/>
              </w:rPr>
            </w:pPr>
            <w:r>
              <w:rPr>
                <w:rFonts w:hint="eastAsia" w:cs="宋体"/>
                <w:bCs/>
                <w:kern w:val="2"/>
                <w:sz w:val="21"/>
                <w:szCs w:val="21"/>
              </w:rPr>
              <w:t>与项目有关的原有环境污染问题</w:t>
            </w:r>
          </w:p>
        </w:tc>
        <w:tc>
          <w:tcPr>
            <w:tcW w:w="8161" w:type="dxa"/>
            <w:vAlign w:val="center"/>
          </w:tcPr>
          <w:p>
            <w:pPr>
              <w:spacing w:beforeLines="50" w:line="360" w:lineRule="auto"/>
              <w:ind w:firstLine="482" w:firstLineChars="200"/>
              <w:rPr>
                <w:b/>
                <w:bCs/>
                <w:sz w:val="24"/>
              </w:rPr>
            </w:pPr>
            <w:r>
              <w:rPr>
                <w:rFonts w:hint="eastAsia"/>
                <w:b/>
                <w:bCs/>
                <w:sz w:val="24"/>
              </w:rPr>
              <w:t>1、现有项目环保手续履行情况</w:t>
            </w:r>
          </w:p>
          <w:p>
            <w:pPr>
              <w:adjustRightInd w:val="0"/>
              <w:snapToGrid w:val="0"/>
              <w:spacing w:line="360" w:lineRule="auto"/>
              <w:ind w:firstLine="480" w:firstLineChars="200"/>
              <w:rPr>
                <w:bCs/>
                <w:sz w:val="24"/>
              </w:rPr>
            </w:pPr>
            <w:r>
              <w:rPr>
                <w:rFonts w:hint="eastAsia"/>
                <w:bCs/>
                <w:sz w:val="24"/>
              </w:rPr>
              <w:t>柳河启城水泥制品有限公司位于吉林省通化市柳河县五道沟镇教堂子村，企业于2017年委托吉林大学编制了《柳河启城水泥管厂水泥管生产线项目环境影响报告表》，并于2017年4月取得了原柳河县环境保护局关于此项目的批复，批复文号为柳环审字[2017]6号，该项目于2017年9月30日通过竣工环境保护验收，验收文号为柳环验（2017）15号。</w:t>
            </w:r>
            <w:r>
              <w:rPr>
                <w:rFonts w:hint="eastAsia"/>
                <w:bCs/>
                <w:sz w:val="24"/>
                <w:u w:val="single"/>
              </w:rPr>
              <w:t>企业现有项目排污许可类别为水泥制品制造，属于登记管理，现有项目排污许可登记编号为：91220524MA14B0Y416002W。</w:t>
            </w:r>
          </w:p>
          <w:p>
            <w:pPr>
              <w:adjustRightInd w:val="0"/>
              <w:snapToGrid w:val="0"/>
              <w:spacing w:line="360" w:lineRule="auto"/>
              <w:ind w:firstLine="482" w:firstLineChars="200"/>
              <w:rPr>
                <w:b/>
                <w:sz w:val="24"/>
              </w:rPr>
            </w:pPr>
            <w:r>
              <w:rPr>
                <w:rFonts w:hint="eastAsia"/>
                <w:b/>
                <w:sz w:val="24"/>
              </w:rPr>
              <w:t>2、现有工程主要污染物排放情况</w:t>
            </w:r>
          </w:p>
          <w:p>
            <w:pPr>
              <w:adjustRightInd w:val="0"/>
              <w:snapToGrid w:val="0"/>
              <w:spacing w:line="360" w:lineRule="auto"/>
              <w:ind w:firstLine="480" w:firstLineChars="200"/>
              <w:rPr>
                <w:bCs/>
                <w:sz w:val="24"/>
                <w:u w:val="single"/>
              </w:rPr>
            </w:pPr>
            <w:r>
              <w:rPr>
                <w:rFonts w:hint="eastAsia"/>
                <w:bCs/>
                <w:sz w:val="24"/>
                <w:u w:val="single"/>
              </w:rPr>
              <w:t>由于企业现处于停产状态，现有生物质锅炉已停用，无法对现有项目开展监测，企业排污许可为登记管理，无监测管理要求，故本次现有项目废气中各污染物产生及排放情况引自现有项目环境影响报告表及其竣工验收报告中相关内容。经核实，自验收监测至今，现有项目的生产工艺、原辅材料种类及用量、产污环节及污染治理设施均未发生重大变化，故验收监测数据能够代表现有项目停产前的实际污染物排放水平，数据有效。</w:t>
            </w:r>
          </w:p>
          <w:p>
            <w:pPr>
              <w:adjustRightInd w:val="0"/>
              <w:snapToGrid w:val="0"/>
              <w:spacing w:line="360" w:lineRule="auto"/>
              <w:ind w:firstLine="480" w:firstLineChars="200"/>
              <w:rPr>
                <w:bCs/>
                <w:sz w:val="24"/>
              </w:rPr>
            </w:pPr>
            <w:r>
              <w:rPr>
                <w:rFonts w:hint="eastAsia"/>
                <w:bCs/>
                <w:sz w:val="24"/>
              </w:rPr>
              <w:t>（1）废水</w:t>
            </w:r>
          </w:p>
          <w:p>
            <w:pPr>
              <w:adjustRightInd w:val="0"/>
              <w:snapToGrid w:val="0"/>
              <w:spacing w:line="360" w:lineRule="auto"/>
              <w:ind w:firstLine="480" w:firstLineChars="200"/>
              <w:rPr>
                <w:bCs/>
                <w:sz w:val="24"/>
              </w:rPr>
            </w:pPr>
            <w:r>
              <w:rPr>
                <w:rFonts w:hint="eastAsia"/>
                <w:bCs/>
                <w:sz w:val="24"/>
              </w:rPr>
              <w:t>现有项目废水主要为生活污水和锅炉排水。生活污水排入防渗旱厕，定期清掏作农家肥，不外排；锅炉排水用于浇渣降尘或回用于生产，不外排。</w:t>
            </w:r>
          </w:p>
          <w:p>
            <w:pPr>
              <w:adjustRightInd w:val="0"/>
              <w:snapToGrid w:val="0"/>
              <w:spacing w:line="360" w:lineRule="auto"/>
              <w:ind w:firstLine="480" w:firstLineChars="200"/>
              <w:rPr>
                <w:bCs/>
                <w:sz w:val="24"/>
              </w:rPr>
            </w:pPr>
            <w:r>
              <w:rPr>
                <w:rFonts w:hint="eastAsia"/>
                <w:bCs/>
                <w:sz w:val="24"/>
              </w:rPr>
              <w:t>（2）废气</w:t>
            </w:r>
          </w:p>
          <w:p>
            <w:pPr>
              <w:adjustRightInd w:val="0"/>
              <w:snapToGrid w:val="0"/>
              <w:spacing w:line="360" w:lineRule="auto"/>
              <w:ind w:firstLine="480" w:firstLineChars="200"/>
              <w:rPr>
                <w:bCs/>
                <w:sz w:val="24"/>
              </w:rPr>
            </w:pPr>
            <w:r>
              <w:rPr>
                <w:rFonts w:hint="eastAsia"/>
                <w:bCs/>
                <w:sz w:val="24"/>
              </w:rPr>
              <w:t>现有项目废气主要是生产工艺粉尘、锅炉烟气、焊接烟尘及运输、堆放、装卸粉尘等。</w:t>
            </w:r>
          </w:p>
          <w:p>
            <w:pPr>
              <w:adjustRightInd w:val="0"/>
              <w:snapToGrid w:val="0"/>
              <w:spacing w:line="360" w:lineRule="auto"/>
              <w:ind w:firstLine="480" w:firstLineChars="200"/>
              <w:rPr>
                <w:bCs/>
                <w:sz w:val="24"/>
              </w:rPr>
            </w:pPr>
            <w:r>
              <w:rPr>
                <w:rFonts w:hint="eastAsia"/>
                <w:bCs/>
                <w:sz w:val="24"/>
              </w:rPr>
              <w:t>①锅炉烟气</w:t>
            </w:r>
          </w:p>
          <w:p>
            <w:pPr>
              <w:adjustRightInd w:val="0"/>
              <w:snapToGrid w:val="0"/>
              <w:spacing w:line="360" w:lineRule="auto"/>
              <w:ind w:firstLine="480" w:firstLineChars="200"/>
              <w:rPr>
                <w:bCs/>
                <w:sz w:val="24"/>
              </w:rPr>
            </w:pPr>
            <w:r>
              <w:rPr>
                <w:rFonts w:hint="eastAsia"/>
                <w:bCs/>
                <w:sz w:val="24"/>
              </w:rPr>
              <w:t>企业现有项目生产用热使用1台1t/h的燃生物质蒸汽锅炉，年燃生物质量为300t/a，产生的锅炉烟气经布袋+湿法除尘处理后经25m高的烟囱排放。锅炉烟气中颗粒物排放浓度为47.7mg/m</w:t>
            </w:r>
            <w:r>
              <w:rPr>
                <w:rFonts w:hint="eastAsia"/>
                <w:bCs/>
                <w:sz w:val="24"/>
                <w:vertAlign w:val="superscript"/>
              </w:rPr>
              <w:t>3</w:t>
            </w:r>
            <w:r>
              <w:rPr>
                <w:rFonts w:hint="eastAsia"/>
                <w:bCs/>
                <w:sz w:val="24"/>
              </w:rPr>
              <w:t>，SO</w:t>
            </w:r>
            <w:r>
              <w:rPr>
                <w:rFonts w:hint="eastAsia"/>
                <w:bCs/>
                <w:sz w:val="24"/>
                <w:vertAlign w:val="subscript"/>
              </w:rPr>
              <w:t>2</w:t>
            </w:r>
            <w:r>
              <w:rPr>
                <w:rFonts w:hint="eastAsia"/>
                <w:bCs/>
                <w:sz w:val="24"/>
              </w:rPr>
              <w:t>排放浓度为275mg/m</w:t>
            </w:r>
            <w:r>
              <w:rPr>
                <w:rFonts w:hint="eastAsia"/>
                <w:bCs/>
                <w:sz w:val="24"/>
                <w:vertAlign w:val="superscript"/>
              </w:rPr>
              <w:t>3</w:t>
            </w:r>
            <w:r>
              <w:rPr>
                <w:rFonts w:hint="eastAsia"/>
                <w:bCs/>
                <w:sz w:val="24"/>
              </w:rPr>
              <w:t>，NO</w:t>
            </w:r>
            <w:r>
              <w:rPr>
                <w:rFonts w:hint="eastAsia"/>
                <w:bCs/>
                <w:sz w:val="24"/>
                <w:vertAlign w:val="subscript"/>
              </w:rPr>
              <w:t>X</w:t>
            </w:r>
            <w:r>
              <w:rPr>
                <w:rFonts w:hint="eastAsia"/>
                <w:bCs/>
                <w:sz w:val="24"/>
              </w:rPr>
              <w:t>排放浓度为259mg/m</w:t>
            </w:r>
            <w:r>
              <w:rPr>
                <w:rFonts w:hint="eastAsia"/>
                <w:bCs/>
                <w:sz w:val="24"/>
                <w:vertAlign w:val="superscript"/>
              </w:rPr>
              <w:t>3</w:t>
            </w:r>
            <w:r>
              <w:rPr>
                <w:rFonts w:hint="eastAsia"/>
                <w:bCs/>
                <w:sz w:val="24"/>
              </w:rPr>
              <w:t>，各污染物排放浓度满足《锅炉大气污染物排放标准》（GB13271-2014）表2中排放标准要求。</w:t>
            </w:r>
          </w:p>
          <w:p>
            <w:pPr>
              <w:adjustRightInd w:val="0"/>
              <w:snapToGrid w:val="0"/>
              <w:spacing w:line="360" w:lineRule="auto"/>
              <w:ind w:firstLine="480" w:firstLineChars="200"/>
              <w:rPr>
                <w:bCs/>
                <w:sz w:val="24"/>
              </w:rPr>
            </w:pPr>
            <w:r>
              <w:rPr>
                <w:rFonts w:hint="eastAsia"/>
                <w:bCs/>
                <w:sz w:val="24"/>
              </w:rPr>
              <w:t>②工艺粉尘</w:t>
            </w:r>
          </w:p>
          <w:p>
            <w:pPr>
              <w:adjustRightInd w:val="0"/>
              <w:snapToGrid w:val="0"/>
              <w:spacing w:line="360" w:lineRule="auto"/>
              <w:ind w:firstLine="480" w:firstLineChars="200"/>
              <w:rPr>
                <w:bCs/>
                <w:sz w:val="24"/>
              </w:rPr>
            </w:pPr>
            <w:r>
              <w:rPr>
                <w:rFonts w:hint="eastAsia"/>
                <w:bCs/>
                <w:sz w:val="24"/>
              </w:rPr>
              <w:t>现有项目采用全自动搅拌机，在搅拌过程加水搅拌，因此搅拌过程产生的粉尘浓度较低，搅拌粉尘经集气罩收集后通过15m高排气筒排放，排放浓度满足《水泥工业大气污染物排放标准》（GB 4915-2013）及2025年修改单中相关标准要求，对周围环境空气影响较小。</w:t>
            </w:r>
          </w:p>
          <w:p>
            <w:pPr>
              <w:adjustRightInd w:val="0"/>
              <w:snapToGrid w:val="0"/>
              <w:spacing w:line="360" w:lineRule="auto"/>
              <w:ind w:firstLine="480" w:firstLineChars="200"/>
              <w:rPr>
                <w:bCs/>
                <w:sz w:val="24"/>
              </w:rPr>
            </w:pPr>
            <w:r>
              <w:rPr>
                <w:rFonts w:hint="eastAsia"/>
                <w:bCs/>
                <w:sz w:val="24"/>
              </w:rPr>
              <w:t>③焊接烟尘</w:t>
            </w:r>
          </w:p>
          <w:p>
            <w:pPr>
              <w:adjustRightInd w:val="0"/>
              <w:snapToGrid w:val="0"/>
              <w:spacing w:line="360" w:lineRule="auto"/>
              <w:ind w:firstLine="480" w:firstLineChars="200"/>
              <w:rPr>
                <w:bCs/>
                <w:sz w:val="24"/>
              </w:rPr>
            </w:pPr>
            <w:r>
              <w:rPr>
                <w:rFonts w:hint="eastAsia"/>
                <w:bCs/>
                <w:sz w:val="24"/>
              </w:rPr>
              <w:t>现有项目钢筋骨架制作中产生的焊接烟尘，焊机配备除尘</w:t>
            </w:r>
            <w:r>
              <w:rPr>
                <w:bCs/>
                <w:sz w:val="24"/>
              </w:rPr>
              <w:t>效率95</w:t>
            </w:r>
            <w:r>
              <w:rPr>
                <w:rFonts w:hint="eastAsia"/>
                <w:bCs/>
                <w:sz w:val="24"/>
              </w:rPr>
              <w:t>%</w:t>
            </w:r>
            <w:r>
              <w:rPr>
                <w:bCs/>
                <w:sz w:val="24"/>
              </w:rPr>
              <w:t>以上的单机布袋除尘器，净化后</w:t>
            </w:r>
            <w:r>
              <w:rPr>
                <w:rFonts w:hint="eastAsia"/>
                <w:bCs/>
                <w:sz w:val="24"/>
              </w:rPr>
              <w:t>废气</w:t>
            </w:r>
            <w:r>
              <w:rPr>
                <w:bCs/>
                <w:sz w:val="24"/>
              </w:rPr>
              <w:t>排放浓度</w:t>
            </w:r>
            <w:r>
              <w:rPr>
                <w:rFonts w:hint="eastAsia"/>
                <w:bCs/>
                <w:sz w:val="24"/>
              </w:rPr>
              <w:t>符合相关标准要求。净化后烟气可以车间内就地排放，周界外浓度最高点颗粒物浓度满足《水泥工业大气污染物排放标准》（GB 4915-2013）及2025年修改单中无组织排放限值要求。净化后的焊接烟尘对车间内的职工操作环境和周围空气环境影响很小。</w:t>
            </w:r>
          </w:p>
          <w:p>
            <w:pPr>
              <w:adjustRightInd w:val="0"/>
              <w:snapToGrid w:val="0"/>
              <w:spacing w:line="360" w:lineRule="auto"/>
              <w:ind w:firstLine="480" w:firstLineChars="200"/>
              <w:rPr>
                <w:bCs/>
                <w:sz w:val="24"/>
              </w:rPr>
            </w:pPr>
            <w:r>
              <w:rPr>
                <w:rFonts w:hint="eastAsia"/>
                <w:bCs/>
                <w:sz w:val="24"/>
              </w:rPr>
              <w:t>④运输、堆放、装卸粉尘</w:t>
            </w:r>
          </w:p>
          <w:p>
            <w:pPr>
              <w:adjustRightInd w:val="0"/>
              <w:snapToGrid w:val="0"/>
              <w:spacing w:line="360" w:lineRule="auto"/>
              <w:ind w:firstLine="480" w:firstLineChars="200"/>
              <w:rPr>
                <w:bCs/>
                <w:sz w:val="24"/>
              </w:rPr>
            </w:pPr>
            <w:r>
              <w:rPr>
                <w:rFonts w:hint="eastAsia"/>
                <w:bCs/>
                <w:sz w:val="24"/>
              </w:rPr>
              <w:t>现有项目排放的粉尘主要来源于原、辅材料的运输、装卸及堆放过程中的无组织排放，为有效降低料场扬尘对周围环境的污染，建设单位对运输车辆采取一定的防范措施，车厢有防漏措施且车厢加盖，并保证适宜的湿度，车辆定期清洗，保证输送车在输送过程中不致对沿途环境造成影响，原料运输时车上覆盖萜布，粉尘排放满足《水泥工业大气污染物排放标准》（GB 4915-2013）及2025年修改单中无组织排放限值要求。</w:t>
            </w:r>
          </w:p>
          <w:p>
            <w:pPr>
              <w:adjustRightInd w:val="0"/>
              <w:snapToGrid w:val="0"/>
              <w:spacing w:line="360" w:lineRule="auto"/>
              <w:ind w:firstLine="480" w:firstLineChars="200"/>
              <w:rPr>
                <w:bCs/>
                <w:sz w:val="24"/>
              </w:rPr>
            </w:pPr>
            <w:r>
              <w:rPr>
                <w:rFonts w:hint="eastAsia"/>
                <w:bCs/>
                <w:sz w:val="24"/>
              </w:rPr>
              <w:t>（3）噪声</w:t>
            </w:r>
          </w:p>
          <w:p>
            <w:pPr>
              <w:adjustRightInd w:val="0"/>
              <w:snapToGrid w:val="0"/>
              <w:spacing w:line="360" w:lineRule="auto"/>
              <w:ind w:firstLine="480" w:firstLineChars="200"/>
              <w:rPr>
                <w:bCs/>
                <w:sz w:val="24"/>
              </w:rPr>
            </w:pPr>
            <w:r>
              <w:rPr>
                <w:rFonts w:hint="eastAsia"/>
                <w:bCs/>
                <w:sz w:val="24"/>
              </w:rPr>
              <w:t>现有项目主要噪声源来自搅拌机、悬辊机、滚焊机等设备，其声压级在70～95dB(A)之间，经采取选用低噪声设备、设置隔声间、厂界周围植树绿化，并经过距离衰减等措施后，厂界四周噪声满足《工业企业厂界环境噪声排放标准》（GB12348-2008）中的2类区标准。</w:t>
            </w:r>
          </w:p>
          <w:p>
            <w:pPr>
              <w:adjustRightInd w:val="0"/>
              <w:snapToGrid w:val="0"/>
              <w:spacing w:line="360" w:lineRule="auto"/>
              <w:ind w:firstLine="480" w:firstLineChars="200"/>
              <w:rPr>
                <w:bCs/>
                <w:sz w:val="24"/>
              </w:rPr>
            </w:pPr>
            <w:r>
              <w:rPr>
                <w:rFonts w:hint="eastAsia"/>
                <w:bCs/>
                <w:sz w:val="24"/>
              </w:rPr>
              <w:t>（4）固体废物</w:t>
            </w:r>
          </w:p>
          <w:p>
            <w:pPr>
              <w:adjustRightInd w:val="0"/>
              <w:snapToGrid w:val="0"/>
              <w:spacing w:line="360" w:lineRule="auto"/>
              <w:ind w:firstLine="480" w:firstLineChars="200"/>
              <w:rPr>
                <w:bCs/>
                <w:sz w:val="24"/>
              </w:rPr>
            </w:pPr>
            <w:r>
              <w:rPr>
                <w:rFonts w:hint="eastAsia"/>
                <w:bCs/>
                <w:sz w:val="24"/>
              </w:rPr>
              <w:t>现有项目固体废物主要为生活垃圾、锅炉炉渣、生产过程产生的边角余料等。其中生活垃圾产生量为1.05t/a，定期由当地环卫部门统一清运；锅炉炉渣产生量为22.6t/a，外卖制肥；除尘器收集的粉尘产生量为2.1t/a，外卖制肥；为确保除尘效率，需定期更换除尘器内布袋，废布袋产生量约0.1t/a，由厂家回收；生产过程产生的边角余料5.5t/a，回用于生产。</w:t>
            </w:r>
          </w:p>
          <w:p>
            <w:pPr>
              <w:adjustRightInd w:val="0"/>
              <w:snapToGrid w:val="0"/>
              <w:spacing w:line="360" w:lineRule="auto"/>
              <w:ind w:firstLine="480" w:firstLineChars="200"/>
              <w:rPr>
                <w:bCs/>
                <w:sz w:val="24"/>
              </w:rPr>
            </w:pPr>
            <w:r>
              <w:rPr>
                <w:rFonts w:hint="eastAsia"/>
                <w:bCs/>
                <w:sz w:val="24"/>
              </w:rPr>
              <w:t>经采取以上处理措施后，现有项目固体废物不会产生二次污染，对环境影响较小。</w:t>
            </w:r>
          </w:p>
          <w:p>
            <w:pPr>
              <w:adjustRightInd w:val="0"/>
              <w:snapToGrid w:val="0"/>
              <w:spacing w:line="360" w:lineRule="auto"/>
              <w:ind w:firstLine="482" w:firstLineChars="200"/>
              <w:rPr>
                <w:b/>
                <w:sz w:val="24"/>
              </w:rPr>
            </w:pPr>
            <w:r>
              <w:rPr>
                <w:rFonts w:hint="eastAsia"/>
                <w:b/>
                <w:sz w:val="24"/>
              </w:rPr>
              <w:t>3、污染源排放汇总表</w:t>
            </w:r>
          </w:p>
          <w:p>
            <w:pPr>
              <w:adjustRightInd w:val="0"/>
              <w:snapToGrid w:val="0"/>
              <w:spacing w:line="360" w:lineRule="auto"/>
              <w:ind w:firstLine="480" w:firstLineChars="200"/>
              <w:rPr>
                <w:bCs/>
                <w:sz w:val="24"/>
              </w:rPr>
            </w:pPr>
            <w:r>
              <w:rPr>
                <w:rFonts w:hint="eastAsia"/>
                <w:bCs/>
                <w:sz w:val="24"/>
              </w:rPr>
              <w:t>现有项目主要污染情况汇总见下表。</w:t>
            </w:r>
          </w:p>
          <w:p>
            <w:pPr>
              <w:pStyle w:val="23"/>
              <w:ind w:left="0" w:firstLine="0"/>
              <w:rPr>
                <w:bCs/>
                <w:u w:val="none"/>
              </w:rPr>
            </w:pPr>
            <w:r>
              <w:rPr>
                <w:rFonts w:hint="eastAsia"/>
                <w:bCs/>
                <w:u w:val="none"/>
              </w:rPr>
              <w:t>污染物排放汇总一览表</w:t>
            </w:r>
          </w:p>
          <w:tbl>
            <w:tblPr>
              <w:tblStyle w:val="19"/>
              <w:tblW w:w="7851"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391"/>
              <w:gridCol w:w="1062"/>
              <w:gridCol w:w="2247"/>
              <w:gridCol w:w="3151"/>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391" w:type="dxa"/>
                  <w:vAlign w:val="center"/>
                </w:tcPr>
                <w:p>
                  <w:pPr>
                    <w:autoSpaceDE w:val="0"/>
                    <w:autoSpaceDN w:val="0"/>
                    <w:adjustRightInd w:val="0"/>
                    <w:snapToGrid w:val="0"/>
                    <w:ind w:firstLine="482"/>
                    <w:jc w:val="center"/>
                    <w:rPr>
                      <w:b/>
                      <w:bCs/>
                      <w:szCs w:val="21"/>
                    </w:rPr>
                  </w:pPr>
                  <w:r>
                    <w:rPr>
                      <w:b/>
                      <w:bCs/>
                      <w:szCs w:val="21"/>
                    </w:rPr>
                    <w:t>污染物类别</w:t>
                  </w:r>
                </w:p>
              </w:tc>
              <w:tc>
                <w:tcPr>
                  <w:tcW w:w="3309" w:type="dxa"/>
                  <w:gridSpan w:val="2"/>
                  <w:vAlign w:val="center"/>
                </w:tcPr>
                <w:p>
                  <w:pPr>
                    <w:pStyle w:val="26"/>
                    <w:wordWrap w:val="0"/>
                    <w:topLinePunct/>
                    <w:adjustRightInd/>
                    <w:spacing w:beforeLines="0" w:line="240" w:lineRule="auto"/>
                    <w:ind w:firstLine="482"/>
                    <w:rPr>
                      <w:rFonts w:ascii="Times New Roman" w:eastAsia="宋体"/>
                      <w:b/>
                      <w:color w:val="auto"/>
                      <w:szCs w:val="21"/>
                    </w:rPr>
                  </w:pPr>
                  <w:r>
                    <w:rPr>
                      <w:rFonts w:ascii="Times New Roman" w:eastAsia="宋体"/>
                      <w:b/>
                      <w:color w:val="auto"/>
                      <w:szCs w:val="21"/>
                    </w:rPr>
                    <w:t>污染物</w:t>
                  </w:r>
                </w:p>
              </w:tc>
              <w:tc>
                <w:tcPr>
                  <w:tcW w:w="3151" w:type="dxa"/>
                  <w:vAlign w:val="center"/>
                </w:tcPr>
                <w:p>
                  <w:pPr>
                    <w:pStyle w:val="26"/>
                    <w:wordWrap w:val="0"/>
                    <w:topLinePunct/>
                    <w:adjustRightInd/>
                    <w:spacing w:beforeLines="0" w:line="240" w:lineRule="auto"/>
                    <w:ind w:firstLine="482"/>
                    <w:rPr>
                      <w:rFonts w:ascii="Times New Roman" w:eastAsia="宋体"/>
                      <w:b/>
                      <w:color w:val="auto"/>
                      <w:szCs w:val="21"/>
                    </w:rPr>
                  </w:pPr>
                  <w:r>
                    <w:rPr>
                      <w:rFonts w:ascii="Times New Roman" w:eastAsia="宋体"/>
                      <w:b/>
                      <w:color w:val="auto"/>
                      <w:szCs w:val="21"/>
                    </w:rPr>
                    <w:t>排放量（固体废物产生量）t/a</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391" w:type="dxa"/>
                  <w:vMerge w:val="restart"/>
                  <w:vAlign w:val="center"/>
                </w:tcPr>
                <w:p>
                  <w:pPr>
                    <w:autoSpaceDE w:val="0"/>
                    <w:autoSpaceDN w:val="0"/>
                    <w:adjustRightInd w:val="0"/>
                    <w:snapToGrid w:val="0"/>
                    <w:jc w:val="center"/>
                    <w:rPr>
                      <w:szCs w:val="21"/>
                    </w:rPr>
                  </w:pPr>
                  <w:r>
                    <w:rPr>
                      <w:szCs w:val="21"/>
                    </w:rPr>
                    <w:t>废水</w:t>
                  </w:r>
                </w:p>
              </w:tc>
              <w:tc>
                <w:tcPr>
                  <w:tcW w:w="3309" w:type="dxa"/>
                  <w:gridSpan w:val="2"/>
                  <w:vAlign w:val="center"/>
                </w:tcPr>
                <w:p>
                  <w:pPr>
                    <w:autoSpaceDE w:val="0"/>
                    <w:autoSpaceDN w:val="0"/>
                    <w:adjustRightInd w:val="0"/>
                    <w:snapToGrid w:val="0"/>
                    <w:jc w:val="center"/>
                    <w:rPr>
                      <w:szCs w:val="21"/>
                    </w:rPr>
                  </w:pPr>
                  <w:r>
                    <w:rPr>
                      <w:szCs w:val="21"/>
                    </w:rPr>
                    <w:t>职工生活污水</w:t>
                  </w:r>
                </w:p>
              </w:tc>
              <w:tc>
                <w:tcPr>
                  <w:tcW w:w="3151" w:type="dxa"/>
                  <w:vAlign w:val="center"/>
                </w:tcPr>
                <w:p>
                  <w:pPr>
                    <w:autoSpaceDE w:val="0"/>
                    <w:autoSpaceDN w:val="0"/>
                    <w:adjustRightInd w:val="0"/>
                    <w:snapToGrid w:val="0"/>
                    <w:jc w:val="center"/>
                    <w:rPr>
                      <w:szCs w:val="21"/>
                    </w:rPr>
                  </w:pPr>
                  <w:r>
                    <w:rPr>
                      <w:rFonts w:hint="eastAsia"/>
                      <w:szCs w:val="21"/>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391" w:type="dxa"/>
                  <w:vMerge w:val="continue"/>
                  <w:vAlign w:val="center"/>
                </w:tcPr>
                <w:p>
                  <w:pPr>
                    <w:autoSpaceDE w:val="0"/>
                    <w:autoSpaceDN w:val="0"/>
                    <w:adjustRightInd w:val="0"/>
                    <w:snapToGrid w:val="0"/>
                    <w:jc w:val="center"/>
                    <w:rPr>
                      <w:szCs w:val="21"/>
                    </w:rPr>
                  </w:pPr>
                </w:p>
              </w:tc>
              <w:tc>
                <w:tcPr>
                  <w:tcW w:w="3309" w:type="dxa"/>
                  <w:gridSpan w:val="2"/>
                  <w:vAlign w:val="center"/>
                </w:tcPr>
                <w:p>
                  <w:pPr>
                    <w:autoSpaceDE w:val="0"/>
                    <w:autoSpaceDN w:val="0"/>
                    <w:adjustRightInd w:val="0"/>
                    <w:snapToGrid w:val="0"/>
                    <w:jc w:val="center"/>
                    <w:rPr>
                      <w:szCs w:val="21"/>
                    </w:rPr>
                  </w:pPr>
                  <w:r>
                    <w:rPr>
                      <w:szCs w:val="21"/>
                    </w:rPr>
                    <w:t>锅炉排水</w:t>
                  </w:r>
                </w:p>
              </w:tc>
              <w:tc>
                <w:tcPr>
                  <w:tcW w:w="3151" w:type="dxa"/>
                  <w:vAlign w:val="center"/>
                </w:tcPr>
                <w:p>
                  <w:pPr>
                    <w:autoSpaceDE w:val="0"/>
                    <w:autoSpaceDN w:val="0"/>
                    <w:adjustRightInd w:val="0"/>
                    <w:snapToGrid w:val="0"/>
                    <w:jc w:val="center"/>
                    <w:rPr>
                      <w:szCs w:val="21"/>
                    </w:rPr>
                  </w:pPr>
                  <w:r>
                    <w:rPr>
                      <w:rFonts w:hint="eastAsia"/>
                      <w:szCs w:val="21"/>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391" w:type="dxa"/>
                  <w:vMerge w:val="restart"/>
                  <w:vAlign w:val="center"/>
                </w:tcPr>
                <w:p>
                  <w:pPr>
                    <w:autoSpaceDE w:val="0"/>
                    <w:autoSpaceDN w:val="0"/>
                    <w:adjustRightInd w:val="0"/>
                    <w:snapToGrid w:val="0"/>
                    <w:jc w:val="center"/>
                    <w:rPr>
                      <w:szCs w:val="21"/>
                    </w:rPr>
                  </w:pPr>
                  <w:r>
                    <w:rPr>
                      <w:szCs w:val="21"/>
                    </w:rPr>
                    <w:t>废气</w:t>
                  </w:r>
                </w:p>
              </w:tc>
              <w:tc>
                <w:tcPr>
                  <w:tcW w:w="3309" w:type="dxa"/>
                  <w:gridSpan w:val="2"/>
                  <w:vAlign w:val="center"/>
                </w:tcPr>
                <w:p>
                  <w:pPr>
                    <w:autoSpaceDE w:val="0"/>
                    <w:autoSpaceDN w:val="0"/>
                    <w:adjustRightInd w:val="0"/>
                    <w:snapToGrid w:val="0"/>
                    <w:jc w:val="center"/>
                    <w:rPr>
                      <w:szCs w:val="21"/>
                    </w:rPr>
                  </w:pPr>
                  <w:r>
                    <w:rPr>
                      <w:szCs w:val="21"/>
                    </w:rPr>
                    <w:t>工艺粉尘</w:t>
                  </w:r>
                </w:p>
              </w:tc>
              <w:tc>
                <w:tcPr>
                  <w:tcW w:w="3151" w:type="dxa"/>
                  <w:vAlign w:val="center"/>
                </w:tcPr>
                <w:p>
                  <w:pPr>
                    <w:autoSpaceDE w:val="0"/>
                    <w:autoSpaceDN w:val="0"/>
                    <w:adjustRightInd w:val="0"/>
                    <w:snapToGrid w:val="0"/>
                    <w:jc w:val="center"/>
                    <w:rPr>
                      <w:szCs w:val="21"/>
                    </w:rPr>
                  </w:pPr>
                  <w:r>
                    <w:rPr>
                      <w:rFonts w:hint="eastAsia"/>
                      <w:szCs w:val="21"/>
                    </w:rPr>
                    <w:t>0.504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391" w:type="dxa"/>
                  <w:vMerge w:val="continue"/>
                  <w:vAlign w:val="center"/>
                </w:tcPr>
                <w:p>
                  <w:pPr>
                    <w:autoSpaceDE w:val="0"/>
                    <w:autoSpaceDN w:val="0"/>
                    <w:adjustRightInd w:val="0"/>
                    <w:snapToGrid w:val="0"/>
                    <w:jc w:val="center"/>
                    <w:rPr>
                      <w:szCs w:val="21"/>
                    </w:rPr>
                  </w:pPr>
                </w:p>
              </w:tc>
              <w:tc>
                <w:tcPr>
                  <w:tcW w:w="1062" w:type="dxa"/>
                  <w:vMerge w:val="restart"/>
                  <w:vAlign w:val="center"/>
                </w:tcPr>
                <w:p>
                  <w:pPr>
                    <w:autoSpaceDE w:val="0"/>
                    <w:autoSpaceDN w:val="0"/>
                    <w:adjustRightInd w:val="0"/>
                    <w:snapToGrid w:val="0"/>
                    <w:jc w:val="center"/>
                    <w:rPr>
                      <w:szCs w:val="21"/>
                    </w:rPr>
                  </w:pPr>
                  <w:r>
                    <w:rPr>
                      <w:szCs w:val="21"/>
                    </w:rPr>
                    <w:t>锅炉烟气</w:t>
                  </w:r>
                </w:p>
              </w:tc>
              <w:tc>
                <w:tcPr>
                  <w:tcW w:w="2247" w:type="dxa"/>
                  <w:vAlign w:val="center"/>
                </w:tcPr>
                <w:p>
                  <w:pPr>
                    <w:autoSpaceDE w:val="0"/>
                    <w:autoSpaceDN w:val="0"/>
                    <w:adjustRightInd w:val="0"/>
                    <w:snapToGrid w:val="0"/>
                    <w:jc w:val="center"/>
                    <w:rPr>
                      <w:szCs w:val="21"/>
                    </w:rPr>
                  </w:pPr>
                  <w:r>
                    <w:rPr>
                      <w:szCs w:val="21"/>
                    </w:rPr>
                    <w:t>颗粒物</w:t>
                  </w:r>
                </w:p>
              </w:tc>
              <w:tc>
                <w:tcPr>
                  <w:tcW w:w="3151" w:type="dxa"/>
                  <w:vAlign w:val="center"/>
                </w:tcPr>
                <w:p>
                  <w:pPr>
                    <w:autoSpaceDE w:val="0"/>
                    <w:autoSpaceDN w:val="0"/>
                    <w:adjustRightInd w:val="0"/>
                    <w:snapToGrid w:val="0"/>
                    <w:jc w:val="center"/>
                    <w:rPr>
                      <w:szCs w:val="21"/>
                    </w:rPr>
                  </w:pPr>
                  <w:r>
                    <w:rPr>
                      <w:rFonts w:hint="eastAsia"/>
                      <w:szCs w:val="21"/>
                    </w:rPr>
                    <w:t>0.112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391" w:type="dxa"/>
                  <w:vMerge w:val="continue"/>
                  <w:vAlign w:val="center"/>
                </w:tcPr>
                <w:p>
                  <w:pPr>
                    <w:autoSpaceDE w:val="0"/>
                    <w:autoSpaceDN w:val="0"/>
                    <w:adjustRightInd w:val="0"/>
                    <w:snapToGrid w:val="0"/>
                    <w:jc w:val="center"/>
                    <w:rPr>
                      <w:szCs w:val="21"/>
                    </w:rPr>
                  </w:pPr>
                </w:p>
              </w:tc>
              <w:tc>
                <w:tcPr>
                  <w:tcW w:w="1062" w:type="dxa"/>
                  <w:vMerge w:val="continue"/>
                  <w:vAlign w:val="center"/>
                </w:tcPr>
                <w:p>
                  <w:pPr>
                    <w:autoSpaceDE w:val="0"/>
                    <w:autoSpaceDN w:val="0"/>
                    <w:adjustRightInd w:val="0"/>
                    <w:snapToGrid w:val="0"/>
                    <w:jc w:val="center"/>
                    <w:rPr>
                      <w:szCs w:val="21"/>
                    </w:rPr>
                  </w:pPr>
                </w:p>
              </w:tc>
              <w:tc>
                <w:tcPr>
                  <w:tcW w:w="2247" w:type="dxa"/>
                  <w:vAlign w:val="center"/>
                </w:tcPr>
                <w:p>
                  <w:pPr>
                    <w:autoSpaceDE w:val="0"/>
                    <w:autoSpaceDN w:val="0"/>
                    <w:adjustRightInd w:val="0"/>
                    <w:snapToGrid w:val="0"/>
                    <w:jc w:val="center"/>
                    <w:rPr>
                      <w:szCs w:val="21"/>
                    </w:rPr>
                  </w:pPr>
                  <w:r>
                    <w:rPr>
                      <w:szCs w:val="21"/>
                    </w:rPr>
                    <w:t>SO</w:t>
                  </w:r>
                  <w:r>
                    <w:rPr>
                      <w:szCs w:val="21"/>
                      <w:vertAlign w:val="subscript"/>
                    </w:rPr>
                    <w:t>2</w:t>
                  </w:r>
                </w:p>
              </w:tc>
              <w:tc>
                <w:tcPr>
                  <w:tcW w:w="3151" w:type="dxa"/>
                  <w:vAlign w:val="center"/>
                </w:tcPr>
                <w:p>
                  <w:pPr>
                    <w:autoSpaceDE w:val="0"/>
                    <w:autoSpaceDN w:val="0"/>
                    <w:adjustRightInd w:val="0"/>
                    <w:snapToGrid w:val="0"/>
                    <w:jc w:val="center"/>
                    <w:rPr>
                      <w:szCs w:val="21"/>
                    </w:rPr>
                  </w:pPr>
                  <w:r>
                    <w:rPr>
                      <w:rFonts w:hint="eastAsia"/>
                      <w:szCs w:val="21"/>
                    </w:rPr>
                    <w:t>0.646</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391" w:type="dxa"/>
                  <w:vMerge w:val="continue"/>
                  <w:vAlign w:val="center"/>
                </w:tcPr>
                <w:p>
                  <w:pPr>
                    <w:autoSpaceDE w:val="0"/>
                    <w:autoSpaceDN w:val="0"/>
                    <w:adjustRightInd w:val="0"/>
                    <w:snapToGrid w:val="0"/>
                    <w:jc w:val="center"/>
                    <w:rPr>
                      <w:szCs w:val="21"/>
                    </w:rPr>
                  </w:pPr>
                </w:p>
              </w:tc>
              <w:tc>
                <w:tcPr>
                  <w:tcW w:w="1062" w:type="dxa"/>
                  <w:vMerge w:val="continue"/>
                  <w:vAlign w:val="center"/>
                </w:tcPr>
                <w:p>
                  <w:pPr>
                    <w:autoSpaceDE w:val="0"/>
                    <w:autoSpaceDN w:val="0"/>
                    <w:adjustRightInd w:val="0"/>
                    <w:snapToGrid w:val="0"/>
                    <w:jc w:val="center"/>
                    <w:rPr>
                      <w:szCs w:val="21"/>
                    </w:rPr>
                  </w:pPr>
                </w:p>
              </w:tc>
              <w:tc>
                <w:tcPr>
                  <w:tcW w:w="2247" w:type="dxa"/>
                  <w:vAlign w:val="center"/>
                </w:tcPr>
                <w:p>
                  <w:pPr>
                    <w:autoSpaceDE w:val="0"/>
                    <w:autoSpaceDN w:val="0"/>
                    <w:adjustRightInd w:val="0"/>
                    <w:snapToGrid w:val="0"/>
                    <w:jc w:val="center"/>
                    <w:rPr>
                      <w:szCs w:val="21"/>
                    </w:rPr>
                  </w:pPr>
                  <w:r>
                    <w:rPr>
                      <w:szCs w:val="21"/>
                    </w:rPr>
                    <w:t>NO</w:t>
                  </w:r>
                  <w:r>
                    <w:rPr>
                      <w:szCs w:val="21"/>
                      <w:vertAlign w:val="subscript"/>
                    </w:rPr>
                    <w:t>X</w:t>
                  </w:r>
                </w:p>
              </w:tc>
              <w:tc>
                <w:tcPr>
                  <w:tcW w:w="3151" w:type="dxa"/>
                  <w:vAlign w:val="center"/>
                </w:tcPr>
                <w:p>
                  <w:pPr>
                    <w:autoSpaceDE w:val="0"/>
                    <w:autoSpaceDN w:val="0"/>
                    <w:adjustRightInd w:val="0"/>
                    <w:snapToGrid w:val="0"/>
                    <w:jc w:val="center"/>
                    <w:rPr>
                      <w:szCs w:val="21"/>
                    </w:rPr>
                  </w:pPr>
                  <w:r>
                    <w:rPr>
                      <w:rFonts w:hint="eastAsia"/>
                      <w:szCs w:val="21"/>
                    </w:rPr>
                    <w:t>0.606</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391" w:type="dxa"/>
                  <w:vMerge w:val="restart"/>
                  <w:vAlign w:val="center"/>
                </w:tcPr>
                <w:p>
                  <w:pPr>
                    <w:autoSpaceDE w:val="0"/>
                    <w:autoSpaceDN w:val="0"/>
                    <w:adjustRightInd w:val="0"/>
                    <w:snapToGrid w:val="0"/>
                    <w:jc w:val="center"/>
                    <w:rPr>
                      <w:szCs w:val="21"/>
                    </w:rPr>
                  </w:pPr>
                  <w:r>
                    <w:rPr>
                      <w:szCs w:val="21"/>
                    </w:rPr>
                    <w:t>固体废物</w:t>
                  </w:r>
                </w:p>
              </w:tc>
              <w:tc>
                <w:tcPr>
                  <w:tcW w:w="3309" w:type="dxa"/>
                  <w:gridSpan w:val="2"/>
                  <w:vAlign w:val="center"/>
                </w:tcPr>
                <w:p>
                  <w:pPr>
                    <w:pStyle w:val="26"/>
                    <w:wordWrap w:val="0"/>
                    <w:topLinePunct/>
                    <w:adjustRightInd/>
                    <w:spacing w:beforeLines="0" w:line="240" w:lineRule="auto"/>
                    <w:ind w:firstLine="420"/>
                    <w:rPr>
                      <w:rFonts w:ascii="Times New Roman" w:eastAsia="宋体"/>
                      <w:color w:val="auto"/>
                      <w:szCs w:val="21"/>
                    </w:rPr>
                  </w:pPr>
                  <w:r>
                    <w:rPr>
                      <w:rFonts w:ascii="Times New Roman" w:eastAsia="宋体"/>
                      <w:color w:val="auto"/>
                      <w:szCs w:val="21"/>
                    </w:rPr>
                    <w:t>生活垃圾</w:t>
                  </w:r>
                </w:p>
              </w:tc>
              <w:tc>
                <w:tcPr>
                  <w:tcW w:w="3151" w:type="dxa"/>
                  <w:vAlign w:val="center"/>
                </w:tcPr>
                <w:p>
                  <w:pPr>
                    <w:pStyle w:val="26"/>
                    <w:wordWrap w:val="0"/>
                    <w:topLinePunct/>
                    <w:adjustRightInd/>
                    <w:spacing w:beforeLines="0" w:line="240" w:lineRule="auto"/>
                    <w:ind w:firstLine="420"/>
                    <w:rPr>
                      <w:rFonts w:ascii="Times New Roman" w:eastAsia="宋体"/>
                      <w:color w:val="auto"/>
                      <w:szCs w:val="21"/>
                    </w:rPr>
                  </w:pPr>
                  <w:r>
                    <w:rPr>
                      <w:rFonts w:hint="eastAsia" w:ascii="Times New Roman" w:eastAsia="宋体"/>
                      <w:color w:val="auto"/>
                      <w:szCs w:val="21"/>
                    </w:rPr>
                    <w:t>1.05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391" w:type="dxa"/>
                  <w:vMerge w:val="continue"/>
                  <w:vAlign w:val="center"/>
                </w:tcPr>
                <w:p>
                  <w:pPr>
                    <w:autoSpaceDE w:val="0"/>
                    <w:autoSpaceDN w:val="0"/>
                    <w:adjustRightInd w:val="0"/>
                    <w:snapToGrid w:val="0"/>
                    <w:jc w:val="center"/>
                    <w:rPr>
                      <w:szCs w:val="21"/>
                    </w:rPr>
                  </w:pPr>
                </w:p>
              </w:tc>
              <w:tc>
                <w:tcPr>
                  <w:tcW w:w="3309" w:type="dxa"/>
                  <w:gridSpan w:val="2"/>
                  <w:vAlign w:val="center"/>
                </w:tcPr>
                <w:p>
                  <w:pPr>
                    <w:autoSpaceDE w:val="0"/>
                    <w:autoSpaceDN w:val="0"/>
                    <w:adjustRightInd w:val="0"/>
                    <w:snapToGrid w:val="0"/>
                    <w:jc w:val="center"/>
                    <w:rPr>
                      <w:szCs w:val="21"/>
                    </w:rPr>
                  </w:pPr>
                  <w:r>
                    <w:rPr>
                      <w:rFonts w:hint="eastAsia"/>
                      <w:szCs w:val="21"/>
                    </w:rPr>
                    <w:t>锅炉炉渣</w:t>
                  </w:r>
                </w:p>
              </w:tc>
              <w:tc>
                <w:tcPr>
                  <w:tcW w:w="3151" w:type="dxa"/>
                  <w:vAlign w:val="center"/>
                </w:tcPr>
                <w:p>
                  <w:pPr>
                    <w:autoSpaceDE w:val="0"/>
                    <w:autoSpaceDN w:val="0"/>
                    <w:adjustRightInd w:val="0"/>
                    <w:snapToGrid w:val="0"/>
                    <w:jc w:val="center"/>
                    <w:rPr>
                      <w:szCs w:val="21"/>
                    </w:rPr>
                  </w:pPr>
                  <w:r>
                    <w:rPr>
                      <w:rFonts w:hint="eastAsia"/>
                      <w:szCs w:val="21"/>
                    </w:rPr>
                    <w:t>22.6</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391" w:type="dxa"/>
                  <w:vMerge w:val="continue"/>
                  <w:vAlign w:val="center"/>
                </w:tcPr>
                <w:p>
                  <w:pPr>
                    <w:autoSpaceDE w:val="0"/>
                    <w:autoSpaceDN w:val="0"/>
                    <w:adjustRightInd w:val="0"/>
                    <w:snapToGrid w:val="0"/>
                    <w:jc w:val="center"/>
                    <w:rPr>
                      <w:szCs w:val="21"/>
                    </w:rPr>
                  </w:pPr>
                </w:p>
              </w:tc>
              <w:tc>
                <w:tcPr>
                  <w:tcW w:w="3309" w:type="dxa"/>
                  <w:gridSpan w:val="2"/>
                  <w:vAlign w:val="center"/>
                </w:tcPr>
                <w:p>
                  <w:pPr>
                    <w:autoSpaceDE w:val="0"/>
                    <w:autoSpaceDN w:val="0"/>
                    <w:adjustRightInd w:val="0"/>
                    <w:snapToGrid w:val="0"/>
                    <w:jc w:val="center"/>
                    <w:rPr>
                      <w:szCs w:val="21"/>
                    </w:rPr>
                  </w:pPr>
                  <w:r>
                    <w:rPr>
                      <w:szCs w:val="21"/>
                    </w:rPr>
                    <w:t>除尘器收集的粉尘</w:t>
                  </w:r>
                </w:p>
              </w:tc>
              <w:tc>
                <w:tcPr>
                  <w:tcW w:w="3151" w:type="dxa"/>
                  <w:vAlign w:val="center"/>
                </w:tcPr>
                <w:p>
                  <w:pPr>
                    <w:autoSpaceDE w:val="0"/>
                    <w:autoSpaceDN w:val="0"/>
                    <w:adjustRightInd w:val="0"/>
                    <w:snapToGrid w:val="0"/>
                    <w:jc w:val="center"/>
                    <w:rPr>
                      <w:szCs w:val="21"/>
                    </w:rPr>
                  </w:pPr>
                  <w:r>
                    <w:rPr>
                      <w:rFonts w:hint="eastAsia"/>
                      <w:szCs w:val="21"/>
                    </w:rPr>
                    <w:t>2.1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391" w:type="dxa"/>
                  <w:vMerge w:val="continue"/>
                  <w:vAlign w:val="top"/>
                </w:tcPr>
                <w:p>
                  <w:pPr>
                    <w:autoSpaceDE w:val="0"/>
                    <w:autoSpaceDN w:val="0"/>
                    <w:adjustRightInd w:val="0"/>
                    <w:snapToGrid w:val="0"/>
                    <w:jc w:val="center"/>
                    <w:rPr>
                      <w:szCs w:val="21"/>
                    </w:rPr>
                  </w:pPr>
                </w:p>
              </w:tc>
              <w:tc>
                <w:tcPr>
                  <w:tcW w:w="3309" w:type="dxa"/>
                  <w:gridSpan w:val="2"/>
                  <w:vAlign w:val="center"/>
                </w:tcPr>
                <w:p>
                  <w:pPr>
                    <w:autoSpaceDE w:val="0"/>
                    <w:autoSpaceDN w:val="0"/>
                    <w:adjustRightInd w:val="0"/>
                    <w:snapToGrid w:val="0"/>
                    <w:jc w:val="center"/>
                    <w:rPr>
                      <w:szCs w:val="21"/>
                    </w:rPr>
                  </w:pPr>
                  <w:r>
                    <w:rPr>
                      <w:szCs w:val="21"/>
                    </w:rPr>
                    <w:t>废布袋</w:t>
                  </w:r>
                </w:p>
              </w:tc>
              <w:tc>
                <w:tcPr>
                  <w:tcW w:w="3151" w:type="dxa"/>
                  <w:vAlign w:val="center"/>
                </w:tcPr>
                <w:p>
                  <w:pPr>
                    <w:autoSpaceDE w:val="0"/>
                    <w:autoSpaceDN w:val="0"/>
                    <w:adjustRightInd w:val="0"/>
                    <w:snapToGrid w:val="0"/>
                    <w:jc w:val="center"/>
                    <w:rPr>
                      <w:szCs w:val="21"/>
                    </w:rPr>
                  </w:pPr>
                  <w:r>
                    <w:rPr>
                      <w:rFonts w:hint="eastAsia"/>
                      <w:szCs w:val="21"/>
                    </w:rPr>
                    <w:t>0.1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391" w:type="dxa"/>
                  <w:vMerge w:val="continue"/>
                  <w:vAlign w:val="top"/>
                </w:tcPr>
                <w:p>
                  <w:pPr>
                    <w:autoSpaceDE w:val="0"/>
                    <w:autoSpaceDN w:val="0"/>
                    <w:adjustRightInd w:val="0"/>
                    <w:snapToGrid w:val="0"/>
                    <w:jc w:val="center"/>
                    <w:rPr>
                      <w:szCs w:val="21"/>
                    </w:rPr>
                  </w:pPr>
                </w:p>
              </w:tc>
              <w:tc>
                <w:tcPr>
                  <w:tcW w:w="3309" w:type="dxa"/>
                  <w:gridSpan w:val="2"/>
                  <w:vAlign w:val="center"/>
                </w:tcPr>
                <w:p>
                  <w:pPr>
                    <w:autoSpaceDE w:val="0"/>
                    <w:autoSpaceDN w:val="0"/>
                    <w:adjustRightInd w:val="0"/>
                    <w:snapToGrid w:val="0"/>
                    <w:jc w:val="center"/>
                    <w:rPr>
                      <w:szCs w:val="21"/>
                    </w:rPr>
                  </w:pPr>
                  <w:r>
                    <w:rPr>
                      <w:szCs w:val="21"/>
                    </w:rPr>
                    <w:t>生产过程产生的边角余料</w:t>
                  </w:r>
                </w:p>
              </w:tc>
              <w:tc>
                <w:tcPr>
                  <w:tcW w:w="3151" w:type="dxa"/>
                  <w:vAlign w:val="center"/>
                </w:tcPr>
                <w:p>
                  <w:pPr>
                    <w:autoSpaceDE w:val="0"/>
                    <w:autoSpaceDN w:val="0"/>
                    <w:adjustRightInd w:val="0"/>
                    <w:snapToGrid w:val="0"/>
                    <w:jc w:val="center"/>
                    <w:rPr>
                      <w:szCs w:val="21"/>
                    </w:rPr>
                  </w:pPr>
                  <w:r>
                    <w:rPr>
                      <w:rFonts w:hint="eastAsia"/>
                      <w:szCs w:val="21"/>
                    </w:rPr>
                    <w:t>5.5</w:t>
                  </w:r>
                </w:p>
              </w:tc>
            </w:tr>
          </w:tbl>
          <w:p>
            <w:pPr>
              <w:adjustRightInd w:val="0"/>
              <w:snapToGrid w:val="0"/>
              <w:spacing w:beforeLines="50" w:line="360" w:lineRule="auto"/>
              <w:ind w:firstLine="482" w:firstLineChars="200"/>
              <w:rPr>
                <w:b/>
                <w:sz w:val="24"/>
              </w:rPr>
            </w:pPr>
            <w:r>
              <w:rPr>
                <w:rFonts w:hint="eastAsia"/>
                <w:b/>
                <w:sz w:val="24"/>
              </w:rPr>
              <w:t>4、现有项目的主要环境问题及“以新带老”治理措施</w:t>
            </w:r>
          </w:p>
          <w:p>
            <w:pPr>
              <w:adjustRightInd w:val="0"/>
              <w:snapToGrid w:val="0"/>
              <w:spacing w:line="360" w:lineRule="auto"/>
              <w:ind w:firstLine="480" w:firstLineChars="200"/>
              <w:rPr>
                <w:bCs/>
                <w:sz w:val="24"/>
                <w:u w:val="single"/>
              </w:rPr>
            </w:pPr>
            <w:r>
              <w:rPr>
                <w:rFonts w:hint="eastAsia"/>
                <w:bCs/>
                <w:sz w:val="24"/>
                <w:u w:val="single"/>
              </w:rPr>
              <w:t>根据现场勘查，现有项目的主要环境问题及“以新带老”治理措施如下：</w:t>
            </w:r>
          </w:p>
          <w:p>
            <w:pPr>
              <w:adjustRightInd w:val="0"/>
              <w:snapToGrid w:val="0"/>
              <w:spacing w:line="360" w:lineRule="auto"/>
              <w:ind w:firstLine="480" w:firstLineChars="200"/>
              <w:rPr>
                <w:bCs/>
                <w:sz w:val="24"/>
                <w:u w:val="single"/>
              </w:rPr>
            </w:pPr>
            <w:r>
              <w:rPr>
                <w:rFonts w:hint="eastAsia"/>
                <w:bCs/>
                <w:sz w:val="24"/>
                <w:u w:val="single"/>
              </w:rPr>
              <w:t>（1）现有项目的主要环境问题</w:t>
            </w:r>
          </w:p>
          <w:p>
            <w:pPr>
              <w:adjustRightInd w:val="0"/>
              <w:snapToGrid w:val="0"/>
              <w:spacing w:line="360" w:lineRule="auto"/>
              <w:ind w:firstLine="480" w:firstLineChars="200"/>
              <w:rPr>
                <w:bCs/>
                <w:sz w:val="24"/>
                <w:u w:val="single"/>
              </w:rPr>
            </w:pPr>
            <w:r>
              <w:rPr>
                <w:rFonts w:hint="eastAsia"/>
                <w:bCs/>
                <w:sz w:val="24"/>
                <w:u w:val="single"/>
              </w:rPr>
              <w:t>①根据《产业结构调整指导目录（2024年本）》中“二、落后产品—（七）机械—66.每小时2蒸吨及以下生物质锅炉”为淘汰类，企业原有1台1t/h燃生物质蒸汽锅炉属于淘汰类，不得继续使用；②企业现有堆场覆盖不完善。</w:t>
            </w:r>
          </w:p>
          <w:p>
            <w:pPr>
              <w:adjustRightInd w:val="0"/>
              <w:snapToGrid w:val="0"/>
              <w:spacing w:line="360" w:lineRule="auto"/>
              <w:ind w:firstLine="480" w:firstLineChars="200"/>
              <w:rPr>
                <w:bCs/>
                <w:sz w:val="24"/>
                <w:u w:val="single"/>
              </w:rPr>
            </w:pPr>
            <w:r>
              <w:rPr>
                <w:rFonts w:hint="eastAsia"/>
                <w:bCs/>
                <w:sz w:val="24"/>
                <w:u w:val="single"/>
              </w:rPr>
              <w:t>（2）“以新带老”治理措施</w:t>
            </w:r>
          </w:p>
          <w:p>
            <w:pPr>
              <w:adjustRightInd w:val="0"/>
              <w:snapToGrid w:val="0"/>
              <w:spacing w:line="360" w:lineRule="auto"/>
              <w:ind w:firstLine="480" w:firstLineChars="200"/>
              <w:rPr>
                <w:rFonts w:ascii="宋体" w:hAnsi="宋体"/>
                <w:bCs/>
                <w:szCs w:val="21"/>
              </w:rPr>
            </w:pPr>
            <w:r>
              <w:rPr>
                <w:rFonts w:hint="eastAsia"/>
                <w:bCs/>
                <w:sz w:val="24"/>
                <w:u w:val="single"/>
              </w:rPr>
              <w:t>①拆除现有1台1t/h燃生物质蒸汽锅炉及其配套设施，并新建1台2.5t/h燃生物质蒸汽锅炉及其配套设施，同时拆除现有1根25m高排气筒，新建1根30m高排气筒，以满足《锅炉大气污染物排放标准》（GB13271-2014）中相关要求；②按环保要求规范化建设堆场，地面水泥硬化处理，设置不低于堆放物高度的严密围挡，加盖抑尘网，并定期洒水抑尘，防治扬尘污染。</w:t>
            </w:r>
          </w:p>
        </w:tc>
      </w:tr>
    </w:tbl>
    <w:p>
      <w:pPr>
        <w:pStyle w:val="17"/>
        <w:spacing w:before="120"/>
        <w:ind w:firstLine="720"/>
        <w:jc w:val="center"/>
        <w:rPr>
          <w:rFonts w:ascii="黑体" w:hAnsi="黑体" w:eastAsia="黑体"/>
          <w:snapToGrid w:val="0"/>
          <w:sz w:val="36"/>
          <w:szCs w:val="36"/>
        </w:rPr>
        <w:sectPr>
          <w:pgSz w:w="11906" w:h="16838"/>
          <w:pgMar w:top="1701" w:right="1531" w:bottom="1701" w:left="1531" w:header="851" w:footer="851" w:gutter="0"/>
          <w:cols w:space="720" w:num="1"/>
          <w:docGrid w:linePitch="312" w:charSpace="0"/>
        </w:sectPr>
      </w:pPr>
    </w:p>
    <w:p>
      <w:pPr>
        <w:pStyle w:val="17"/>
        <w:adjustRightInd w:val="0"/>
        <w:snapToGrid w:val="0"/>
        <w:spacing w:before="120" w:beforeAutospacing="0" w:after="0" w:afterAutospacing="0" w:line="14" w:lineRule="auto"/>
        <w:ind w:firstLine="600"/>
        <w:jc w:val="center"/>
        <w:outlineLvl w:val="0"/>
        <w:rPr>
          <w:rFonts w:ascii="黑体" w:hAnsi="黑体" w:eastAsia="黑体"/>
          <w:snapToGrid w:val="0"/>
          <w:sz w:val="30"/>
          <w:szCs w:val="30"/>
        </w:rPr>
      </w:pPr>
    </w:p>
    <w:p>
      <w:pPr>
        <w:pStyle w:val="17"/>
        <w:spacing w:before="120"/>
        <w:ind w:firstLine="600"/>
        <w:jc w:val="center"/>
        <w:outlineLvl w:val="0"/>
        <w:rPr>
          <w:rFonts w:ascii="黑体" w:hAnsi="黑体" w:eastAsia="黑体"/>
          <w:snapToGrid w:val="0"/>
          <w:sz w:val="30"/>
          <w:szCs w:val="30"/>
        </w:rPr>
      </w:pPr>
      <w:r>
        <w:rPr>
          <w:rFonts w:hint="eastAsia" w:ascii="黑体" w:hAnsi="黑体" w:eastAsia="黑体"/>
          <w:snapToGrid w:val="0"/>
          <w:sz w:val="30"/>
          <w:szCs w:val="30"/>
        </w:rPr>
        <w:t>三、区域环境质量现状、环境保护目标及评价标准</w:t>
      </w:r>
    </w:p>
    <w:tbl>
      <w:tblPr>
        <w:tblStyle w:val="19"/>
        <w:tblpPr w:leftFromText="180" w:rightFromText="180" w:vertAnchor="text" w:tblpXSpec="center" w:tblpY="1"/>
        <w:tblOverlap w:val="never"/>
        <w:tblW w:w="9061"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770"/>
        <w:gridCol w:w="8291"/>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70" w:type="dxa"/>
            <w:vAlign w:val="center"/>
          </w:tcPr>
          <w:p>
            <w:pPr>
              <w:adjustRightInd w:val="0"/>
              <w:snapToGrid w:val="0"/>
              <w:jc w:val="center"/>
              <w:rPr>
                <w:rFonts w:ascii="宋体" w:hAnsi="宋体" w:cs="宋体"/>
                <w:kern w:val="0"/>
                <w:szCs w:val="21"/>
              </w:rPr>
            </w:pPr>
            <w:r>
              <w:rPr>
                <w:rFonts w:hint="eastAsia" w:ascii="宋体" w:hAnsi="宋体" w:cs="宋体"/>
                <w:kern w:val="0"/>
                <w:szCs w:val="21"/>
              </w:rPr>
              <w:t>区域</w:t>
            </w:r>
          </w:p>
          <w:p>
            <w:pPr>
              <w:adjustRightInd w:val="0"/>
              <w:snapToGrid w:val="0"/>
              <w:jc w:val="center"/>
              <w:rPr>
                <w:rFonts w:ascii="宋体" w:hAnsi="宋体" w:cs="宋体"/>
                <w:kern w:val="0"/>
                <w:szCs w:val="21"/>
              </w:rPr>
            </w:pPr>
            <w:r>
              <w:rPr>
                <w:rFonts w:hint="eastAsia" w:ascii="宋体" w:hAnsi="宋体" w:cs="宋体"/>
                <w:kern w:val="0"/>
                <w:szCs w:val="21"/>
              </w:rPr>
              <w:t>环境</w:t>
            </w:r>
          </w:p>
          <w:p>
            <w:pPr>
              <w:adjustRightInd w:val="0"/>
              <w:snapToGrid w:val="0"/>
              <w:jc w:val="center"/>
              <w:rPr>
                <w:rFonts w:ascii="宋体" w:hAnsi="宋体" w:cs="宋体"/>
                <w:kern w:val="0"/>
                <w:szCs w:val="21"/>
              </w:rPr>
            </w:pPr>
            <w:r>
              <w:rPr>
                <w:rFonts w:hint="eastAsia" w:ascii="宋体" w:hAnsi="宋体" w:cs="宋体"/>
                <w:kern w:val="0"/>
                <w:szCs w:val="21"/>
              </w:rPr>
              <w:t>质量</w:t>
            </w:r>
          </w:p>
          <w:p>
            <w:pPr>
              <w:adjustRightInd w:val="0"/>
              <w:snapToGrid w:val="0"/>
              <w:jc w:val="center"/>
              <w:rPr>
                <w:rFonts w:ascii="宋体" w:hAnsi="宋体" w:cs="宋体"/>
                <w:kern w:val="0"/>
                <w:szCs w:val="21"/>
              </w:rPr>
            </w:pPr>
            <w:r>
              <w:rPr>
                <w:rFonts w:hint="eastAsia" w:ascii="宋体" w:hAnsi="宋体" w:cs="宋体"/>
                <w:kern w:val="0"/>
                <w:szCs w:val="21"/>
              </w:rPr>
              <w:t>现状</w:t>
            </w:r>
          </w:p>
        </w:tc>
        <w:tc>
          <w:tcPr>
            <w:tcW w:w="8291" w:type="dxa"/>
            <w:vAlign w:val="center"/>
          </w:tcPr>
          <w:p>
            <w:pPr>
              <w:ind w:firstLine="422" w:firstLineChars="200"/>
              <w:rPr>
                <w:b/>
                <w:szCs w:val="21"/>
              </w:rPr>
            </w:pPr>
          </w:p>
          <w:p>
            <w:pPr>
              <w:spacing w:line="360" w:lineRule="auto"/>
              <w:ind w:firstLine="482" w:firstLineChars="200"/>
              <w:rPr>
                <w:b/>
                <w:sz w:val="24"/>
              </w:rPr>
            </w:pPr>
            <w:r>
              <w:rPr>
                <w:b/>
                <w:sz w:val="24"/>
              </w:rPr>
              <w:t>1、大气环境质量状况</w:t>
            </w:r>
          </w:p>
          <w:p>
            <w:pPr>
              <w:spacing w:line="360" w:lineRule="auto"/>
              <w:ind w:firstLine="480" w:firstLineChars="200"/>
              <w:rPr>
                <w:bCs/>
                <w:sz w:val="24"/>
              </w:rPr>
            </w:pPr>
            <w:r>
              <w:rPr>
                <w:rFonts w:hint="eastAsia"/>
                <w:bCs/>
                <w:sz w:val="24"/>
              </w:rPr>
              <w:t>（1）环境空气常规因子质量现状调查</w:t>
            </w:r>
          </w:p>
          <w:p>
            <w:pPr>
              <w:spacing w:line="360" w:lineRule="auto"/>
              <w:ind w:firstLine="480" w:firstLineChars="200"/>
              <w:rPr>
                <w:bCs/>
                <w:sz w:val="24"/>
              </w:rPr>
            </w:pPr>
            <w:r>
              <w:rPr>
                <w:bCs/>
                <w:sz w:val="24"/>
              </w:rPr>
              <w:t>根据《建设项目环境影响报告表编制技术指南（污染影响类）》，常规污染物引用与建设项目距离近的有效数据，包括近3年的规划环境影响评价的监测数据，国家、地方环境空气质量监测网数据或生态环境主管部门公开发布的质量数据等。</w:t>
            </w:r>
          </w:p>
          <w:p>
            <w:pPr>
              <w:spacing w:line="360" w:lineRule="auto"/>
              <w:ind w:firstLine="480" w:firstLineChars="200"/>
              <w:rPr>
                <w:bCs/>
                <w:sz w:val="24"/>
              </w:rPr>
            </w:pPr>
            <w:r>
              <w:rPr>
                <w:bCs/>
                <w:sz w:val="24"/>
              </w:rPr>
              <w:t>本项目环境空气质量基本污染物评价引用《吉林省</w:t>
            </w:r>
            <w:r>
              <w:rPr>
                <w:rFonts w:hint="eastAsia"/>
                <w:bCs/>
                <w:sz w:val="24"/>
              </w:rPr>
              <w:t>2025</w:t>
            </w:r>
            <w:r>
              <w:rPr>
                <w:bCs/>
                <w:sz w:val="24"/>
              </w:rPr>
              <w:t>年</w:t>
            </w:r>
            <w:r>
              <w:rPr>
                <w:rFonts w:hint="eastAsia"/>
                <w:bCs/>
                <w:sz w:val="24"/>
              </w:rPr>
              <w:t>生态</w:t>
            </w:r>
            <w:r>
              <w:rPr>
                <w:bCs/>
                <w:sz w:val="24"/>
              </w:rPr>
              <w:t>环境状况公报》中</w:t>
            </w:r>
            <w:r>
              <w:rPr>
                <w:rFonts w:hint="eastAsia"/>
                <w:bCs/>
                <w:sz w:val="24"/>
              </w:rPr>
              <w:t>通化市</w:t>
            </w:r>
            <w:r>
              <w:rPr>
                <w:bCs/>
                <w:sz w:val="24"/>
              </w:rPr>
              <w:t>环境空气质量主要污染物年均浓度监测统计数据，对区域环境空气质量现状进行分析，环境空气区域质量监测统计及评价结果见下表。</w:t>
            </w:r>
          </w:p>
          <w:p>
            <w:pPr>
              <w:pStyle w:val="23"/>
              <w:ind w:left="0" w:firstLine="0"/>
              <w:rPr>
                <w:u w:val="none"/>
              </w:rPr>
            </w:pPr>
            <w:r>
              <w:rPr>
                <w:u w:val="none"/>
              </w:rPr>
              <w:t xml:space="preserve">区域空气质量现状评价表   </w:t>
            </w:r>
            <w:r>
              <w:rPr>
                <w:rFonts w:hint="eastAsia"/>
                <w:u w:val="none"/>
              </w:rPr>
              <w:t xml:space="preserve"> </w:t>
            </w:r>
            <w:r>
              <w:rPr>
                <w:u w:val="none"/>
              </w:rPr>
              <w:t>单位：µg/m</w:t>
            </w:r>
            <w:r>
              <w:rPr>
                <w:u w:val="none"/>
                <w:vertAlign w:val="superscript"/>
              </w:rPr>
              <w:t>3</w:t>
            </w:r>
            <w:r>
              <w:rPr>
                <w:u w:val="none"/>
              </w:rPr>
              <w:t>（CO单位为mg/m</w:t>
            </w:r>
            <w:r>
              <w:rPr>
                <w:u w:val="none"/>
                <w:vertAlign w:val="superscript"/>
              </w:rPr>
              <w:t>3</w:t>
            </w:r>
            <w:r>
              <w:rPr>
                <w:u w:val="none"/>
              </w:rPr>
              <w:t>）</w:t>
            </w:r>
          </w:p>
          <w:tbl>
            <w:tblPr>
              <w:tblStyle w:val="19"/>
              <w:tblW w:w="8072"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15" w:type="dxa"/>
                <w:left w:w="15" w:type="dxa"/>
                <w:bottom w:w="15" w:type="dxa"/>
                <w:right w:w="15" w:type="dxa"/>
              </w:tblCellMar>
            </w:tblPr>
            <w:tblGrid>
              <w:gridCol w:w="1186"/>
              <w:gridCol w:w="2144"/>
              <w:gridCol w:w="1387"/>
              <w:gridCol w:w="1216"/>
              <w:gridCol w:w="1047"/>
              <w:gridCol w:w="1092"/>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15" w:type="dxa"/>
                  <w:left w:w="15" w:type="dxa"/>
                  <w:bottom w:w="15" w:type="dxa"/>
                  <w:right w:w="15" w:type="dxa"/>
                </w:tblCellMar>
              </w:tblPrEx>
              <w:trPr>
                <w:trHeight w:val="340" w:hRule="atLeast"/>
              </w:trPr>
              <w:tc>
                <w:tcPr>
                  <w:tcW w:w="1186" w:type="dxa"/>
                  <w:tcBorders>
                    <w:tl2br w:val="nil"/>
                    <w:tr2bl w:val="nil"/>
                  </w:tcBorders>
                  <w:vAlign w:val="center"/>
                </w:tcPr>
                <w:p>
                  <w:pPr>
                    <w:widowControl/>
                    <w:ind w:firstLine="422"/>
                    <w:jc w:val="center"/>
                    <w:textAlignment w:val="center"/>
                    <w:rPr>
                      <w:b/>
                      <w:bCs/>
                      <w:szCs w:val="21"/>
                    </w:rPr>
                  </w:pPr>
                  <w:r>
                    <w:rPr>
                      <w:rStyle w:val="58"/>
                      <w:b/>
                      <w:bCs/>
                      <w:color w:val="auto"/>
                      <w:sz w:val="21"/>
                      <w:szCs w:val="21"/>
                    </w:rPr>
                    <w:t>污染物</w:t>
                  </w:r>
                </w:p>
              </w:tc>
              <w:tc>
                <w:tcPr>
                  <w:tcW w:w="2144" w:type="dxa"/>
                  <w:tcBorders>
                    <w:tl2br w:val="nil"/>
                    <w:tr2bl w:val="nil"/>
                  </w:tcBorders>
                  <w:vAlign w:val="center"/>
                </w:tcPr>
                <w:p>
                  <w:pPr>
                    <w:widowControl/>
                    <w:ind w:firstLine="422"/>
                    <w:jc w:val="center"/>
                    <w:textAlignment w:val="center"/>
                    <w:rPr>
                      <w:b/>
                      <w:bCs/>
                      <w:szCs w:val="21"/>
                    </w:rPr>
                  </w:pPr>
                  <w:r>
                    <w:rPr>
                      <w:rStyle w:val="58"/>
                      <w:b/>
                      <w:bCs/>
                      <w:color w:val="auto"/>
                      <w:sz w:val="21"/>
                      <w:szCs w:val="21"/>
                    </w:rPr>
                    <w:t>年评价指标</w:t>
                  </w:r>
                </w:p>
              </w:tc>
              <w:tc>
                <w:tcPr>
                  <w:tcW w:w="1387" w:type="dxa"/>
                  <w:tcBorders>
                    <w:tl2br w:val="nil"/>
                    <w:tr2bl w:val="nil"/>
                  </w:tcBorders>
                  <w:vAlign w:val="center"/>
                </w:tcPr>
                <w:p>
                  <w:pPr>
                    <w:widowControl/>
                    <w:ind w:firstLine="422"/>
                    <w:jc w:val="center"/>
                    <w:textAlignment w:val="center"/>
                    <w:rPr>
                      <w:b/>
                      <w:bCs/>
                      <w:szCs w:val="21"/>
                    </w:rPr>
                  </w:pPr>
                  <w:r>
                    <w:rPr>
                      <w:rStyle w:val="58"/>
                      <w:b/>
                      <w:bCs/>
                      <w:color w:val="auto"/>
                      <w:sz w:val="21"/>
                      <w:szCs w:val="21"/>
                    </w:rPr>
                    <w:t>现状浓度</w:t>
                  </w:r>
                </w:p>
              </w:tc>
              <w:tc>
                <w:tcPr>
                  <w:tcW w:w="1216" w:type="dxa"/>
                  <w:tcBorders>
                    <w:tl2br w:val="nil"/>
                    <w:tr2bl w:val="nil"/>
                  </w:tcBorders>
                  <w:vAlign w:val="center"/>
                </w:tcPr>
                <w:p>
                  <w:pPr>
                    <w:widowControl/>
                    <w:ind w:firstLine="422"/>
                    <w:jc w:val="center"/>
                    <w:textAlignment w:val="center"/>
                    <w:rPr>
                      <w:b/>
                      <w:bCs/>
                      <w:szCs w:val="21"/>
                    </w:rPr>
                  </w:pPr>
                  <w:r>
                    <w:rPr>
                      <w:rStyle w:val="58"/>
                      <w:b/>
                      <w:bCs/>
                      <w:color w:val="auto"/>
                      <w:sz w:val="21"/>
                      <w:szCs w:val="21"/>
                    </w:rPr>
                    <w:t>标准值</w:t>
                  </w:r>
                </w:p>
              </w:tc>
              <w:tc>
                <w:tcPr>
                  <w:tcW w:w="1047" w:type="dxa"/>
                  <w:tcBorders>
                    <w:tl2br w:val="nil"/>
                    <w:tr2bl w:val="nil"/>
                  </w:tcBorders>
                  <w:vAlign w:val="center"/>
                </w:tcPr>
                <w:p>
                  <w:pPr>
                    <w:widowControl/>
                    <w:ind w:firstLine="422"/>
                    <w:jc w:val="center"/>
                    <w:textAlignment w:val="center"/>
                    <w:rPr>
                      <w:b/>
                      <w:bCs/>
                      <w:szCs w:val="21"/>
                    </w:rPr>
                  </w:pPr>
                  <w:r>
                    <w:rPr>
                      <w:rStyle w:val="59"/>
                      <w:rFonts w:hint="default" w:ascii="Times New Roman" w:hAnsi="Times New Roman"/>
                      <w:color w:val="auto"/>
                      <w:sz w:val="21"/>
                      <w:szCs w:val="21"/>
                    </w:rPr>
                    <w:t>占标率</w:t>
                  </w:r>
                  <w:r>
                    <w:rPr>
                      <w:rStyle w:val="60"/>
                      <w:rFonts w:ascii="Times New Roman" w:hAnsi="Times New Roman"/>
                      <w:sz w:val="21"/>
                      <w:szCs w:val="21"/>
                    </w:rPr>
                    <w:t>/%</w:t>
                  </w:r>
                </w:p>
              </w:tc>
              <w:tc>
                <w:tcPr>
                  <w:tcW w:w="1092" w:type="dxa"/>
                  <w:tcBorders>
                    <w:tl2br w:val="nil"/>
                    <w:tr2bl w:val="nil"/>
                  </w:tcBorders>
                  <w:vAlign w:val="center"/>
                </w:tcPr>
                <w:p>
                  <w:pPr>
                    <w:widowControl/>
                    <w:ind w:firstLine="422"/>
                    <w:jc w:val="center"/>
                    <w:textAlignment w:val="center"/>
                    <w:rPr>
                      <w:b/>
                      <w:bCs/>
                      <w:szCs w:val="21"/>
                    </w:rPr>
                  </w:pPr>
                  <w:r>
                    <w:rPr>
                      <w:rStyle w:val="58"/>
                      <w:b/>
                      <w:bCs/>
                      <w:color w:val="auto"/>
                      <w:sz w:val="21"/>
                      <w:szCs w:val="21"/>
                    </w:rPr>
                    <w:t>达标情况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15" w:type="dxa"/>
                  <w:left w:w="15" w:type="dxa"/>
                  <w:bottom w:w="15" w:type="dxa"/>
                  <w:right w:w="15" w:type="dxa"/>
                </w:tblCellMar>
              </w:tblPrEx>
              <w:trPr>
                <w:trHeight w:val="340" w:hRule="atLeast"/>
              </w:trPr>
              <w:tc>
                <w:tcPr>
                  <w:tcW w:w="1186" w:type="dxa"/>
                  <w:tcBorders>
                    <w:tl2br w:val="nil"/>
                    <w:tr2bl w:val="nil"/>
                  </w:tcBorders>
                  <w:vAlign w:val="center"/>
                </w:tcPr>
                <w:p>
                  <w:pPr>
                    <w:jc w:val="center"/>
                    <w:rPr>
                      <w:szCs w:val="21"/>
                    </w:rPr>
                  </w:pPr>
                  <w:r>
                    <w:rPr>
                      <w:szCs w:val="21"/>
                    </w:rPr>
                    <w:t>SO</w:t>
                  </w:r>
                  <w:r>
                    <w:rPr>
                      <w:szCs w:val="21"/>
                      <w:vertAlign w:val="subscript"/>
                    </w:rPr>
                    <w:t>2</w:t>
                  </w:r>
                </w:p>
              </w:tc>
              <w:tc>
                <w:tcPr>
                  <w:tcW w:w="2144" w:type="dxa"/>
                  <w:tcBorders>
                    <w:tl2br w:val="nil"/>
                    <w:tr2bl w:val="nil"/>
                  </w:tcBorders>
                  <w:vAlign w:val="center"/>
                </w:tcPr>
                <w:p>
                  <w:pPr>
                    <w:widowControl/>
                    <w:jc w:val="center"/>
                    <w:textAlignment w:val="center"/>
                    <w:rPr>
                      <w:szCs w:val="21"/>
                    </w:rPr>
                  </w:pPr>
                  <w:r>
                    <w:rPr>
                      <w:kern w:val="0"/>
                      <w:szCs w:val="21"/>
                    </w:rPr>
                    <w:t>年平均质量浓度</w:t>
                  </w:r>
                </w:p>
              </w:tc>
              <w:tc>
                <w:tcPr>
                  <w:tcW w:w="1387" w:type="dxa"/>
                  <w:tcBorders>
                    <w:tl2br w:val="nil"/>
                    <w:tr2bl w:val="nil"/>
                  </w:tcBorders>
                  <w:vAlign w:val="center"/>
                </w:tcPr>
                <w:p>
                  <w:pPr>
                    <w:jc w:val="center"/>
                    <w:rPr>
                      <w:szCs w:val="21"/>
                    </w:rPr>
                  </w:pPr>
                  <w:r>
                    <w:rPr>
                      <w:rFonts w:hint="eastAsia"/>
                      <w:szCs w:val="21"/>
                    </w:rPr>
                    <w:t>12</w:t>
                  </w:r>
                </w:p>
              </w:tc>
              <w:tc>
                <w:tcPr>
                  <w:tcW w:w="1216" w:type="dxa"/>
                  <w:tcBorders>
                    <w:tl2br w:val="nil"/>
                    <w:tr2bl w:val="nil"/>
                  </w:tcBorders>
                  <w:vAlign w:val="center"/>
                </w:tcPr>
                <w:p>
                  <w:pPr>
                    <w:jc w:val="center"/>
                    <w:rPr>
                      <w:szCs w:val="21"/>
                    </w:rPr>
                  </w:pPr>
                  <w:r>
                    <w:rPr>
                      <w:szCs w:val="21"/>
                    </w:rPr>
                    <w:t>60</w:t>
                  </w:r>
                </w:p>
              </w:tc>
              <w:tc>
                <w:tcPr>
                  <w:tcW w:w="1047" w:type="dxa"/>
                  <w:tcBorders>
                    <w:tl2br w:val="nil"/>
                    <w:tr2bl w:val="nil"/>
                  </w:tcBorders>
                  <w:vAlign w:val="center"/>
                </w:tcPr>
                <w:p>
                  <w:pPr>
                    <w:jc w:val="center"/>
                    <w:rPr>
                      <w:szCs w:val="21"/>
                    </w:rPr>
                  </w:pPr>
                  <w:r>
                    <w:rPr>
                      <w:rFonts w:hint="eastAsia"/>
                      <w:szCs w:val="21"/>
                    </w:rPr>
                    <w:t>20.00</w:t>
                  </w:r>
                </w:p>
              </w:tc>
              <w:tc>
                <w:tcPr>
                  <w:tcW w:w="1092" w:type="dxa"/>
                  <w:tcBorders>
                    <w:tl2br w:val="nil"/>
                    <w:tr2bl w:val="nil"/>
                  </w:tcBorders>
                  <w:vAlign w:val="center"/>
                </w:tcPr>
                <w:p>
                  <w:pPr>
                    <w:jc w:val="center"/>
                    <w:rPr>
                      <w:szCs w:val="21"/>
                    </w:rPr>
                  </w:pPr>
                  <w:r>
                    <w:rPr>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15" w:type="dxa"/>
                  <w:left w:w="15" w:type="dxa"/>
                  <w:bottom w:w="15" w:type="dxa"/>
                  <w:right w:w="15" w:type="dxa"/>
                </w:tblCellMar>
              </w:tblPrEx>
              <w:trPr>
                <w:trHeight w:val="340" w:hRule="atLeast"/>
              </w:trPr>
              <w:tc>
                <w:tcPr>
                  <w:tcW w:w="1186" w:type="dxa"/>
                  <w:tcBorders>
                    <w:tl2br w:val="nil"/>
                    <w:tr2bl w:val="nil"/>
                  </w:tcBorders>
                  <w:vAlign w:val="center"/>
                </w:tcPr>
                <w:p>
                  <w:pPr>
                    <w:jc w:val="center"/>
                    <w:rPr>
                      <w:szCs w:val="21"/>
                    </w:rPr>
                  </w:pPr>
                  <w:r>
                    <w:rPr>
                      <w:szCs w:val="21"/>
                    </w:rPr>
                    <w:t>NO</w:t>
                  </w:r>
                  <w:r>
                    <w:rPr>
                      <w:szCs w:val="21"/>
                      <w:vertAlign w:val="subscript"/>
                    </w:rPr>
                    <w:t>2</w:t>
                  </w:r>
                </w:p>
              </w:tc>
              <w:tc>
                <w:tcPr>
                  <w:tcW w:w="2144" w:type="dxa"/>
                  <w:tcBorders>
                    <w:tl2br w:val="nil"/>
                    <w:tr2bl w:val="nil"/>
                  </w:tcBorders>
                  <w:vAlign w:val="center"/>
                </w:tcPr>
                <w:p>
                  <w:pPr>
                    <w:widowControl/>
                    <w:jc w:val="center"/>
                    <w:textAlignment w:val="center"/>
                    <w:rPr>
                      <w:kern w:val="0"/>
                      <w:szCs w:val="21"/>
                    </w:rPr>
                  </w:pPr>
                  <w:r>
                    <w:rPr>
                      <w:kern w:val="0"/>
                      <w:szCs w:val="21"/>
                    </w:rPr>
                    <w:t>年平均质量浓度</w:t>
                  </w:r>
                </w:p>
              </w:tc>
              <w:tc>
                <w:tcPr>
                  <w:tcW w:w="1387" w:type="dxa"/>
                  <w:tcBorders>
                    <w:tl2br w:val="nil"/>
                    <w:tr2bl w:val="nil"/>
                  </w:tcBorders>
                  <w:vAlign w:val="center"/>
                </w:tcPr>
                <w:p>
                  <w:pPr>
                    <w:jc w:val="center"/>
                    <w:rPr>
                      <w:szCs w:val="21"/>
                    </w:rPr>
                  </w:pPr>
                  <w:r>
                    <w:rPr>
                      <w:rFonts w:hint="eastAsia"/>
                      <w:szCs w:val="21"/>
                    </w:rPr>
                    <w:t>21</w:t>
                  </w:r>
                </w:p>
              </w:tc>
              <w:tc>
                <w:tcPr>
                  <w:tcW w:w="1216" w:type="dxa"/>
                  <w:tcBorders>
                    <w:tl2br w:val="nil"/>
                    <w:tr2bl w:val="nil"/>
                  </w:tcBorders>
                  <w:vAlign w:val="center"/>
                </w:tcPr>
                <w:p>
                  <w:pPr>
                    <w:jc w:val="center"/>
                    <w:rPr>
                      <w:szCs w:val="21"/>
                    </w:rPr>
                  </w:pPr>
                  <w:r>
                    <w:rPr>
                      <w:szCs w:val="21"/>
                    </w:rPr>
                    <w:t>40</w:t>
                  </w:r>
                </w:p>
              </w:tc>
              <w:tc>
                <w:tcPr>
                  <w:tcW w:w="1047" w:type="dxa"/>
                  <w:tcBorders>
                    <w:tl2br w:val="nil"/>
                    <w:tr2bl w:val="nil"/>
                  </w:tcBorders>
                  <w:vAlign w:val="center"/>
                </w:tcPr>
                <w:p>
                  <w:pPr>
                    <w:jc w:val="center"/>
                    <w:rPr>
                      <w:szCs w:val="21"/>
                    </w:rPr>
                  </w:pPr>
                  <w:r>
                    <w:rPr>
                      <w:rFonts w:hint="eastAsia"/>
                      <w:szCs w:val="21"/>
                    </w:rPr>
                    <w:t>52.50</w:t>
                  </w:r>
                </w:p>
              </w:tc>
              <w:tc>
                <w:tcPr>
                  <w:tcW w:w="1092" w:type="dxa"/>
                  <w:tcBorders>
                    <w:tl2br w:val="nil"/>
                    <w:tr2bl w:val="nil"/>
                  </w:tcBorders>
                  <w:vAlign w:val="center"/>
                </w:tcPr>
                <w:p>
                  <w:pPr>
                    <w:jc w:val="center"/>
                    <w:rPr>
                      <w:szCs w:val="21"/>
                    </w:rPr>
                  </w:pPr>
                  <w:r>
                    <w:rPr>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15" w:type="dxa"/>
                  <w:left w:w="15" w:type="dxa"/>
                  <w:bottom w:w="15" w:type="dxa"/>
                  <w:right w:w="15" w:type="dxa"/>
                </w:tblCellMar>
              </w:tblPrEx>
              <w:trPr>
                <w:trHeight w:val="340" w:hRule="atLeast"/>
              </w:trPr>
              <w:tc>
                <w:tcPr>
                  <w:tcW w:w="1186" w:type="dxa"/>
                  <w:tcBorders>
                    <w:tl2br w:val="nil"/>
                    <w:tr2bl w:val="nil"/>
                  </w:tcBorders>
                  <w:vAlign w:val="center"/>
                </w:tcPr>
                <w:p>
                  <w:pPr>
                    <w:jc w:val="center"/>
                    <w:rPr>
                      <w:szCs w:val="21"/>
                    </w:rPr>
                  </w:pPr>
                  <w:r>
                    <w:rPr>
                      <w:szCs w:val="21"/>
                    </w:rPr>
                    <w:t>CO</w:t>
                  </w:r>
                </w:p>
              </w:tc>
              <w:tc>
                <w:tcPr>
                  <w:tcW w:w="2144" w:type="dxa"/>
                  <w:tcBorders>
                    <w:tl2br w:val="nil"/>
                    <w:tr2bl w:val="nil"/>
                  </w:tcBorders>
                  <w:vAlign w:val="center"/>
                </w:tcPr>
                <w:p>
                  <w:pPr>
                    <w:widowControl/>
                    <w:jc w:val="center"/>
                    <w:textAlignment w:val="center"/>
                    <w:rPr>
                      <w:kern w:val="0"/>
                      <w:szCs w:val="21"/>
                    </w:rPr>
                  </w:pPr>
                  <w:r>
                    <w:rPr>
                      <w:kern w:val="0"/>
                      <w:szCs w:val="21"/>
                    </w:rPr>
                    <w:t>95百分位数日平均</w:t>
                  </w:r>
                </w:p>
              </w:tc>
              <w:tc>
                <w:tcPr>
                  <w:tcW w:w="1387" w:type="dxa"/>
                  <w:tcBorders>
                    <w:tl2br w:val="nil"/>
                    <w:tr2bl w:val="nil"/>
                  </w:tcBorders>
                  <w:vAlign w:val="center"/>
                </w:tcPr>
                <w:p>
                  <w:pPr>
                    <w:jc w:val="center"/>
                    <w:rPr>
                      <w:szCs w:val="21"/>
                    </w:rPr>
                  </w:pPr>
                  <w:r>
                    <w:rPr>
                      <w:rFonts w:hint="eastAsia"/>
                      <w:szCs w:val="21"/>
                    </w:rPr>
                    <w:t>1.2</w:t>
                  </w:r>
                </w:p>
              </w:tc>
              <w:tc>
                <w:tcPr>
                  <w:tcW w:w="1216" w:type="dxa"/>
                  <w:tcBorders>
                    <w:tl2br w:val="nil"/>
                    <w:tr2bl w:val="nil"/>
                  </w:tcBorders>
                  <w:vAlign w:val="center"/>
                </w:tcPr>
                <w:p>
                  <w:pPr>
                    <w:jc w:val="center"/>
                    <w:rPr>
                      <w:szCs w:val="21"/>
                    </w:rPr>
                  </w:pPr>
                  <w:r>
                    <w:rPr>
                      <w:szCs w:val="21"/>
                    </w:rPr>
                    <w:t>4.0</w:t>
                  </w:r>
                </w:p>
              </w:tc>
              <w:tc>
                <w:tcPr>
                  <w:tcW w:w="1047" w:type="dxa"/>
                  <w:tcBorders>
                    <w:tl2br w:val="nil"/>
                    <w:tr2bl w:val="nil"/>
                  </w:tcBorders>
                  <w:vAlign w:val="center"/>
                </w:tcPr>
                <w:p>
                  <w:pPr>
                    <w:jc w:val="center"/>
                    <w:rPr>
                      <w:szCs w:val="21"/>
                    </w:rPr>
                  </w:pPr>
                  <w:r>
                    <w:rPr>
                      <w:rFonts w:hint="eastAsia"/>
                      <w:szCs w:val="21"/>
                    </w:rPr>
                    <w:t>30.00</w:t>
                  </w:r>
                </w:p>
              </w:tc>
              <w:tc>
                <w:tcPr>
                  <w:tcW w:w="1092" w:type="dxa"/>
                  <w:tcBorders>
                    <w:tl2br w:val="nil"/>
                    <w:tr2bl w:val="nil"/>
                  </w:tcBorders>
                  <w:vAlign w:val="center"/>
                </w:tcPr>
                <w:p>
                  <w:pPr>
                    <w:jc w:val="center"/>
                    <w:rPr>
                      <w:szCs w:val="21"/>
                    </w:rPr>
                  </w:pPr>
                  <w:r>
                    <w:rPr>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15" w:type="dxa"/>
                  <w:left w:w="15" w:type="dxa"/>
                  <w:bottom w:w="15" w:type="dxa"/>
                  <w:right w:w="15" w:type="dxa"/>
                </w:tblCellMar>
              </w:tblPrEx>
              <w:trPr>
                <w:trHeight w:val="340" w:hRule="atLeast"/>
              </w:trPr>
              <w:tc>
                <w:tcPr>
                  <w:tcW w:w="1186" w:type="dxa"/>
                  <w:tcBorders>
                    <w:tl2br w:val="nil"/>
                    <w:tr2bl w:val="nil"/>
                  </w:tcBorders>
                  <w:vAlign w:val="center"/>
                </w:tcPr>
                <w:p>
                  <w:pPr>
                    <w:jc w:val="center"/>
                    <w:rPr>
                      <w:szCs w:val="21"/>
                    </w:rPr>
                  </w:pPr>
                  <w:r>
                    <w:rPr>
                      <w:szCs w:val="21"/>
                    </w:rPr>
                    <w:t>O</w:t>
                  </w:r>
                  <w:r>
                    <w:rPr>
                      <w:szCs w:val="21"/>
                      <w:vertAlign w:val="subscript"/>
                    </w:rPr>
                    <w:t>3</w:t>
                  </w:r>
                </w:p>
              </w:tc>
              <w:tc>
                <w:tcPr>
                  <w:tcW w:w="2144" w:type="dxa"/>
                  <w:tcBorders>
                    <w:tl2br w:val="nil"/>
                    <w:tr2bl w:val="nil"/>
                  </w:tcBorders>
                  <w:vAlign w:val="center"/>
                </w:tcPr>
                <w:p>
                  <w:pPr>
                    <w:widowControl/>
                    <w:jc w:val="center"/>
                    <w:textAlignment w:val="center"/>
                    <w:rPr>
                      <w:kern w:val="0"/>
                      <w:szCs w:val="21"/>
                    </w:rPr>
                  </w:pPr>
                  <w:r>
                    <w:rPr>
                      <w:kern w:val="0"/>
                      <w:szCs w:val="21"/>
                    </w:rPr>
                    <w:t>90百分位数日平均</w:t>
                  </w:r>
                </w:p>
              </w:tc>
              <w:tc>
                <w:tcPr>
                  <w:tcW w:w="1387" w:type="dxa"/>
                  <w:tcBorders>
                    <w:tl2br w:val="nil"/>
                    <w:tr2bl w:val="nil"/>
                  </w:tcBorders>
                  <w:vAlign w:val="center"/>
                </w:tcPr>
                <w:p>
                  <w:pPr>
                    <w:jc w:val="center"/>
                    <w:rPr>
                      <w:szCs w:val="21"/>
                    </w:rPr>
                  </w:pPr>
                  <w:r>
                    <w:rPr>
                      <w:rFonts w:hint="eastAsia"/>
                      <w:szCs w:val="21"/>
                    </w:rPr>
                    <w:t>125</w:t>
                  </w:r>
                </w:p>
              </w:tc>
              <w:tc>
                <w:tcPr>
                  <w:tcW w:w="1216" w:type="dxa"/>
                  <w:tcBorders>
                    <w:tl2br w:val="nil"/>
                    <w:tr2bl w:val="nil"/>
                  </w:tcBorders>
                  <w:vAlign w:val="center"/>
                </w:tcPr>
                <w:p>
                  <w:pPr>
                    <w:jc w:val="center"/>
                    <w:rPr>
                      <w:szCs w:val="21"/>
                    </w:rPr>
                  </w:pPr>
                  <w:r>
                    <w:rPr>
                      <w:szCs w:val="21"/>
                    </w:rPr>
                    <w:t>160</w:t>
                  </w:r>
                </w:p>
              </w:tc>
              <w:tc>
                <w:tcPr>
                  <w:tcW w:w="1047" w:type="dxa"/>
                  <w:tcBorders>
                    <w:tl2br w:val="nil"/>
                    <w:tr2bl w:val="nil"/>
                  </w:tcBorders>
                  <w:vAlign w:val="center"/>
                </w:tcPr>
                <w:p>
                  <w:pPr>
                    <w:jc w:val="center"/>
                    <w:rPr>
                      <w:szCs w:val="21"/>
                    </w:rPr>
                  </w:pPr>
                  <w:r>
                    <w:rPr>
                      <w:rFonts w:hint="eastAsia"/>
                      <w:szCs w:val="21"/>
                    </w:rPr>
                    <w:t>78.13</w:t>
                  </w:r>
                </w:p>
              </w:tc>
              <w:tc>
                <w:tcPr>
                  <w:tcW w:w="1092" w:type="dxa"/>
                  <w:tcBorders>
                    <w:tl2br w:val="nil"/>
                    <w:tr2bl w:val="nil"/>
                  </w:tcBorders>
                  <w:vAlign w:val="center"/>
                </w:tcPr>
                <w:p>
                  <w:pPr>
                    <w:jc w:val="center"/>
                    <w:rPr>
                      <w:szCs w:val="21"/>
                    </w:rPr>
                  </w:pPr>
                  <w:r>
                    <w:rPr>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15" w:type="dxa"/>
                  <w:left w:w="15" w:type="dxa"/>
                  <w:bottom w:w="15" w:type="dxa"/>
                  <w:right w:w="15" w:type="dxa"/>
                </w:tblCellMar>
              </w:tblPrEx>
              <w:trPr>
                <w:trHeight w:val="340" w:hRule="atLeast"/>
              </w:trPr>
              <w:tc>
                <w:tcPr>
                  <w:tcW w:w="1186" w:type="dxa"/>
                  <w:tcBorders>
                    <w:tl2br w:val="nil"/>
                    <w:tr2bl w:val="nil"/>
                  </w:tcBorders>
                  <w:vAlign w:val="center"/>
                </w:tcPr>
                <w:p>
                  <w:pPr>
                    <w:jc w:val="center"/>
                    <w:rPr>
                      <w:szCs w:val="21"/>
                    </w:rPr>
                  </w:pPr>
                  <w:r>
                    <w:rPr>
                      <w:szCs w:val="21"/>
                    </w:rPr>
                    <w:t>PM</w:t>
                  </w:r>
                  <w:r>
                    <w:rPr>
                      <w:szCs w:val="21"/>
                      <w:vertAlign w:val="subscript"/>
                    </w:rPr>
                    <w:t>10</w:t>
                  </w:r>
                </w:p>
              </w:tc>
              <w:tc>
                <w:tcPr>
                  <w:tcW w:w="2144" w:type="dxa"/>
                  <w:tcBorders>
                    <w:tl2br w:val="nil"/>
                    <w:tr2bl w:val="nil"/>
                  </w:tcBorders>
                  <w:vAlign w:val="center"/>
                </w:tcPr>
                <w:p>
                  <w:pPr>
                    <w:widowControl/>
                    <w:jc w:val="center"/>
                    <w:textAlignment w:val="center"/>
                    <w:rPr>
                      <w:kern w:val="0"/>
                      <w:szCs w:val="21"/>
                    </w:rPr>
                  </w:pPr>
                  <w:r>
                    <w:rPr>
                      <w:kern w:val="0"/>
                      <w:szCs w:val="21"/>
                    </w:rPr>
                    <w:t>年平均质量浓度</w:t>
                  </w:r>
                </w:p>
              </w:tc>
              <w:tc>
                <w:tcPr>
                  <w:tcW w:w="1387" w:type="dxa"/>
                  <w:tcBorders>
                    <w:tl2br w:val="nil"/>
                    <w:tr2bl w:val="nil"/>
                  </w:tcBorders>
                  <w:vAlign w:val="center"/>
                </w:tcPr>
                <w:p>
                  <w:pPr>
                    <w:jc w:val="center"/>
                    <w:rPr>
                      <w:szCs w:val="21"/>
                    </w:rPr>
                  </w:pPr>
                  <w:r>
                    <w:rPr>
                      <w:rFonts w:hint="eastAsia"/>
                      <w:szCs w:val="21"/>
                    </w:rPr>
                    <w:t>38</w:t>
                  </w:r>
                </w:p>
              </w:tc>
              <w:tc>
                <w:tcPr>
                  <w:tcW w:w="1216" w:type="dxa"/>
                  <w:tcBorders>
                    <w:tl2br w:val="nil"/>
                    <w:tr2bl w:val="nil"/>
                  </w:tcBorders>
                  <w:vAlign w:val="center"/>
                </w:tcPr>
                <w:p>
                  <w:pPr>
                    <w:jc w:val="center"/>
                    <w:rPr>
                      <w:szCs w:val="21"/>
                    </w:rPr>
                  </w:pPr>
                  <w:r>
                    <w:rPr>
                      <w:rFonts w:hint="eastAsia"/>
                      <w:szCs w:val="21"/>
                    </w:rPr>
                    <w:t>60</w:t>
                  </w:r>
                </w:p>
              </w:tc>
              <w:tc>
                <w:tcPr>
                  <w:tcW w:w="1047" w:type="dxa"/>
                  <w:tcBorders>
                    <w:tl2br w:val="nil"/>
                    <w:tr2bl w:val="nil"/>
                  </w:tcBorders>
                  <w:vAlign w:val="center"/>
                </w:tcPr>
                <w:p>
                  <w:pPr>
                    <w:jc w:val="center"/>
                    <w:rPr>
                      <w:szCs w:val="21"/>
                    </w:rPr>
                  </w:pPr>
                  <w:r>
                    <w:rPr>
                      <w:rFonts w:hint="eastAsia"/>
                      <w:szCs w:val="21"/>
                    </w:rPr>
                    <w:t>63.33</w:t>
                  </w:r>
                </w:p>
              </w:tc>
              <w:tc>
                <w:tcPr>
                  <w:tcW w:w="1092" w:type="dxa"/>
                  <w:tcBorders>
                    <w:tl2br w:val="nil"/>
                    <w:tr2bl w:val="nil"/>
                  </w:tcBorders>
                  <w:vAlign w:val="center"/>
                </w:tcPr>
                <w:p>
                  <w:pPr>
                    <w:jc w:val="center"/>
                    <w:rPr>
                      <w:szCs w:val="21"/>
                    </w:rPr>
                  </w:pPr>
                  <w:r>
                    <w:rPr>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15" w:type="dxa"/>
                  <w:left w:w="15" w:type="dxa"/>
                  <w:bottom w:w="15" w:type="dxa"/>
                  <w:right w:w="15" w:type="dxa"/>
                </w:tblCellMar>
              </w:tblPrEx>
              <w:trPr>
                <w:trHeight w:val="340" w:hRule="atLeast"/>
              </w:trPr>
              <w:tc>
                <w:tcPr>
                  <w:tcW w:w="1186" w:type="dxa"/>
                  <w:tcBorders>
                    <w:tl2br w:val="nil"/>
                    <w:tr2bl w:val="nil"/>
                  </w:tcBorders>
                  <w:vAlign w:val="center"/>
                </w:tcPr>
                <w:p>
                  <w:pPr>
                    <w:jc w:val="center"/>
                    <w:rPr>
                      <w:szCs w:val="21"/>
                    </w:rPr>
                  </w:pPr>
                  <w:r>
                    <w:rPr>
                      <w:szCs w:val="21"/>
                    </w:rPr>
                    <w:t>PM</w:t>
                  </w:r>
                  <w:r>
                    <w:rPr>
                      <w:szCs w:val="21"/>
                      <w:vertAlign w:val="subscript"/>
                    </w:rPr>
                    <w:t>2.5</w:t>
                  </w:r>
                </w:p>
              </w:tc>
              <w:tc>
                <w:tcPr>
                  <w:tcW w:w="2144" w:type="dxa"/>
                  <w:tcBorders>
                    <w:tl2br w:val="nil"/>
                    <w:tr2bl w:val="nil"/>
                  </w:tcBorders>
                  <w:vAlign w:val="center"/>
                </w:tcPr>
                <w:p>
                  <w:pPr>
                    <w:widowControl/>
                    <w:jc w:val="center"/>
                    <w:textAlignment w:val="center"/>
                    <w:rPr>
                      <w:kern w:val="0"/>
                      <w:szCs w:val="21"/>
                    </w:rPr>
                  </w:pPr>
                  <w:r>
                    <w:rPr>
                      <w:kern w:val="0"/>
                      <w:szCs w:val="21"/>
                    </w:rPr>
                    <w:t>年平均质量浓度</w:t>
                  </w:r>
                </w:p>
              </w:tc>
              <w:tc>
                <w:tcPr>
                  <w:tcW w:w="1387" w:type="dxa"/>
                  <w:tcBorders>
                    <w:tl2br w:val="nil"/>
                    <w:tr2bl w:val="nil"/>
                  </w:tcBorders>
                  <w:vAlign w:val="center"/>
                </w:tcPr>
                <w:p>
                  <w:pPr>
                    <w:jc w:val="center"/>
                    <w:rPr>
                      <w:szCs w:val="21"/>
                    </w:rPr>
                  </w:pPr>
                  <w:r>
                    <w:rPr>
                      <w:rFonts w:hint="eastAsia"/>
                      <w:szCs w:val="21"/>
                    </w:rPr>
                    <w:t>21.8</w:t>
                  </w:r>
                </w:p>
              </w:tc>
              <w:tc>
                <w:tcPr>
                  <w:tcW w:w="1216" w:type="dxa"/>
                  <w:tcBorders>
                    <w:tl2br w:val="nil"/>
                    <w:tr2bl w:val="nil"/>
                  </w:tcBorders>
                  <w:vAlign w:val="center"/>
                </w:tcPr>
                <w:p>
                  <w:pPr>
                    <w:jc w:val="center"/>
                    <w:rPr>
                      <w:szCs w:val="21"/>
                    </w:rPr>
                  </w:pPr>
                  <w:r>
                    <w:rPr>
                      <w:rFonts w:hint="eastAsia"/>
                      <w:szCs w:val="21"/>
                    </w:rPr>
                    <w:t>30</w:t>
                  </w:r>
                </w:p>
              </w:tc>
              <w:tc>
                <w:tcPr>
                  <w:tcW w:w="1047" w:type="dxa"/>
                  <w:tcBorders>
                    <w:tl2br w:val="nil"/>
                    <w:tr2bl w:val="nil"/>
                  </w:tcBorders>
                  <w:vAlign w:val="center"/>
                </w:tcPr>
                <w:p>
                  <w:pPr>
                    <w:jc w:val="center"/>
                    <w:rPr>
                      <w:szCs w:val="21"/>
                    </w:rPr>
                  </w:pPr>
                  <w:r>
                    <w:rPr>
                      <w:rFonts w:hint="eastAsia"/>
                      <w:szCs w:val="21"/>
                    </w:rPr>
                    <w:t>72.67</w:t>
                  </w:r>
                </w:p>
              </w:tc>
              <w:tc>
                <w:tcPr>
                  <w:tcW w:w="1092" w:type="dxa"/>
                  <w:tcBorders>
                    <w:tl2br w:val="nil"/>
                    <w:tr2bl w:val="nil"/>
                  </w:tcBorders>
                  <w:vAlign w:val="center"/>
                </w:tcPr>
                <w:p>
                  <w:pPr>
                    <w:jc w:val="center"/>
                    <w:rPr>
                      <w:szCs w:val="21"/>
                    </w:rPr>
                  </w:pPr>
                  <w:r>
                    <w:rPr>
                      <w:szCs w:val="21"/>
                    </w:rPr>
                    <w:t>达标</w:t>
                  </w:r>
                </w:p>
              </w:tc>
            </w:tr>
          </w:tbl>
          <w:p>
            <w:pPr>
              <w:adjustRightInd w:val="0"/>
              <w:snapToGrid w:val="0"/>
              <w:spacing w:beforeLines="50" w:line="360" w:lineRule="auto"/>
              <w:ind w:firstLine="480" w:firstLineChars="200"/>
              <w:rPr>
                <w:kern w:val="0"/>
                <w:sz w:val="24"/>
                <w:lang w:val="zh-CN"/>
              </w:rPr>
            </w:pPr>
            <w:r>
              <w:rPr>
                <w:kern w:val="0"/>
                <w:sz w:val="24"/>
                <w:lang w:val="zh-CN"/>
              </w:rPr>
              <w:t>根据《吉林省202</w:t>
            </w:r>
            <w:r>
              <w:rPr>
                <w:rFonts w:hint="eastAsia"/>
                <w:kern w:val="0"/>
                <w:sz w:val="24"/>
              </w:rPr>
              <w:t>5</w:t>
            </w:r>
            <w:r>
              <w:rPr>
                <w:kern w:val="0"/>
                <w:sz w:val="24"/>
                <w:lang w:val="zh-CN"/>
              </w:rPr>
              <w:t>年生态环境状况公报》中通化市环境空气质量主要污染物年均浓度监测统计数据可以看出，通化市环境空气污染物基本项目SO</w:t>
            </w:r>
            <w:r>
              <w:rPr>
                <w:kern w:val="0"/>
                <w:sz w:val="24"/>
                <w:vertAlign w:val="subscript"/>
                <w:lang w:val="zh-CN"/>
              </w:rPr>
              <w:t>2</w:t>
            </w:r>
            <w:r>
              <w:rPr>
                <w:kern w:val="0"/>
                <w:sz w:val="24"/>
                <w:lang w:val="zh-CN"/>
              </w:rPr>
              <w:t>、NO</w:t>
            </w:r>
            <w:r>
              <w:rPr>
                <w:kern w:val="0"/>
                <w:sz w:val="24"/>
                <w:vertAlign w:val="subscript"/>
                <w:lang w:val="zh-CN"/>
              </w:rPr>
              <w:t>2</w:t>
            </w:r>
            <w:r>
              <w:rPr>
                <w:kern w:val="0"/>
                <w:sz w:val="24"/>
                <w:lang w:val="zh-CN"/>
              </w:rPr>
              <w:t>、PM</w:t>
            </w:r>
            <w:r>
              <w:rPr>
                <w:kern w:val="0"/>
                <w:sz w:val="24"/>
                <w:vertAlign w:val="subscript"/>
                <w:lang w:val="zh-CN"/>
              </w:rPr>
              <w:t>10</w:t>
            </w:r>
            <w:r>
              <w:rPr>
                <w:kern w:val="0"/>
                <w:sz w:val="24"/>
                <w:lang w:val="zh-CN"/>
              </w:rPr>
              <w:t>、PM</w:t>
            </w:r>
            <w:r>
              <w:rPr>
                <w:kern w:val="0"/>
                <w:sz w:val="24"/>
                <w:vertAlign w:val="subscript"/>
                <w:lang w:val="zh-CN"/>
              </w:rPr>
              <w:t>2.5</w:t>
            </w:r>
            <w:r>
              <w:rPr>
                <w:kern w:val="0"/>
                <w:sz w:val="24"/>
                <w:lang w:val="zh-CN"/>
              </w:rPr>
              <w:t>、CO、O</w:t>
            </w:r>
            <w:r>
              <w:rPr>
                <w:kern w:val="0"/>
                <w:sz w:val="24"/>
                <w:vertAlign w:val="subscript"/>
                <w:lang w:val="zh-CN"/>
              </w:rPr>
              <w:t>3</w:t>
            </w:r>
            <w:r>
              <w:rPr>
                <w:kern w:val="0"/>
                <w:sz w:val="24"/>
                <w:lang w:val="zh-CN"/>
              </w:rPr>
              <w:t>年均值均满足《环境空气质量标准》（GB3095-20</w:t>
            </w:r>
            <w:r>
              <w:rPr>
                <w:rFonts w:hint="eastAsia"/>
                <w:kern w:val="0"/>
                <w:sz w:val="24"/>
              </w:rPr>
              <w:t>26</w:t>
            </w:r>
            <w:r>
              <w:rPr>
                <w:kern w:val="0"/>
                <w:sz w:val="24"/>
                <w:lang w:val="zh-CN"/>
              </w:rPr>
              <w:t>）</w:t>
            </w:r>
            <w:r>
              <w:rPr>
                <w:rFonts w:hint="eastAsia"/>
                <w:kern w:val="0"/>
                <w:sz w:val="24"/>
              </w:rPr>
              <w:t>表1过渡阶段</w:t>
            </w:r>
            <w:r>
              <w:rPr>
                <w:kern w:val="0"/>
                <w:sz w:val="24"/>
                <w:lang w:val="zh-CN"/>
              </w:rPr>
              <w:t>二级</w:t>
            </w:r>
            <w:r>
              <w:rPr>
                <w:rFonts w:hint="eastAsia"/>
                <w:kern w:val="0"/>
                <w:sz w:val="24"/>
              </w:rPr>
              <w:t>浓度</w:t>
            </w:r>
            <w:r>
              <w:rPr>
                <w:kern w:val="0"/>
                <w:sz w:val="24"/>
                <w:lang w:val="zh-CN"/>
              </w:rPr>
              <w:t>限值要求。由此可以看出，评价区域属环境空气达标区。</w:t>
            </w:r>
          </w:p>
          <w:p>
            <w:pPr>
              <w:adjustRightInd w:val="0"/>
              <w:snapToGrid w:val="0"/>
              <w:spacing w:line="360" w:lineRule="auto"/>
              <w:ind w:firstLine="480" w:firstLineChars="200"/>
              <w:rPr>
                <w:kern w:val="0"/>
                <w:sz w:val="24"/>
                <w:lang w:val="zh-CN"/>
              </w:rPr>
            </w:pPr>
            <w:r>
              <w:rPr>
                <w:rFonts w:hint="eastAsia"/>
                <w:kern w:val="0"/>
                <w:sz w:val="24"/>
                <w:lang w:val="zh-CN"/>
              </w:rPr>
              <w:t>（</w:t>
            </w:r>
            <w:r>
              <w:rPr>
                <w:rFonts w:hint="eastAsia"/>
                <w:kern w:val="0"/>
                <w:sz w:val="24"/>
              </w:rPr>
              <w:t>2</w:t>
            </w:r>
            <w:r>
              <w:rPr>
                <w:rFonts w:hint="eastAsia"/>
                <w:kern w:val="0"/>
                <w:sz w:val="24"/>
                <w:lang w:val="zh-CN"/>
              </w:rPr>
              <w:t>）</w:t>
            </w:r>
            <w:r>
              <w:rPr>
                <w:kern w:val="0"/>
                <w:sz w:val="24"/>
                <w:lang w:val="zh-CN"/>
              </w:rPr>
              <w:t>环境空气特征因子质量现状调查</w:t>
            </w:r>
          </w:p>
          <w:p>
            <w:pPr>
              <w:adjustRightInd w:val="0"/>
              <w:snapToGrid w:val="0"/>
              <w:spacing w:line="360" w:lineRule="auto"/>
              <w:ind w:firstLine="480" w:firstLineChars="200"/>
              <w:rPr>
                <w:kern w:val="0"/>
                <w:sz w:val="24"/>
                <w:lang w:val="zh-CN"/>
              </w:rPr>
            </w:pPr>
            <w:r>
              <w:rPr>
                <w:bCs/>
                <w:sz w:val="24"/>
              </w:rPr>
              <w:t>根据《建设项目环境影响报告表编制技术指南（污染影响类）》，</w:t>
            </w:r>
            <w:r>
              <w:rPr>
                <w:rFonts w:hint="eastAsia"/>
                <w:bCs/>
                <w:sz w:val="24"/>
              </w:rPr>
              <w:t>“</w:t>
            </w:r>
            <w:r>
              <w:rPr>
                <w:kern w:val="0"/>
                <w:sz w:val="24"/>
                <w:lang w:val="zh-CN"/>
              </w:rPr>
              <w:t>排放国家、地方环境空气质量标准中有标准限值要求的特征污染物时，引用建设项目周边5千米范围内近3年的现有监测数据，无相关数据的选择当季主导风向下风向1个点位补充不少于3天的监测数据</w:t>
            </w:r>
            <w:r>
              <w:rPr>
                <w:rFonts w:hint="eastAsia"/>
                <w:bCs/>
                <w:sz w:val="24"/>
              </w:rPr>
              <w:t>”</w:t>
            </w:r>
            <w:r>
              <w:rPr>
                <w:kern w:val="0"/>
                <w:sz w:val="24"/>
                <w:lang w:val="zh-CN"/>
              </w:rPr>
              <w:t>。</w:t>
            </w:r>
            <w:r>
              <w:rPr>
                <w:rFonts w:hint="eastAsia"/>
                <w:kern w:val="0"/>
                <w:sz w:val="24"/>
                <w:lang w:val="zh-CN"/>
              </w:rPr>
              <w:t>本次评价环境空气特征因子质量现状中TSP引用</w:t>
            </w:r>
            <w:r>
              <w:rPr>
                <w:kern w:val="0"/>
                <w:sz w:val="24"/>
                <w:lang w:val="zh-CN"/>
              </w:rPr>
              <w:t>《柳河县驼腰岭镇盛鑫建筑材料加工厂建设项目环境影响报告</w:t>
            </w:r>
            <w:r>
              <w:rPr>
                <w:rFonts w:hint="eastAsia"/>
                <w:kern w:val="0"/>
                <w:sz w:val="24"/>
              </w:rPr>
              <w:t>表</w:t>
            </w:r>
            <w:r>
              <w:rPr>
                <w:kern w:val="0"/>
                <w:sz w:val="24"/>
                <w:lang w:val="zh-CN"/>
              </w:rPr>
              <w:t>》中的部分监测数据。</w:t>
            </w:r>
          </w:p>
          <w:p>
            <w:pPr>
              <w:adjustRightInd w:val="0"/>
              <w:snapToGrid w:val="0"/>
              <w:spacing w:line="360" w:lineRule="auto"/>
              <w:ind w:firstLine="480" w:firstLineChars="200"/>
              <w:rPr>
                <w:kern w:val="0"/>
                <w:sz w:val="24"/>
              </w:rPr>
            </w:pPr>
            <w:r>
              <w:rPr>
                <w:rFonts w:hint="eastAsia"/>
                <w:kern w:val="0"/>
                <w:sz w:val="24"/>
              </w:rPr>
              <w:t>①监测点位布设</w:t>
            </w:r>
          </w:p>
          <w:p>
            <w:pPr>
              <w:autoSpaceDE w:val="0"/>
              <w:autoSpaceDN w:val="0"/>
              <w:spacing w:line="360" w:lineRule="auto"/>
              <w:ind w:firstLine="480" w:firstLineChars="200"/>
              <w:rPr>
                <w:sz w:val="24"/>
              </w:rPr>
            </w:pPr>
            <w:r>
              <w:rPr>
                <w:rFonts w:hint="eastAsia"/>
                <w:kern w:val="0"/>
                <w:sz w:val="24"/>
              </w:rPr>
              <w:t>本次评价共布设2个环境空气监测点位，具体布设位置见下表及附图6。</w:t>
            </w:r>
          </w:p>
          <w:p>
            <w:pPr>
              <w:pStyle w:val="23"/>
              <w:ind w:left="0" w:firstLine="0"/>
              <w:rPr>
                <w:u w:val="none"/>
              </w:rPr>
            </w:pPr>
            <w:r>
              <w:rPr>
                <w:u w:val="none"/>
              </w:rPr>
              <w:t>环境空气质量现状监测布点</w:t>
            </w:r>
          </w:p>
          <w:tbl>
            <w:tblPr>
              <w:tblStyle w:val="19"/>
              <w:tblW w:w="8075"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630"/>
              <w:gridCol w:w="2831"/>
              <w:gridCol w:w="4614"/>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0" w:type="dxa"/>
                  <w:tcMar>
                    <w:left w:w="0" w:type="dxa"/>
                    <w:right w:w="0" w:type="dxa"/>
                  </w:tcMar>
                  <w:vAlign w:val="center"/>
                </w:tcPr>
                <w:p>
                  <w:pPr>
                    <w:ind w:firstLine="482"/>
                    <w:jc w:val="center"/>
                    <w:rPr>
                      <w:b/>
                      <w:bCs/>
                      <w:szCs w:val="21"/>
                    </w:rPr>
                  </w:pPr>
                  <w:r>
                    <w:rPr>
                      <w:b/>
                      <w:bCs/>
                      <w:szCs w:val="21"/>
                    </w:rPr>
                    <w:t>序号</w:t>
                  </w:r>
                </w:p>
              </w:tc>
              <w:tc>
                <w:tcPr>
                  <w:tcW w:w="2831" w:type="dxa"/>
                  <w:vAlign w:val="center"/>
                </w:tcPr>
                <w:p>
                  <w:pPr>
                    <w:ind w:firstLine="482"/>
                    <w:jc w:val="center"/>
                    <w:rPr>
                      <w:b/>
                      <w:bCs/>
                      <w:szCs w:val="21"/>
                    </w:rPr>
                  </w:pPr>
                  <w:r>
                    <w:rPr>
                      <w:b/>
                      <w:bCs/>
                      <w:szCs w:val="21"/>
                    </w:rPr>
                    <w:t>监测</w:t>
                  </w:r>
                  <w:r>
                    <w:rPr>
                      <w:rFonts w:hint="eastAsia"/>
                      <w:b/>
                      <w:bCs/>
                      <w:szCs w:val="21"/>
                    </w:rPr>
                    <w:t>点位</w:t>
                  </w:r>
                </w:p>
              </w:tc>
              <w:tc>
                <w:tcPr>
                  <w:tcW w:w="4614" w:type="dxa"/>
                  <w:vAlign w:val="center"/>
                </w:tcPr>
                <w:p>
                  <w:pPr>
                    <w:ind w:firstLine="482"/>
                    <w:jc w:val="center"/>
                    <w:rPr>
                      <w:b/>
                      <w:bCs/>
                      <w:szCs w:val="21"/>
                    </w:rPr>
                  </w:pPr>
                  <w:r>
                    <w:rPr>
                      <w:b/>
                      <w:bCs/>
                      <w:szCs w:val="21"/>
                    </w:rPr>
                    <w:t>布设目的</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0" w:type="dxa"/>
                  <w:tcMar>
                    <w:left w:w="0" w:type="dxa"/>
                    <w:right w:w="0" w:type="dxa"/>
                  </w:tcMar>
                  <w:vAlign w:val="center"/>
                </w:tcPr>
                <w:p>
                  <w:pPr>
                    <w:ind w:firstLine="420"/>
                    <w:jc w:val="center"/>
                    <w:rPr>
                      <w:szCs w:val="21"/>
                    </w:rPr>
                  </w:pPr>
                  <w:r>
                    <w:rPr>
                      <w:szCs w:val="21"/>
                    </w:rPr>
                    <w:t>1</w:t>
                  </w:r>
                  <w:r>
                    <w:rPr>
                      <w:rFonts w:hint="eastAsia"/>
                      <w:szCs w:val="21"/>
                    </w:rPr>
                    <w:t>#</w:t>
                  </w:r>
                </w:p>
              </w:tc>
              <w:tc>
                <w:tcPr>
                  <w:tcW w:w="2831" w:type="dxa"/>
                  <w:vAlign w:val="center"/>
                </w:tcPr>
                <w:p>
                  <w:pPr>
                    <w:ind w:firstLine="396"/>
                    <w:jc w:val="center"/>
                    <w:rPr>
                      <w:szCs w:val="21"/>
                    </w:rPr>
                  </w:pPr>
                  <w:r>
                    <w:rPr>
                      <w:rFonts w:hint="eastAsia"/>
                      <w:spacing w:val="-6"/>
                      <w:szCs w:val="21"/>
                    </w:rPr>
                    <w:t>项目所在地下风向500m处</w:t>
                  </w:r>
                </w:p>
              </w:tc>
              <w:tc>
                <w:tcPr>
                  <w:tcW w:w="4614" w:type="dxa"/>
                  <w:vAlign w:val="center"/>
                </w:tcPr>
                <w:p>
                  <w:pPr>
                    <w:ind w:firstLine="396"/>
                    <w:jc w:val="center"/>
                    <w:rPr>
                      <w:spacing w:val="-6"/>
                      <w:szCs w:val="21"/>
                    </w:rPr>
                  </w:pPr>
                  <w:r>
                    <w:rPr>
                      <w:rFonts w:hint="eastAsia"/>
                      <w:spacing w:val="-6"/>
                      <w:szCs w:val="21"/>
                    </w:rPr>
                    <w:t>了解项目所在地下风向0.5km处环境空气质量现状</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0" w:type="dxa"/>
                  <w:vAlign w:val="center"/>
                </w:tcPr>
                <w:p>
                  <w:pPr>
                    <w:ind w:firstLine="420"/>
                    <w:jc w:val="center"/>
                    <w:rPr>
                      <w:szCs w:val="21"/>
                    </w:rPr>
                  </w:pPr>
                  <w:r>
                    <w:rPr>
                      <w:rFonts w:hint="eastAsia"/>
                      <w:szCs w:val="21"/>
                    </w:rPr>
                    <w:t>2#</w:t>
                  </w:r>
                </w:p>
              </w:tc>
              <w:tc>
                <w:tcPr>
                  <w:tcW w:w="2831" w:type="dxa"/>
                  <w:vAlign w:val="center"/>
                </w:tcPr>
                <w:p>
                  <w:pPr>
                    <w:ind w:firstLine="420"/>
                    <w:jc w:val="center"/>
                    <w:rPr>
                      <w:szCs w:val="21"/>
                    </w:rPr>
                  </w:pPr>
                  <w:r>
                    <w:rPr>
                      <w:rFonts w:hint="eastAsia"/>
                      <w:szCs w:val="21"/>
                    </w:rPr>
                    <w:t>拐磨子村</w:t>
                  </w:r>
                </w:p>
              </w:tc>
              <w:tc>
                <w:tcPr>
                  <w:tcW w:w="4614" w:type="dxa"/>
                  <w:vAlign w:val="center"/>
                </w:tcPr>
                <w:p>
                  <w:pPr>
                    <w:ind w:firstLine="396"/>
                    <w:jc w:val="center"/>
                    <w:rPr>
                      <w:spacing w:val="-6"/>
                      <w:szCs w:val="21"/>
                    </w:rPr>
                  </w:pPr>
                  <w:r>
                    <w:rPr>
                      <w:rFonts w:hint="eastAsia"/>
                      <w:spacing w:val="-6"/>
                      <w:szCs w:val="21"/>
                    </w:rPr>
                    <w:t>了解项目所在地下风向4.1km处环境空气质量现状</w:t>
                  </w:r>
                </w:p>
              </w:tc>
            </w:tr>
          </w:tbl>
          <w:p>
            <w:pPr>
              <w:adjustRightInd w:val="0"/>
              <w:snapToGrid w:val="0"/>
              <w:spacing w:beforeLines="50" w:line="360" w:lineRule="auto"/>
              <w:ind w:firstLine="480" w:firstLineChars="200"/>
              <w:rPr>
                <w:kern w:val="0"/>
                <w:sz w:val="24"/>
              </w:rPr>
            </w:pPr>
            <w:r>
              <w:rPr>
                <w:rFonts w:hint="eastAsia"/>
                <w:kern w:val="0"/>
                <w:sz w:val="24"/>
              </w:rPr>
              <w:t>②监测项目</w:t>
            </w:r>
          </w:p>
          <w:p>
            <w:pPr>
              <w:adjustRightInd w:val="0"/>
              <w:snapToGrid w:val="0"/>
              <w:spacing w:line="360" w:lineRule="auto"/>
              <w:ind w:firstLine="480" w:firstLineChars="200"/>
              <w:rPr>
                <w:kern w:val="0"/>
                <w:sz w:val="24"/>
              </w:rPr>
            </w:pPr>
            <w:r>
              <w:rPr>
                <w:rFonts w:hint="eastAsia"/>
                <w:kern w:val="0"/>
                <w:sz w:val="24"/>
              </w:rPr>
              <w:t>监测因子为TSP、NO</w:t>
            </w:r>
            <w:r>
              <w:rPr>
                <w:rFonts w:hint="eastAsia"/>
                <w:kern w:val="0"/>
                <w:sz w:val="24"/>
                <w:vertAlign w:val="subscript"/>
              </w:rPr>
              <w:t>X</w:t>
            </w:r>
            <w:r>
              <w:rPr>
                <w:rFonts w:hint="eastAsia"/>
                <w:kern w:val="0"/>
                <w:sz w:val="24"/>
              </w:rPr>
              <w:t>，共2项。</w:t>
            </w:r>
          </w:p>
          <w:p>
            <w:pPr>
              <w:adjustRightInd w:val="0"/>
              <w:snapToGrid w:val="0"/>
              <w:spacing w:line="360" w:lineRule="auto"/>
              <w:ind w:firstLine="480" w:firstLineChars="200"/>
              <w:rPr>
                <w:kern w:val="0"/>
                <w:sz w:val="24"/>
              </w:rPr>
            </w:pPr>
            <w:r>
              <w:rPr>
                <w:rFonts w:hint="eastAsia"/>
                <w:kern w:val="0"/>
                <w:sz w:val="24"/>
              </w:rPr>
              <w:t>③监测单位及时间</w:t>
            </w:r>
          </w:p>
          <w:p>
            <w:pPr>
              <w:adjustRightInd w:val="0"/>
              <w:snapToGrid w:val="0"/>
              <w:spacing w:line="360" w:lineRule="auto"/>
              <w:ind w:firstLine="480" w:firstLineChars="200"/>
              <w:rPr>
                <w:kern w:val="0"/>
                <w:sz w:val="24"/>
              </w:rPr>
            </w:pPr>
            <w:r>
              <w:rPr>
                <w:rFonts w:hint="eastAsia"/>
                <w:kern w:val="0"/>
                <w:sz w:val="24"/>
              </w:rPr>
              <w:t>本次评价引用吉林省绿科检测有限公司于2025年10月16日~18日连续3d对2#拐磨子村进行的采样监测数据；补充监测由吉林省佳信检测技术有限公司于2026年7月9日~11日连续3d对1#项目所在地下风向500m处进行采样监测。</w:t>
            </w:r>
          </w:p>
          <w:p>
            <w:pPr>
              <w:adjustRightInd w:val="0"/>
              <w:snapToGrid w:val="0"/>
              <w:spacing w:line="360" w:lineRule="auto"/>
              <w:ind w:firstLine="480" w:firstLineChars="200"/>
              <w:rPr>
                <w:kern w:val="0"/>
                <w:sz w:val="24"/>
              </w:rPr>
            </w:pPr>
            <w:r>
              <w:rPr>
                <w:rFonts w:hint="eastAsia"/>
                <w:kern w:val="0"/>
                <w:sz w:val="24"/>
              </w:rPr>
              <w:t>③评价方法</w:t>
            </w:r>
          </w:p>
          <w:p>
            <w:pPr>
              <w:adjustRightInd w:val="0"/>
              <w:snapToGrid w:val="0"/>
              <w:spacing w:line="360" w:lineRule="auto"/>
              <w:ind w:firstLine="480" w:firstLineChars="200"/>
              <w:rPr>
                <w:kern w:val="0"/>
                <w:sz w:val="24"/>
              </w:rPr>
            </w:pPr>
            <w:r>
              <w:rPr>
                <w:rFonts w:hint="eastAsia"/>
                <w:kern w:val="0"/>
                <w:sz w:val="24"/>
              </w:rPr>
              <w:t>评价方法采用占标率法，计算公式如下：</w:t>
            </w:r>
          </w:p>
          <w:p>
            <w:pPr>
              <w:adjustRightInd w:val="0"/>
              <w:snapToGrid w:val="0"/>
              <w:spacing w:line="360" w:lineRule="auto"/>
              <w:ind w:firstLine="480" w:firstLineChars="200"/>
              <w:jc w:val="center"/>
              <w:rPr>
                <w:kern w:val="0"/>
                <w:sz w:val="24"/>
              </w:rPr>
            </w:pPr>
            <w:r>
              <w:rPr>
                <w:rFonts w:ascii="Times New Roman" w:hAnsi="Times New Roman" w:eastAsia="宋体" w:cs="Times New Roman"/>
                <w:kern w:val="0"/>
                <w:position w:val="-12"/>
                <w:sz w:val="24"/>
                <w:szCs w:val="24"/>
                <w:lang w:val="zh-CN" w:eastAsia="zh-CN" w:bidi="ar-SA"/>
              </w:rPr>
              <w:pict>
                <v:shape id="_x0000_i1025" o:spt="75" type="#_x0000_t75" style="height:18.4pt;width:97.1pt;" fillcolor="#FFFFFF" filled="f" o:preferrelative="t" stroked="f" coordsize="21600,21600">
                  <v:path/>
                  <v:fill on="f" color2="#FFFFFF" focussize="0,0"/>
                  <v:stroke on="f"/>
                  <v:imagedata r:id="rId16" gain="65536f" blacklevel="0f" gamma="0" o:title=""/>
                  <o:lock v:ext="edit" position="f" selection="f" grouping="f" rotation="f" cropping="f" text="f" aspectratio="t"/>
                  <w10:wrap type="none"/>
                  <w10:anchorlock/>
                </v:shape>
              </w:pict>
            </w:r>
          </w:p>
          <w:p>
            <w:pPr>
              <w:adjustRightInd w:val="0"/>
              <w:snapToGrid w:val="0"/>
              <w:spacing w:line="360" w:lineRule="auto"/>
              <w:ind w:firstLine="480" w:firstLineChars="200"/>
              <w:rPr>
                <w:kern w:val="0"/>
                <w:sz w:val="24"/>
              </w:rPr>
            </w:pPr>
            <w:r>
              <w:rPr>
                <w:rFonts w:hint="eastAsia"/>
                <w:kern w:val="0"/>
                <w:sz w:val="24"/>
              </w:rPr>
              <w:t>式中：P</w:t>
            </w:r>
            <w:r>
              <w:rPr>
                <w:rFonts w:hint="eastAsia"/>
                <w:kern w:val="0"/>
                <w:sz w:val="24"/>
                <w:vertAlign w:val="subscript"/>
              </w:rPr>
              <w:t>i</w:t>
            </w:r>
            <w:r>
              <w:rPr>
                <w:rFonts w:hint="eastAsia"/>
                <w:kern w:val="0"/>
                <w:sz w:val="24"/>
              </w:rPr>
              <w:t>—i污染物的浓度占标率；</w:t>
            </w:r>
          </w:p>
          <w:p>
            <w:pPr>
              <w:adjustRightInd w:val="0"/>
              <w:snapToGrid w:val="0"/>
              <w:spacing w:line="360" w:lineRule="auto"/>
              <w:ind w:firstLine="1200" w:firstLineChars="500"/>
              <w:rPr>
                <w:kern w:val="0"/>
                <w:sz w:val="24"/>
              </w:rPr>
            </w:pPr>
            <w:r>
              <w:rPr>
                <w:rFonts w:hint="eastAsia"/>
                <w:kern w:val="0"/>
                <w:sz w:val="24"/>
              </w:rPr>
              <w:t>C</w:t>
            </w:r>
            <w:r>
              <w:rPr>
                <w:rFonts w:hint="eastAsia"/>
                <w:kern w:val="0"/>
                <w:sz w:val="24"/>
                <w:vertAlign w:val="subscript"/>
              </w:rPr>
              <w:t>i</w:t>
            </w:r>
            <w:r>
              <w:rPr>
                <w:rFonts w:hint="eastAsia"/>
                <w:kern w:val="0"/>
                <w:sz w:val="24"/>
              </w:rPr>
              <w:t>—i污染物的实测浓度，mg/m</w:t>
            </w:r>
            <w:r>
              <w:rPr>
                <w:rFonts w:hint="eastAsia"/>
                <w:kern w:val="0"/>
                <w:sz w:val="24"/>
                <w:vertAlign w:val="superscript"/>
              </w:rPr>
              <w:t>3</w:t>
            </w:r>
            <w:r>
              <w:rPr>
                <w:rFonts w:hint="eastAsia"/>
                <w:kern w:val="0"/>
                <w:sz w:val="24"/>
              </w:rPr>
              <w:t>；</w:t>
            </w:r>
          </w:p>
          <w:p>
            <w:pPr>
              <w:adjustRightInd w:val="0"/>
              <w:snapToGrid w:val="0"/>
              <w:spacing w:line="360" w:lineRule="auto"/>
              <w:ind w:firstLine="1200" w:firstLineChars="500"/>
              <w:rPr>
                <w:kern w:val="0"/>
                <w:sz w:val="24"/>
              </w:rPr>
            </w:pPr>
            <w:r>
              <w:rPr>
                <w:rFonts w:hint="eastAsia"/>
                <w:kern w:val="0"/>
                <w:sz w:val="24"/>
              </w:rPr>
              <w:t>C</w:t>
            </w:r>
            <w:r>
              <w:rPr>
                <w:rFonts w:hint="eastAsia"/>
                <w:kern w:val="0"/>
                <w:sz w:val="24"/>
                <w:vertAlign w:val="subscript"/>
              </w:rPr>
              <w:t>oi</w:t>
            </w:r>
            <w:r>
              <w:rPr>
                <w:rFonts w:hint="eastAsia"/>
                <w:kern w:val="0"/>
                <w:sz w:val="24"/>
              </w:rPr>
              <w:t>—i污染物的评价标准，mg/m</w:t>
            </w:r>
            <w:r>
              <w:rPr>
                <w:rFonts w:hint="eastAsia"/>
                <w:kern w:val="0"/>
                <w:sz w:val="24"/>
                <w:vertAlign w:val="superscript"/>
              </w:rPr>
              <w:t>3</w:t>
            </w:r>
            <w:r>
              <w:rPr>
                <w:rFonts w:hint="eastAsia"/>
                <w:kern w:val="0"/>
                <w:sz w:val="24"/>
              </w:rPr>
              <w:t>。</w:t>
            </w:r>
          </w:p>
          <w:p>
            <w:pPr>
              <w:adjustRightInd w:val="0"/>
              <w:snapToGrid w:val="0"/>
              <w:spacing w:line="360" w:lineRule="auto"/>
              <w:ind w:firstLine="480" w:firstLineChars="200"/>
              <w:rPr>
                <w:kern w:val="0"/>
                <w:sz w:val="24"/>
              </w:rPr>
            </w:pPr>
            <w:r>
              <w:rPr>
                <w:kern w:val="0"/>
                <w:sz w:val="24"/>
              </w:rPr>
              <w:t>其中P</w:t>
            </w:r>
            <w:r>
              <w:rPr>
                <w:kern w:val="0"/>
                <w:sz w:val="24"/>
                <w:vertAlign w:val="subscript"/>
              </w:rPr>
              <w:t>i</w:t>
            </w:r>
            <w:r>
              <w:rPr>
                <w:rFonts w:hint="eastAsia"/>
                <w:kern w:val="0"/>
                <w:sz w:val="24"/>
              </w:rPr>
              <w:t>&lt;</w:t>
            </w:r>
            <w:r>
              <w:rPr>
                <w:kern w:val="0"/>
                <w:sz w:val="24"/>
              </w:rPr>
              <w:t>100%时，表示该污染物不超标，满足其评价标准要求；而P</w:t>
            </w:r>
            <w:r>
              <w:rPr>
                <w:kern w:val="0"/>
                <w:sz w:val="24"/>
                <w:vertAlign w:val="subscript"/>
              </w:rPr>
              <w:t>i</w:t>
            </w:r>
            <w:r>
              <w:rPr>
                <w:kern w:val="0"/>
                <w:sz w:val="24"/>
              </w:rPr>
              <w:t>≥100%时，则表明该污染物超标。</w:t>
            </w:r>
          </w:p>
          <w:p>
            <w:pPr>
              <w:adjustRightInd w:val="0"/>
              <w:snapToGrid w:val="0"/>
              <w:spacing w:line="360" w:lineRule="auto"/>
              <w:ind w:firstLine="480" w:firstLineChars="200"/>
              <w:rPr>
                <w:kern w:val="0"/>
                <w:sz w:val="24"/>
              </w:rPr>
            </w:pPr>
            <w:r>
              <w:rPr>
                <w:rFonts w:hint="eastAsia"/>
                <w:kern w:val="0"/>
                <w:sz w:val="24"/>
              </w:rPr>
              <w:t>④评价标准</w:t>
            </w:r>
          </w:p>
          <w:p>
            <w:pPr>
              <w:adjustRightInd w:val="0"/>
              <w:snapToGrid w:val="0"/>
              <w:spacing w:line="360" w:lineRule="auto"/>
              <w:ind w:firstLine="480" w:firstLineChars="200"/>
              <w:rPr>
                <w:kern w:val="0"/>
                <w:sz w:val="24"/>
              </w:rPr>
            </w:pPr>
            <w:r>
              <w:rPr>
                <w:rFonts w:hint="eastAsia"/>
                <w:kern w:val="0"/>
                <w:sz w:val="24"/>
              </w:rPr>
              <w:t>TSP、NO</w:t>
            </w:r>
            <w:r>
              <w:rPr>
                <w:rFonts w:hint="eastAsia"/>
                <w:kern w:val="0"/>
                <w:sz w:val="24"/>
                <w:vertAlign w:val="subscript"/>
              </w:rPr>
              <w:t>X</w:t>
            </w:r>
            <w:r>
              <w:rPr>
                <w:rFonts w:hint="eastAsia"/>
                <w:kern w:val="0"/>
                <w:sz w:val="24"/>
              </w:rPr>
              <w:t>执行《环境空气质量标准》（GB3095-2026）中二级浓度限值，其中NO</w:t>
            </w:r>
            <w:r>
              <w:rPr>
                <w:rFonts w:hint="eastAsia"/>
                <w:kern w:val="0"/>
                <w:sz w:val="24"/>
                <w:vertAlign w:val="subscript"/>
              </w:rPr>
              <w:t>X</w:t>
            </w:r>
            <w:r>
              <w:rPr>
                <w:rFonts w:hint="eastAsia"/>
                <w:kern w:val="0"/>
                <w:sz w:val="24"/>
              </w:rPr>
              <w:t>的日平均浓度执行过渡阶段二级浓度限</w:t>
            </w:r>
            <w:r>
              <w:rPr>
                <w:kern w:val="0"/>
                <w:sz w:val="24"/>
              </w:rPr>
              <w:t>值要求</w:t>
            </w:r>
            <w:r>
              <w:rPr>
                <w:rFonts w:hint="eastAsia"/>
                <w:kern w:val="0"/>
                <w:sz w:val="24"/>
              </w:rPr>
              <w:t>（</w:t>
            </w:r>
            <w:r>
              <w:rPr>
                <w:kern w:val="0"/>
                <w:sz w:val="24"/>
              </w:rPr>
              <w:t>100μg/m</w:t>
            </w:r>
            <w:r>
              <w:rPr>
                <w:kern w:val="0"/>
                <w:sz w:val="24"/>
                <w:vertAlign w:val="superscript"/>
              </w:rPr>
              <w:t>3</w:t>
            </w:r>
            <w:r>
              <w:rPr>
                <w:rFonts w:hint="eastAsia"/>
                <w:kern w:val="0"/>
                <w:sz w:val="24"/>
              </w:rPr>
              <w:t>）。</w:t>
            </w:r>
          </w:p>
          <w:p>
            <w:pPr>
              <w:adjustRightInd w:val="0"/>
              <w:snapToGrid w:val="0"/>
              <w:spacing w:line="360" w:lineRule="auto"/>
              <w:ind w:firstLine="480" w:firstLineChars="200"/>
              <w:rPr>
                <w:kern w:val="0"/>
                <w:sz w:val="24"/>
              </w:rPr>
            </w:pPr>
            <w:r>
              <w:rPr>
                <w:rFonts w:hint="eastAsia"/>
                <w:kern w:val="0"/>
                <w:sz w:val="24"/>
              </w:rPr>
              <w:t>⑤评价结果与分析</w:t>
            </w:r>
          </w:p>
          <w:p>
            <w:pPr>
              <w:adjustRightInd w:val="0"/>
              <w:snapToGrid w:val="0"/>
              <w:spacing w:line="360" w:lineRule="auto"/>
              <w:ind w:firstLine="480" w:firstLineChars="200"/>
              <w:rPr>
                <w:kern w:val="0"/>
                <w:sz w:val="24"/>
              </w:rPr>
            </w:pPr>
            <w:r>
              <w:rPr>
                <w:rFonts w:hint="eastAsia"/>
                <w:kern w:val="0"/>
                <w:sz w:val="24"/>
              </w:rPr>
              <w:t>环境空气质量现状评价结果详见下表。</w:t>
            </w:r>
          </w:p>
          <w:p>
            <w:pPr>
              <w:pStyle w:val="23"/>
              <w:ind w:left="0" w:firstLine="0"/>
              <w:rPr>
                <w:u w:val="none"/>
              </w:rPr>
            </w:pPr>
            <w:r>
              <w:rPr>
                <w:u w:val="none"/>
                <w:lang w:val="zh-CN"/>
              </w:rPr>
              <w:t>环境空气现状</w:t>
            </w:r>
            <w:r>
              <w:rPr>
                <w:rFonts w:hint="eastAsia"/>
                <w:u w:val="none"/>
              </w:rPr>
              <w:t>补充</w:t>
            </w:r>
            <w:r>
              <w:rPr>
                <w:u w:val="none"/>
                <w:lang w:val="zh-CN"/>
              </w:rPr>
              <w:t>监测及评价结果</w:t>
            </w:r>
          </w:p>
          <w:tbl>
            <w:tblPr>
              <w:tblStyle w:val="19"/>
              <w:tblW w:w="8075"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059"/>
              <w:gridCol w:w="1261"/>
              <w:gridCol w:w="969"/>
              <w:gridCol w:w="1200"/>
              <w:gridCol w:w="1466"/>
              <w:gridCol w:w="1227"/>
              <w:gridCol w:w="89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059" w:type="dxa"/>
                  <w:vAlign w:val="center"/>
                </w:tcPr>
                <w:p>
                  <w:pPr>
                    <w:adjustRightInd w:val="0"/>
                    <w:snapToGrid w:val="0"/>
                    <w:ind w:firstLine="398"/>
                    <w:jc w:val="center"/>
                    <w:rPr>
                      <w:b/>
                      <w:bCs/>
                      <w:spacing w:val="-6"/>
                      <w:szCs w:val="21"/>
                    </w:rPr>
                  </w:pPr>
                  <w:r>
                    <w:rPr>
                      <w:b/>
                      <w:bCs/>
                      <w:spacing w:val="-6"/>
                      <w:szCs w:val="21"/>
                    </w:rPr>
                    <w:t>监测点位</w:t>
                  </w:r>
                </w:p>
              </w:tc>
              <w:tc>
                <w:tcPr>
                  <w:tcW w:w="1261" w:type="dxa"/>
                  <w:vAlign w:val="center"/>
                </w:tcPr>
                <w:p>
                  <w:pPr>
                    <w:adjustRightInd w:val="0"/>
                    <w:snapToGrid w:val="0"/>
                    <w:ind w:firstLine="398"/>
                    <w:jc w:val="center"/>
                    <w:rPr>
                      <w:b/>
                      <w:bCs/>
                      <w:spacing w:val="-6"/>
                      <w:szCs w:val="21"/>
                    </w:rPr>
                  </w:pPr>
                  <w:r>
                    <w:rPr>
                      <w:b/>
                      <w:bCs/>
                      <w:spacing w:val="-6"/>
                      <w:szCs w:val="21"/>
                    </w:rPr>
                    <w:t>污染物</w:t>
                  </w:r>
                </w:p>
              </w:tc>
              <w:tc>
                <w:tcPr>
                  <w:tcW w:w="2169" w:type="dxa"/>
                  <w:gridSpan w:val="2"/>
                  <w:vAlign w:val="center"/>
                </w:tcPr>
                <w:p>
                  <w:pPr>
                    <w:adjustRightInd w:val="0"/>
                    <w:snapToGrid w:val="0"/>
                    <w:ind w:firstLine="398"/>
                    <w:jc w:val="center"/>
                    <w:rPr>
                      <w:b/>
                      <w:bCs/>
                      <w:spacing w:val="-6"/>
                      <w:szCs w:val="21"/>
                    </w:rPr>
                  </w:pPr>
                  <w:r>
                    <w:rPr>
                      <w:rFonts w:hint="eastAsia"/>
                      <w:b/>
                      <w:bCs/>
                      <w:spacing w:val="-6"/>
                      <w:szCs w:val="21"/>
                    </w:rPr>
                    <w:t>浓度范围（</w:t>
                  </w:r>
                  <w:r>
                    <w:rPr>
                      <w:rFonts w:hint="eastAsia"/>
                      <w:b/>
                      <w:kern w:val="0"/>
                      <w:szCs w:val="21"/>
                      <w:shd w:val="clear" w:color="auto" w:fill="FFFFFF"/>
                    </w:rPr>
                    <w:t>mg/m</w:t>
                  </w:r>
                  <w:r>
                    <w:rPr>
                      <w:rFonts w:hint="eastAsia"/>
                      <w:b/>
                      <w:kern w:val="0"/>
                      <w:szCs w:val="21"/>
                      <w:shd w:val="clear" w:color="auto" w:fill="FFFFFF"/>
                      <w:vertAlign w:val="superscript"/>
                    </w:rPr>
                    <w:t>3</w:t>
                  </w:r>
                  <w:r>
                    <w:rPr>
                      <w:rFonts w:hint="eastAsia"/>
                      <w:b/>
                      <w:bCs/>
                      <w:spacing w:val="-6"/>
                      <w:szCs w:val="21"/>
                    </w:rPr>
                    <w:t>）</w:t>
                  </w:r>
                </w:p>
              </w:tc>
              <w:tc>
                <w:tcPr>
                  <w:tcW w:w="1466" w:type="dxa"/>
                  <w:vAlign w:val="center"/>
                </w:tcPr>
                <w:p>
                  <w:pPr>
                    <w:widowControl/>
                    <w:ind w:firstLine="398"/>
                    <w:jc w:val="center"/>
                    <w:rPr>
                      <w:b/>
                      <w:bCs/>
                      <w:spacing w:val="-6"/>
                      <w:szCs w:val="21"/>
                    </w:rPr>
                  </w:pPr>
                  <w:r>
                    <w:rPr>
                      <w:rFonts w:hint="eastAsia"/>
                      <w:b/>
                      <w:bCs/>
                      <w:spacing w:val="-6"/>
                      <w:szCs w:val="21"/>
                    </w:rPr>
                    <w:t>标准（</w:t>
                  </w:r>
                  <w:r>
                    <w:rPr>
                      <w:rFonts w:hint="eastAsia"/>
                      <w:b/>
                      <w:kern w:val="0"/>
                      <w:szCs w:val="21"/>
                      <w:shd w:val="clear" w:color="auto" w:fill="FFFFFF"/>
                    </w:rPr>
                    <w:t>mg/m</w:t>
                  </w:r>
                  <w:r>
                    <w:rPr>
                      <w:rFonts w:hint="eastAsia"/>
                      <w:b/>
                      <w:kern w:val="0"/>
                      <w:szCs w:val="21"/>
                      <w:shd w:val="clear" w:color="auto" w:fill="FFFFFF"/>
                      <w:vertAlign w:val="superscript"/>
                    </w:rPr>
                    <w:t>3</w:t>
                  </w:r>
                  <w:r>
                    <w:rPr>
                      <w:rFonts w:hint="eastAsia"/>
                      <w:b/>
                      <w:bCs/>
                      <w:spacing w:val="-6"/>
                      <w:szCs w:val="21"/>
                    </w:rPr>
                    <w:t>）</w:t>
                  </w:r>
                </w:p>
              </w:tc>
              <w:tc>
                <w:tcPr>
                  <w:tcW w:w="1227" w:type="dxa"/>
                  <w:vAlign w:val="center"/>
                </w:tcPr>
                <w:p>
                  <w:pPr>
                    <w:widowControl/>
                    <w:ind w:firstLine="398"/>
                    <w:jc w:val="center"/>
                    <w:rPr>
                      <w:b/>
                      <w:bCs/>
                      <w:spacing w:val="-6"/>
                      <w:szCs w:val="21"/>
                    </w:rPr>
                  </w:pPr>
                  <w:r>
                    <w:rPr>
                      <w:rFonts w:hint="eastAsia"/>
                      <w:b/>
                      <w:bCs/>
                      <w:spacing w:val="-6"/>
                      <w:szCs w:val="21"/>
                    </w:rPr>
                    <w:t>占标率（%）</w:t>
                  </w:r>
                </w:p>
              </w:tc>
              <w:tc>
                <w:tcPr>
                  <w:tcW w:w="893" w:type="dxa"/>
                  <w:vAlign w:val="center"/>
                </w:tcPr>
                <w:p>
                  <w:pPr>
                    <w:widowControl/>
                    <w:ind w:firstLine="482"/>
                    <w:jc w:val="center"/>
                    <w:rPr>
                      <w:b/>
                      <w:bCs/>
                      <w:spacing w:val="-6"/>
                      <w:szCs w:val="21"/>
                    </w:rPr>
                  </w:pPr>
                  <w:r>
                    <w:rPr>
                      <w:rFonts w:hint="eastAsia"/>
                      <w:b/>
                      <w:bCs/>
                    </w:rPr>
                    <w:t>超标率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1059" w:type="dxa"/>
                  <w:vMerge w:val="restart"/>
                  <w:vAlign w:val="center"/>
                </w:tcPr>
                <w:p>
                  <w:pPr>
                    <w:adjustRightInd w:val="0"/>
                    <w:snapToGrid w:val="0"/>
                    <w:ind w:firstLine="396"/>
                    <w:jc w:val="center"/>
                    <w:rPr>
                      <w:spacing w:val="-6"/>
                      <w:szCs w:val="21"/>
                    </w:rPr>
                  </w:pPr>
                  <w:r>
                    <w:rPr>
                      <w:rFonts w:hint="eastAsia"/>
                      <w:spacing w:val="-6"/>
                      <w:szCs w:val="21"/>
                    </w:rPr>
                    <w:t>1#</w:t>
                  </w:r>
                </w:p>
              </w:tc>
              <w:tc>
                <w:tcPr>
                  <w:tcW w:w="1261" w:type="dxa"/>
                  <w:vMerge w:val="restart"/>
                  <w:vAlign w:val="center"/>
                </w:tcPr>
                <w:p>
                  <w:pPr>
                    <w:adjustRightInd w:val="0"/>
                    <w:snapToGrid w:val="0"/>
                    <w:ind w:firstLine="396"/>
                    <w:jc w:val="center"/>
                    <w:rPr>
                      <w:spacing w:val="-6"/>
                      <w:szCs w:val="21"/>
                      <w:vertAlign w:val="subscript"/>
                    </w:rPr>
                  </w:pPr>
                  <w:r>
                    <w:rPr>
                      <w:rFonts w:hint="eastAsia"/>
                      <w:spacing w:val="-6"/>
                      <w:szCs w:val="21"/>
                    </w:rPr>
                    <w:t>NO</w:t>
                  </w:r>
                  <w:r>
                    <w:rPr>
                      <w:rFonts w:hint="eastAsia"/>
                      <w:spacing w:val="-6"/>
                      <w:szCs w:val="21"/>
                      <w:vertAlign w:val="subscript"/>
                    </w:rPr>
                    <w:t>X</w:t>
                  </w:r>
                </w:p>
              </w:tc>
              <w:tc>
                <w:tcPr>
                  <w:tcW w:w="969" w:type="dxa"/>
                  <w:vAlign w:val="center"/>
                </w:tcPr>
                <w:p>
                  <w:pPr>
                    <w:adjustRightInd w:val="0"/>
                    <w:snapToGrid w:val="0"/>
                    <w:ind w:firstLine="376"/>
                    <w:jc w:val="center"/>
                    <w:rPr>
                      <w:spacing w:val="-11"/>
                      <w:szCs w:val="21"/>
                    </w:rPr>
                  </w:pPr>
                  <w:r>
                    <w:rPr>
                      <w:rFonts w:hint="eastAsia"/>
                      <w:spacing w:val="-11"/>
                      <w:szCs w:val="21"/>
                    </w:rPr>
                    <w:t>小时浓度</w:t>
                  </w:r>
                </w:p>
              </w:tc>
              <w:tc>
                <w:tcPr>
                  <w:tcW w:w="1200" w:type="dxa"/>
                  <w:vAlign w:val="center"/>
                </w:tcPr>
                <w:p>
                  <w:pPr>
                    <w:adjustRightInd w:val="0"/>
                    <w:snapToGrid w:val="0"/>
                    <w:ind w:firstLine="376"/>
                    <w:jc w:val="center"/>
                    <w:rPr>
                      <w:spacing w:val="-11"/>
                      <w:szCs w:val="21"/>
                    </w:rPr>
                  </w:pPr>
                  <w:r>
                    <w:rPr>
                      <w:rFonts w:hint="eastAsia"/>
                      <w:spacing w:val="-11"/>
                      <w:szCs w:val="21"/>
                    </w:rPr>
                    <w:t>0.011-0.021</w:t>
                  </w:r>
                </w:p>
              </w:tc>
              <w:tc>
                <w:tcPr>
                  <w:tcW w:w="1466" w:type="dxa"/>
                  <w:vAlign w:val="center"/>
                </w:tcPr>
                <w:p>
                  <w:pPr>
                    <w:adjustRightInd w:val="0"/>
                    <w:snapToGrid w:val="0"/>
                    <w:ind w:firstLine="376"/>
                    <w:jc w:val="center"/>
                    <w:rPr>
                      <w:spacing w:val="-11"/>
                      <w:szCs w:val="21"/>
                    </w:rPr>
                  </w:pPr>
                  <w:r>
                    <w:rPr>
                      <w:rFonts w:hint="eastAsia"/>
                      <w:spacing w:val="-11"/>
                      <w:szCs w:val="21"/>
                    </w:rPr>
                    <w:t>0.25</w:t>
                  </w:r>
                </w:p>
              </w:tc>
              <w:tc>
                <w:tcPr>
                  <w:tcW w:w="1227" w:type="dxa"/>
                  <w:vAlign w:val="center"/>
                </w:tcPr>
                <w:p>
                  <w:pPr>
                    <w:ind w:firstLine="376"/>
                    <w:jc w:val="center"/>
                    <w:rPr>
                      <w:spacing w:val="-11"/>
                      <w:szCs w:val="21"/>
                    </w:rPr>
                  </w:pPr>
                  <w:r>
                    <w:rPr>
                      <w:rFonts w:hint="eastAsia"/>
                      <w:spacing w:val="-11"/>
                      <w:szCs w:val="21"/>
                    </w:rPr>
                    <w:t>4.4-8.4</w:t>
                  </w:r>
                </w:p>
              </w:tc>
              <w:tc>
                <w:tcPr>
                  <w:tcW w:w="893" w:type="dxa"/>
                  <w:vAlign w:val="center"/>
                </w:tcPr>
                <w:p>
                  <w:pPr>
                    <w:adjustRightInd w:val="0"/>
                    <w:snapToGrid w:val="0"/>
                    <w:ind w:firstLine="396"/>
                    <w:jc w:val="center"/>
                    <w:rPr>
                      <w:spacing w:val="-6"/>
                      <w:szCs w:val="21"/>
                    </w:rPr>
                  </w:pPr>
                  <w:r>
                    <w:rPr>
                      <w:rFonts w:hint="eastAsia"/>
                      <w:spacing w:val="-6"/>
                      <w:szCs w:val="21"/>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1059" w:type="dxa"/>
                  <w:vMerge w:val="continue"/>
                  <w:vAlign w:val="center"/>
                </w:tcPr>
                <w:p>
                  <w:pPr>
                    <w:adjustRightInd w:val="0"/>
                    <w:snapToGrid w:val="0"/>
                    <w:ind w:firstLine="456"/>
                    <w:jc w:val="center"/>
                    <w:rPr>
                      <w:spacing w:val="-6"/>
                      <w:szCs w:val="21"/>
                    </w:rPr>
                  </w:pPr>
                </w:p>
              </w:tc>
              <w:tc>
                <w:tcPr>
                  <w:tcW w:w="1261" w:type="dxa"/>
                  <w:vMerge w:val="continue"/>
                  <w:vAlign w:val="center"/>
                </w:tcPr>
                <w:p>
                  <w:pPr>
                    <w:adjustRightInd w:val="0"/>
                    <w:snapToGrid w:val="0"/>
                    <w:ind w:firstLine="456"/>
                    <w:jc w:val="center"/>
                    <w:rPr>
                      <w:spacing w:val="-6"/>
                      <w:szCs w:val="21"/>
                    </w:rPr>
                  </w:pPr>
                </w:p>
              </w:tc>
              <w:tc>
                <w:tcPr>
                  <w:tcW w:w="969" w:type="dxa"/>
                  <w:vAlign w:val="center"/>
                </w:tcPr>
                <w:p>
                  <w:pPr>
                    <w:adjustRightInd w:val="0"/>
                    <w:snapToGrid w:val="0"/>
                    <w:ind w:firstLine="376"/>
                    <w:jc w:val="center"/>
                    <w:rPr>
                      <w:spacing w:val="-11"/>
                      <w:szCs w:val="21"/>
                    </w:rPr>
                  </w:pPr>
                  <w:r>
                    <w:rPr>
                      <w:spacing w:val="-11"/>
                      <w:szCs w:val="21"/>
                    </w:rPr>
                    <w:t>日均浓度</w:t>
                  </w:r>
                </w:p>
              </w:tc>
              <w:tc>
                <w:tcPr>
                  <w:tcW w:w="1200" w:type="dxa"/>
                  <w:vAlign w:val="center"/>
                </w:tcPr>
                <w:p>
                  <w:pPr>
                    <w:adjustRightInd w:val="0"/>
                    <w:snapToGrid w:val="0"/>
                    <w:ind w:firstLine="376"/>
                    <w:jc w:val="center"/>
                    <w:rPr>
                      <w:spacing w:val="-11"/>
                      <w:szCs w:val="21"/>
                    </w:rPr>
                  </w:pPr>
                  <w:r>
                    <w:rPr>
                      <w:rFonts w:hint="eastAsia"/>
                      <w:spacing w:val="-11"/>
                      <w:szCs w:val="21"/>
                    </w:rPr>
                    <w:t>0.013-0.017</w:t>
                  </w:r>
                </w:p>
              </w:tc>
              <w:tc>
                <w:tcPr>
                  <w:tcW w:w="1466" w:type="dxa"/>
                  <w:vAlign w:val="center"/>
                </w:tcPr>
                <w:p>
                  <w:pPr>
                    <w:adjustRightInd w:val="0"/>
                    <w:snapToGrid w:val="0"/>
                    <w:ind w:firstLine="376"/>
                    <w:jc w:val="center"/>
                    <w:rPr>
                      <w:spacing w:val="-11"/>
                      <w:szCs w:val="21"/>
                    </w:rPr>
                  </w:pPr>
                  <w:r>
                    <w:rPr>
                      <w:rFonts w:hint="eastAsia"/>
                      <w:spacing w:val="-11"/>
                      <w:szCs w:val="21"/>
                    </w:rPr>
                    <w:t>0.1</w:t>
                  </w:r>
                </w:p>
              </w:tc>
              <w:tc>
                <w:tcPr>
                  <w:tcW w:w="1227" w:type="dxa"/>
                  <w:vAlign w:val="center"/>
                </w:tcPr>
                <w:p>
                  <w:pPr>
                    <w:ind w:firstLine="376"/>
                    <w:jc w:val="center"/>
                    <w:rPr>
                      <w:spacing w:val="-11"/>
                      <w:szCs w:val="21"/>
                    </w:rPr>
                  </w:pPr>
                  <w:r>
                    <w:rPr>
                      <w:rFonts w:hint="eastAsia"/>
                      <w:spacing w:val="-11"/>
                      <w:szCs w:val="21"/>
                    </w:rPr>
                    <w:t>13-17</w:t>
                  </w:r>
                </w:p>
              </w:tc>
              <w:tc>
                <w:tcPr>
                  <w:tcW w:w="893" w:type="dxa"/>
                  <w:vAlign w:val="center"/>
                </w:tcPr>
                <w:p>
                  <w:pPr>
                    <w:adjustRightInd w:val="0"/>
                    <w:snapToGrid w:val="0"/>
                    <w:ind w:firstLine="396"/>
                    <w:jc w:val="center"/>
                    <w:rPr>
                      <w:spacing w:val="-6"/>
                      <w:szCs w:val="21"/>
                    </w:rPr>
                  </w:pPr>
                  <w:r>
                    <w:rPr>
                      <w:rFonts w:hint="eastAsia"/>
                      <w:spacing w:val="-6"/>
                      <w:szCs w:val="21"/>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1059" w:type="dxa"/>
                  <w:vAlign w:val="center"/>
                </w:tcPr>
                <w:p>
                  <w:pPr>
                    <w:adjustRightInd w:val="0"/>
                    <w:snapToGrid w:val="0"/>
                    <w:ind w:firstLine="396"/>
                    <w:jc w:val="center"/>
                    <w:rPr>
                      <w:spacing w:val="-6"/>
                      <w:szCs w:val="21"/>
                    </w:rPr>
                  </w:pPr>
                  <w:r>
                    <w:rPr>
                      <w:rFonts w:hint="eastAsia"/>
                      <w:spacing w:val="-6"/>
                      <w:szCs w:val="21"/>
                    </w:rPr>
                    <w:t>2#</w:t>
                  </w:r>
                </w:p>
              </w:tc>
              <w:tc>
                <w:tcPr>
                  <w:tcW w:w="1261" w:type="dxa"/>
                  <w:vAlign w:val="center"/>
                </w:tcPr>
                <w:p>
                  <w:pPr>
                    <w:adjustRightInd w:val="0"/>
                    <w:snapToGrid w:val="0"/>
                    <w:ind w:firstLine="396"/>
                    <w:jc w:val="center"/>
                    <w:rPr>
                      <w:spacing w:val="-6"/>
                      <w:szCs w:val="21"/>
                      <w:vertAlign w:val="subscript"/>
                    </w:rPr>
                  </w:pPr>
                  <w:r>
                    <w:rPr>
                      <w:rFonts w:hint="eastAsia"/>
                      <w:spacing w:val="-6"/>
                      <w:szCs w:val="21"/>
                    </w:rPr>
                    <w:t>TSP</w:t>
                  </w:r>
                </w:p>
              </w:tc>
              <w:tc>
                <w:tcPr>
                  <w:tcW w:w="969" w:type="dxa"/>
                  <w:vAlign w:val="center"/>
                </w:tcPr>
                <w:p>
                  <w:pPr>
                    <w:adjustRightInd w:val="0"/>
                    <w:snapToGrid w:val="0"/>
                    <w:ind w:firstLine="376"/>
                    <w:jc w:val="center"/>
                    <w:rPr>
                      <w:spacing w:val="-11"/>
                      <w:szCs w:val="21"/>
                    </w:rPr>
                  </w:pPr>
                  <w:r>
                    <w:rPr>
                      <w:spacing w:val="-11"/>
                      <w:szCs w:val="21"/>
                    </w:rPr>
                    <w:t>日均浓度</w:t>
                  </w:r>
                </w:p>
              </w:tc>
              <w:tc>
                <w:tcPr>
                  <w:tcW w:w="1200" w:type="dxa"/>
                  <w:vAlign w:val="center"/>
                </w:tcPr>
                <w:p>
                  <w:pPr>
                    <w:adjustRightInd w:val="0"/>
                    <w:snapToGrid w:val="0"/>
                    <w:ind w:firstLine="376"/>
                    <w:jc w:val="center"/>
                    <w:rPr>
                      <w:spacing w:val="-11"/>
                      <w:szCs w:val="21"/>
                    </w:rPr>
                  </w:pPr>
                  <w:r>
                    <w:rPr>
                      <w:rFonts w:hint="eastAsia"/>
                      <w:spacing w:val="-11"/>
                      <w:szCs w:val="21"/>
                    </w:rPr>
                    <w:t>0.096-0.102</w:t>
                  </w:r>
                </w:p>
              </w:tc>
              <w:tc>
                <w:tcPr>
                  <w:tcW w:w="1466" w:type="dxa"/>
                  <w:vAlign w:val="center"/>
                </w:tcPr>
                <w:p>
                  <w:pPr>
                    <w:adjustRightInd w:val="0"/>
                    <w:snapToGrid w:val="0"/>
                    <w:ind w:firstLine="376"/>
                    <w:jc w:val="center"/>
                    <w:rPr>
                      <w:spacing w:val="-11"/>
                      <w:szCs w:val="21"/>
                    </w:rPr>
                  </w:pPr>
                  <w:r>
                    <w:rPr>
                      <w:rFonts w:hint="eastAsia"/>
                      <w:spacing w:val="-11"/>
                      <w:szCs w:val="21"/>
                    </w:rPr>
                    <w:t>0.3</w:t>
                  </w:r>
                </w:p>
              </w:tc>
              <w:tc>
                <w:tcPr>
                  <w:tcW w:w="1227" w:type="dxa"/>
                  <w:vAlign w:val="center"/>
                </w:tcPr>
                <w:p>
                  <w:pPr>
                    <w:adjustRightInd w:val="0"/>
                    <w:snapToGrid w:val="0"/>
                    <w:ind w:firstLine="376"/>
                    <w:jc w:val="center"/>
                    <w:rPr>
                      <w:spacing w:val="-11"/>
                      <w:szCs w:val="21"/>
                    </w:rPr>
                  </w:pPr>
                  <w:r>
                    <w:rPr>
                      <w:rFonts w:hint="eastAsia"/>
                      <w:spacing w:val="-11"/>
                      <w:szCs w:val="21"/>
                    </w:rPr>
                    <w:t>32-34</w:t>
                  </w:r>
                </w:p>
              </w:tc>
              <w:tc>
                <w:tcPr>
                  <w:tcW w:w="893" w:type="dxa"/>
                  <w:vAlign w:val="center"/>
                </w:tcPr>
                <w:p>
                  <w:pPr>
                    <w:adjustRightInd w:val="0"/>
                    <w:snapToGrid w:val="0"/>
                    <w:ind w:firstLine="396"/>
                    <w:jc w:val="center"/>
                    <w:rPr>
                      <w:spacing w:val="-6"/>
                      <w:szCs w:val="21"/>
                    </w:rPr>
                  </w:pPr>
                  <w:r>
                    <w:rPr>
                      <w:rFonts w:hint="eastAsia"/>
                      <w:spacing w:val="-6"/>
                      <w:szCs w:val="21"/>
                    </w:rPr>
                    <w:t>0</w:t>
                  </w:r>
                </w:p>
              </w:tc>
            </w:tr>
          </w:tbl>
          <w:p>
            <w:pPr>
              <w:adjustRightInd w:val="0"/>
              <w:snapToGrid w:val="0"/>
              <w:spacing w:beforeLines="50" w:line="360" w:lineRule="auto"/>
              <w:ind w:firstLine="480" w:firstLineChars="200"/>
              <w:rPr>
                <w:kern w:val="0"/>
                <w:sz w:val="24"/>
              </w:rPr>
            </w:pPr>
            <w:r>
              <w:rPr>
                <w:rFonts w:hint="eastAsia"/>
                <w:kern w:val="0"/>
                <w:sz w:val="24"/>
              </w:rPr>
              <w:t>环境空气现状评价结果表明，TSP、NO</w:t>
            </w:r>
            <w:r>
              <w:rPr>
                <w:rFonts w:hint="eastAsia"/>
                <w:kern w:val="0"/>
                <w:sz w:val="24"/>
                <w:vertAlign w:val="subscript"/>
              </w:rPr>
              <w:t>X</w:t>
            </w:r>
            <w:r>
              <w:rPr>
                <w:rFonts w:hint="eastAsia"/>
                <w:kern w:val="0"/>
                <w:sz w:val="24"/>
              </w:rPr>
              <w:t>的浓度占标率均小于100%，项目所在区域能够满足《环境空气质量标准》（GB3095-2026）中二级标准要求。由此可看出，评价区域环境空气质量良好。</w:t>
            </w:r>
          </w:p>
          <w:p>
            <w:pPr>
              <w:adjustRightInd w:val="0"/>
              <w:snapToGrid w:val="0"/>
              <w:spacing w:line="360" w:lineRule="auto"/>
              <w:ind w:firstLine="482" w:firstLineChars="200"/>
              <w:rPr>
                <w:b/>
                <w:bCs/>
                <w:kern w:val="0"/>
                <w:sz w:val="24"/>
              </w:rPr>
            </w:pPr>
            <w:r>
              <w:rPr>
                <w:b/>
                <w:bCs/>
                <w:kern w:val="0"/>
                <w:sz w:val="24"/>
              </w:rPr>
              <w:t>2、地表水环境质量状况</w:t>
            </w:r>
          </w:p>
          <w:p>
            <w:pPr>
              <w:adjustRightInd w:val="0"/>
              <w:snapToGrid w:val="0"/>
              <w:spacing w:line="360" w:lineRule="auto"/>
              <w:ind w:firstLine="480" w:firstLineChars="200"/>
              <w:rPr>
                <w:kern w:val="0"/>
                <w:sz w:val="24"/>
              </w:rPr>
            </w:pPr>
            <w:r>
              <w:rPr>
                <w:rFonts w:hint="eastAsia"/>
                <w:kern w:val="0"/>
                <w:sz w:val="24"/>
              </w:rPr>
              <w:t>本项目区域地表水体为三统河，根据</w:t>
            </w:r>
            <w:r>
              <w:rPr>
                <w:bCs/>
                <w:sz w:val="24"/>
              </w:rPr>
              <w:t>《建设项目环境影响报告表编制技术指南（污染影响类）》</w:t>
            </w:r>
            <w:r>
              <w:rPr>
                <w:rFonts w:hint="eastAsia"/>
                <w:kern w:val="0"/>
                <w:sz w:val="24"/>
              </w:rPr>
              <w:t>中相关要求：地表水环境引用与建设项目距离近的有效数据，包括近3年的规划环境影响评价的监测数据，所在流域控制单元内国家、地方控制断面监测数据，生态环境主管部门发布的水环境质量数据或地表水达标情况的结论。</w:t>
            </w:r>
          </w:p>
          <w:p>
            <w:pPr>
              <w:adjustRightInd w:val="0"/>
              <w:snapToGrid w:val="0"/>
              <w:spacing w:line="360" w:lineRule="auto"/>
              <w:ind w:firstLine="480" w:firstLineChars="200"/>
              <w:jc w:val="left"/>
              <w:rPr>
                <w:kern w:val="0"/>
                <w:sz w:val="24"/>
              </w:rPr>
            </w:pPr>
            <w:r>
              <w:rPr>
                <w:rFonts w:hint="eastAsia"/>
                <w:kern w:val="0"/>
                <w:sz w:val="24"/>
              </w:rPr>
              <w:t>本项目地表水环境质量</w:t>
            </w:r>
            <w:r>
              <w:rPr>
                <w:kern w:val="0"/>
                <w:sz w:val="24"/>
              </w:rPr>
              <w:t>采用</w:t>
            </w:r>
            <w:r>
              <w:rPr>
                <w:rFonts w:hint="eastAsia"/>
                <w:kern w:val="0"/>
                <w:sz w:val="24"/>
              </w:rPr>
              <w:t>吉林省生态环境厅2026年5月7日发布的《2026年3月吉林省地表水国控断面水质月报》中相关数据。</w:t>
            </w:r>
          </w:p>
          <w:p>
            <w:pPr>
              <w:pStyle w:val="23"/>
              <w:ind w:left="0" w:firstLine="0"/>
              <w:rPr>
                <w:u w:val="none"/>
              </w:rPr>
            </w:pPr>
            <w:r>
              <w:rPr>
                <w:rFonts w:hint="eastAsia"/>
                <w:u w:val="none"/>
              </w:rPr>
              <w:t>吉林省2026年3月地表水国控断面水质状况（节选）</w:t>
            </w:r>
          </w:p>
          <w:tbl>
            <w:tblPr>
              <w:tblStyle w:val="19"/>
              <w:tblW w:w="8072"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881"/>
              <w:gridCol w:w="1100"/>
              <w:gridCol w:w="1662"/>
              <w:gridCol w:w="751"/>
              <w:gridCol w:w="1035"/>
              <w:gridCol w:w="1127"/>
              <w:gridCol w:w="773"/>
              <w:gridCol w:w="74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881" w:type="dxa"/>
                  <w:vMerge w:val="restart"/>
                  <w:vAlign w:val="center"/>
                </w:tcPr>
                <w:p>
                  <w:pPr>
                    <w:ind w:firstLine="482"/>
                    <w:jc w:val="center"/>
                    <w:rPr>
                      <w:b/>
                      <w:bCs/>
                      <w:szCs w:val="21"/>
                    </w:rPr>
                  </w:pPr>
                  <w:r>
                    <w:rPr>
                      <w:b/>
                      <w:bCs/>
                      <w:szCs w:val="21"/>
                    </w:rPr>
                    <w:t>责任</w:t>
                  </w:r>
                </w:p>
                <w:p>
                  <w:pPr>
                    <w:ind w:firstLine="482"/>
                    <w:jc w:val="center"/>
                    <w:rPr>
                      <w:b/>
                      <w:bCs/>
                      <w:szCs w:val="21"/>
                    </w:rPr>
                  </w:pPr>
                  <w:r>
                    <w:rPr>
                      <w:b/>
                      <w:bCs/>
                      <w:szCs w:val="21"/>
                    </w:rPr>
                    <w:t>地市</w:t>
                  </w:r>
                </w:p>
              </w:tc>
              <w:tc>
                <w:tcPr>
                  <w:tcW w:w="1100" w:type="dxa"/>
                  <w:vMerge w:val="restart"/>
                  <w:tcBorders>
                    <w:left w:val="single" w:color="000000" w:sz="4" w:space="0"/>
                  </w:tcBorders>
                  <w:vAlign w:val="center"/>
                </w:tcPr>
                <w:p>
                  <w:pPr>
                    <w:ind w:firstLine="482"/>
                    <w:jc w:val="center"/>
                    <w:rPr>
                      <w:b/>
                      <w:bCs/>
                      <w:szCs w:val="21"/>
                    </w:rPr>
                  </w:pPr>
                  <w:r>
                    <w:rPr>
                      <w:b/>
                      <w:bCs/>
                      <w:szCs w:val="21"/>
                    </w:rPr>
                    <w:t>所在水体</w:t>
                  </w:r>
                </w:p>
              </w:tc>
              <w:tc>
                <w:tcPr>
                  <w:tcW w:w="1662" w:type="dxa"/>
                  <w:vMerge w:val="restart"/>
                  <w:tcBorders>
                    <w:left w:val="single" w:color="000000" w:sz="4" w:space="0"/>
                  </w:tcBorders>
                  <w:vAlign w:val="center"/>
                </w:tcPr>
                <w:p>
                  <w:pPr>
                    <w:ind w:firstLine="482"/>
                    <w:jc w:val="center"/>
                    <w:rPr>
                      <w:b/>
                      <w:bCs/>
                      <w:szCs w:val="21"/>
                    </w:rPr>
                  </w:pPr>
                  <w:r>
                    <w:rPr>
                      <w:b/>
                      <w:bCs/>
                      <w:szCs w:val="21"/>
                    </w:rPr>
                    <w:t>断面名称</w:t>
                  </w:r>
                </w:p>
              </w:tc>
              <w:tc>
                <w:tcPr>
                  <w:tcW w:w="2913" w:type="dxa"/>
                  <w:gridSpan w:val="3"/>
                  <w:tcBorders>
                    <w:left w:val="single" w:color="000000" w:sz="4" w:space="0"/>
                  </w:tcBorders>
                  <w:vAlign w:val="center"/>
                </w:tcPr>
                <w:p>
                  <w:pPr>
                    <w:ind w:firstLine="482"/>
                    <w:jc w:val="center"/>
                    <w:rPr>
                      <w:b/>
                      <w:bCs/>
                      <w:szCs w:val="21"/>
                    </w:rPr>
                  </w:pPr>
                  <w:r>
                    <w:rPr>
                      <w:b/>
                      <w:bCs/>
                      <w:szCs w:val="21"/>
                    </w:rPr>
                    <w:t>水质类别</w:t>
                  </w:r>
                </w:p>
              </w:tc>
              <w:tc>
                <w:tcPr>
                  <w:tcW w:w="773" w:type="dxa"/>
                  <w:vMerge w:val="restart"/>
                  <w:tcBorders>
                    <w:left w:val="single" w:color="000000" w:sz="4" w:space="0"/>
                  </w:tcBorders>
                  <w:vAlign w:val="center"/>
                </w:tcPr>
                <w:p>
                  <w:pPr>
                    <w:ind w:firstLine="482"/>
                    <w:jc w:val="center"/>
                    <w:rPr>
                      <w:b/>
                      <w:bCs/>
                      <w:szCs w:val="21"/>
                    </w:rPr>
                  </w:pPr>
                  <w:r>
                    <w:rPr>
                      <w:b/>
                      <w:bCs/>
                      <w:szCs w:val="21"/>
                    </w:rPr>
                    <w:t>环比</w:t>
                  </w:r>
                </w:p>
              </w:tc>
              <w:tc>
                <w:tcPr>
                  <w:tcW w:w="743" w:type="dxa"/>
                  <w:vMerge w:val="restart"/>
                  <w:tcBorders>
                    <w:left w:val="single" w:color="000000" w:sz="4" w:space="0"/>
                  </w:tcBorders>
                  <w:vAlign w:val="center"/>
                </w:tcPr>
                <w:p>
                  <w:pPr>
                    <w:ind w:firstLine="482"/>
                    <w:jc w:val="center"/>
                    <w:rPr>
                      <w:b/>
                      <w:bCs/>
                      <w:szCs w:val="21"/>
                    </w:rPr>
                  </w:pPr>
                  <w:r>
                    <w:rPr>
                      <w:b/>
                      <w:bCs/>
                      <w:szCs w:val="21"/>
                    </w:rPr>
                    <w:t>同比</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12" w:hRule="atLeast"/>
              </w:trPr>
              <w:tc>
                <w:tcPr>
                  <w:tcW w:w="881" w:type="dxa"/>
                  <w:vMerge w:val="continue"/>
                  <w:vAlign w:val="center"/>
                </w:tcPr>
                <w:p>
                  <w:pPr>
                    <w:jc w:val="center"/>
                    <w:rPr>
                      <w:szCs w:val="21"/>
                    </w:rPr>
                  </w:pPr>
                </w:p>
              </w:tc>
              <w:tc>
                <w:tcPr>
                  <w:tcW w:w="1100" w:type="dxa"/>
                  <w:vMerge w:val="continue"/>
                  <w:tcBorders>
                    <w:left w:val="single" w:color="000000" w:sz="4" w:space="0"/>
                  </w:tcBorders>
                  <w:vAlign w:val="center"/>
                </w:tcPr>
                <w:p>
                  <w:pPr>
                    <w:jc w:val="center"/>
                    <w:rPr>
                      <w:szCs w:val="21"/>
                    </w:rPr>
                  </w:pPr>
                </w:p>
              </w:tc>
              <w:tc>
                <w:tcPr>
                  <w:tcW w:w="1662" w:type="dxa"/>
                  <w:vMerge w:val="continue"/>
                  <w:tcBorders>
                    <w:left w:val="single" w:color="000000" w:sz="4" w:space="0"/>
                  </w:tcBorders>
                  <w:vAlign w:val="center"/>
                </w:tcPr>
                <w:p>
                  <w:pPr>
                    <w:jc w:val="center"/>
                    <w:rPr>
                      <w:szCs w:val="21"/>
                    </w:rPr>
                  </w:pPr>
                </w:p>
              </w:tc>
              <w:tc>
                <w:tcPr>
                  <w:tcW w:w="751" w:type="dxa"/>
                  <w:vAlign w:val="center"/>
                </w:tcPr>
                <w:p>
                  <w:pPr>
                    <w:ind w:firstLine="482"/>
                    <w:jc w:val="center"/>
                    <w:rPr>
                      <w:b/>
                      <w:bCs/>
                      <w:szCs w:val="21"/>
                    </w:rPr>
                  </w:pPr>
                  <w:r>
                    <w:rPr>
                      <w:b/>
                      <w:bCs/>
                      <w:szCs w:val="21"/>
                    </w:rPr>
                    <w:t>本月</w:t>
                  </w:r>
                </w:p>
              </w:tc>
              <w:tc>
                <w:tcPr>
                  <w:tcW w:w="1035" w:type="dxa"/>
                  <w:vAlign w:val="center"/>
                </w:tcPr>
                <w:p>
                  <w:pPr>
                    <w:ind w:firstLine="482"/>
                    <w:jc w:val="center"/>
                    <w:rPr>
                      <w:b/>
                      <w:bCs/>
                      <w:szCs w:val="21"/>
                    </w:rPr>
                  </w:pPr>
                  <w:r>
                    <w:rPr>
                      <w:b/>
                      <w:bCs/>
                      <w:szCs w:val="21"/>
                    </w:rPr>
                    <w:t>上月</w:t>
                  </w:r>
                </w:p>
              </w:tc>
              <w:tc>
                <w:tcPr>
                  <w:tcW w:w="1127" w:type="dxa"/>
                  <w:vAlign w:val="center"/>
                </w:tcPr>
                <w:p>
                  <w:pPr>
                    <w:ind w:firstLine="482"/>
                    <w:jc w:val="center"/>
                    <w:rPr>
                      <w:b/>
                      <w:bCs/>
                      <w:szCs w:val="21"/>
                    </w:rPr>
                  </w:pPr>
                  <w:r>
                    <w:rPr>
                      <w:b/>
                      <w:bCs/>
                      <w:szCs w:val="21"/>
                    </w:rPr>
                    <w:t>去年同期</w:t>
                  </w:r>
                </w:p>
              </w:tc>
              <w:tc>
                <w:tcPr>
                  <w:tcW w:w="773" w:type="dxa"/>
                  <w:vMerge w:val="continue"/>
                  <w:tcBorders>
                    <w:left w:val="single" w:color="000000" w:sz="4" w:space="0"/>
                  </w:tcBorders>
                  <w:vAlign w:val="center"/>
                </w:tcPr>
                <w:p>
                  <w:pPr>
                    <w:jc w:val="center"/>
                    <w:rPr>
                      <w:szCs w:val="21"/>
                    </w:rPr>
                  </w:pPr>
                </w:p>
              </w:tc>
              <w:tc>
                <w:tcPr>
                  <w:tcW w:w="743" w:type="dxa"/>
                  <w:vMerge w:val="continue"/>
                  <w:tcBorders>
                    <w:left w:val="single" w:color="000000" w:sz="4" w:space="0"/>
                  </w:tcBorders>
                  <w:vAlign w:val="center"/>
                </w:tcPr>
                <w:p>
                  <w:pPr>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12" w:hRule="atLeast"/>
              </w:trPr>
              <w:tc>
                <w:tcPr>
                  <w:tcW w:w="881" w:type="dxa"/>
                  <w:vAlign w:val="center"/>
                </w:tcPr>
                <w:p>
                  <w:pPr>
                    <w:jc w:val="center"/>
                    <w:rPr>
                      <w:szCs w:val="21"/>
                    </w:rPr>
                  </w:pPr>
                  <w:r>
                    <w:rPr>
                      <w:rFonts w:hint="eastAsia"/>
                      <w:szCs w:val="21"/>
                    </w:rPr>
                    <w:t>通化</w:t>
                  </w:r>
                  <w:r>
                    <w:rPr>
                      <w:szCs w:val="21"/>
                    </w:rPr>
                    <w:t>市</w:t>
                  </w:r>
                </w:p>
              </w:tc>
              <w:tc>
                <w:tcPr>
                  <w:tcW w:w="1100" w:type="dxa"/>
                  <w:tcBorders>
                    <w:left w:val="single" w:color="000000" w:sz="4" w:space="0"/>
                  </w:tcBorders>
                  <w:vAlign w:val="center"/>
                </w:tcPr>
                <w:p>
                  <w:pPr>
                    <w:ind w:firstLine="456"/>
                    <w:jc w:val="center"/>
                    <w:rPr>
                      <w:spacing w:val="-6"/>
                      <w:szCs w:val="21"/>
                    </w:rPr>
                  </w:pPr>
                  <w:r>
                    <w:rPr>
                      <w:rFonts w:hint="eastAsia"/>
                      <w:spacing w:val="-6"/>
                      <w:szCs w:val="21"/>
                    </w:rPr>
                    <w:t>三统河</w:t>
                  </w:r>
                </w:p>
              </w:tc>
              <w:tc>
                <w:tcPr>
                  <w:tcW w:w="1662" w:type="dxa"/>
                  <w:vAlign w:val="center"/>
                </w:tcPr>
                <w:p>
                  <w:pPr>
                    <w:ind w:firstLine="456"/>
                    <w:jc w:val="center"/>
                    <w:rPr>
                      <w:spacing w:val="-6"/>
                      <w:szCs w:val="21"/>
                    </w:rPr>
                  </w:pPr>
                  <w:r>
                    <w:rPr>
                      <w:rFonts w:hint="eastAsia"/>
                      <w:spacing w:val="-6"/>
                      <w:szCs w:val="21"/>
                    </w:rPr>
                    <w:t>高集岗桥</w:t>
                  </w:r>
                </w:p>
              </w:tc>
              <w:tc>
                <w:tcPr>
                  <w:tcW w:w="751" w:type="dxa"/>
                  <w:vAlign w:val="center"/>
                </w:tcPr>
                <w:p>
                  <w:pPr>
                    <w:jc w:val="center"/>
                    <w:rPr>
                      <w:szCs w:val="21"/>
                    </w:rPr>
                  </w:pPr>
                  <w:r>
                    <w:rPr>
                      <w:szCs w:val="21"/>
                    </w:rPr>
                    <w:t>Ⅱ</w:t>
                  </w:r>
                </w:p>
              </w:tc>
              <w:tc>
                <w:tcPr>
                  <w:tcW w:w="1035" w:type="dxa"/>
                  <w:vAlign w:val="center"/>
                </w:tcPr>
                <w:p>
                  <w:pPr>
                    <w:jc w:val="center"/>
                    <w:rPr>
                      <w:szCs w:val="21"/>
                    </w:rPr>
                  </w:pPr>
                  <w:r>
                    <w:rPr>
                      <w:szCs w:val="21"/>
                    </w:rPr>
                    <w:t>Ⅱ</w:t>
                  </w:r>
                </w:p>
              </w:tc>
              <w:tc>
                <w:tcPr>
                  <w:tcW w:w="1127" w:type="dxa"/>
                  <w:vAlign w:val="center"/>
                </w:tcPr>
                <w:p>
                  <w:pPr>
                    <w:jc w:val="center"/>
                    <w:rPr>
                      <w:szCs w:val="21"/>
                    </w:rPr>
                  </w:pPr>
                  <w:r>
                    <w:rPr>
                      <w:szCs w:val="21"/>
                    </w:rPr>
                    <w:t>Ⅱ</w:t>
                  </w:r>
                </w:p>
              </w:tc>
              <w:tc>
                <w:tcPr>
                  <w:tcW w:w="773" w:type="dxa"/>
                  <w:vAlign w:val="center"/>
                </w:tcPr>
                <w:p>
                  <w:pPr>
                    <w:ind w:firstLine="482"/>
                    <w:jc w:val="center"/>
                    <w:rPr>
                      <w:kern w:val="0"/>
                      <w:szCs w:val="21"/>
                    </w:rPr>
                  </w:pPr>
                  <w:r>
                    <w:rPr>
                      <w:b/>
                      <w:bCs/>
                      <w:kern w:val="0"/>
                      <w:szCs w:val="21"/>
                    </w:rPr>
                    <w:t>→</w:t>
                  </w:r>
                </w:p>
              </w:tc>
              <w:tc>
                <w:tcPr>
                  <w:tcW w:w="743" w:type="dxa"/>
                  <w:vAlign w:val="center"/>
                </w:tcPr>
                <w:p>
                  <w:pPr>
                    <w:ind w:firstLine="482"/>
                    <w:jc w:val="center"/>
                    <w:rPr>
                      <w:kern w:val="0"/>
                      <w:szCs w:val="21"/>
                    </w:rPr>
                  </w:pPr>
                  <w:r>
                    <w:rPr>
                      <w:b/>
                      <w:bCs/>
                      <w:kern w:val="0"/>
                      <w:szCs w:val="21"/>
                    </w:rPr>
                    <w:t>→</w:t>
                  </w:r>
                </w:p>
              </w:tc>
            </w:tr>
          </w:tbl>
          <w:p>
            <w:pPr>
              <w:ind w:firstLine="422" w:firstLineChars="200"/>
              <w:rPr>
                <w:b/>
                <w:bCs/>
                <w:kern w:val="0"/>
                <w:szCs w:val="21"/>
              </w:rPr>
            </w:pPr>
            <w:r>
              <w:rPr>
                <w:b/>
                <w:bCs/>
                <w:kern w:val="0"/>
                <w:szCs w:val="21"/>
              </w:rPr>
              <w:t>注：“/”未监测，“↑”水质有所好转，“↑↑”水质明显好转，“→”水质无明显变化，“↓”水质有所下降，“↓↓”水质明显下降，“○”没有数据无法比较。</w:t>
            </w:r>
          </w:p>
          <w:p>
            <w:pPr>
              <w:ind w:firstLine="422" w:firstLineChars="200"/>
              <w:rPr>
                <w:b/>
                <w:bCs/>
                <w:kern w:val="0"/>
                <w:szCs w:val="21"/>
              </w:rPr>
            </w:pPr>
          </w:p>
          <w:p>
            <w:pPr>
              <w:adjustRightInd w:val="0"/>
              <w:snapToGrid w:val="0"/>
              <w:spacing w:line="360" w:lineRule="auto"/>
              <w:ind w:firstLine="480" w:firstLineChars="200"/>
              <w:rPr>
                <w:kern w:val="0"/>
                <w:sz w:val="24"/>
              </w:rPr>
            </w:pPr>
            <w:r>
              <w:rPr>
                <w:rFonts w:hint="eastAsia"/>
                <w:kern w:val="0"/>
                <w:sz w:val="24"/>
                <w:lang w:val="zh-CN"/>
              </w:rPr>
              <w:t>由上表可知，本项目所在</w:t>
            </w:r>
            <w:r>
              <w:rPr>
                <w:rFonts w:hint="eastAsia"/>
                <w:kern w:val="0"/>
                <w:sz w:val="24"/>
              </w:rPr>
              <w:t>地表水</w:t>
            </w:r>
            <w:r>
              <w:rPr>
                <w:rFonts w:hint="eastAsia"/>
                <w:kern w:val="0"/>
                <w:sz w:val="24"/>
                <w:lang w:val="zh-CN"/>
              </w:rPr>
              <w:t>监测断面</w:t>
            </w:r>
            <w:r>
              <w:rPr>
                <w:rFonts w:hint="eastAsia"/>
                <w:kern w:val="0"/>
                <w:sz w:val="24"/>
              </w:rPr>
              <w:t>中水质满足《地表水环境质量标准》（GB3838-2002）中对应的标准要求，地表水环境质量较好。</w:t>
            </w:r>
          </w:p>
          <w:p>
            <w:pPr>
              <w:adjustRightInd w:val="0"/>
              <w:snapToGrid w:val="0"/>
              <w:spacing w:line="360" w:lineRule="auto"/>
              <w:ind w:firstLine="482" w:firstLineChars="200"/>
              <w:rPr>
                <w:b/>
                <w:bCs/>
                <w:kern w:val="0"/>
                <w:sz w:val="24"/>
              </w:rPr>
            </w:pPr>
            <w:r>
              <w:rPr>
                <w:b/>
                <w:bCs/>
                <w:kern w:val="0"/>
                <w:sz w:val="24"/>
              </w:rPr>
              <w:t>3、声环境质量状况</w:t>
            </w:r>
          </w:p>
          <w:p>
            <w:pPr>
              <w:adjustRightInd w:val="0"/>
              <w:snapToGrid w:val="0"/>
              <w:spacing w:line="360" w:lineRule="auto"/>
              <w:ind w:firstLine="480" w:firstLineChars="200"/>
              <w:rPr>
                <w:kern w:val="0"/>
                <w:sz w:val="24"/>
                <w:lang w:val="zh-CN"/>
              </w:rPr>
            </w:pPr>
            <w:r>
              <w:rPr>
                <w:kern w:val="0"/>
                <w:sz w:val="24"/>
                <w:lang w:val="zh-CN"/>
              </w:rPr>
              <w:t>⑴监测点布设</w:t>
            </w:r>
          </w:p>
          <w:p>
            <w:pPr>
              <w:adjustRightInd w:val="0"/>
              <w:snapToGrid w:val="0"/>
              <w:spacing w:line="360" w:lineRule="auto"/>
              <w:ind w:firstLine="480" w:firstLineChars="200"/>
              <w:rPr>
                <w:kern w:val="0"/>
                <w:sz w:val="24"/>
                <w:lang w:val="zh-CN"/>
              </w:rPr>
            </w:pPr>
            <w:r>
              <w:rPr>
                <w:kern w:val="0"/>
                <w:sz w:val="24"/>
                <w:lang w:val="zh-CN"/>
              </w:rPr>
              <w:t>据本项目声环境评价范围及工程可能对声环境产生的影响，本次环评在厂区四周</w:t>
            </w:r>
            <w:r>
              <w:rPr>
                <w:rFonts w:hint="eastAsia"/>
                <w:kern w:val="0"/>
                <w:sz w:val="24"/>
              </w:rPr>
              <w:t>及50m范围内的敏感点</w:t>
            </w:r>
            <w:r>
              <w:rPr>
                <w:kern w:val="0"/>
                <w:sz w:val="24"/>
                <w:lang w:val="zh-CN"/>
              </w:rPr>
              <w:t>各布设</w:t>
            </w:r>
            <w:r>
              <w:rPr>
                <w:rFonts w:hint="eastAsia"/>
                <w:kern w:val="0"/>
                <w:sz w:val="24"/>
              </w:rPr>
              <w:t>1</w:t>
            </w:r>
            <w:r>
              <w:rPr>
                <w:kern w:val="0"/>
                <w:sz w:val="24"/>
                <w:lang w:val="zh-CN"/>
              </w:rPr>
              <w:t>个噪声监测点位，共</w:t>
            </w:r>
            <w:r>
              <w:rPr>
                <w:rFonts w:hint="eastAsia"/>
                <w:kern w:val="0"/>
                <w:sz w:val="24"/>
              </w:rPr>
              <w:t>6</w:t>
            </w:r>
            <w:r>
              <w:rPr>
                <w:kern w:val="0"/>
                <w:sz w:val="24"/>
                <w:lang w:val="zh-CN"/>
              </w:rPr>
              <w:t>个监测点位，详见附图</w:t>
            </w:r>
            <w:r>
              <w:rPr>
                <w:rFonts w:hint="eastAsia"/>
                <w:kern w:val="0"/>
                <w:sz w:val="24"/>
              </w:rPr>
              <w:t>4</w:t>
            </w:r>
            <w:r>
              <w:rPr>
                <w:kern w:val="0"/>
                <w:sz w:val="24"/>
                <w:lang w:val="zh-CN"/>
              </w:rPr>
              <w:t>。</w:t>
            </w:r>
            <w:bookmarkStart w:id="1" w:name="_Toc306009135"/>
            <w:bookmarkStart w:id="2" w:name="_Toc297529140"/>
          </w:p>
          <w:p>
            <w:pPr>
              <w:adjustRightInd w:val="0"/>
              <w:snapToGrid w:val="0"/>
              <w:spacing w:line="360" w:lineRule="auto"/>
              <w:ind w:firstLine="480" w:firstLineChars="200"/>
              <w:rPr>
                <w:kern w:val="0"/>
                <w:sz w:val="24"/>
                <w:lang w:val="zh-CN"/>
              </w:rPr>
            </w:pPr>
            <w:r>
              <w:rPr>
                <w:kern w:val="0"/>
                <w:sz w:val="24"/>
                <w:lang w:val="zh-CN"/>
              </w:rPr>
              <w:t>⑵监测项目：等效噪声级Leq。</w:t>
            </w:r>
          </w:p>
          <w:p>
            <w:pPr>
              <w:adjustRightInd w:val="0"/>
              <w:snapToGrid w:val="0"/>
              <w:spacing w:line="360" w:lineRule="auto"/>
              <w:ind w:firstLine="480" w:firstLineChars="200"/>
              <w:rPr>
                <w:kern w:val="0"/>
                <w:sz w:val="24"/>
                <w:lang w:val="zh-CN"/>
              </w:rPr>
            </w:pPr>
            <w:r>
              <w:rPr>
                <w:kern w:val="0"/>
                <w:sz w:val="24"/>
                <w:lang w:val="zh-CN"/>
              </w:rPr>
              <w:fldChar w:fldCharType="begin"/>
            </w:r>
            <w:r>
              <w:rPr>
                <w:kern w:val="0"/>
                <w:sz w:val="24"/>
                <w:lang w:val="zh-CN"/>
              </w:rPr>
              <w:instrText xml:space="preserve"> = 3 \* GB2 </w:instrText>
            </w:r>
            <w:r>
              <w:rPr>
                <w:kern w:val="0"/>
                <w:sz w:val="24"/>
                <w:lang w:val="zh-CN"/>
              </w:rPr>
              <w:fldChar w:fldCharType="separate"/>
            </w:r>
            <w:r>
              <w:rPr>
                <w:kern w:val="0"/>
                <w:sz w:val="24"/>
                <w:lang w:val="zh-CN"/>
              </w:rPr>
              <w:t>⑶</w:t>
            </w:r>
            <w:r>
              <w:rPr>
                <w:kern w:val="0"/>
                <w:sz w:val="24"/>
                <w:lang w:val="zh-CN"/>
              </w:rPr>
              <w:fldChar w:fldCharType="end"/>
            </w:r>
            <w:r>
              <w:rPr>
                <w:kern w:val="0"/>
                <w:sz w:val="24"/>
                <w:lang w:val="zh-CN"/>
              </w:rPr>
              <w:t>监测频率及检测方法：监测一天，昼、夜各一次，监测方法按《声环境质量标准》（GB3096-2008）相关要求执行。</w:t>
            </w:r>
          </w:p>
          <w:p>
            <w:pPr>
              <w:adjustRightInd w:val="0"/>
              <w:snapToGrid w:val="0"/>
              <w:spacing w:line="360" w:lineRule="auto"/>
              <w:ind w:firstLine="480" w:firstLineChars="200"/>
              <w:rPr>
                <w:kern w:val="0"/>
                <w:szCs w:val="21"/>
                <w:lang w:val="zh-CN"/>
              </w:rPr>
            </w:pPr>
            <w:r>
              <w:rPr>
                <w:kern w:val="0"/>
                <w:sz w:val="24"/>
                <w:lang w:val="zh-CN"/>
              </w:rPr>
              <w:t>⑷监测单位及时间：吉林省润洁环境检测发展有限公司于20</w:t>
            </w:r>
            <w:r>
              <w:rPr>
                <w:kern w:val="0"/>
                <w:sz w:val="24"/>
              </w:rPr>
              <w:t>2</w:t>
            </w:r>
            <w:r>
              <w:rPr>
                <w:rFonts w:hint="eastAsia"/>
                <w:kern w:val="0"/>
                <w:sz w:val="24"/>
              </w:rPr>
              <w:t>6</w:t>
            </w:r>
            <w:r>
              <w:rPr>
                <w:kern w:val="0"/>
                <w:sz w:val="24"/>
                <w:lang w:val="zh-CN"/>
              </w:rPr>
              <w:t>年</w:t>
            </w:r>
            <w:r>
              <w:rPr>
                <w:rFonts w:hint="eastAsia"/>
                <w:kern w:val="0"/>
                <w:sz w:val="24"/>
              </w:rPr>
              <w:t>7</w:t>
            </w:r>
            <w:r>
              <w:rPr>
                <w:kern w:val="0"/>
                <w:sz w:val="24"/>
                <w:lang w:val="zh-CN"/>
              </w:rPr>
              <w:t>月</w:t>
            </w:r>
            <w:r>
              <w:rPr>
                <w:rFonts w:hint="eastAsia"/>
                <w:kern w:val="0"/>
                <w:sz w:val="24"/>
              </w:rPr>
              <w:t>10</w:t>
            </w:r>
            <w:r>
              <w:rPr>
                <w:kern w:val="0"/>
                <w:sz w:val="24"/>
                <w:lang w:val="zh-CN"/>
              </w:rPr>
              <w:t>日监测</w:t>
            </w:r>
            <w:r>
              <w:rPr>
                <w:rFonts w:hint="eastAsia"/>
                <w:kern w:val="0"/>
                <w:sz w:val="24"/>
                <w:lang w:val="zh-CN"/>
              </w:rPr>
              <w:t>。</w:t>
            </w:r>
          </w:p>
          <w:p>
            <w:pPr>
              <w:adjustRightInd w:val="0"/>
              <w:snapToGrid w:val="0"/>
              <w:spacing w:line="360" w:lineRule="auto"/>
              <w:ind w:firstLine="480" w:firstLineChars="200"/>
              <w:rPr>
                <w:kern w:val="0"/>
                <w:sz w:val="24"/>
                <w:lang w:val="zh-CN"/>
              </w:rPr>
            </w:pPr>
            <w:r>
              <w:rPr>
                <w:kern w:val="0"/>
                <w:sz w:val="24"/>
                <w:lang w:val="zh-CN"/>
              </w:rPr>
              <w:t>⑸监测结果统计：拟建项目噪声监测统计结果详见</w:t>
            </w:r>
            <w:r>
              <w:rPr>
                <w:rFonts w:hint="eastAsia"/>
                <w:kern w:val="0"/>
                <w:sz w:val="24"/>
                <w:lang w:val="zh-CN"/>
              </w:rPr>
              <w:t>下</w:t>
            </w:r>
            <w:r>
              <w:rPr>
                <w:kern w:val="0"/>
                <w:sz w:val="24"/>
                <w:lang w:val="zh-CN"/>
              </w:rPr>
              <w:t>表。</w:t>
            </w:r>
          </w:p>
          <w:bookmarkEnd w:id="1"/>
          <w:bookmarkEnd w:id="2"/>
          <w:p>
            <w:pPr>
              <w:pStyle w:val="23"/>
              <w:ind w:left="0" w:firstLine="0"/>
              <w:rPr>
                <w:u w:val="none"/>
              </w:rPr>
            </w:pPr>
            <w:r>
              <w:rPr>
                <w:u w:val="none"/>
              </w:rPr>
              <w:t xml:space="preserve">噪声监测结果 </w:t>
            </w:r>
            <w:r>
              <w:rPr>
                <w:rFonts w:hint="eastAsia"/>
                <w:u w:val="none"/>
              </w:rPr>
              <w:t xml:space="preserve"> </w:t>
            </w:r>
            <w:r>
              <w:rPr>
                <w:u w:val="none"/>
              </w:rPr>
              <w:t xml:space="preserve">  单位：dB(A)</w:t>
            </w:r>
          </w:p>
          <w:tbl>
            <w:tblPr>
              <w:tblStyle w:val="19"/>
              <w:tblW w:w="8165"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766"/>
              <w:gridCol w:w="736"/>
              <w:gridCol w:w="1414"/>
              <w:gridCol w:w="1091"/>
              <w:gridCol w:w="705"/>
              <w:gridCol w:w="1370"/>
              <w:gridCol w:w="108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766" w:type="dxa"/>
                  <w:tcBorders>
                    <w:tl2br w:val="nil"/>
                    <w:tr2bl w:val="nil"/>
                  </w:tcBorders>
                  <w:vAlign w:val="center"/>
                </w:tcPr>
                <w:p>
                  <w:pPr>
                    <w:pStyle w:val="32"/>
                    <w:ind w:firstLine="422"/>
                    <w:jc w:val="center"/>
                    <w:rPr>
                      <w:rFonts w:ascii="Times New Roman" w:hAnsi="Times New Roman" w:cs="Times New Roman"/>
                      <w:b/>
                      <w:bCs/>
                      <w:szCs w:val="21"/>
                    </w:rPr>
                  </w:pPr>
                  <w:r>
                    <w:rPr>
                      <w:rFonts w:ascii="Times New Roman" w:hAnsi="Times New Roman" w:cs="Times New Roman"/>
                      <w:b/>
                      <w:bCs/>
                      <w:szCs w:val="21"/>
                    </w:rPr>
                    <w:t>相对位置</w:t>
                  </w:r>
                </w:p>
              </w:tc>
              <w:tc>
                <w:tcPr>
                  <w:tcW w:w="736" w:type="dxa"/>
                  <w:tcBorders>
                    <w:tl2br w:val="nil"/>
                    <w:tr2bl w:val="nil"/>
                  </w:tcBorders>
                  <w:vAlign w:val="center"/>
                </w:tcPr>
                <w:p>
                  <w:pPr>
                    <w:ind w:firstLine="422"/>
                    <w:jc w:val="center"/>
                    <w:rPr>
                      <w:b/>
                      <w:bCs/>
                      <w:szCs w:val="21"/>
                    </w:rPr>
                  </w:pPr>
                  <w:r>
                    <w:rPr>
                      <w:b/>
                      <w:bCs/>
                      <w:szCs w:val="21"/>
                    </w:rPr>
                    <w:t>昼间</w:t>
                  </w:r>
                </w:p>
              </w:tc>
              <w:tc>
                <w:tcPr>
                  <w:tcW w:w="1414" w:type="dxa"/>
                  <w:tcBorders>
                    <w:tl2br w:val="nil"/>
                    <w:tr2bl w:val="nil"/>
                  </w:tcBorders>
                  <w:vAlign w:val="center"/>
                </w:tcPr>
                <w:p>
                  <w:pPr>
                    <w:ind w:firstLine="422"/>
                    <w:jc w:val="center"/>
                    <w:rPr>
                      <w:b/>
                      <w:bCs/>
                      <w:szCs w:val="21"/>
                    </w:rPr>
                  </w:pPr>
                  <w:r>
                    <w:rPr>
                      <w:b/>
                      <w:bCs/>
                      <w:szCs w:val="21"/>
                    </w:rPr>
                    <w:t>标准（昼间）</w:t>
                  </w:r>
                </w:p>
              </w:tc>
              <w:tc>
                <w:tcPr>
                  <w:tcW w:w="1091" w:type="dxa"/>
                  <w:tcBorders>
                    <w:tl2br w:val="nil"/>
                    <w:tr2bl w:val="nil"/>
                  </w:tcBorders>
                  <w:vAlign w:val="center"/>
                </w:tcPr>
                <w:p>
                  <w:pPr>
                    <w:ind w:firstLine="422"/>
                    <w:jc w:val="center"/>
                    <w:rPr>
                      <w:b/>
                      <w:bCs/>
                      <w:szCs w:val="21"/>
                    </w:rPr>
                  </w:pPr>
                  <w:r>
                    <w:rPr>
                      <w:rFonts w:hint="eastAsia"/>
                      <w:b/>
                      <w:bCs/>
                      <w:szCs w:val="21"/>
                    </w:rPr>
                    <w:t>是否达标</w:t>
                  </w:r>
                </w:p>
              </w:tc>
              <w:tc>
                <w:tcPr>
                  <w:tcW w:w="705" w:type="dxa"/>
                  <w:tcBorders>
                    <w:tl2br w:val="nil"/>
                    <w:tr2bl w:val="nil"/>
                  </w:tcBorders>
                  <w:vAlign w:val="center"/>
                </w:tcPr>
                <w:p>
                  <w:pPr>
                    <w:ind w:firstLine="422"/>
                    <w:jc w:val="center"/>
                    <w:rPr>
                      <w:b/>
                      <w:bCs/>
                      <w:szCs w:val="21"/>
                    </w:rPr>
                  </w:pPr>
                  <w:r>
                    <w:rPr>
                      <w:b/>
                      <w:bCs/>
                      <w:szCs w:val="21"/>
                    </w:rPr>
                    <w:t>夜间</w:t>
                  </w:r>
                </w:p>
              </w:tc>
              <w:tc>
                <w:tcPr>
                  <w:tcW w:w="1370" w:type="dxa"/>
                  <w:tcBorders>
                    <w:tl2br w:val="nil"/>
                    <w:tr2bl w:val="nil"/>
                  </w:tcBorders>
                  <w:vAlign w:val="center"/>
                </w:tcPr>
                <w:p>
                  <w:pPr>
                    <w:ind w:firstLine="422"/>
                    <w:jc w:val="center"/>
                    <w:rPr>
                      <w:b/>
                      <w:bCs/>
                      <w:szCs w:val="21"/>
                    </w:rPr>
                  </w:pPr>
                  <w:r>
                    <w:rPr>
                      <w:b/>
                      <w:bCs/>
                      <w:szCs w:val="21"/>
                    </w:rPr>
                    <w:t>标准（夜间）</w:t>
                  </w:r>
                </w:p>
              </w:tc>
              <w:tc>
                <w:tcPr>
                  <w:tcW w:w="1083" w:type="dxa"/>
                  <w:tcBorders>
                    <w:tl2br w:val="nil"/>
                    <w:tr2bl w:val="nil"/>
                  </w:tcBorders>
                  <w:vAlign w:val="center"/>
                </w:tcPr>
                <w:p>
                  <w:pPr>
                    <w:ind w:firstLine="422"/>
                    <w:jc w:val="center"/>
                    <w:rPr>
                      <w:b/>
                      <w:bCs/>
                      <w:szCs w:val="21"/>
                    </w:rPr>
                  </w:pPr>
                  <w:r>
                    <w:rPr>
                      <w:rFonts w:hint="eastAsia"/>
                      <w:b/>
                      <w:bCs/>
                      <w:szCs w:val="21"/>
                    </w:rPr>
                    <w:t>是否达标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766" w:type="dxa"/>
                  <w:tcBorders>
                    <w:tl2br w:val="nil"/>
                    <w:tr2bl w:val="nil"/>
                  </w:tcBorders>
                  <w:vAlign w:val="center"/>
                </w:tcPr>
                <w:p>
                  <w:pPr>
                    <w:ind w:firstLine="420"/>
                    <w:jc w:val="center"/>
                    <w:rPr>
                      <w:szCs w:val="21"/>
                    </w:rPr>
                  </w:pPr>
                  <w:r>
                    <w:rPr>
                      <w:szCs w:val="21"/>
                    </w:rPr>
                    <w:t>厂界外东侧1m</w:t>
                  </w:r>
                </w:p>
              </w:tc>
              <w:tc>
                <w:tcPr>
                  <w:tcW w:w="736" w:type="dxa"/>
                  <w:tcBorders>
                    <w:tl2br w:val="nil"/>
                    <w:tr2bl w:val="nil"/>
                  </w:tcBorders>
                  <w:vAlign w:val="center"/>
                </w:tcPr>
                <w:p>
                  <w:pPr>
                    <w:autoSpaceDE w:val="0"/>
                    <w:autoSpaceDN w:val="0"/>
                    <w:adjustRightInd w:val="0"/>
                    <w:ind w:firstLine="420"/>
                    <w:jc w:val="center"/>
                    <w:rPr>
                      <w:szCs w:val="21"/>
                    </w:rPr>
                  </w:pPr>
                  <w:r>
                    <w:rPr>
                      <w:rFonts w:hint="eastAsia"/>
                      <w:szCs w:val="21"/>
                    </w:rPr>
                    <w:t>45</w:t>
                  </w:r>
                </w:p>
              </w:tc>
              <w:tc>
                <w:tcPr>
                  <w:tcW w:w="1414" w:type="dxa"/>
                  <w:vMerge w:val="restart"/>
                  <w:tcBorders>
                    <w:tl2br w:val="nil"/>
                    <w:tr2bl w:val="nil"/>
                  </w:tcBorders>
                  <w:vAlign w:val="center"/>
                </w:tcPr>
                <w:p>
                  <w:pPr>
                    <w:ind w:firstLine="420"/>
                    <w:jc w:val="center"/>
                    <w:rPr>
                      <w:szCs w:val="21"/>
                    </w:rPr>
                  </w:pPr>
                  <w:r>
                    <w:rPr>
                      <w:rFonts w:hint="eastAsia"/>
                      <w:szCs w:val="21"/>
                    </w:rPr>
                    <w:t>60</w:t>
                  </w:r>
                </w:p>
              </w:tc>
              <w:tc>
                <w:tcPr>
                  <w:tcW w:w="1091" w:type="dxa"/>
                  <w:tcBorders>
                    <w:tl2br w:val="nil"/>
                    <w:tr2bl w:val="nil"/>
                  </w:tcBorders>
                  <w:vAlign w:val="center"/>
                </w:tcPr>
                <w:p>
                  <w:pPr>
                    <w:ind w:firstLine="420"/>
                    <w:jc w:val="center"/>
                    <w:rPr>
                      <w:szCs w:val="21"/>
                    </w:rPr>
                  </w:pPr>
                  <w:r>
                    <w:rPr>
                      <w:rFonts w:hint="eastAsia"/>
                      <w:szCs w:val="21"/>
                    </w:rPr>
                    <w:t>达标</w:t>
                  </w:r>
                </w:p>
              </w:tc>
              <w:tc>
                <w:tcPr>
                  <w:tcW w:w="705" w:type="dxa"/>
                  <w:tcBorders>
                    <w:tl2br w:val="nil"/>
                    <w:tr2bl w:val="nil"/>
                  </w:tcBorders>
                  <w:vAlign w:val="center"/>
                </w:tcPr>
                <w:p>
                  <w:pPr>
                    <w:autoSpaceDE w:val="0"/>
                    <w:autoSpaceDN w:val="0"/>
                    <w:adjustRightInd w:val="0"/>
                    <w:ind w:firstLine="420"/>
                    <w:jc w:val="center"/>
                    <w:rPr>
                      <w:szCs w:val="21"/>
                    </w:rPr>
                  </w:pPr>
                  <w:r>
                    <w:rPr>
                      <w:rFonts w:hint="eastAsia"/>
                      <w:szCs w:val="21"/>
                    </w:rPr>
                    <w:t>37</w:t>
                  </w:r>
                </w:p>
              </w:tc>
              <w:tc>
                <w:tcPr>
                  <w:tcW w:w="1370" w:type="dxa"/>
                  <w:vMerge w:val="restart"/>
                  <w:tcBorders>
                    <w:tl2br w:val="nil"/>
                    <w:tr2bl w:val="nil"/>
                  </w:tcBorders>
                  <w:vAlign w:val="center"/>
                </w:tcPr>
                <w:p>
                  <w:pPr>
                    <w:ind w:firstLine="420"/>
                    <w:jc w:val="center"/>
                    <w:rPr>
                      <w:szCs w:val="21"/>
                    </w:rPr>
                  </w:pPr>
                  <w:r>
                    <w:rPr>
                      <w:rFonts w:hint="eastAsia"/>
                      <w:szCs w:val="21"/>
                    </w:rPr>
                    <w:t>50</w:t>
                  </w:r>
                </w:p>
              </w:tc>
              <w:tc>
                <w:tcPr>
                  <w:tcW w:w="1083" w:type="dxa"/>
                  <w:tcBorders>
                    <w:tl2br w:val="nil"/>
                    <w:tr2bl w:val="nil"/>
                  </w:tcBorders>
                  <w:vAlign w:val="center"/>
                </w:tcPr>
                <w:p>
                  <w:pPr>
                    <w:ind w:firstLine="420"/>
                    <w:jc w:val="center"/>
                    <w:rPr>
                      <w:szCs w:val="21"/>
                    </w:rPr>
                  </w:pPr>
                  <w:r>
                    <w:rPr>
                      <w:rFonts w:hint="eastAsia"/>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766" w:type="dxa"/>
                  <w:tcBorders>
                    <w:tl2br w:val="nil"/>
                    <w:tr2bl w:val="nil"/>
                  </w:tcBorders>
                  <w:vAlign w:val="center"/>
                </w:tcPr>
                <w:p>
                  <w:pPr>
                    <w:ind w:firstLine="420"/>
                    <w:jc w:val="center"/>
                    <w:rPr>
                      <w:szCs w:val="21"/>
                    </w:rPr>
                  </w:pPr>
                  <w:r>
                    <w:rPr>
                      <w:szCs w:val="21"/>
                    </w:rPr>
                    <w:t>厂界外南侧1m</w:t>
                  </w:r>
                </w:p>
              </w:tc>
              <w:tc>
                <w:tcPr>
                  <w:tcW w:w="736" w:type="dxa"/>
                  <w:tcBorders>
                    <w:tl2br w:val="nil"/>
                    <w:tr2bl w:val="nil"/>
                  </w:tcBorders>
                  <w:vAlign w:val="center"/>
                </w:tcPr>
                <w:p>
                  <w:pPr>
                    <w:autoSpaceDE w:val="0"/>
                    <w:autoSpaceDN w:val="0"/>
                    <w:adjustRightInd w:val="0"/>
                    <w:ind w:firstLine="420"/>
                    <w:jc w:val="center"/>
                    <w:rPr>
                      <w:szCs w:val="21"/>
                    </w:rPr>
                  </w:pPr>
                  <w:r>
                    <w:rPr>
                      <w:rFonts w:hint="eastAsia"/>
                      <w:szCs w:val="21"/>
                    </w:rPr>
                    <w:t>46</w:t>
                  </w:r>
                </w:p>
              </w:tc>
              <w:tc>
                <w:tcPr>
                  <w:tcW w:w="1414" w:type="dxa"/>
                  <w:vMerge w:val="continue"/>
                  <w:tcBorders>
                    <w:tl2br w:val="nil"/>
                    <w:tr2bl w:val="nil"/>
                  </w:tcBorders>
                  <w:vAlign w:val="center"/>
                </w:tcPr>
                <w:p>
                  <w:pPr>
                    <w:jc w:val="center"/>
                    <w:rPr>
                      <w:szCs w:val="21"/>
                    </w:rPr>
                  </w:pPr>
                </w:p>
              </w:tc>
              <w:tc>
                <w:tcPr>
                  <w:tcW w:w="1091" w:type="dxa"/>
                  <w:tcBorders>
                    <w:tl2br w:val="nil"/>
                    <w:tr2bl w:val="nil"/>
                  </w:tcBorders>
                  <w:vAlign w:val="center"/>
                </w:tcPr>
                <w:p>
                  <w:pPr>
                    <w:ind w:firstLine="420"/>
                    <w:jc w:val="center"/>
                    <w:rPr>
                      <w:szCs w:val="21"/>
                    </w:rPr>
                  </w:pPr>
                  <w:r>
                    <w:rPr>
                      <w:rFonts w:hint="eastAsia"/>
                      <w:szCs w:val="21"/>
                    </w:rPr>
                    <w:t>达标</w:t>
                  </w:r>
                </w:p>
              </w:tc>
              <w:tc>
                <w:tcPr>
                  <w:tcW w:w="705" w:type="dxa"/>
                  <w:tcBorders>
                    <w:tl2br w:val="nil"/>
                    <w:tr2bl w:val="nil"/>
                  </w:tcBorders>
                  <w:vAlign w:val="center"/>
                </w:tcPr>
                <w:p>
                  <w:pPr>
                    <w:autoSpaceDE w:val="0"/>
                    <w:autoSpaceDN w:val="0"/>
                    <w:adjustRightInd w:val="0"/>
                    <w:ind w:firstLine="420"/>
                    <w:jc w:val="center"/>
                    <w:rPr>
                      <w:szCs w:val="21"/>
                    </w:rPr>
                  </w:pPr>
                  <w:r>
                    <w:rPr>
                      <w:rFonts w:hint="eastAsia"/>
                      <w:szCs w:val="21"/>
                    </w:rPr>
                    <w:t>38</w:t>
                  </w:r>
                </w:p>
              </w:tc>
              <w:tc>
                <w:tcPr>
                  <w:tcW w:w="1370" w:type="dxa"/>
                  <w:vMerge w:val="continue"/>
                  <w:tcBorders>
                    <w:tl2br w:val="nil"/>
                    <w:tr2bl w:val="nil"/>
                  </w:tcBorders>
                  <w:vAlign w:val="center"/>
                </w:tcPr>
                <w:p>
                  <w:pPr>
                    <w:jc w:val="center"/>
                    <w:rPr>
                      <w:szCs w:val="21"/>
                    </w:rPr>
                  </w:pPr>
                </w:p>
              </w:tc>
              <w:tc>
                <w:tcPr>
                  <w:tcW w:w="1083" w:type="dxa"/>
                  <w:tcBorders>
                    <w:tl2br w:val="nil"/>
                    <w:tr2bl w:val="nil"/>
                  </w:tcBorders>
                  <w:vAlign w:val="center"/>
                </w:tcPr>
                <w:p>
                  <w:pPr>
                    <w:ind w:firstLine="420"/>
                    <w:jc w:val="center"/>
                    <w:rPr>
                      <w:szCs w:val="21"/>
                    </w:rPr>
                  </w:pPr>
                  <w:r>
                    <w:rPr>
                      <w:rFonts w:hint="eastAsia"/>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766" w:type="dxa"/>
                  <w:tcBorders>
                    <w:tl2br w:val="nil"/>
                    <w:tr2bl w:val="nil"/>
                  </w:tcBorders>
                  <w:vAlign w:val="center"/>
                </w:tcPr>
                <w:p>
                  <w:pPr>
                    <w:ind w:firstLine="420"/>
                    <w:jc w:val="center"/>
                    <w:rPr>
                      <w:szCs w:val="21"/>
                    </w:rPr>
                  </w:pPr>
                  <w:r>
                    <w:rPr>
                      <w:szCs w:val="21"/>
                    </w:rPr>
                    <w:t>厂界外西侧1m</w:t>
                  </w:r>
                </w:p>
              </w:tc>
              <w:tc>
                <w:tcPr>
                  <w:tcW w:w="736" w:type="dxa"/>
                  <w:tcBorders>
                    <w:tl2br w:val="nil"/>
                    <w:tr2bl w:val="nil"/>
                  </w:tcBorders>
                  <w:vAlign w:val="center"/>
                </w:tcPr>
                <w:p>
                  <w:pPr>
                    <w:autoSpaceDE w:val="0"/>
                    <w:autoSpaceDN w:val="0"/>
                    <w:adjustRightInd w:val="0"/>
                    <w:ind w:firstLine="420"/>
                    <w:jc w:val="center"/>
                    <w:rPr>
                      <w:szCs w:val="21"/>
                    </w:rPr>
                  </w:pPr>
                  <w:r>
                    <w:rPr>
                      <w:rFonts w:hint="eastAsia"/>
                      <w:szCs w:val="21"/>
                    </w:rPr>
                    <w:t>52</w:t>
                  </w:r>
                </w:p>
              </w:tc>
              <w:tc>
                <w:tcPr>
                  <w:tcW w:w="1414" w:type="dxa"/>
                  <w:vMerge w:val="continue"/>
                  <w:tcBorders>
                    <w:tl2br w:val="nil"/>
                    <w:tr2bl w:val="nil"/>
                  </w:tcBorders>
                  <w:vAlign w:val="center"/>
                </w:tcPr>
                <w:p>
                  <w:pPr>
                    <w:jc w:val="center"/>
                    <w:rPr>
                      <w:szCs w:val="21"/>
                    </w:rPr>
                  </w:pPr>
                </w:p>
              </w:tc>
              <w:tc>
                <w:tcPr>
                  <w:tcW w:w="1091" w:type="dxa"/>
                  <w:tcBorders>
                    <w:tl2br w:val="nil"/>
                    <w:tr2bl w:val="nil"/>
                  </w:tcBorders>
                  <w:vAlign w:val="center"/>
                </w:tcPr>
                <w:p>
                  <w:pPr>
                    <w:ind w:firstLine="420"/>
                    <w:jc w:val="center"/>
                    <w:rPr>
                      <w:szCs w:val="21"/>
                    </w:rPr>
                  </w:pPr>
                  <w:r>
                    <w:rPr>
                      <w:rFonts w:hint="eastAsia"/>
                      <w:szCs w:val="21"/>
                    </w:rPr>
                    <w:t>达标</w:t>
                  </w:r>
                </w:p>
              </w:tc>
              <w:tc>
                <w:tcPr>
                  <w:tcW w:w="705" w:type="dxa"/>
                  <w:tcBorders>
                    <w:tl2br w:val="nil"/>
                    <w:tr2bl w:val="nil"/>
                  </w:tcBorders>
                  <w:vAlign w:val="center"/>
                </w:tcPr>
                <w:p>
                  <w:pPr>
                    <w:autoSpaceDE w:val="0"/>
                    <w:autoSpaceDN w:val="0"/>
                    <w:adjustRightInd w:val="0"/>
                    <w:ind w:firstLine="420"/>
                    <w:jc w:val="center"/>
                    <w:rPr>
                      <w:szCs w:val="21"/>
                    </w:rPr>
                  </w:pPr>
                  <w:r>
                    <w:rPr>
                      <w:rFonts w:hint="eastAsia"/>
                      <w:szCs w:val="21"/>
                    </w:rPr>
                    <w:t>42</w:t>
                  </w:r>
                </w:p>
              </w:tc>
              <w:tc>
                <w:tcPr>
                  <w:tcW w:w="1370" w:type="dxa"/>
                  <w:vMerge w:val="continue"/>
                  <w:tcBorders>
                    <w:tl2br w:val="nil"/>
                    <w:tr2bl w:val="nil"/>
                  </w:tcBorders>
                  <w:vAlign w:val="center"/>
                </w:tcPr>
                <w:p>
                  <w:pPr>
                    <w:jc w:val="center"/>
                    <w:rPr>
                      <w:szCs w:val="21"/>
                    </w:rPr>
                  </w:pPr>
                </w:p>
              </w:tc>
              <w:tc>
                <w:tcPr>
                  <w:tcW w:w="1083" w:type="dxa"/>
                  <w:tcBorders>
                    <w:tl2br w:val="nil"/>
                    <w:tr2bl w:val="nil"/>
                  </w:tcBorders>
                  <w:vAlign w:val="center"/>
                </w:tcPr>
                <w:p>
                  <w:pPr>
                    <w:ind w:firstLine="420"/>
                    <w:jc w:val="center"/>
                    <w:rPr>
                      <w:szCs w:val="21"/>
                    </w:rPr>
                  </w:pPr>
                  <w:r>
                    <w:rPr>
                      <w:rFonts w:hint="eastAsia"/>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766" w:type="dxa"/>
                  <w:tcBorders>
                    <w:tl2br w:val="nil"/>
                    <w:tr2bl w:val="nil"/>
                  </w:tcBorders>
                  <w:vAlign w:val="center"/>
                </w:tcPr>
                <w:p>
                  <w:pPr>
                    <w:ind w:firstLine="420"/>
                    <w:jc w:val="center"/>
                    <w:rPr>
                      <w:szCs w:val="21"/>
                    </w:rPr>
                  </w:pPr>
                  <w:r>
                    <w:rPr>
                      <w:szCs w:val="21"/>
                    </w:rPr>
                    <w:t>厂界外北侧1m</w:t>
                  </w:r>
                </w:p>
              </w:tc>
              <w:tc>
                <w:tcPr>
                  <w:tcW w:w="736" w:type="dxa"/>
                  <w:tcBorders>
                    <w:tl2br w:val="nil"/>
                    <w:tr2bl w:val="nil"/>
                  </w:tcBorders>
                  <w:vAlign w:val="center"/>
                </w:tcPr>
                <w:p>
                  <w:pPr>
                    <w:autoSpaceDE w:val="0"/>
                    <w:autoSpaceDN w:val="0"/>
                    <w:adjustRightInd w:val="0"/>
                    <w:ind w:firstLine="420"/>
                    <w:jc w:val="center"/>
                    <w:rPr>
                      <w:szCs w:val="21"/>
                    </w:rPr>
                  </w:pPr>
                  <w:r>
                    <w:rPr>
                      <w:rFonts w:hint="eastAsia"/>
                      <w:szCs w:val="21"/>
                    </w:rPr>
                    <w:t>49</w:t>
                  </w:r>
                </w:p>
              </w:tc>
              <w:tc>
                <w:tcPr>
                  <w:tcW w:w="1414" w:type="dxa"/>
                  <w:vMerge w:val="continue"/>
                  <w:tcBorders>
                    <w:tl2br w:val="nil"/>
                    <w:tr2bl w:val="nil"/>
                  </w:tcBorders>
                  <w:vAlign w:val="center"/>
                </w:tcPr>
                <w:p>
                  <w:pPr>
                    <w:jc w:val="center"/>
                    <w:rPr>
                      <w:szCs w:val="21"/>
                    </w:rPr>
                  </w:pPr>
                </w:p>
              </w:tc>
              <w:tc>
                <w:tcPr>
                  <w:tcW w:w="1091" w:type="dxa"/>
                  <w:tcBorders>
                    <w:tl2br w:val="nil"/>
                    <w:tr2bl w:val="nil"/>
                  </w:tcBorders>
                  <w:vAlign w:val="center"/>
                </w:tcPr>
                <w:p>
                  <w:pPr>
                    <w:ind w:firstLine="420"/>
                    <w:jc w:val="center"/>
                    <w:rPr>
                      <w:szCs w:val="21"/>
                    </w:rPr>
                  </w:pPr>
                  <w:r>
                    <w:rPr>
                      <w:rFonts w:hint="eastAsia"/>
                      <w:szCs w:val="21"/>
                    </w:rPr>
                    <w:t>达标</w:t>
                  </w:r>
                </w:p>
              </w:tc>
              <w:tc>
                <w:tcPr>
                  <w:tcW w:w="705" w:type="dxa"/>
                  <w:tcBorders>
                    <w:tl2br w:val="nil"/>
                    <w:tr2bl w:val="nil"/>
                  </w:tcBorders>
                  <w:vAlign w:val="center"/>
                </w:tcPr>
                <w:p>
                  <w:pPr>
                    <w:autoSpaceDE w:val="0"/>
                    <w:autoSpaceDN w:val="0"/>
                    <w:adjustRightInd w:val="0"/>
                    <w:ind w:firstLine="420"/>
                    <w:jc w:val="center"/>
                    <w:rPr>
                      <w:szCs w:val="21"/>
                    </w:rPr>
                  </w:pPr>
                  <w:r>
                    <w:rPr>
                      <w:rFonts w:hint="eastAsia"/>
                      <w:szCs w:val="21"/>
                    </w:rPr>
                    <w:t>40</w:t>
                  </w:r>
                </w:p>
              </w:tc>
              <w:tc>
                <w:tcPr>
                  <w:tcW w:w="1370" w:type="dxa"/>
                  <w:vMerge w:val="continue"/>
                  <w:tcBorders>
                    <w:tl2br w:val="nil"/>
                    <w:tr2bl w:val="nil"/>
                  </w:tcBorders>
                  <w:vAlign w:val="center"/>
                </w:tcPr>
                <w:p>
                  <w:pPr>
                    <w:jc w:val="center"/>
                    <w:rPr>
                      <w:szCs w:val="21"/>
                    </w:rPr>
                  </w:pPr>
                </w:p>
              </w:tc>
              <w:tc>
                <w:tcPr>
                  <w:tcW w:w="1083" w:type="dxa"/>
                  <w:tcBorders>
                    <w:tl2br w:val="nil"/>
                    <w:tr2bl w:val="nil"/>
                  </w:tcBorders>
                  <w:vAlign w:val="center"/>
                </w:tcPr>
                <w:p>
                  <w:pPr>
                    <w:ind w:firstLine="420"/>
                    <w:jc w:val="center"/>
                    <w:rPr>
                      <w:szCs w:val="21"/>
                    </w:rPr>
                  </w:pPr>
                  <w:r>
                    <w:rPr>
                      <w:rFonts w:hint="eastAsia"/>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766" w:type="dxa"/>
                  <w:tcBorders>
                    <w:tl2br w:val="nil"/>
                    <w:tr2bl w:val="nil"/>
                  </w:tcBorders>
                  <w:vAlign w:val="center"/>
                </w:tcPr>
                <w:p>
                  <w:pPr>
                    <w:ind w:firstLine="420"/>
                    <w:jc w:val="center"/>
                    <w:rPr>
                      <w:szCs w:val="21"/>
                    </w:rPr>
                  </w:pPr>
                  <w:r>
                    <w:rPr>
                      <w:rFonts w:hint="eastAsia"/>
                      <w:szCs w:val="21"/>
                    </w:rPr>
                    <w:t>东侧5m处教堂子村居民</w:t>
                  </w:r>
                </w:p>
              </w:tc>
              <w:tc>
                <w:tcPr>
                  <w:tcW w:w="736" w:type="dxa"/>
                  <w:tcBorders>
                    <w:tl2br w:val="nil"/>
                    <w:tr2bl w:val="nil"/>
                  </w:tcBorders>
                  <w:vAlign w:val="center"/>
                </w:tcPr>
                <w:p>
                  <w:pPr>
                    <w:autoSpaceDE w:val="0"/>
                    <w:autoSpaceDN w:val="0"/>
                    <w:adjustRightInd w:val="0"/>
                    <w:ind w:firstLine="420"/>
                    <w:jc w:val="center"/>
                    <w:rPr>
                      <w:szCs w:val="21"/>
                    </w:rPr>
                  </w:pPr>
                  <w:r>
                    <w:rPr>
                      <w:rFonts w:hint="eastAsia"/>
                      <w:szCs w:val="21"/>
                    </w:rPr>
                    <w:t>46</w:t>
                  </w:r>
                </w:p>
              </w:tc>
              <w:tc>
                <w:tcPr>
                  <w:tcW w:w="1414" w:type="dxa"/>
                  <w:vMerge w:val="continue"/>
                  <w:tcBorders>
                    <w:tl2br w:val="nil"/>
                    <w:tr2bl w:val="nil"/>
                  </w:tcBorders>
                  <w:vAlign w:val="center"/>
                </w:tcPr>
                <w:p>
                  <w:pPr>
                    <w:jc w:val="center"/>
                    <w:rPr>
                      <w:szCs w:val="21"/>
                    </w:rPr>
                  </w:pPr>
                </w:p>
              </w:tc>
              <w:tc>
                <w:tcPr>
                  <w:tcW w:w="1091" w:type="dxa"/>
                  <w:tcBorders>
                    <w:tl2br w:val="nil"/>
                    <w:tr2bl w:val="nil"/>
                  </w:tcBorders>
                  <w:vAlign w:val="center"/>
                </w:tcPr>
                <w:p>
                  <w:pPr>
                    <w:ind w:firstLine="420"/>
                    <w:jc w:val="center"/>
                    <w:rPr>
                      <w:szCs w:val="21"/>
                    </w:rPr>
                  </w:pPr>
                  <w:r>
                    <w:rPr>
                      <w:rFonts w:hint="eastAsia"/>
                      <w:szCs w:val="21"/>
                    </w:rPr>
                    <w:t>达标</w:t>
                  </w:r>
                </w:p>
              </w:tc>
              <w:tc>
                <w:tcPr>
                  <w:tcW w:w="705" w:type="dxa"/>
                  <w:tcBorders>
                    <w:tl2br w:val="nil"/>
                    <w:tr2bl w:val="nil"/>
                  </w:tcBorders>
                  <w:vAlign w:val="center"/>
                </w:tcPr>
                <w:p>
                  <w:pPr>
                    <w:autoSpaceDE w:val="0"/>
                    <w:autoSpaceDN w:val="0"/>
                    <w:adjustRightInd w:val="0"/>
                    <w:ind w:firstLine="420"/>
                    <w:jc w:val="center"/>
                    <w:rPr>
                      <w:szCs w:val="21"/>
                    </w:rPr>
                  </w:pPr>
                  <w:r>
                    <w:rPr>
                      <w:rFonts w:hint="eastAsia"/>
                      <w:szCs w:val="21"/>
                    </w:rPr>
                    <w:t>38</w:t>
                  </w:r>
                </w:p>
              </w:tc>
              <w:tc>
                <w:tcPr>
                  <w:tcW w:w="1370" w:type="dxa"/>
                  <w:vMerge w:val="continue"/>
                  <w:tcBorders>
                    <w:tl2br w:val="nil"/>
                    <w:tr2bl w:val="nil"/>
                  </w:tcBorders>
                  <w:vAlign w:val="center"/>
                </w:tcPr>
                <w:p>
                  <w:pPr>
                    <w:jc w:val="center"/>
                    <w:rPr>
                      <w:szCs w:val="21"/>
                    </w:rPr>
                  </w:pPr>
                </w:p>
              </w:tc>
              <w:tc>
                <w:tcPr>
                  <w:tcW w:w="1083" w:type="dxa"/>
                  <w:tcBorders>
                    <w:tl2br w:val="nil"/>
                    <w:tr2bl w:val="nil"/>
                  </w:tcBorders>
                  <w:vAlign w:val="center"/>
                </w:tcPr>
                <w:p>
                  <w:pPr>
                    <w:ind w:firstLine="420"/>
                    <w:jc w:val="center"/>
                    <w:rPr>
                      <w:szCs w:val="21"/>
                    </w:rPr>
                  </w:pPr>
                  <w:r>
                    <w:rPr>
                      <w:rFonts w:hint="eastAsia"/>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766" w:type="dxa"/>
                  <w:tcBorders>
                    <w:tl2br w:val="nil"/>
                    <w:tr2bl w:val="nil"/>
                  </w:tcBorders>
                  <w:vAlign w:val="center"/>
                </w:tcPr>
                <w:p>
                  <w:pPr>
                    <w:ind w:firstLine="420"/>
                    <w:jc w:val="center"/>
                    <w:rPr>
                      <w:szCs w:val="21"/>
                    </w:rPr>
                  </w:pPr>
                  <w:r>
                    <w:rPr>
                      <w:rFonts w:hint="eastAsia"/>
                      <w:szCs w:val="21"/>
                    </w:rPr>
                    <w:t>南侧5m处教堂子村居民</w:t>
                  </w:r>
                </w:p>
              </w:tc>
              <w:tc>
                <w:tcPr>
                  <w:tcW w:w="736" w:type="dxa"/>
                  <w:tcBorders>
                    <w:tl2br w:val="nil"/>
                    <w:tr2bl w:val="nil"/>
                  </w:tcBorders>
                  <w:vAlign w:val="center"/>
                </w:tcPr>
                <w:p>
                  <w:pPr>
                    <w:autoSpaceDE w:val="0"/>
                    <w:autoSpaceDN w:val="0"/>
                    <w:adjustRightInd w:val="0"/>
                    <w:ind w:firstLine="420"/>
                    <w:jc w:val="center"/>
                    <w:rPr>
                      <w:szCs w:val="21"/>
                    </w:rPr>
                  </w:pPr>
                  <w:r>
                    <w:rPr>
                      <w:rFonts w:hint="eastAsia"/>
                      <w:szCs w:val="21"/>
                    </w:rPr>
                    <w:t>47</w:t>
                  </w:r>
                </w:p>
              </w:tc>
              <w:tc>
                <w:tcPr>
                  <w:tcW w:w="1414" w:type="dxa"/>
                  <w:vMerge w:val="continue"/>
                  <w:tcBorders>
                    <w:tl2br w:val="nil"/>
                    <w:tr2bl w:val="nil"/>
                  </w:tcBorders>
                  <w:vAlign w:val="center"/>
                </w:tcPr>
                <w:p>
                  <w:pPr>
                    <w:jc w:val="center"/>
                    <w:rPr>
                      <w:szCs w:val="21"/>
                    </w:rPr>
                  </w:pPr>
                </w:p>
              </w:tc>
              <w:tc>
                <w:tcPr>
                  <w:tcW w:w="1091" w:type="dxa"/>
                  <w:tcBorders>
                    <w:tl2br w:val="nil"/>
                    <w:tr2bl w:val="nil"/>
                  </w:tcBorders>
                  <w:vAlign w:val="center"/>
                </w:tcPr>
                <w:p>
                  <w:pPr>
                    <w:ind w:firstLine="420"/>
                    <w:jc w:val="center"/>
                    <w:rPr>
                      <w:szCs w:val="21"/>
                    </w:rPr>
                  </w:pPr>
                  <w:r>
                    <w:rPr>
                      <w:rFonts w:hint="eastAsia"/>
                      <w:szCs w:val="21"/>
                    </w:rPr>
                    <w:t>达标</w:t>
                  </w:r>
                </w:p>
              </w:tc>
              <w:tc>
                <w:tcPr>
                  <w:tcW w:w="705" w:type="dxa"/>
                  <w:tcBorders>
                    <w:tl2br w:val="nil"/>
                    <w:tr2bl w:val="nil"/>
                  </w:tcBorders>
                  <w:vAlign w:val="center"/>
                </w:tcPr>
                <w:p>
                  <w:pPr>
                    <w:autoSpaceDE w:val="0"/>
                    <w:autoSpaceDN w:val="0"/>
                    <w:adjustRightInd w:val="0"/>
                    <w:ind w:firstLine="420"/>
                    <w:jc w:val="center"/>
                    <w:rPr>
                      <w:szCs w:val="21"/>
                    </w:rPr>
                  </w:pPr>
                  <w:r>
                    <w:rPr>
                      <w:rFonts w:hint="eastAsia"/>
                      <w:szCs w:val="21"/>
                    </w:rPr>
                    <w:t>39</w:t>
                  </w:r>
                </w:p>
              </w:tc>
              <w:tc>
                <w:tcPr>
                  <w:tcW w:w="1370" w:type="dxa"/>
                  <w:vMerge w:val="continue"/>
                  <w:tcBorders>
                    <w:tl2br w:val="nil"/>
                    <w:tr2bl w:val="nil"/>
                  </w:tcBorders>
                  <w:vAlign w:val="center"/>
                </w:tcPr>
                <w:p>
                  <w:pPr>
                    <w:jc w:val="center"/>
                    <w:rPr>
                      <w:szCs w:val="21"/>
                    </w:rPr>
                  </w:pPr>
                </w:p>
              </w:tc>
              <w:tc>
                <w:tcPr>
                  <w:tcW w:w="1083" w:type="dxa"/>
                  <w:tcBorders>
                    <w:tl2br w:val="nil"/>
                    <w:tr2bl w:val="nil"/>
                  </w:tcBorders>
                  <w:vAlign w:val="center"/>
                </w:tcPr>
                <w:p>
                  <w:pPr>
                    <w:ind w:firstLine="420"/>
                    <w:jc w:val="center"/>
                    <w:rPr>
                      <w:szCs w:val="21"/>
                    </w:rPr>
                  </w:pPr>
                  <w:r>
                    <w:rPr>
                      <w:rFonts w:hint="eastAsia"/>
                      <w:szCs w:val="21"/>
                    </w:rPr>
                    <w:t>达标</w:t>
                  </w:r>
                </w:p>
              </w:tc>
            </w:tr>
          </w:tbl>
          <w:p>
            <w:pPr>
              <w:adjustRightInd w:val="0"/>
              <w:snapToGrid w:val="0"/>
              <w:spacing w:beforeLines="50" w:line="360" w:lineRule="auto"/>
              <w:ind w:firstLine="480" w:firstLineChars="200"/>
              <w:rPr>
                <w:kern w:val="0"/>
                <w:sz w:val="24"/>
                <w:lang w:val="zh-CN"/>
              </w:rPr>
            </w:pPr>
            <w:r>
              <w:rPr>
                <w:kern w:val="0"/>
                <w:sz w:val="24"/>
                <w:lang w:val="zh-CN"/>
              </w:rPr>
              <w:t>⑹评价标准</w:t>
            </w:r>
          </w:p>
          <w:p>
            <w:pPr>
              <w:adjustRightInd w:val="0"/>
              <w:snapToGrid w:val="0"/>
              <w:spacing w:line="360" w:lineRule="auto"/>
              <w:ind w:firstLine="480" w:firstLineChars="200"/>
              <w:rPr>
                <w:kern w:val="0"/>
                <w:sz w:val="24"/>
              </w:rPr>
            </w:pPr>
            <w:r>
              <w:rPr>
                <w:rFonts w:hint="eastAsia"/>
                <w:kern w:val="0"/>
                <w:sz w:val="24"/>
              </w:rPr>
              <w:t>根据企业现有环评批复可知，项目所在区域为2类</w:t>
            </w:r>
            <w:r>
              <w:rPr>
                <w:kern w:val="0"/>
                <w:sz w:val="24"/>
                <w:lang w:val="zh-CN"/>
              </w:rPr>
              <w:t>声环境功能区，</w:t>
            </w:r>
            <w:r>
              <w:rPr>
                <w:rFonts w:hint="eastAsia"/>
                <w:kern w:val="0"/>
                <w:sz w:val="24"/>
              </w:rPr>
              <w:t>项目周围</w:t>
            </w:r>
            <w:r>
              <w:rPr>
                <w:kern w:val="0"/>
                <w:sz w:val="24"/>
                <w:lang w:val="zh-CN"/>
              </w:rPr>
              <w:t>环境噪声评价标准采用《声环境质量标准》（GB3096-2008）中</w:t>
            </w:r>
            <w:r>
              <w:rPr>
                <w:rFonts w:hint="eastAsia"/>
                <w:kern w:val="0"/>
                <w:sz w:val="24"/>
              </w:rPr>
              <w:t>2类</w:t>
            </w:r>
            <w:r>
              <w:rPr>
                <w:kern w:val="0"/>
                <w:sz w:val="24"/>
                <w:lang w:val="zh-CN"/>
              </w:rPr>
              <w:t>区标准。</w:t>
            </w:r>
          </w:p>
          <w:p>
            <w:pPr>
              <w:adjustRightInd w:val="0"/>
              <w:snapToGrid w:val="0"/>
              <w:spacing w:line="360" w:lineRule="auto"/>
              <w:ind w:firstLine="480" w:firstLineChars="200"/>
              <w:rPr>
                <w:kern w:val="0"/>
                <w:sz w:val="24"/>
                <w:lang w:val="zh-CN"/>
              </w:rPr>
            </w:pPr>
            <w:r>
              <w:rPr>
                <w:kern w:val="0"/>
                <w:sz w:val="24"/>
                <w:lang w:val="zh-CN"/>
              </w:rPr>
              <w:t>⑺评价结果及分析</w:t>
            </w:r>
          </w:p>
          <w:p>
            <w:pPr>
              <w:adjustRightInd w:val="0"/>
              <w:snapToGrid w:val="0"/>
              <w:spacing w:line="360" w:lineRule="auto"/>
              <w:ind w:firstLine="480" w:firstLineChars="200"/>
              <w:rPr>
                <w:kern w:val="0"/>
                <w:sz w:val="24"/>
                <w:u w:val="single"/>
              </w:rPr>
            </w:pPr>
            <w:r>
              <w:rPr>
                <w:kern w:val="0"/>
                <w:sz w:val="24"/>
                <w:lang w:val="zh-CN"/>
              </w:rPr>
              <w:t>经监测数据显示，</w:t>
            </w:r>
            <w:r>
              <w:rPr>
                <w:rFonts w:hint="eastAsia"/>
                <w:kern w:val="0"/>
                <w:sz w:val="24"/>
              </w:rPr>
              <w:t>厂区四周</w:t>
            </w:r>
            <w:r>
              <w:rPr>
                <w:kern w:val="0"/>
                <w:sz w:val="24"/>
                <w:lang w:val="zh-CN"/>
              </w:rPr>
              <w:t>及周围敏感点处噪声值满足《声环境质量标准》（GB3096-2008）中</w:t>
            </w:r>
            <w:r>
              <w:rPr>
                <w:rFonts w:hint="eastAsia"/>
                <w:kern w:val="0"/>
                <w:sz w:val="24"/>
              </w:rPr>
              <w:t>2类</w:t>
            </w:r>
            <w:r>
              <w:rPr>
                <w:kern w:val="0"/>
                <w:sz w:val="24"/>
                <w:lang w:val="zh-CN"/>
              </w:rPr>
              <w:t>区标准</w:t>
            </w:r>
            <w:r>
              <w:rPr>
                <w:rFonts w:hint="eastAsia"/>
                <w:kern w:val="0"/>
                <w:sz w:val="24"/>
                <w:lang w:val="zh-CN"/>
              </w:rPr>
              <w:t>。</w:t>
            </w:r>
          </w:p>
          <w:p>
            <w:pPr>
              <w:adjustRightInd w:val="0"/>
              <w:snapToGrid w:val="0"/>
              <w:spacing w:line="360" w:lineRule="auto"/>
              <w:ind w:firstLine="482" w:firstLineChars="200"/>
              <w:rPr>
                <w:b/>
                <w:bCs/>
                <w:kern w:val="0"/>
                <w:sz w:val="24"/>
              </w:rPr>
            </w:pPr>
            <w:r>
              <w:rPr>
                <w:rFonts w:hint="eastAsia"/>
                <w:b/>
                <w:bCs/>
                <w:kern w:val="0"/>
                <w:sz w:val="24"/>
              </w:rPr>
              <w:t>4、生态环境</w:t>
            </w:r>
          </w:p>
          <w:p>
            <w:pPr>
              <w:autoSpaceDE w:val="0"/>
              <w:autoSpaceDN w:val="0"/>
              <w:spacing w:line="360" w:lineRule="auto"/>
              <w:ind w:firstLine="480" w:firstLineChars="200"/>
              <w:rPr>
                <w:kern w:val="0"/>
                <w:sz w:val="24"/>
              </w:rPr>
            </w:pPr>
            <w:r>
              <w:rPr>
                <w:rFonts w:hint="eastAsia" w:ascii="宋体" w:hAnsi="宋体" w:cs="宋体"/>
                <w:kern w:val="0"/>
                <w:sz w:val="24"/>
              </w:rPr>
              <w:t>根据《建设项目环境影响报告表编制技术指</w:t>
            </w:r>
            <w:r>
              <w:rPr>
                <w:rFonts w:hint="eastAsia"/>
                <w:kern w:val="0"/>
                <w:sz w:val="24"/>
                <w:lang w:val="zh-CN"/>
              </w:rPr>
              <w:t>南（污染影响类）》（试行）规定，</w:t>
            </w:r>
            <w:r>
              <w:rPr>
                <w:rFonts w:hint="eastAsia"/>
                <w:kern w:val="0"/>
                <w:sz w:val="24"/>
              </w:rPr>
              <w:t>产业园区外建设项目新增用地且用地范围内含有生态保护目标时，应进行生态现状调查。本</w:t>
            </w:r>
            <w:r>
              <w:rPr>
                <w:kern w:val="0"/>
                <w:sz w:val="24"/>
              </w:rPr>
              <w:t>项目位于吉林省通化市柳河县五道沟镇教堂子村柳河启城水泥制品有限公司</w:t>
            </w:r>
            <w:r>
              <w:rPr>
                <w:rFonts w:hint="eastAsia"/>
                <w:kern w:val="0"/>
                <w:sz w:val="24"/>
              </w:rPr>
              <w:t>现有厂区内</w:t>
            </w:r>
            <w:r>
              <w:rPr>
                <w:kern w:val="0"/>
                <w:sz w:val="24"/>
              </w:rPr>
              <w:t>，</w:t>
            </w:r>
            <w:r>
              <w:rPr>
                <w:rFonts w:hint="eastAsia"/>
                <w:kern w:val="0"/>
                <w:sz w:val="24"/>
              </w:rPr>
              <w:t>不新增用地</w:t>
            </w:r>
            <w:r>
              <w:rPr>
                <w:kern w:val="0"/>
                <w:sz w:val="24"/>
              </w:rPr>
              <w:t>，</w:t>
            </w:r>
            <w:r>
              <w:rPr>
                <w:rFonts w:hint="eastAsia"/>
                <w:kern w:val="0"/>
                <w:sz w:val="24"/>
              </w:rPr>
              <w:t>且</w:t>
            </w:r>
            <w:r>
              <w:rPr>
                <w:kern w:val="0"/>
                <w:sz w:val="24"/>
              </w:rPr>
              <w:t>项目用地范围</w:t>
            </w:r>
            <w:r>
              <w:rPr>
                <w:rFonts w:hint="eastAsia"/>
                <w:kern w:val="0"/>
                <w:sz w:val="24"/>
              </w:rPr>
              <w:t>内无</w:t>
            </w:r>
            <w:r>
              <w:rPr>
                <w:kern w:val="0"/>
                <w:sz w:val="24"/>
              </w:rPr>
              <w:t>生态环境保护目标，</w:t>
            </w:r>
            <w:r>
              <w:rPr>
                <w:rFonts w:hint="eastAsia"/>
                <w:kern w:val="0"/>
                <w:sz w:val="24"/>
              </w:rPr>
              <w:t>故不</w:t>
            </w:r>
            <w:r>
              <w:rPr>
                <w:kern w:val="0"/>
                <w:sz w:val="24"/>
              </w:rPr>
              <w:t>需进行生态现状调查。</w:t>
            </w:r>
          </w:p>
          <w:p>
            <w:pPr>
              <w:adjustRightInd w:val="0"/>
              <w:snapToGrid w:val="0"/>
              <w:spacing w:line="360" w:lineRule="auto"/>
              <w:ind w:firstLine="482" w:firstLineChars="200"/>
              <w:rPr>
                <w:b/>
                <w:bCs/>
                <w:kern w:val="0"/>
                <w:sz w:val="24"/>
              </w:rPr>
            </w:pPr>
            <w:r>
              <w:rPr>
                <w:rFonts w:hint="eastAsia"/>
                <w:b/>
                <w:bCs/>
                <w:kern w:val="0"/>
                <w:sz w:val="24"/>
              </w:rPr>
              <w:t>5、地下水环境质量状况</w:t>
            </w:r>
          </w:p>
          <w:p>
            <w:pPr>
              <w:adjustRightInd w:val="0"/>
              <w:snapToGrid w:val="0"/>
              <w:spacing w:line="360" w:lineRule="auto"/>
              <w:ind w:firstLine="480" w:firstLineChars="200"/>
              <w:rPr>
                <w:kern w:val="0"/>
                <w:sz w:val="24"/>
              </w:rPr>
            </w:pPr>
            <w:r>
              <w:rPr>
                <w:rFonts w:hint="eastAsia"/>
                <w:kern w:val="0"/>
                <w:sz w:val="24"/>
              </w:rPr>
              <w:t>根据《建设项目环境影响报告表编制技术指南（污染影响类）》（试行）规定，“原则上不开展环境质量现状调查。建设项目存在土壤、地下水环境污染途径的，应结合污染源、保护目标分布情况开展现状调查以留作背景值。”</w:t>
            </w:r>
          </w:p>
          <w:p>
            <w:pPr>
              <w:adjustRightInd w:val="0"/>
              <w:snapToGrid w:val="0"/>
              <w:spacing w:line="360" w:lineRule="auto"/>
              <w:ind w:firstLine="480" w:firstLineChars="200"/>
              <w:rPr>
                <w:kern w:val="0"/>
                <w:sz w:val="24"/>
              </w:rPr>
            </w:pPr>
            <w:r>
              <w:rPr>
                <w:rFonts w:hint="eastAsia"/>
                <w:kern w:val="0"/>
                <w:sz w:val="24"/>
              </w:rPr>
              <w:t>本项目厂界500m范围内无地下水集中式饮用水水源和热水、矿泉水、温泉等特殊地下水资源。项目废水主要为锅炉排污水、软化处理废水及蒸汽冷凝水，用于浇渣降尘或回用于生产，不外排，且项目厂区地面均进行硬化，并采取相应防渗措施，对地下水环境基本无影响，故本项目不开展地下水环境质量状况调查。</w:t>
            </w:r>
          </w:p>
          <w:p>
            <w:pPr>
              <w:adjustRightInd w:val="0"/>
              <w:snapToGrid w:val="0"/>
              <w:spacing w:line="360" w:lineRule="auto"/>
              <w:ind w:firstLine="482" w:firstLineChars="200"/>
              <w:rPr>
                <w:b/>
                <w:bCs/>
                <w:kern w:val="0"/>
                <w:sz w:val="24"/>
              </w:rPr>
            </w:pPr>
            <w:r>
              <w:rPr>
                <w:rFonts w:hint="eastAsia"/>
                <w:b/>
                <w:bCs/>
                <w:kern w:val="0"/>
                <w:sz w:val="24"/>
              </w:rPr>
              <w:t>6</w:t>
            </w:r>
            <w:r>
              <w:rPr>
                <w:b/>
                <w:bCs/>
                <w:kern w:val="0"/>
                <w:sz w:val="24"/>
              </w:rPr>
              <w:t>、</w:t>
            </w:r>
            <w:r>
              <w:rPr>
                <w:rFonts w:hint="eastAsia"/>
                <w:b/>
                <w:bCs/>
                <w:kern w:val="0"/>
                <w:sz w:val="24"/>
              </w:rPr>
              <w:t>土壤</w:t>
            </w:r>
            <w:r>
              <w:rPr>
                <w:b/>
                <w:bCs/>
                <w:kern w:val="0"/>
                <w:sz w:val="24"/>
              </w:rPr>
              <w:t>环境质量状况</w:t>
            </w:r>
          </w:p>
          <w:p>
            <w:pPr>
              <w:adjustRightInd w:val="0"/>
              <w:snapToGrid w:val="0"/>
              <w:spacing w:line="360" w:lineRule="auto"/>
              <w:ind w:firstLine="480" w:firstLineChars="200"/>
              <w:rPr>
                <w:kern w:val="0"/>
                <w:sz w:val="24"/>
              </w:rPr>
            </w:pPr>
            <w:r>
              <w:rPr>
                <w:rFonts w:hint="eastAsia"/>
                <w:kern w:val="0"/>
                <w:sz w:val="24"/>
              </w:rPr>
              <w:t>根据《建设项目环境影响报告表编制技术指南（污染影响类）》（试行）规定，“原则上不开展环境质量现状调查。建设项目存在土壤、地下水环境污染途径的，应结合污染源、保护目标分布情况开展现状调查以留作背景值。”本次在项目占地范围外主导风向下风向设置1个表层样监测点，开展现状调查以留作背景值。</w:t>
            </w:r>
          </w:p>
          <w:p>
            <w:pPr>
              <w:adjustRightInd w:val="0"/>
              <w:snapToGrid w:val="0"/>
              <w:spacing w:line="360" w:lineRule="auto"/>
              <w:ind w:firstLine="480" w:firstLineChars="200"/>
              <w:rPr>
                <w:kern w:val="0"/>
                <w:sz w:val="24"/>
              </w:rPr>
            </w:pPr>
            <w:r>
              <w:rPr>
                <w:rFonts w:hint="eastAsia"/>
                <w:kern w:val="0"/>
                <w:sz w:val="24"/>
              </w:rPr>
              <w:t>（1）监测点布设</w:t>
            </w:r>
          </w:p>
          <w:p>
            <w:pPr>
              <w:adjustRightInd w:val="0"/>
              <w:snapToGrid w:val="0"/>
              <w:spacing w:line="360" w:lineRule="auto"/>
              <w:ind w:firstLine="480" w:firstLineChars="200"/>
              <w:rPr>
                <w:kern w:val="0"/>
                <w:sz w:val="24"/>
              </w:rPr>
            </w:pPr>
            <w:r>
              <w:rPr>
                <w:rFonts w:hint="eastAsia"/>
                <w:kern w:val="0"/>
                <w:sz w:val="24"/>
              </w:rPr>
              <w:t>根据项目特点，本次在项目占地范围外主导风向下风向设置1个表层样监测点，监测布点位置见下表和附图6。</w:t>
            </w:r>
          </w:p>
          <w:p>
            <w:pPr>
              <w:pStyle w:val="23"/>
              <w:ind w:left="0" w:firstLine="0"/>
              <w:rPr>
                <w:u w:val="none"/>
              </w:rPr>
            </w:pPr>
            <w:r>
              <w:rPr>
                <w:rFonts w:hint="eastAsia"/>
                <w:u w:val="none"/>
              </w:rPr>
              <w:t>土壤环境质量现状监测点位布设情况</w:t>
            </w:r>
          </w:p>
          <w:tbl>
            <w:tblPr>
              <w:tblStyle w:val="19"/>
              <w:tblW w:w="8069"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656"/>
              <w:gridCol w:w="1860"/>
              <w:gridCol w:w="1409"/>
              <w:gridCol w:w="4144"/>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6" w:type="dxa"/>
                  <w:vAlign w:val="center"/>
                </w:tcPr>
                <w:p>
                  <w:pPr>
                    <w:pStyle w:val="32"/>
                    <w:ind w:firstLine="482"/>
                    <w:jc w:val="center"/>
                    <w:rPr>
                      <w:rFonts w:ascii="Times New Roman" w:hAnsi="Times New Roman" w:cs="Times New Roman"/>
                      <w:b/>
                      <w:bCs/>
                      <w:szCs w:val="21"/>
                    </w:rPr>
                  </w:pPr>
                  <w:r>
                    <w:rPr>
                      <w:rFonts w:hint="eastAsia" w:ascii="Times New Roman" w:hAnsi="Times New Roman" w:cs="Times New Roman"/>
                      <w:b/>
                      <w:bCs/>
                      <w:szCs w:val="21"/>
                    </w:rPr>
                    <w:t>序号</w:t>
                  </w:r>
                </w:p>
              </w:tc>
              <w:tc>
                <w:tcPr>
                  <w:tcW w:w="1860" w:type="dxa"/>
                  <w:tcBorders>
                    <w:left w:val="single" w:color="000000" w:sz="4" w:space="0"/>
                  </w:tcBorders>
                  <w:vAlign w:val="center"/>
                </w:tcPr>
                <w:p>
                  <w:pPr>
                    <w:ind w:firstLine="482"/>
                    <w:jc w:val="center"/>
                    <w:rPr>
                      <w:b/>
                      <w:bCs/>
                      <w:szCs w:val="21"/>
                    </w:rPr>
                  </w:pPr>
                  <w:r>
                    <w:rPr>
                      <w:rFonts w:hint="eastAsia"/>
                      <w:b/>
                      <w:bCs/>
                      <w:szCs w:val="21"/>
                    </w:rPr>
                    <w:t>监测点位</w:t>
                  </w:r>
                </w:p>
              </w:tc>
              <w:tc>
                <w:tcPr>
                  <w:tcW w:w="1409" w:type="dxa"/>
                  <w:vAlign w:val="center"/>
                </w:tcPr>
                <w:p>
                  <w:pPr>
                    <w:ind w:firstLine="482"/>
                    <w:jc w:val="center"/>
                    <w:rPr>
                      <w:b/>
                      <w:bCs/>
                      <w:szCs w:val="21"/>
                    </w:rPr>
                  </w:pPr>
                  <w:r>
                    <w:rPr>
                      <w:rFonts w:hint="eastAsia"/>
                      <w:b/>
                      <w:bCs/>
                      <w:szCs w:val="21"/>
                    </w:rPr>
                    <w:t>采样位置</w:t>
                  </w:r>
                </w:p>
              </w:tc>
              <w:tc>
                <w:tcPr>
                  <w:tcW w:w="4144" w:type="dxa"/>
                  <w:vAlign w:val="center"/>
                </w:tcPr>
                <w:p>
                  <w:pPr>
                    <w:ind w:firstLine="482"/>
                    <w:jc w:val="center"/>
                    <w:rPr>
                      <w:b/>
                      <w:bCs/>
                      <w:szCs w:val="21"/>
                    </w:rPr>
                  </w:pPr>
                  <w:r>
                    <w:rPr>
                      <w:rFonts w:hint="eastAsia"/>
                      <w:b/>
                      <w:bCs/>
                      <w:szCs w:val="21"/>
                    </w:rPr>
                    <w:t>目的</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6" w:type="dxa"/>
                  <w:vAlign w:val="center"/>
                </w:tcPr>
                <w:p>
                  <w:pPr>
                    <w:ind w:firstLine="376"/>
                    <w:jc w:val="center"/>
                    <w:rPr>
                      <w:spacing w:val="-11"/>
                      <w:szCs w:val="21"/>
                    </w:rPr>
                  </w:pPr>
                  <w:r>
                    <w:rPr>
                      <w:rFonts w:hint="eastAsia"/>
                      <w:spacing w:val="-11"/>
                      <w:szCs w:val="21"/>
                    </w:rPr>
                    <w:t>T1</w:t>
                  </w:r>
                </w:p>
              </w:tc>
              <w:tc>
                <w:tcPr>
                  <w:tcW w:w="1860" w:type="dxa"/>
                  <w:tcBorders>
                    <w:left w:val="single" w:color="000000" w:sz="4" w:space="0"/>
                  </w:tcBorders>
                  <w:vAlign w:val="center"/>
                </w:tcPr>
                <w:p>
                  <w:pPr>
                    <w:ind w:firstLine="376"/>
                    <w:jc w:val="center"/>
                    <w:rPr>
                      <w:bCs/>
                      <w:iCs/>
                      <w:spacing w:val="-11"/>
                      <w:szCs w:val="21"/>
                    </w:rPr>
                  </w:pPr>
                  <w:r>
                    <w:rPr>
                      <w:rFonts w:hint="eastAsia"/>
                      <w:bCs/>
                      <w:iCs/>
                      <w:spacing w:val="-11"/>
                      <w:szCs w:val="21"/>
                    </w:rPr>
                    <w:t>厂区外东北侧农田</w:t>
                  </w:r>
                </w:p>
              </w:tc>
              <w:tc>
                <w:tcPr>
                  <w:tcW w:w="1409" w:type="dxa"/>
                  <w:vAlign w:val="center"/>
                </w:tcPr>
                <w:p>
                  <w:pPr>
                    <w:ind w:firstLine="376"/>
                    <w:jc w:val="center"/>
                    <w:rPr>
                      <w:bCs/>
                      <w:iCs/>
                      <w:spacing w:val="-11"/>
                      <w:szCs w:val="21"/>
                    </w:rPr>
                  </w:pPr>
                  <w:r>
                    <w:rPr>
                      <w:spacing w:val="-11"/>
                      <w:szCs w:val="21"/>
                    </w:rPr>
                    <w:t>0-0.2</w:t>
                  </w:r>
                  <w:r>
                    <w:rPr>
                      <w:rFonts w:hint="eastAsia"/>
                      <w:spacing w:val="-11"/>
                      <w:szCs w:val="21"/>
                    </w:rPr>
                    <w:t>m</w:t>
                  </w:r>
                  <w:r>
                    <w:rPr>
                      <w:spacing w:val="-11"/>
                      <w:szCs w:val="21"/>
                    </w:rPr>
                    <w:t>表层样</w:t>
                  </w:r>
                </w:p>
              </w:tc>
              <w:tc>
                <w:tcPr>
                  <w:tcW w:w="4144" w:type="dxa"/>
                  <w:vAlign w:val="center"/>
                </w:tcPr>
                <w:p>
                  <w:pPr>
                    <w:ind w:firstLine="376"/>
                    <w:jc w:val="center"/>
                    <w:rPr>
                      <w:spacing w:val="-11"/>
                      <w:szCs w:val="21"/>
                    </w:rPr>
                  </w:pPr>
                  <w:r>
                    <w:rPr>
                      <w:rFonts w:hint="eastAsia"/>
                      <w:spacing w:val="-11"/>
                      <w:szCs w:val="21"/>
                    </w:rPr>
                    <w:t>了解项目所在地主导风向下风向土壤质量现状</w:t>
                  </w:r>
                </w:p>
              </w:tc>
            </w:tr>
          </w:tbl>
          <w:p>
            <w:pPr>
              <w:adjustRightInd w:val="0"/>
              <w:snapToGrid w:val="0"/>
              <w:spacing w:beforeLines="50" w:line="360" w:lineRule="auto"/>
              <w:ind w:firstLine="480" w:firstLineChars="200"/>
              <w:rPr>
                <w:kern w:val="0"/>
                <w:sz w:val="24"/>
              </w:rPr>
            </w:pPr>
            <w:r>
              <w:rPr>
                <w:rFonts w:hint="eastAsia"/>
                <w:kern w:val="0"/>
                <w:sz w:val="24"/>
              </w:rPr>
              <w:t>（2）监测项目</w:t>
            </w:r>
          </w:p>
          <w:p>
            <w:pPr>
              <w:adjustRightInd w:val="0"/>
              <w:snapToGrid w:val="0"/>
              <w:spacing w:line="360" w:lineRule="auto"/>
              <w:ind w:firstLine="482" w:firstLineChars="200"/>
              <w:rPr>
                <w:kern w:val="0"/>
                <w:sz w:val="24"/>
              </w:rPr>
            </w:pPr>
            <w:r>
              <w:rPr>
                <w:rFonts w:hint="eastAsia"/>
                <w:b/>
                <w:bCs/>
                <w:kern w:val="0"/>
                <w:sz w:val="24"/>
              </w:rPr>
              <w:t>GB15618基本项目：</w:t>
            </w:r>
            <w:r>
              <w:rPr>
                <w:rFonts w:hint="eastAsia"/>
                <w:kern w:val="0"/>
                <w:sz w:val="24"/>
              </w:rPr>
              <w:t>pH、镉、汞、砷、铅、铬、铜、镍、锌，共9项。</w:t>
            </w:r>
          </w:p>
          <w:p>
            <w:pPr>
              <w:adjustRightInd w:val="0"/>
              <w:snapToGrid w:val="0"/>
              <w:spacing w:line="360" w:lineRule="auto"/>
              <w:ind w:firstLine="480" w:firstLineChars="200"/>
              <w:rPr>
                <w:kern w:val="0"/>
                <w:sz w:val="24"/>
              </w:rPr>
            </w:pPr>
            <w:r>
              <w:rPr>
                <w:rFonts w:hint="eastAsia"/>
                <w:kern w:val="0"/>
                <w:sz w:val="24"/>
              </w:rPr>
              <w:t>（3）监测时间</w:t>
            </w:r>
          </w:p>
          <w:p>
            <w:pPr>
              <w:adjustRightInd w:val="0"/>
              <w:snapToGrid w:val="0"/>
              <w:spacing w:line="360" w:lineRule="auto"/>
              <w:ind w:firstLine="480" w:firstLineChars="200"/>
              <w:rPr>
                <w:kern w:val="0"/>
                <w:sz w:val="24"/>
              </w:rPr>
            </w:pPr>
            <w:r>
              <w:rPr>
                <w:rFonts w:hint="eastAsia"/>
                <w:kern w:val="0"/>
                <w:sz w:val="24"/>
              </w:rPr>
              <w:t>由吉林省佳信检测技术有限公司于2026年7月9日进行采样检测。</w:t>
            </w:r>
          </w:p>
          <w:p>
            <w:pPr>
              <w:adjustRightInd w:val="0"/>
              <w:snapToGrid w:val="0"/>
              <w:spacing w:line="360" w:lineRule="auto"/>
              <w:ind w:firstLine="480" w:firstLineChars="200"/>
              <w:rPr>
                <w:kern w:val="0"/>
                <w:sz w:val="24"/>
              </w:rPr>
            </w:pPr>
            <w:r>
              <w:rPr>
                <w:rFonts w:hint="eastAsia"/>
                <w:kern w:val="0"/>
                <w:sz w:val="24"/>
              </w:rPr>
              <w:t>（4）评价方法</w:t>
            </w:r>
          </w:p>
          <w:p>
            <w:pPr>
              <w:adjustRightInd w:val="0"/>
              <w:snapToGrid w:val="0"/>
              <w:spacing w:line="360" w:lineRule="auto"/>
              <w:ind w:firstLine="480" w:firstLineChars="200"/>
              <w:rPr>
                <w:kern w:val="0"/>
                <w:sz w:val="24"/>
              </w:rPr>
            </w:pPr>
            <w:r>
              <w:rPr>
                <w:rFonts w:hint="eastAsia"/>
                <w:kern w:val="0"/>
                <w:sz w:val="24"/>
              </w:rPr>
              <w:t>评价方法采用单项标准指数法，计算公式如下：</w:t>
            </w:r>
          </w:p>
          <w:p>
            <w:pPr>
              <w:adjustRightInd w:val="0"/>
              <w:snapToGrid w:val="0"/>
              <w:spacing w:line="360" w:lineRule="auto"/>
              <w:jc w:val="center"/>
              <w:rPr>
                <w:kern w:val="0"/>
                <w:sz w:val="24"/>
              </w:rPr>
            </w:pPr>
            <w:r>
              <w:rPr>
                <w:rFonts w:ascii="Times New Roman" w:hAnsi="Times New Roman" w:eastAsia="宋体" w:cs="Times New Roman"/>
                <w:kern w:val="0"/>
                <w:position w:val="-12"/>
                <w:sz w:val="24"/>
                <w:szCs w:val="24"/>
                <w:lang w:val="zh-CN" w:eastAsia="zh-CN" w:bidi="ar-SA"/>
              </w:rPr>
              <w:pict>
                <v:shape id="_x0000_i1143" o:spt="75" type="#_x0000_t75" style="height:18.4pt;width:55.25pt;" fillcolor="#FFFFFF" filled="f" o:preferrelative="t" stroked="f" coordsize="21600,21600">
                  <v:path/>
                  <v:fill on="f" color2="#FFFFFF" focussize="0,0"/>
                  <v:stroke on="f"/>
                  <v:imagedata r:id="rId17" gain="65536f" blacklevel="0f" gamma="0" o:title=""/>
                  <o:lock v:ext="edit" position="f" selection="f" grouping="f" rotation="f" cropping="f" text="f" aspectratio="t"/>
                  <w10:wrap type="none"/>
                  <w10:anchorlock/>
                </v:shape>
              </w:pict>
            </w:r>
          </w:p>
          <w:p>
            <w:pPr>
              <w:adjustRightInd w:val="0"/>
              <w:snapToGrid w:val="0"/>
              <w:spacing w:line="360" w:lineRule="auto"/>
              <w:ind w:firstLine="480" w:firstLineChars="200"/>
              <w:rPr>
                <w:kern w:val="0"/>
                <w:sz w:val="24"/>
              </w:rPr>
            </w:pPr>
            <w:r>
              <w:rPr>
                <w:rFonts w:hint="eastAsia"/>
                <w:kern w:val="0"/>
                <w:sz w:val="24"/>
              </w:rPr>
              <w:t>式中：</w:t>
            </w:r>
            <w:r>
              <w:rPr>
                <w:kern w:val="0"/>
                <w:sz w:val="24"/>
              </w:rPr>
              <w:t>P</w:t>
            </w:r>
            <w:r>
              <w:rPr>
                <w:kern w:val="0"/>
                <w:sz w:val="24"/>
                <w:vertAlign w:val="subscript"/>
              </w:rPr>
              <w:t>i</w:t>
            </w:r>
            <w:r>
              <w:rPr>
                <w:kern w:val="0"/>
                <w:sz w:val="24"/>
              </w:rPr>
              <w:t>—土壤中i种污染物的污染指数；</w:t>
            </w:r>
          </w:p>
          <w:p>
            <w:pPr>
              <w:adjustRightInd w:val="0"/>
              <w:snapToGrid w:val="0"/>
              <w:spacing w:line="360" w:lineRule="auto"/>
              <w:ind w:firstLine="1200" w:firstLineChars="500"/>
              <w:rPr>
                <w:kern w:val="0"/>
                <w:sz w:val="24"/>
              </w:rPr>
            </w:pPr>
            <w:r>
              <w:rPr>
                <w:kern w:val="0"/>
                <w:sz w:val="24"/>
              </w:rPr>
              <w:t>C</w:t>
            </w:r>
            <w:r>
              <w:rPr>
                <w:kern w:val="0"/>
                <w:sz w:val="24"/>
                <w:vertAlign w:val="subscript"/>
              </w:rPr>
              <w:t>i</w:t>
            </w:r>
            <w:r>
              <w:rPr>
                <w:kern w:val="0"/>
                <w:sz w:val="24"/>
              </w:rPr>
              <w:t>—土壤中i污染物实测值，mg/kg；</w:t>
            </w:r>
          </w:p>
          <w:p>
            <w:pPr>
              <w:adjustRightInd w:val="0"/>
              <w:snapToGrid w:val="0"/>
              <w:spacing w:line="360" w:lineRule="auto"/>
              <w:ind w:firstLine="1200" w:firstLineChars="500"/>
              <w:rPr>
                <w:kern w:val="0"/>
                <w:sz w:val="24"/>
              </w:rPr>
            </w:pPr>
            <w:r>
              <w:rPr>
                <w:kern w:val="0"/>
                <w:sz w:val="24"/>
              </w:rPr>
              <w:t>S</w:t>
            </w:r>
            <w:r>
              <w:rPr>
                <w:kern w:val="0"/>
                <w:sz w:val="24"/>
                <w:vertAlign w:val="subscript"/>
              </w:rPr>
              <w:t>i</w:t>
            </w:r>
            <w:r>
              <w:rPr>
                <w:kern w:val="0"/>
                <w:sz w:val="24"/>
              </w:rPr>
              <w:t>—土壤中i污染物评价标准，mg/kg。</w:t>
            </w:r>
          </w:p>
          <w:p>
            <w:pPr>
              <w:adjustRightInd w:val="0"/>
              <w:snapToGrid w:val="0"/>
              <w:spacing w:line="360" w:lineRule="auto"/>
              <w:ind w:firstLine="480" w:firstLineChars="200"/>
              <w:rPr>
                <w:kern w:val="0"/>
                <w:sz w:val="24"/>
              </w:rPr>
            </w:pPr>
            <w:r>
              <w:rPr>
                <w:kern w:val="0"/>
                <w:sz w:val="24"/>
              </w:rPr>
              <w:t>P</w:t>
            </w:r>
            <w:r>
              <w:rPr>
                <w:kern w:val="0"/>
                <w:sz w:val="24"/>
                <w:vertAlign w:val="subscript"/>
              </w:rPr>
              <w:t>i</w:t>
            </w:r>
            <w:r>
              <w:rPr>
                <w:kern w:val="0"/>
                <w:sz w:val="24"/>
              </w:rPr>
              <w:t>&gt;1表示不能满足标准要求，反之则满足标准要求。</w:t>
            </w:r>
          </w:p>
          <w:p>
            <w:pPr>
              <w:adjustRightInd w:val="0"/>
              <w:snapToGrid w:val="0"/>
              <w:spacing w:line="360" w:lineRule="auto"/>
              <w:ind w:firstLine="480" w:firstLineChars="200"/>
              <w:rPr>
                <w:kern w:val="0"/>
                <w:sz w:val="24"/>
              </w:rPr>
            </w:pPr>
            <w:r>
              <w:rPr>
                <w:rFonts w:hint="eastAsia"/>
                <w:kern w:val="0"/>
                <w:sz w:val="24"/>
              </w:rPr>
              <w:t>（5）评价标准</w:t>
            </w:r>
          </w:p>
          <w:p>
            <w:pPr>
              <w:adjustRightInd w:val="0"/>
              <w:snapToGrid w:val="0"/>
              <w:spacing w:line="360" w:lineRule="auto"/>
              <w:ind w:firstLine="480" w:firstLineChars="200"/>
              <w:rPr>
                <w:kern w:val="0"/>
                <w:sz w:val="24"/>
              </w:rPr>
            </w:pPr>
            <w:r>
              <w:rPr>
                <w:rFonts w:hint="eastAsia"/>
                <w:kern w:val="0"/>
                <w:sz w:val="24"/>
              </w:rPr>
              <w:t>执行《土壤环境质量 农用地土壤污染风险管控标准（试行）》（GB 15618-2018）中农用地土壤污染风险筛选值。</w:t>
            </w:r>
          </w:p>
          <w:p>
            <w:pPr>
              <w:adjustRightInd w:val="0"/>
              <w:snapToGrid w:val="0"/>
              <w:spacing w:line="360" w:lineRule="auto"/>
              <w:ind w:firstLine="480" w:firstLineChars="200"/>
              <w:rPr>
                <w:kern w:val="0"/>
                <w:sz w:val="24"/>
              </w:rPr>
            </w:pPr>
            <w:r>
              <w:rPr>
                <w:rFonts w:hint="eastAsia"/>
                <w:kern w:val="0"/>
                <w:sz w:val="24"/>
              </w:rPr>
              <w:t>（6）监测及评价结果</w:t>
            </w:r>
          </w:p>
          <w:p>
            <w:pPr>
              <w:adjustRightInd w:val="0"/>
              <w:snapToGrid w:val="0"/>
              <w:spacing w:line="360" w:lineRule="auto"/>
              <w:ind w:firstLine="480" w:firstLineChars="200"/>
              <w:rPr>
                <w:kern w:val="0"/>
                <w:sz w:val="24"/>
              </w:rPr>
            </w:pPr>
            <w:r>
              <w:rPr>
                <w:rFonts w:hint="eastAsia"/>
                <w:kern w:val="0"/>
                <w:sz w:val="24"/>
              </w:rPr>
              <w:t>本项目土壤环境质量现状监测及评价结果见下表。</w:t>
            </w:r>
          </w:p>
          <w:p>
            <w:pPr>
              <w:pStyle w:val="23"/>
              <w:ind w:left="0" w:firstLine="0"/>
              <w:rPr>
                <w:u w:val="none"/>
              </w:rPr>
            </w:pPr>
            <w:r>
              <w:rPr>
                <w:u w:val="none"/>
              </w:rPr>
              <w:t>土壤</w:t>
            </w:r>
            <w:r>
              <w:rPr>
                <w:rFonts w:hint="eastAsia"/>
                <w:u w:val="none"/>
              </w:rPr>
              <w:t>环境质量监测及评价</w:t>
            </w:r>
            <w:r>
              <w:rPr>
                <w:u w:val="none"/>
              </w:rPr>
              <w:t>结果</w:t>
            </w:r>
          </w:p>
          <w:tbl>
            <w:tblPr>
              <w:tblStyle w:val="19"/>
              <w:tblW w:w="8069"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38"/>
              <w:gridCol w:w="1080"/>
              <w:gridCol w:w="1256"/>
              <w:gridCol w:w="1267"/>
              <w:gridCol w:w="1982"/>
              <w:gridCol w:w="873"/>
              <w:gridCol w:w="87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8" w:type="dxa"/>
                  <w:vAlign w:val="center"/>
                </w:tcPr>
                <w:p>
                  <w:pPr>
                    <w:ind w:firstLine="422"/>
                    <w:jc w:val="center"/>
                    <w:rPr>
                      <w:b/>
                      <w:szCs w:val="21"/>
                    </w:rPr>
                  </w:pPr>
                  <w:r>
                    <w:rPr>
                      <w:rFonts w:hint="eastAsia"/>
                      <w:b/>
                      <w:szCs w:val="21"/>
                    </w:rPr>
                    <w:t>采样</w:t>
                  </w:r>
                  <w:r>
                    <w:rPr>
                      <w:b/>
                      <w:szCs w:val="21"/>
                    </w:rPr>
                    <w:t>日期</w:t>
                  </w:r>
                </w:p>
              </w:tc>
              <w:tc>
                <w:tcPr>
                  <w:tcW w:w="1080" w:type="dxa"/>
                  <w:vAlign w:val="center"/>
                </w:tcPr>
                <w:p>
                  <w:pPr>
                    <w:ind w:firstLine="422"/>
                    <w:jc w:val="center"/>
                    <w:rPr>
                      <w:b/>
                      <w:szCs w:val="21"/>
                    </w:rPr>
                  </w:pPr>
                  <w:r>
                    <w:rPr>
                      <w:rFonts w:hint="eastAsia"/>
                      <w:b/>
                      <w:szCs w:val="21"/>
                    </w:rPr>
                    <w:t>监测点位</w:t>
                  </w:r>
                </w:p>
              </w:tc>
              <w:tc>
                <w:tcPr>
                  <w:tcW w:w="1256" w:type="dxa"/>
                  <w:vAlign w:val="center"/>
                </w:tcPr>
                <w:p>
                  <w:pPr>
                    <w:ind w:firstLine="422"/>
                    <w:jc w:val="center"/>
                    <w:rPr>
                      <w:b/>
                      <w:szCs w:val="21"/>
                    </w:rPr>
                  </w:pPr>
                  <w:r>
                    <w:rPr>
                      <w:b/>
                      <w:szCs w:val="21"/>
                    </w:rPr>
                    <w:t>检测项目</w:t>
                  </w:r>
                </w:p>
              </w:tc>
              <w:tc>
                <w:tcPr>
                  <w:tcW w:w="1267" w:type="dxa"/>
                  <w:tcBorders>
                    <w:right w:val="nil"/>
                  </w:tcBorders>
                  <w:vAlign w:val="center"/>
                </w:tcPr>
                <w:p>
                  <w:pPr>
                    <w:ind w:firstLine="422"/>
                    <w:jc w:val="center"/>
                    <w:rPr>
                      <w:b/>
                      <w:szCs w:val="21"/>
                    </w:rPr>
                  </w:pPr>
                  <w:r>
                    <w:rPr>
                      <w:b/>
                      <w:szCs w:val="21"/>
                    </w:rPr>
                    <w:t>检测结果</w:t>
                  </w:r>
                  <w:r>
                    <w:rPr>
                      <w:rFonts w:hint="eastAsia"/>
                      <w:b/>
                      <w:szCs w:val="21"/>
                    </w:rPr>
                    <w:t>（mg/kg）</w:t>
                  </w:r>
                </w:p>
              </w:tc>
              <w:tc>
                <w:tcPr>
                  <w:tcW w:w="1982" w:type="dxa"/>
                  <w:tcBorders>
                    <w:right w:val="nil"/>
                  </w:tcBorders>
                  <w:vAlign w:val="center"/>
                </w:tcPr>
                <w:p>
                  <w:pPr>
                    <w:ind w:firstLine="422"/>
                    <w:jc w:val="center"/>
                    <w:rPr>
                      <w:b/>
                      <w:szCs w:val="21"/>
                    </w:rPr>
                  </w:pPr>
                  <w:r>
                    <w:rPr>
                      <w:rFonts w:hint="eastAsia"/>
                      <w:b/>
                      <w:szCs w:val="21"/>
                    </w:rPr>
                    <w:t>标准值（mg/kg）</w:t>
                  </w:r>
                </w:p>
              </w:tc>
              <w:tc>
                <w:tcPr>
                  <w:tcW w:w="873" w:type="dxa"/>
                  <w:tcBorders>
                    <w:right w:val="nil"/>
                  </w:tcBorders>
                  <w:vAlign w:val="center"/>
                </w:tcPr>
                <w:p>
                  <w:pPr>
                    <w:ind w:firstLine="422"/>
                    <w:jc w:val="center"/>
                    <w:rPr>
                      <w:b/>
                      <w:szCs w:val="21"/>
                    </w:rPr>
                  </w:pPr>
                  <w:r>
                    <w:rPr>
                      <w:rFonts w:hint="eastAsia"/>
                      <w:b/>
                      <w:szCs w:val="21"/>
                    </w:rPr>
                    <w:t>标准</w:t>
                  </w:r>
                </w:p>
                <w:p>
                  <w:pPr>
                    <w:ind w:firstLine="422"/>
                    <w:jc w:val="center"/>
                    <w:rPr>
                      <w:b/>
                      <w:szCs w:val="21"/>
                    </w:rPr>
                  </w:pPr>
                  <w:r>
                    <w:rPr>
                      <w:rFonts w:hint="eastAsia"/>
                      <w:b/>
                      <w:szCs w:val="21"/>
                    </w:rPr>
                    <w:t>指数</w:t>
                  </w:r>
                </w:p>
              </w:tc>
              <w:tc>
                <w:tcPr>
                  <w:tcW w:w="873" w:type="dxa"/>
                  <w:tcBorders>
                    <w:right w:val="nil"/>
                  </w:tcBorders>
                  <w:vAlign w:val="center"/>
                </w:tcPr>
                <w:p>
                  <w:pPr>
                    <w:ind w:firstLine="422"/>
                    <w:jc w:val="center"/>
                    <w:rPr>
                      <w:b/>
                      <w:szCs w:val="21"/>
                    </w:rPr>
                  </w:pPr>
                  <w:r>
                    <w:rPr>
                      <w:rFonts w:hint="eastAsia"/>
                      <w:b/>
                      <w:szCs w:val="21"/>
                    </w:rPr>
                    <w:t>达标</w:t>
                  </w:r>
                </w:p>
                <w:p>
                  <w:pPr>
                    <w:ind w:firstLine="422"/>
                    <w:jc w:val="center"/>
                    <w:rPr>
                      <w:b/>
                      <w:szCs w:val="21"/>
                    </w:rPr>
                  </w:pPr>
                  <w:r>
                    <w:rPr>
                      <w:rFonts w:hint="eastAsia"/>
                      <w:b/>
                      <w:szCs w:val="21"/>
                    </w:rPr>
                    <w:t>情况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8" w:type="dxa"/>
                  <w:vMerge w:val="restart"/>
                  <w:vAlign w:val="center"/>
                </w:tcPr>
                <w:p>
                  <w:pPr>
                    <w:ind w:firstLine="420"/>
                    <w:jc w:val="center"/>
                    <w:rPr>
                      <w:szCs w:val="21"/>
                    </w:rPr>
                  </w:pPr>
                  <w:r>
                    <w:rPr>
                      <w:rFonts w:hint="eastAsia"/>
                      <w:szCs w:val="21"/>
                    </w:rPr>
                    <w:t>7</w:t>
                  </w:r>
                  <w:r>
                    <w:rPr>
                      <w:szCs w:val="21"/>
                    </w:rPr>
                    <w:t>月</w:t>
                  </w:r>
                  <w:r>
                    <w:rPr>
                      <w:rFonts w:hint="eastAsia"/>
                      <w:szCs w:val="21"/>
                    </w:rPr>
                    <w:t>9日</w:t>
                  </w:r>
                </w:p>
              </w:tc>
              <w:tc>
                <w:tcPr>
                  <w:tcW w:w="1080" w:type="dxa"/>
                  <w:vMerge w:val="restart"/>
                  <w:vAlign w:val="center"/>
                </w:tcPr>
                <w:p>
                  <w:pPr>
                    <w:ind w:firstLine="420"/>
                    <w:jc w:val="center"/>
                    <w:rPr>
                      <w:szCs w:val="21"/>
                    </w:rPr>
                  </w:pPr>
                  <w:r>
                    <w:rPr>
                      <w:rFonts w:hint="eastAsia"/>
                    </w:rPr>
                    <w:t>T1厂区外东北侧农田</w:t>
                  </w:r>
                </w:p>
              </w:tc>
              <w:tc>
                <w:tcPr>
                  <w:tcW w:w="1256" w:type="dxa"/>
                  <w:vAlign w:val="center"/>
                </w:tcPr>
                <w:p>
                  <w:pPr>
                    <w:ind w:firstLine="420"/>
                    <w:jc w:val="center"/>
                    <w:rPr>
                      <w:szCs w:val="21"/>
                    </w:rPr>
                  </w:pPr>
                  <w:r>
                    <w:rPr>
                      <w:rFonts w:hint="eastAsia"/>
                      <w:szCs w:val="21"/>
                    </w:rPr>
                    <w:t>pH（无量纲）</w:t>
                  </w:r>
                </w:p>
              </w:tc>
              <w:tc>
                <w:tcPr>
                  <w:tcW w:w="1267" w:type="dxa"/>
                  <w:vAlign w:val="center"/>
                </w:tcPr>
                <w:p>
                  <w:pPr>
                    <w:ind w:firstLine="420"/>
                    <w:jc w:val="center"/>
                    <w:rPr>
                      <w:szCs w:val="21"/>
                    </w:rPr>
                  </w:pPr>
                  <w:r>
                    <w:rPr>
                      <w:rFonts w:hint="eastAsia"/>
                      <w:szCs w:val="21"/>
                    </w:rPr>
                    <w:t>7.06</w:t>
                  </w:r>
                </w:p>
              </w:tc>
              <w:tc>
                <w:tcPr>
                  <w:tcW w:w="1982" w:type="dxa"/>
                  <w:vAlign w:val="center"/>
                </w:tcPr>
                <w:p>
                  <w:pPr>
                    <w:ind w:firstLine="420"/>
                    <w:jc w:val="center"/>
                    <w:rPr>
                      <w:szCs w:val="21"/>
                    </w:rPr>
                  </w:pPr>
                  <w:r>
                    <w:rPr>
                      <w:szCs w:val="21"/>
                    </w:rPr>
                    <w:t>6.5&lt;pH≤7.5</w:t>
                  </w:r>
                </w:p>
              </w:tc>
              <w:tc>
                <w:tcPr>
                  <w:tcW w:w="873" w:type="dxa"/>
                  <w:vAlign w:val="center"/>
                </w:tcPr>
                <w:p>
                  <w:pPr>
                    <w:ind w:firstLine="420"/>
                    <w:jc w:val="center"/>
                    <w:rPr>
                      <w:szCs w:val="21"/>
                    </w:rPr>
                  </w:pPr>
                  <w:r>
                    <w:rPr>
                      <w:rFonts w:hint="eastAsia"/>
                      <w:szCs w:val="21"/>
                    </w:rPr>
                    <w:t>0.12</w:t>
                  </w:r>
                </w:p>
              </w:tc>
              <w:tc>
                <w:tcPr>
                  <w:tcW w:w="873" w:type="dxa"/>
                  <w:vAlign w:val="center"/>
                </w:tcPr>
                <w:p>
                  <w:pPr>
                    <w:ind w:firstLine="420"/>
                    <w:jc w:val="center"/>
                    <w:rPr>
                      <w:szCs w:val="21"/>
                    </w:rPr>
                  </w:pPr>
                  <w:r>
                    <w:rPr>
                      <w:rFonts w:hint="eastAsia"/>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8" w:type="dxa"/>
                  <w:vMerge w:val="continue"/>
                  <w:vAlign w:val="center"/>
                </w:tcPr>
                <w:p>
                  <w:pPr>
                    <w:jc w:val="center"/>
                    <w:rPr>
                      <w:szCs w:val="21"/>
                    </w:rPr>
                  </w:pPr>
                </w:p>
              </w:tc>
              <w:tc>
                <w:tcPr>
                  <w:tcW w:w="1080" w:type="dxa"/>
                  <w:vMerge w:val="continue"/>
                  <w:vAlign w:val="center"/>
                </w:tcPr>
                <w:p>
                  <w:pPr>
                    <w:jc w:val="center"/>
                    <w:rPr>
                      <w:szCs w:val="21"/>
                    </w:rPr>
                  </w:pPr>
                </w:p>
              </w:tc>
              <w:tc>
                <w:tcPr>
                  <w:tcW w:w="1256" w:type="dxa"/>
                  <w:vAlign w:val="center"/>
                </w:tcPr>
                <w:p>
                  <w:pPr>
                    <w:ind w:firstLine="420"/>
                    <w:jc w:val="center"/>
                    <w:rPr>
                      <w:szCs w:val="21"/>
                    </w:rPr>
                  </w:pPr>
                  <w:r>
                    <w:rPr>
                      <w:szCs w:val="21"/>
                    </w:rPr>
                    <w:t>镉</w:t>
                  </w:r>
                </w:p>
              </w:tc>
              <w:tc>
                <w:tcPr>
                  <w:tcW w:w="1267" w:type="dxa"/>
                  <w:vAlign w:val="center"/>
                </w:tcPr>
                <w:p>
                  <w:pPr>
                    <w:ind w:firstLine="420"/>
                    <w:jc w:val="center"/>
                    <w:rPr>
                      <w:szCs w:val="21"/>
                    </w:rPr>
                  </w:pPr>
                  <w:r>
                    <w:rPr>
                      <w:rFonts w:hint="eastAsia"/>
                      <w:szCs w:val="21"/>
                    </w:rPr>
                    <w:t>0.22</w:t>
                  </w:r>
                </w:p>
              </w:tc>
              <w:tc>
                <w:tcPr>
                  <w:tcW w:w="1982" w:type="dxa"/>
                  <w:vAlign w:val="center"/>
                </w:tcPr>
                <w:p>
                  <w:pPr>
                    <w:ind w:firstLine="420"/>
                    <w:jc w:val="center"/>
                    <w:rPr>
                      <w:szCs w:val="21"/>
                    </w:rPr>
                  </w:pPr>
                  <w:r>
                    <w:rPr>
                      <w:rFonts w:hint="eastAsia"/>
                      <w:szCs w:val="21"/>
                    </w:rPr>
                    <w:t>0.3</w:t>
                  </w:r>
                </w:p>
              </w:tc>
              <w:tc>
                <w:tcPr>
                  <w:tcW w:w="873" w:type="dxa"/>
                  <w:vAlign w:val="center"/>
                </w:tcPr>
                <w:p>
                  <w:pPr>
                    <w:ind w:firstLine="420"/>
                    <w:jc w:val="center"/>
                    <w:rPr>
                      <w:szCs w:val="21"/>
                    </w:rPr>
                  </w:pPr>
                  <w:r>
                    <w:rPr>
                      <w:rFonts w:hint="eastAsia"/>
                      <w:szCs w:val="21"/>
                    </w:rPr>
                    <w:t>0.73</w:t>
                  </w:r>
                </w:p>
              </w:tc>
              <w:tc>
                <w:tcPr>
                  <w:tcW w:w="873" w:type="dxa"/>
                  <w:vAlign w:val="center"/>
                </w:tcPr>
                <w:p>
                  <w:pPr>
                    <w:ind w:firstLine="420"/>
                    <w:jc w:val="center"/>
                    <w:rPr>
                      <w:szCs w:val="21"/>
                    </w:rPr>
                  </w:pPr>
                  <w:r>
                    <w:rPr>
                      <w:rFonts w:hint="eastAsia"/>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8" w:type="dxa"/>
                  <w:vMerge w:val="continue"/>
                  <w:vAlign w:val="center"/>
                </w:tcPr>
                <w:p>
                  <w:pPr>
                    <w:jc w:val="center"/>
                    <w:rPr>
                      <w:bCs/>
                      <w:szCs w:val="21"/>
                    </w:rPr>
                  </w:pPr>
                </w:p>
              </w:tc>
              <w:tc>
                <w:tcPr>
                  <w:tcW w:w="1080" w:type="dxa"/>
                  <w:vMerge w:val="continue"/>
                  <w:vAlign w:val="center"/>
                </w:tcPr>
                <w:p>
                  <w:pPr>
                    <w:jc w:val="center"/>
                    <w:rPr>
                      <w:szCs w:val="21"/>
                    </w:rPr>
                  </w:pPr>
                </w:p>
              </w:tc>
              <w:tc>
                <w:tcPr>
                  <w:tcW w:w="1256" w:type="dxa"/>
                  <w:vAlign w:val="center"/>
                </w:tcPr>
                <w:p>
                  <w:pPr>
                    <w:ind w:firstLine="420"/>
                    <w:jc w:val="center"/>
                    <w:rPr>
                      <w:szCs w:val="21"/>
                    </w:rPr>
                  </w:pPr>
                  <w:r>
                    <w:rPr>
                      <w:szCs w:val="21"/>
                    </w:rPr>
                    <w:t>汞</w:t>
                  </w:r>
                </w:p>
              </w:tc>
              <w:tc>
                <w:tcPr>
                  <w:tcW w:w="1267" w:type="dxa"/>
                  <w:vAlign w:val="center"/>
                </w:tcPr>
                <w:p>
                  <w:pPr>
                    <w:ind w:firstLine="420"/>
                    <w:jc w:val="center"/>
                    <w:rPr>
                      <w:szCs w:val="21"/>
                    </w:rPr>
                  </w:pPr>
                  <w:r>
                    <w:rPr>
                      <w:rFonts w:hint="eastAsia"/>
                      <w:szCs w:val="21"/>
                    </w:rPr>
                    <w:t>0.089</w:t>
                  </w:r>
                </w:p>
              </w:tc>
              <w:tc>
                <w:tcPr>
                  <w:tcW w:w="1982" w:type="dxa"/>
                  <w:vAlign w:val="center"/>
                </w:tcPr>
                <w:p>
                  <w:pPr>
                    <w:ind w:firstLine="420"/>
                    <w:jc w:val="center"/>
                    <w:rPr>
                      <w:szCs w:val="21"/>
                    </w:rPr>
                  </w:pPr>
                  <w:r>
                    <w:rPr>
                      <w:rFonts w:hint="eastAsia"/>
                      <w:szCs w:val="21"/>
                    </w:rPr>
                    <w:t>2.4</w:t>
                  </w:r>
                </w:p>
              </w:tc>
              <w:tc>
                <w:tcPr>
                  <w:tcW w:w="873" w:type="dxa"/>
                  <w:vAlign w:val="center"/>
                </w:tcPr>
                <w:p>
                  <w:pPr>
                    <w:ind w:firstLine="420"/>
                    <w:jc w:val="center"/>
                    <w:rPr>
                      <w:szCs w:val="21"/>
                    </w:rPr>
                  </w:pPr>
                  <w:r>
                    <w:rPr>
                      <w:rFonts w:hint="eastAsia"/>
                      <w:szCs w:val="21"/>
                    </w:rPr>
                    <w:t>0.04</w:t>
                  </w:r>
                </w:p>
              </w:tc>
              <w:tc>
                <w:tcPr>
                  <w:tcW w:w="873" w:type="dxa"/>
                  <w:vAlign w:val="center"/>
                </w:tcPr>
                <w:p>
                  <w:pPr>
                    <w:ind w:firstLine="420"/>
                    <w:jc w:val="center"/>
                    <w:rPr>
                      <w:szCs w:val="21"/>
                    </w:rPr>
                  </w:pPr>
                  <w:r>
                    <w:rPr>
                      <w:rFonts w:hint="eastAsia"/>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8" w:type="dxa"/>
                  <w:vMerge w:val="continue"/>
                  <w:vAlign w:val="center"/>
                </w:tcPr>
                <w:p>
                  <w:pPr>
                    <w:jc w:val="center"/>
                    <w:rPr>
                      <w:szCs w:val="21"/>
                    </w:rPr>
                  </w:pPr>
                </w:p>
              </w:tc>
              <w:tc>
                <w:tcPr>
                  <w:tcW w:w="1080" w:type="dxa"/>
                  <w:vMerge w:val="continue"/>
                  <w:vAlign w:val="center"/>
                </w:tcPr>
                <w:p>
                  <w:pPr>
                    <w:jc w:val="center"/>
                    <w:rPr>
                      <w:szCs w:val="21"/>
                    </w:rPr>
                  </w:pPr>
                </w:p>
              </w:tc>
              <w:tc>
                <w:tcPr>
                  <w:tcW w:w="1256" w:type="dxa"/>
                  <w:vAlign w:val="center"/>
                </w:tcPr>
                <w:p>
                  <w:pPr>
                    <w:ind w:firstLine="420"/>
                    <w:jc w:val="center"/>
                    <w:rPr>
                      <w:szCs w:val="21"/>
                    </w:rPr>
                  </w:pPr>
                  <w:r>
                    <w:rPr>
                      <w:szCs w:val="21"/>
                    </w:rPr>
                    <w:t>砷</w:t>
                  </w:r>
                </w:p>
              </w:tc>
              <w:tc>
                <w:tcPr>
                  <w:tcW w:w="1267" w:type="dxa"/>
                  <w:vAlign w:val="center"/>
                </w:tcPr>
                <w:p>
                  <w:pPr>
                    <w:ind w:firstLine="396"/>
                    <w:jc w:val="center"/>
                    <w:rPr>
                      <w:bCs/>
                      <w:iCs/>
                      <w:spacing w:val="-6"/>
                      <w:szCs w:val="21"/>
                    </w:rPr>
                  </w:pPr>
                  <w:r>
                    <w:rPr>
                      <w:rFonts w:hint="eastAsia"/>
                      <w:bCs/>
                      <w:iCs/>
                      <w:spacing w:val="-6"/>
                      <w:szCs w:val="21"/>
                    </w:rPr>
                    <w:t>13.4</w:t>
                  </w:r>
                </w:p>
              </w:tc>
              <w:tc>
                <w:tcPr>
                  <w:tcW w:w="1982" w:type="dxa"/>
                  <w:vAlign w:val="center"/>
                </w:tcPr>
                <w:p>
                  <w:pPr>
                    <w:ind w:firstLine="420"/>
                    <w:jc w:val="center"/>
                    <w:rPr>
                      <w:szCs w:val="21"/>
                    </w:rPr>
                  </w:pPr>
                  <w:r>
                    <w:rPr>
                      <w:rFonts w:hint="eastAsia"/>
                      <w:szCs w:val="21"/>
                    </w:rPr>
                    <w:t>30</w:t>
                  </w:r>
                </w:p>
              </w:tc>
              <w:tc>
                <w:tcPr>
                  <w:tcW w:w="873" w:type="dxa"/>
                  <w:vAlign w:val="center"/>
                </w:tcPr>
                <w:p>
                  <w:pPr>
                    <w:ind w:firstLine="420"/>
                    <w:jc w:val="center"/>
                    <w:rPr>
                      <w:szCs w:val="21"/>
                    </w:rPr>
                  </w:pPr>
                  <w:r>
                    <w:rPr>
                      <w:rFonts w:hint="eastAsia"/>
                      <w:szCs w:val="21"/>
                    </w:rPr>
                    <w:t>0.45</w:t>
                  </w:r>
                </w:p>
              </w:tc>
              <w:tc>
                <w:tcPr>
                  <w:tcW w:w="873" w:type="dxa"/>
                  <w:vAlign w:val="center"/>
                </w:tcPr>
                <w:p>
                  <w:pPr>
                    <w:ind w:firstLine="420"/>
                    <w:jc w:val="center"/>
                    <w:rPr>
                      <w:szCs w:val="21"/>
                    </w:rPr>
                  </w:pPr>
                  <w:r>
                    <w:rPr>
                      <w:rFonts w:hint="eastAsia"/>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8" w:type="dxa"/>
                  <w:vMerge w:val="continue"/>
                  <w:vAlign w:val="center"/>
                </w:tcPr>
                <w:p>
                  <w:pPr>
                    <w:jc w:val="center"/>
                    <w:rPr>
                      <w:szCs w:val="21"/>
                    </w:rPr>
                  </w:pPr>
                </w:p>
              </w:tc>
              <w:tc>
                <w:tcPr>
                  <w:tcW w:w="1080" w:type="dxa"/>
                  <w:vMerge w:val="continue"/>
                  <w:vAlign w:val="center"/>
                </w:tcPr>
                <w:p>
                  <w:pPr>
                    <w:jc w:val="center"/>
                    <w:rPr>
                      <w:szCs w:val="21"/>
                    </w:rPr>
                  </w:pPr>
                </w:p>
              </w:tc>
              <w:tc>
                <w:tcPr>
                  <w:tcW w:w="1256" w:type="dxa"/>
                  <w:vAlign w:val="center"/>
                </w:tcPr>
                <w:p>
                  <w:pPr>
                    <w:ind w:firstLine="420"/>
                    <w:jc w:val="center"/>
                    <w:rPr>
                      <w:szCs w:val="21"/>
                    </w:rPr>
                  </w:pPr>
                  <w:r>
                    <w:rPr>
                      <w:szCs w:val="21"/>
                    </w:rPr>
                    <w:t>铅</w:t>
                  </w:r>
                </w:p>
              </w:tc>
              <w:tc>
                <w:tcPr>
                  <w:tcW w:w="1267" w:type="dxa"/>
                  <w:vAlign w:val="center"/>
                </w:tcPr>
                <w:p>
                  <w:pPr>
                    <w:ind w:firstLine="396"/>
                    <w:jc w:val="center"/>
                    <w:rPr>
                      <w:bCs/>
                      <w:iCs/>
                      <w:spacing w:val="-6"/>
                      <w:szCs w:val="21"/>
                    </w:rPr>
                  </w:pPr>
                  <w:r>
                    <w:rPr>
                      <w:rFonts w:hint="eastAsia"/>
                      <w:bCs/>
                      <w:iCs/>
                      <w:spacing w:val="-6"/>
                      <w:szCs w:val="21"/>
                    </w:rPr>
                    <w:t>42</w:t>
                  </w:r>
                </w:p>
              </w:tc>
              <w:tc>
                <w:tcPr>
                  <w:tcW w:w="1982" w:type="dxa"/>
                  <w:vAlign w:val="center"/>
                </w:tcPr>
                <w:p>
                  <w:pPr>
                    <w:ind w:firstLine="420"/>
                    <w:jc w:val="center"/>
                    <w:rPr>
                      <w:szCs w:val="21"/>
                    </w:rPr>
                  </w:pPr>
                  <w:r>
                    <w:rPr>
                      <w:rFonts w:hint="eastAsia"/>
                      <w:szCs w:val="21"/>
                    </w:rPr>
                    <w:t>120</w:t>
                  </w:r>
                </w:p>
              </w:tc>
              <w:tc>
                <w:tcPr>
                  <w:tcW w:w="873" w:type="dxa"/>
                  <w:vAlign w:val="center"/>
                </w:tcPr>
                <w:p>
                  <w:pPr>
                    <w:ind w:firstLine="420"/>
                    <w:jc w:val="center"/>
                    <w:rPr>
                      <w:szCs w:val="21"/>
                    </w:rPr>
                  </w:pPr>
                  <w:r>
                    <w:rPr>
                      <w:rFonts w:hint="eastAsia"/>
                      <w:szCs w:val="21"/>
                    </w:rPr>
                    <w:t>0.35</w:t>
                  </w:r>
                </w:p>
              </w:tc>
              <w:tc>
                <w:tcPr>
                  <w:tcW w:w="873" w:type="dxa"/>
                  <w:vAlign w:val="center"/>
                </w:tcPr>
                <w:p>
                  <w:pPr>
                    <w:ind w:firstLine="420"/>
                    <w:jc w:val="center"/>
                    <w:rPr>
                      <w:szCs w:val="21"/>
                    </w:rPr>
                  </w:pPr>
                  <w:r>
                    <w:rPr>
                      <w:rFonts w:hint="eastAsia"/>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8" w:type="dxa"/>
                  <w:vMerge w:val="continue"/>
                  <w:vAlign w:val="center"/>
                </w:tcPr>
                <w:p>
                  <w:pPr>
                    <w:jc w:val="center"/>
                    <w:rPr>
                      <w:szCs w:val="21"/>
                    </w:rPr>
                  </w:pPr>
                </w:p>
              </w:tc>
              <w:tc>
                <w:tcPr>
                  <w:tcW w:w="1080" w:type="dxa"/>
                  <w:vMerge w:val="continue"/>
                  <w:vAlign w:val="center"/>
                </w:tcPr>
                <w:p>
                  <w:pPr>
                    <w:jc w:val="center"/>
                    <w:rPr>
                      <w:szCs w:val="21"/>
                    </w:rPr>
                  </w:pPr>
                </w:p>
              </w:tc>
              <w:tc>
                <w:tcPr>
                  <w:tcW w:w="1256" w:type="dxa"/>
                  <w:vAlign w:val="center"/>
                </w:tcPr>
                <w:p>
                  <w:pPr>
                    <w:ind w:firstLine="420"/>
                    <w:jc w:val="center"/>
                    <w:rPr>
                      <w:szCs w:val="21"/>
                    </w:rPr>
                  </w:pPr>
                  <w:r>
                    <w:rPr>
                      <w:szCs w:val="21"/>
                    </w:rPr>
                    <w:t>铬</w:t>
                  </w:r>
                </w:p>
              </w:tc>
              <w:tc>
                <w:tcPr>
                  <w:tcW w:w="1267" w:type="dxa"/>
                  <w:vAlign w:val="center"/>
                </w:tcPr>
                <w:p>
                  <w:pPr>
                    <w:ind w:firstLine="420"/>
                    <w:jc w:val="center"/>
                    <w:rPr>
                      <w:szCs w:val="21"/>
                    </w:rPr>
                  </w:pPr>
                  <w:r>
                    <w:rPr>
                      <w:rFonts w:hint="eastAsia"/>
                      <w:szCs w:val="21"/>
                    </w:rPr>
                    <w:t>0.5L</w:t>
                  </w:r>
                </w:p>
              </w:tc>
              <w:tc>
                <w:tcPr>
                  <w:tcW w:w="1982" w:type="dxa"/>
                  <w:vAlign w:val="center"/>
                </w:tcPr>
                <w:p>
                  <w:pPr>
                    <w:ind w:firstLine="420"/>
                    <w:jc w:val="center"/>
                    <w:rPr>
                      <w:szCs w:val="21"/>
                    </w:rPr>
                  </w:pPr>
                  <w:r>
                    <w:rPr>
                      <w:rFonts w:hint="eastAsia"/>
                      <w:szCs w:val="21"/>
                    </w:rPr>
                    <w:t>200</w:t>
                  </w:r>
                </w:p>
              </w:tc>
              <w:tc>
                <w:tcPr>
                  <w:tcW w:w="873" w:type="dxa"/>
                  <w:vAlign w:val="center"/>
                </w:tcPr>
                <w:p>
                  <w:pPr>
                    <w:ind w:firstLine="420"/>
                    <w:jc w:val="center"/>
                    <w:rPr>
                      <w:szCs w:val="21"/>
                    </w:rPr>
                  </w:pPr>
                  <w:r>
                    <w:rPr>
                      <w:rFonts w:hint="eastAsia"/>
                      <w:szCs w:val="21"/>
                    </w:rPr>
                    <w:t>0</w:t>
                  </w:r>
                </w:p>
              </w:tc>
              <w:tc>
                <w:tcPr>
                  <w:tcW w:w="873" w:type="dxa"/>
                  <w:vAlign w:val="center"/>
                </w:tcPr>
                <w:p>
                  <w:pPr>
                    <w:ind w:firstLine="420"/>
                    <w:jc w:val="center"/>
                    <w:rPr>
                      <w:szCs w:val="21"/>
                    </w:rPr>
                  </w:pPr>
                  <w:r>
                    <w:rPr>
                      <w:rFonts w:hint="eastAsia"/>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8" w:type="dxa"/>
                  <w:vMerge w:val="continue"/>
                  <w:vAlign w:val="center"/>
                </w:tcPr>
                <w:p>
                  <w:pPr>
                    <w:jc w:val="center"/>
                    <w:rPr>
                      <w:szCs w:val="21"/>
                    </w:rPr>
                  </w:pPr>
                </w:p>
              </w:tc>
              <w:tc>
                <w:tcPr>
                  <w:tcW w:w="1080" w:type="dxa"/>
                  <w:vMerge w:val="continue"/>
                  <w:vAlign w:val="center"/>
                </w:tcPr>
                <w:p>
                  <w:pPr>
                    <w:jc w:val="center"/>
                    <w:rPr>
                      <w:szCs w:val="21"/>
                    </w:rPr>
                  </w:pPr>
                </w:p>
              </w:tc>
              <w:tc>
                <w:tcPr>
                  <w:tcW w:w="1256" w:type="dxa"/>
                  <w:vAlign w:val="center"/>
                </w:tcPr>
                <w:p>
                  <w:pPr>
                    <w:ind w:firstLine="420"/>
                    <w:jc w:val="center"/>
                    <w:rPr>
                      <w:szCs w:val="21"/>
                    </w:rPr>
                  </w:pPr>
                  <w:r>
                    <w:rPr>
                      <w:szCs w:val="21"/>
                    </w:rPr>
                    <w:t>铜</w:t>
                  </w:r>
                </w:p>
              </w:tc>
              <w:tc>
                <w:tcPr>
                  <w:tcW w:w="1267" w:type="dxa"/>
                  <w:vAlign w:val="center"/>
                </w:tcPr>
                <w:p>
                  <w:pPr>
                    <w:ind w:firstLine="420"/>
                    <w:jc w:val="center"/>
                    <w:rPr>
                      <w:szCs w:val="21"/>
                    </w:rPr>
                  </w:pPr>
                  <w:r>
                    <w:rPr>
                      <w:rFonts w:hint="eastAsia"/>
                      <w:szCs w:val="21"/>
                    </w:rPr>
                    <w:t>70</w:t>
                  </w:r>
                </w:p>
              </w:tc>
              <w:tc>
                <w:tcPr>
                  <w:tcW w:w="1982" w:type="dxa"/>
                  <w:vAlign w:val="center"/>
                </w:tcPr>
                <w:p>
                  <w:pPr>
                    <w:ind w:firstLine="420"/>
                    <w:jc w:val="center"/>
                    <w:rPr>
                      <w:szCs w:val="21"/>
                    </w:rPr>
                  </w:pPr>
                  <w:r>
                    <w:rPr>
                      <w:rFonts w:hint="eastAsia"/>
                      <w:szCs w:val="21"/>
                    </w:rPr>
                    <w:t>100</w:t>
                  </w:r>
                </w:p>
              </w:tc>
              <w:tc>
                <w:tcPr>
                  <w:tcW w:w="873" w:type="dxa"/>
                  <w:vAlign w:val="center"/>
                </w:tcPr>
                <w:p>
                  <w:pPr>
                    <w:ind w:firstLine="420"/>
                    <w:jc w:val="center"/>
                    <w:rPr>
                      <w:szCs w:val="21"/>
                    </w:rPr>
                  </w:pPr>
                  <w:r>
                    <w:rPr>
                      <w:rFonts w:hint="eastAsia"/>
                      <w:szCs w:val="21"/>
                    </w:rPr>
                    <w:t>0.70</w:t>
                  </w:r>
                </w:p>
              </w:tc>
              <w:tc>
                <w:tcPr>
                  <w:tcW w:w="873" w:type="dxa"/>
                  <w:vAlign w:val="center"/>
                </w:tcPr>
                <w:p>
                  <w:pPr>
                    <w:ind w:firstLine="420"/>
                    <w:jc w:val="center"/>
                    <w:rPr>
                      <w:szCs w:val="21"/>
                    </w:rPr>
                  </w:pPr>
                  <w:r>
                    <w:rPr>
                      <w:rFonts w:hint="eastAsia"/>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8" w:type="dxa"/>
                  <w:vMerge w:val="continue"/>
                  <w:vAlign w:val="center"/>
                </w:tcPr>
                <w:p>
                  <w:pPr>
                    <w:jc w:val="center"/>
                    <w:rPr>
                      <w:szCs w:val="21"/>
                    </w:rPr>
                  </w:pPr>
                </w:p>
              </w:tc>
              <w:tc>
                <w:tcPr>
                  <w:tcW w:w="1080" w:type="dxa"/>
                  <w:vMerge w:val="continue"/>
                  <w:vAlign w:val="center"/>
                </w:tcPr>
                <w:p>
                  <w:pPr>
                    <w:jc w:val="center"/>
                    <w:rPr>
                      <w:szCs w:val="21"/>
                    </w:rPr>
                  </w:pPr>
                </w:p>
              </w:tc>
              <w:tc>
                <w:tcPr>
                  <w:tcW w:w="1256" w:type="dxa"/>
                  <w:vAlign w:val="center"/>
                </w:tcPr>
                <w:p>
                  <w:pPr>
                    <w:ind w:firstLine="420"/>
                    <w:jc w:val="center"/>
                    <w:rPr>
                      <w:szCs w:val="21"/>
                    </w:rPr>
                  </w:pPr>
                  <w:r>
                    <w:rPr>
                      <w:szCs w:val="21"/>
                    </w:rPr>
                    <w:t>镍</w:t>
                  </w:r>
                </w:p>
              </w:tc>
              <w:tc>
                <w:tcPr>
                  <w:tcW w:w="1267" w:type="dxa"/>
                  <w:vAlign w:val="center"/>
                </w:tcPr>
                <w:p>
                  <w:pPr>
                    <w:ind w:firstLine="420"/>
                    <w:jc w:val="center"/>
                    <w:rPr>
                      <w:szCs w:val="21"/>
                    </w:rPr>
                  </w:pPr>
                  <w:r>
                    <w:rPr>
                      <w:rFonts w:hint="eastAsia"/>
                      <w:szCs w:val="21"/>
                    </w:rPr>
                    <w:t>33</w:t>
                  </w:r>
                </w:p>
              </w:tc>
              <w:tc>
                <w:tcPr>
                  <w:tcW w:w="1982" w:type="dxa"/>
                  <w:vAlign w:val="center"/>
                </w:tcPr>
                <w:p>
                  <w:pPr>
                    <w:ind w:firstLine="420"/>
                    <w:jc w:val="center"/>
                    <w:rPr>
                      <w:szCs w:val="21"/>
                    </w:rPr>
                  </w:pPr>
                  <w:r>
                    <w:rPr>
                      <w:rFonts w:hint="eastAsia"/>
                      <w:szCs w:val="21"/>
                    </w:rPr>
                    <w:t>100</w:t>
                  </w:r>
                </w:p>
              </w:tc>
              <w:tc>
                <w:tcPr>
                  <w:tcW w:w="873" w:type="dxa"/>
                  <w:vAlign w:val="center"/>
                </w:tcPr>
                <w:p>
                  <w:pPr>
                    <w:ind w:firstLine="420"/>
                    <w:jc w:val="center"/>
                    <w:rPr>
                      <w:szCs w:val="21"/>
                    </w:rPr>
                  </w:pPr>
                  <w:r>
                    <w:rPr>
                      <w:rFonts w:hint="eastAsia"/>
                      <w:szCs w:val="21"/>
                    </w:rPr>
                    <w:t>0.33</w:t>
                  </w:r>
                </w:p>
              </w:tc>
              <w:tc>
                <w:tcPr>
                  <w:tcW w:w="873" w:type="dxa"/>
                  <w:vAlign w:val="center"/>
                </w:tcPr>
                <w:p>
                  <w:pPr>
                    <w:ind w:firstLine="420"/>
                    <w:jc w:val="center"/>
                    <w:rPr>
                      <w:szCs w:val="21"/>
                    </w:rPr>
                  </w:pPr>
                  <w:r>
                    <w:rPr>
                      <w:rFonts w:hint="eastAsia"/>
                      <w:szCs w:val="21"/>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8" w:type="dxa"/>
                  <w:vMerge w:val="continue"/>
                  <w:vAlign w:val="top"/>
                </w:tcPr>
                <w:p>
                  <w:pPr>
                    <w:jc w:val="center"/>
                    <w:rPr>
                      <w:szCs w:val="21"/>
                    </w:rPr>
                  </w:pPr>
                </w:p>
              </w:tc>
              <w:tc>
                <w:tcPr>
                  <w:tcW w:w="1080" w:type="dxa"/>
                  <w:vMerge w:val="continue"/>
                  <w:vAlign w:val="center"/>
                </w:tcPr>
                <w:p>
                  <w:pPr>
                    <w:jc w:val="center"/>
                    <w:rPr>
                      <w:szCs w:val="21"/>
                    </w:rPr>
                  </w:pPr>
                </w:p>
              </w:tc>
              <w:tc>
                <w:tcPr>
                  <w:tcW w:w="1256" w:type="dxa"/>
                  <w:vAlign w:val="center"/>
                </w:tcPr>
                <w:p>
                  <w:pPr>
                    <w:ind w:firstLine="420"/>
                    <w:jc w:val="center"/>
                    <w:rPr>
                      <w:szCs w:val="21"/>
                    </w:rPr>
                  </w:pPr>
                  <w:r>
                    <w:rPr>
                      <w:szCs w:val="21"/>
                    </w:rPr>
                    <w:t>锌</w:t>
                  </w:r>
                </w:p>
              </w:tc>
              <w:tc>
                <w:tcPr>
                  <w:tcW w:w="1267" w:type="dxa"/>
                  <w:vAlign w:val="center"/>
                </w:tcPr>
                <w:p>
                  <w:pPr>
                    <w:ind w:firstLine="420"/>
                    <w:jc w:val="center"/>
                  </w:pPr>
                  <w:r>
                    <w:rPr>
                      <w:rFonts w:hint="eastAsia"/>
                    </w:rPr>
                    <w:t>89</w:t>
                  </w:r>
                </w:p>
              </w:tc>
              <w:tc>
                <w:tcPr>
                  <w:tcW w:w="1982" w:type="dxa"/>
                  <w:vAlign w:val="center"/>
                </w:tcPr>
                <w:p>
                  <w:pPr>
                    <w:ind w:firstLine="420"/>
                    <w:jc w:val="center"/>
                  </w:pPr>
                  <w:r>
                    <w:rPr>
                      <w:rFonts w:hint="eastAsia"/>
                    </w:rPr>
                    <w:t>250</w:t>
                  </w:r>
                </w:p>
              </w:tc>
              <w:tc>
                <w:tcPr>
                  <w:tcW w:w="873" w:type="dxa"/>
                  <w:vAlign w:val="center"/>
                </w:tcPr>
                <w:p>
                  <w:pPr>
                    <w:ind w:firstLine="420"/>
                    <w:jc w:val="center"/>
                  </w:pPr>
                  <w:r>
                    <w:rPr>
                      <w:rFonts w:hint="eastAsia"/>
                    </w:rPr>
                    <w:t>0.36</w:t>
                  </w:r>
                </w:p>
              </w:tc>
              <w:tc>
                <w:tcPr>
                  <w:tcW w:w="873" w:type="dxa"/>
                  <w:vAlign w:val="center"/>
                </w:tcPr>
                <w:p>
                  <w:pPr>
                    <w:ind w:firstLine="420"/>
                    <w:jc w:val="center"/>
                  </w:pPr>
                  <w:r>
                    <w:rPr>
                      <w:rFonts w:hint="eastAsia"/>
                      <w:szCs w:val="21"/>
                    </w:rPr>
                    <w:t>达标</w:t>
                  </w:r>
                </w:p>
              </w:tc>
            </w:tr>
          </w:tbl>
          <w:p>
            <w:pPr>
              <w:adjustRightInd w:val="0"/>
              <w:snapToGrid w:val="0"/>
              <w:ind w:firstLine="422" w:firstLineChars="200"/>
              <w:rPr>
                <w:b/>
                <w:bCs/>
                <w:kern w:val="0"/>
                <w:szCs w:val="21"/>
              </w:rPr>
            </w:pPr>
            <w:r>
              <w:rPr>
                <w:rFonts w:hint="eastAsia"/>
                <w:b/>
                <w:bCs/>
                <w:kern w:val="0"/>
                <w:szCs w:val="21"/>
              </w:rPr>
              <w:t>注：L代表低于方法检出限。</w:t>
            </w:r>
          </w:p>
          <w:p>
            <w:pPr>
              <w:adjustRightInd w:val="0"/>
              <w:snapToGrid w:val="0"/>
              <w:spacing w:line="360" w:lineRule="auto"/>
              <w:ind w:firstLine="480" w:firstLineChars="200"/>
              <w:rPr>
                <w:rFonts w:ascii="宋体" w:hAnsi="宋体" w:cs="宋体"/>
                <w:kern w:val="0"/>
                <w:szCs w:val="21"/>
              </w:rPr>
            </w:pPr>
            <w:r>
              <w:rPr>
                <w:rFonts w:hint="eastAsia"/>
                <w:kern w:val="0"/>
                <w:sz w:val="24"/>
              </w:rPr>
              <w:t>从监测和评价结果中可以看出，T1监测点的各监测因子的标准指数均小于1，项目所在区域土壤满足《土壤环境质量 农用地土壤污染风险管控标准（试行）》（GB 15618-2018）中农用地土壤污染风险筛选值，说明区域土壤状况良好。</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770" w:type="dxa"/>
            <w:vAlign w:val="center"/>
          </w:tcPr>
          <w:p>
            <w:pPr>
              <w:adjustRightInd w:val="0"/>
              <w:snapToGrid w:val="0"/>
              <w:jc w:val="center"/>
              <w:rPr>
                <w:rFonts w:ascii="宋体" w:hAnsi="宋体" w:cs="宋体"/>
                <w:kern w:val="0"/>
                <w:szCs w:val="21"/>
              </w:rPr>
            </w:pPr>
            <w:r>
              <w:rPr>
                <w:rFonts w:hint="eastAsia" w:ascii="宋体" w:hAnsi="宋体" w:cs="宋体"/>
                <w:kern w:val="0"/>
                <w:szCs w:val="21"/>
              </w:rPr>
              <w:t>环境</w:t>
            </w:r>
          </w:p>
          <w:p>
            <w:pPr>
              <w:adjustRightInd w:val="0"/>
              <w:snapToGrid w:val="0"/>
              <w:jc w:val="center"/>
              <w:rPr>
                <w:rFonts w:ascii="宋体" w:hAnsi="宋体" w:cs="宋体"/>
                <w:kern w:val="0"/>
                <w:szCs w:val="21"/>
              </w:rPr>
            </w:pPr>
            <w:r>
              <w:rPr>
                <w:rFonts w:hint="eastAsia" w:ascii="宋体" w:hAnsi="宋体" w:cs="宋体"/>
                <w:kern w:val="0"/>
                <w:szCs w:val="21"/>
              </w:rPr>
              <w:t>保护</w:t>
            </w:r>
          </w:p>
          <w:p>
            <w:pPr>
              <w:adjustRightInd w:val="0"/>
              <w:snapToGrid w:val="0"/>
              <w:jc w:val="center"/>
              <w:rPr>
                <w:rFonts w:ascii="宋体" w:hAnsi="宋体" w:cs="宋体"/>
                <w:kern w:val="0"/>
                <w:szCs w:val="21"/>
              </w:rPr>
            </w:pPr>
            <w:r>
              <w:rPr>
                <w:rFonts w:hint="eastAsia" w:ascii="宋体" w:hAnsi="宋体" w:cs="宋体"/>
                <w:kern w:val="0"/>
                <w:szCs w:val="21"/>
              </w:rPr>
              <w:t>目标</w:t>
            </w:r>
          </w:p>
        </w:tc>
        <w:tc>
          <w:tcPr>
            <w:tcW w:w="8291" w:type="dxa"/>
            <w:vAlign w:val="center"/>
          </w:tcPr>
          <w:p>
            <w:pPr>
              <w:autoSpaceDE w:val="0"/>
              <w:autoSpaceDN w:val="0"/>
              <w:ind w:firstLine="420" w:firstLineChars="200"/>
              <w:rPr>
                <w:kern w:val="0"/>
                <w:szCs w:val="21"/>
              </w:rPr>
            </w:pPr>
          </w:p>
          <w:p>
            <w:pPr>
              <w:autoSpaceDE w:val="0"/>
              <w:autoSpaceDN w:val="0"/>
              <w:spacing w:line="360" w:lineRule="auto"/>
              <w:ind w:firstLine="480" w:firstLineChars="200"/>
              <w:rPr>
                <w:kern w:val="0"/>
                <w:sz w:val="24"/>
              </w:rPr>
            </w:pPr>
            <w:r>
              <w:rPr>
                <w:kern w:val="0"/>
                <w:sz w:val="24"/>
              </w:rPr>
              <w:t>本项目建设地点位于吉林省通化市柳河县五道沟镇教堂子村柳河启城水泥制品有限公司</w:t>
            </w:r>
            <w:r>
              <w:rPr>
                <w:rFonts w:hint="eastAsia"/>
                <w:kern w:val="0"/>
                <w:sz w:val="24"/>
              </w:rPr>
              <w:t>现有厂区内，</w:t>
            </w:r>
            <w:r>
              <w:rPr>
                <w:kern w:val="0"/>
                <w:sz w:val="24"/>
              </w:rPr>
              <w:t>厂区中心坐标为（东经：125°</w:t>
            </w:r>
            <w:r>
              <w:rPr>
                <w:rFonts w:hint="eastAsia"/>
                <w:kern w:val="0"/>
                <w:sz w:val="24"/>
              </w:rPr>
              <w:t>54</w:t>
            </w:r>
            <w:r>
              <w:rPr>
                <w:kern w:val="0"/>
                <w:sz w:val="24"/>
              </w:rPr>
              <w:t>′</w:t>
            </w:r>
            <w:r>
              <w:rPr>
                <w:rFonts w:hint="eastAsia"/>
                <w:kern w:val="0"/>
                <w:sz w:val="24"/>
              </w:rPr>
              <w:t>4.269</w:t>
            </w:r>
            <w:r>
              <w:rPr>
                <w:kern w:val="0"/>
                <w:sz w:val="24"/>
              </w:rPr>
              <w:t>″，北纬：4</w:t>
            </w:r>
            <w:r>
              <w:rPr>
                <w:rFonts w:hint="eastAsia"/>
                <w:kern w:val="0"/>
                <w:sz w:val="24"/>
              </w:rPr>
              <w:t>2</w:t>
            </w:r>
            <w:r>
              <w:rPr>
                <w:kern w:val="0"/>
                <w:sz w:val="24"/>
              </w:rPr>
              <w:t>°</w:t>
            </w:r>
            <w:r>
              <w:rPr>
                <w:rFonts w:hint="eastAsia"/>
                <w:kern w:val="0"/>
                <w:sz w:val="24"/>
              </w:rPr>
              <w:t>9</w:t>
            </w:r>
            <w:r>
              <w:rPr>
                <w:kern w:val="0"/>
                <w:sz w:val="24"/>
              </w:rPr>
              <w:t>′</w:t>
            </w:r>
            <w:r>
              <w:rPr>
                <w:rFonts w:hint="eastAsia"/>
                <w:kern w:val="0"/>
                <w:sz w:val="24"/>
              </w:rPr>
              <w:t>11.416</w:t>
            </w:r>
            <w:r>
              <w:rPr>
                <w:kern w:val="0"/>
                <w:sz w:val="24"/>
              </w:rPr>
              <w:t>″）</w:t>
            </w:r>
            <w:r>
              <w:rPr>
                <w:rFonts w:hint="eastAsia"/>
                <w:kern w:val="0"/>
                <w:sz w:val="24"/>
              </w:rPr>
              <w:t>。项目</w:t>
            </w:r>
            <w:r>
              <w:rPr>
                <w:kern w:val="0"/>
                <w:sz w:val="24"/>
              </w:rPr>
              <w:t>厂区南侧、东侧隔路为教堂子村居民</w:t>
            </w:r>
            <w:r>
              <w:rPr>
                <w:rFonts w:hint="eastAsia"/>
                <w:kern w:val="0"/>
                <w:sz w:val="24"/>
              </w:rPr>
              <w:t>，东南侧为铁路，</w:t>
            </w:r>
            <w:r>
              <w:rPr>
                <w:kern w:val="0"/>
                <w:sz w:val="24"/>
              </w:rPr>
              <w:t>西侧为胜利机砖厂</w:t>
            </w:r>
            <w:r>
              <w:rPr>
                <w:rFonts w:hint="eastAsia"/>
                <w:kern w:val="0"/>
                <w:sz w:val="24"/>
              </w:rPr>
              <w:t>，</w:t>
            </w:r>
            <w:r>
              <w:rPr>
                <w:kern w:val="0"/>
                <w:sz w:val="24"/>
              </w:rPr>
              <w:t>北侧为</w:t>
            </w:r>
            <w:r>
              <w:rPr>
                <w:rFonts w:hint="eastAsia"/>
                <w:kern w:val="0"/>
                <w:sz w:val="24"/>
              </w:rPr>
              <w:t>农田</w:t>
            </w:r>
            <w:r>
              <w:rPr>
                <w:kern w:val="0"/>
                <w:sz w:val="24"/>
              </w:rPr>
              <w:t>。</w:t>
            </w:r>
          </w:p>
          <w:p>
            <w:pPr>
              <w:autoSpaceDE w:val="0"/>
              <w:autoSpaceDN w:val="0"/>
              <w:spacing w:line="360" w:lineRule="auto"/>
              <w:ind w:firstLine="480" w:firstLineChars="200"/>
              <w:rPr>
                <w:kern w:val="0"/>
                <w:sz w:val="24"/>
              </w:rPr>
            </w:pPr>
            <w:r>
              <w:rPr>
                <w:kern w:val="0"/>
                <w:sz w:val="24"/>
              </w:rPr>
              <w:t>本项目用地范围及附近不涉及饮用水水源保护区、饮用水取水口、涉水的自然保护区、风景名胜区、重要湿地、重点保护与珍稀水生生物的梄息地、重要水生生物的自然产卵场及索饵场、越冬场和洄游通道、天然渔场等渔业水体以及水产种质资源保护区等地表水环境保护目标。</w:t>
            </w:r>
          </w:p>
          <w:p>
            <w:pPr>
              <w:autoSpaceDE w:val="0"/>
              <w:autoSpaceDN w:val="0"/>
              <w:spacing w:line="360" w:lineRule="auto"/>
              <w:ind w:firstLine="480" w:firstLineChars="200"/>
              <w:rPr>
                <w:kern w:val="0"/>
                <w:sz w:val="24"/>
              </w:rPr>
            </w:pPr>
            <w:r>
              <w:rPr>
                <w:kern w:val="0"/>
                <w:sz w:val="24"/>
              </w:rPr>
              <w:t>项目</w:t>
            </w:r>
            <w:r>
              <w:rPr>
                <w:rFonts w:hint="eastAsia"/>
                <w:kern w:val="0"/>
                <w:sz w:val="24"/>
              </w:rPr>
              <w:t>周边教堂子村饮用水源为分散式饮用水源，</w:t>
            </w:r>
            <w:r>
              <w:rPr>
                <w:kern w:val="0"/>
                <w:sz w:val="24"/>
              </w:rPr>
              <w:t>厂界</w:t>
            </w:r>
            <w:r>
              <w:rPr>
                <w:rFonts w:hint="eastAsia"/>
                <w:kern w:val="0"/>
                <w:sz w:val="24"/>
              </w:rPr>
              <w:t>外</w:t>
            </w:r>
            <w:r>
              <w:rPr>
                <w:kern w:val="0"/>
                <w:sz w:val="24"/>
              </w:rPr>
              <w:t>500m范围内无地下水集中式饮用水水源和热水、矿泉水、温泉等特殊地下水资源。项目不涉及新增占地，占地范围内无生态环境保护目标。</w:t>
            </w:r>
          </w:p>
          <w:p>
            <w:pPr>
              <w:adjustRightInd w:val="0"/>
              <w:snapToGrid w:val="0"/>
              <w:spacing w:line="360" w:lineRule="auto"/>
              <w:ind w:firstLine="480" w:firstLineChars="200"/>
              <w:rPr>
                <w:kern w:val="0"/>
                <w:sz w:val="24"/>
              </w:rPr>
            </w:pPr>
            <w:r>
              <w:rPr>
                <w:kern w:val="0"/>
                <w:sz w:val="24"/>
              </w:rPr>
              <w:t>本项目环境保护目标</w:t>
            </w:r>
            <w:r>
              <w:rPr>
                <w:rFonts w:hint="eastAsia"/>
                <w:kern w:val="0"/>
                <w:sz w:val="24"/>
              </w:rPr>
              <w:t>见下表，项目环境空气保护目标分布见附图7。</w:t>
            </w:r>
          </w:p>
          <w:p>
            <w:pPr>
              <w:pStyle w:val="23"/>
              <w:ind w:left="0" w:firstLine="0"/>
              <w:rPr>
                <w:u w:val="none"/>
              </w:rPr>
            </w:pPr>
            <w:r>
              <w:rPr>
                <w:u w:val="none"/>
              </w:rPr>
              <w:t>环境保护目标一览表</w:t>
            </w:r>
          </w:p>
          <w:tbl>
            <w:tblPr>
              <w:tblStyle w:val="19"/>
              <w:tblW w:w="8067"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420"/>
              <w:gridCol w:w="760"/>
              <w:gridCol w:w="552"/>
              <w:gridCol w:w="605"/>
              <w:gridCol w:w="1058"/>
              <w:gridCol w:w="949"/>
              <w:gridCol w:w="874"/>
              <w:gridCol w:w="950"/>
              <w:gridCol w:w="1068"/>
              <w:gridCol w:w="831"/>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20" w:type="dxa"/>
                  <w:vMerge w:val="restart"/>
                  <w:vAlign w:val="center"/>
                </w:tcPr>
                <w:p>
                  <w:pPr>
                    <w:adjustRightInd w:val="0"/>
                    <w:snapToGrid w:val="0"/>
                    <w:ind w:firstLine="422"/>
                    <w:jc w:val="center"/>
                    <w:rPr>
                      <w:b/>
                      <w:bCs/>
                      <w:szCs w:val="21"/>
                    </w:rPr>
                  </w:pPr>
                  <w:r>
                    <w:rPr>
                      <w:b/>
                      <w:bCs/>
                      <w:szCs w:val="21"/>
                    </w:rPr>
                    <w:t>序号</w:t>
                  </w:r>
                </w:p>
              </w:tc>
              <w:tc>
                <w:tcPr>
                  <w:tcW w:w="760" w:type="dxa"/>
                  <w:vMerge w:val="restart"/>
                  <w:vAlign w:val="center"/>
                </w:tcPr>
                <w:p>
                  <w:pPr>
                    <w:adjustRightInd w:val="0"/>
                    <w:snapToGrid w:val="0"/>
                    <w:ind w:firstLine="422"/>
                    <w:jc w:val="center"/>
                    <w:rPr>
                      <w:b/>
                      <w:bCs/>
                      <w:szCs w:val="21"/>
                    </w:rPr>
                  </w:pPr>
                  <w:r>
                    <w:rPr>
                      <w:b/>
                      <w:bCs/>
                      <w:szCs w:val="21"/>
                    </w:rPr>
                    <w:t>名称</w:t>
                  </w:r>
                </w:p>
              </w:tc>
              <w:tc>
                <w:tcPr>
                  <w:tcW w:w="1157" w:type="dxa"/>
                  <w:gridSpan w:val="2"/>
                  <w:vAlign w:val="center"/>
                </w:tcPr>
                <w:p>
                  <w:pPr>
                    <w:adjustRightInd w:val="0"/>
                    <w:snapToGrid w:val="0"/>
                    <w:ind w:firstLine="422"/>
                    <w:jc w:val="center"/>
                    <w:rPr>
                      <w:b/>
                      <w:bCs/>
                      <w:szCs w:val="21"/>
                    </w:rPr>
                  </w:pPr>
                  <w:r>
                    <w:rPr>
                      <w:b/>
                      <w:bCs/>
                      <w:szCs w:val="21"/>
                    </w:rPr>
                    <w:t>坐标/m</w:t>
                  </w:r>
                </w:p>
              </w:tc>
              <w:tc>
                <w:tcPr>
                  <w:tcW w:w="1058" w:type="dxa"/>
                  <w:vMerge w:val="restart"/>
                  <w:vAlign w:val="center"/>
                </w:tcPr>
                <w:p>
                  <w:pPr>
                    <w:adjustRightInd w:val="0"/>
                    <w:snapToGrid w:val="0"/>
                    <w:ind w:firstLine="422"/>
                    <w:jc w:val="center"/>
                    <w:rPr>
                      <w:b/>
                      <w:bCs/>
                      <w:szCs w:val="21"/>
                    </w:rPr>
                  </w:pPr>
                  <w:r>
                    <w:rPr>
                      <w:b/>
                      <w:bCs/>
                      <w:szCs w:val="21"/>
                    </w:rPr>
                    <w:t>保护目标</w:t>
                  </w:r>
                </w:p>
              </w:tc>
              <w:tc>
                <w:tcPr>
                  <w:tcW w:w="949" w:type="dxa"/>
                  <w:vMerge w:val="restart"/>
                  <w:vAlign w:val="center"/>
                </w:tcPr>
                <w:p>
                  <w:pPr>
                    <w:adjustRightInd w:val="0"/>
                    <w:snapToGrid w:val="0"/>
                    <w:ind w:firstLine="422"/>
                    <w:jc w:val="center"/>
                    <w:rPr>
                      <w:b/>
                      <w:bCs/>
                      <w:szCs w:val="21"/>
                    </w:rPr>
                  </w:pPr>
                  <w:r>
                    <w:rPr>
                      <w:b/>
                      <w:bCs/>
                      <w:szCs w:val="21"/>
                    </w:rPr>
                    <w:t>保护</w:t>
                  </w:r>
                </w:p>
                <w:p>
                  <w:pPr>
                    <w:adjustRightInd w:val="0"/>
                    <w:snapToGrid w:val="0"/>
                    <w:ind w:firstLine="422"/>
                    <w:jc w:val="center"/>
                    <w:rPr>
                      <w:b/>
                      <w:bCs/>
                      <w:szCs w:val="21"/>
                    </w:rPr>
                  </w:pPr>
                  <w:r>
                    <w:rPr>
                      <w:b/>
                      <w:bCs/>
                      <w:szCs w:val="21"/>
                    </w:rPr>
                    <w:t>内容</w:t>
                  </w:r>
                </w:p>
              </w:tc>
              <w:tc>
                <w:tcPr>
                  <w:tcW w:w="874" w:type="dxa"/>
                  <w:vMerge w:val="restart"/>
                  <w:vAlign w:val="center"/>
                </w:tcPr>
                <w:p>
                  <w:pPr>
                    <w:adjustRightInd w:val="0"/>
                    <w:snapToGrid w:val="0"/>
                    <w:ind w:firstLine="422"/>
                    <w:jc w:val="center"/>
                    <w:rPr>
                      <w:b/>
                      <w:bCs/>
                      <w:szCs w:val="21"/>
                    </w:rPr>
                  </w:pPr>
                  <w:r>
                    <w:rPr>
                      <w:b/>
                      <w:bCs/>
                      <w:szCs w:val="21"/>
                    </w:rPr>
                    <w:t>环境功能区</w:t>
                  </w:r>
                </w:p>
              </w:tc>
              <w:tc>
                <w:tcPr>
                  <w:tcW w:w="950" w:type="dxa"/>
                  <w:vMerge w:val="restart"/>
                  <w:vAlign w:val="center"/>
                </w:tcPr>
                <w:p>
                  <w:pPr>
                    <w:adjustRightInd w:val="0"/>
                    <w:snapToGrid w:val="0"/>
                    <w:ind w:firstLine="378"/>
                    <w:jc w:val="center"/>
                    <w:rPr>
                      <w:b/>
                      <w:bCs/>
                      <w:spacing w:val="-11"/>
                      <w:szCs w:val="21"/>
                    </w:rPr>
                  </w:pPr>
                  <w:r>
                    <w:rPr>
                      <w:b/>
                      <w:bCs/>
                      <w:spacing w:val="-11"/>
                      <w:szCs w:val="21"/>
                    </w:rPr>
                    <w:t>相对厂址方位</w:t>
                  </w:r>
                </w:p>
              </w:tc>
              <w:tc>
                <w:tcPr>
                  <w:tcW w:w="1068" w:type="dxa"/>
                  <w:vMerge w:val="restart"/>
                  <w:vAlign w:val="center"/>
                </w:tcPr>
                <w:p>
                  <w:pPr>
                    <w:adjustRightInd w:val="0"/>
                    <w:snapToGrid w:val="0"/>
                    <w:ind w:firstLine="378"/>
                    <w:jc w:val="center"/>
                    <w:rPr>
                      <w:b/>
                      <w:bCs/>
                      <w:szCs w:val="21"/>
                    </w:rPr>
                  </w:pPr>
                  <w:r>
                    <w:rPr>
                      <w:b/>
                      <w:bCs/>
                      <w:spacing w:val="-11"/>
                      <w:szCs w:val="21"/>
                    </w:rPr>
                    <w:t>相对厂界距离/m</w:t>
                  </w:r>
                </w:p>
              </w:tc>
              <w:tc>
                <w:tcPr>
                  <w:tcW w:w="831" w:type="dxa"/>
                  <w:vMerge w:val="restart"/>
                  <w:vAlign w:val="center"/>
                </w:tcPr>
                <w:p>
                  <w:pPr>
                    <w:adjustRightInd w:val="0"/>
                    <w:snapToGrid w:val="0"/>
                    <w:ind w:firstLine="378"/>
                    <w:jc w:val="center"/>
                    <w:rPr>
                      <w:b/>
                      <w:bCs/>
                      <w:spacing w:val="-11"/>
                      <w:szCs w:val="21"/>
                    </w:rPr>
                  </w:pPr>
                  <w:r>
                    <w:rPr>
                      <w:rFonts w:hint="eastAsia"/>
                      <w:b/>
                      <w:bCs/>
                      <w:spacing w:val="-11"/>
                      <w:szCs w:val="21"/>
                    </w:rPr>
                    <w:t>人口数</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20" w:type="dxa"/>
                  <w:vMerge w:val="continue"/>
                  <w:vAlign w:val="center"/>
                </w:tcPr>
                <w:p>
                  <w:pPr>
                    <w:adjustRightInd w:val="0"/>
                    <w:snapToGrid w:val="0"/>
                    <w:jc w:val="center"/>
                    <w:rPr>
                      <w:szCs w:val="21"/>
                    </w:rPr>
                  </w:pPr>
                </w:p>
              </w:tc>
              <w:tc>
                <w:tcPr>
                  <w:tcW w:w="760" w:type="dxa"/>
                  <w:vMerge w:val="continue"/>
                  <w:vAlign w:val="center"/>
                </w:tcPr>
                <w:p>
                  <w:pPr>
                    <w:adjustRightInd w:val="0"/>
                    <w:snapToGrid w:val="0"/>
                    <w:jc w:val="center"/>
                    <w:rPr>
                      <w:szCs w:val="21"/>
                    </w:rPr>
                  </w:pPr>
                </w:p>
              </w:tc>
              <w:tc>
                <w:tcPr>
                  <w:tcW w:w="552" w:type="dxa"/>
                  <w:vAlign w:val="center"/>
                </w:tcPr>
                <w:p>
                  <w:pPr>
                    <w:adjustRightInd w:val="0"/>
                    <w:snapToGrid w:val="0"/>
                    <w:ind w:firstLine="420"/>
                    <w:jc w:val="center"/>
                    <w:rPr>
                      <w:szCs w:val="21"/>
                    </w:rPr>
                  </w:pPr>
                  <w:r>
                    <w:rPr>
                      <w:szCs w:val="21"/>
                    </w:rPr>
                    <w:t>X</w:t>
                  </w:r>
                </w:p>
              </w:tc>
              <w:tc>
                <w:tcPr>
                  <w:tcW w:w="605" w:type="dxa"/>
                  <w:vAlign w:val="center"/>
                </w:tcPr>
                <w:p>
                  <w:pPr>
                    <w:adjustRightInd w:val="0"/>
                    <w:snapToGrid w:val="0"/>
                    <w:ind w:firstLine="420"/>
                    <w:jc w:val="center"/>
                    <w:rPr>
                      <w:szCs w:val="21"/>
                    </w:rPr>
                  </w:pPr>
                  <w:r>
                    <w:rPr>
                      <w:szCs w:val="21"/>
                    </w:rPr>
                    <w:t>Y</w:t>
                  </w:r>
                </w:p>
              </w:tc>
              <w:tc>
                <w:tcPr>
                  <w:tcW w:w="1058" w:type="dxa"/>
                  <w:vMerge w:val="continue"/>
                  <w:vAlign w:val="center"/>
                </w:tcPr>
                <w:p>
                  <w:pPr>
                    <w:adjustRightInd w:val="0"/>
                    <w:snapToGrid w:val="0"/>
                    <w:jc w:val="center"/>
                    <w:rPr>
                      <w:szCs w:val="21"/>
                    </w:rPr>
                  </w:pPr>
                </w:p>
              </w:tc>
              <w:tc>
                <w:tcPr>
                  <w:tcW w:w="949" w:type="dxa"/>
                  <w:vMerge w:val="continue"/>
                  <w:vAlign w:val="center"/>
                </w:tcPr>
                <w:p>
                  <w:pPr>
                    <w:adjustRightInd w:val="0"/>
                    <w:snapToGrid w:val="0"/>
                    <w:jc w:val="center"/>
                    <w:rPr>
                      <w:szCs w:val="21"/>
                    </w:rPr>
                  </w:pPr>
                </w:p>
              </w:tc>
              <w:tc>
                <w:tcPr>
                  <w:tcW w:w="874" w:type="dxa"/>
                  <w:vMerge w:val="continue"/>
                  <w:vAlign w:val="center"/>
                </w:tcPr>
                <w:p>
                  <w:pPr>
                    <w:adjustRightInd w:val="0"/>
                    <w:snapToGrid w:val="0"/>
                    <w:jc w:val="center"/>
                    <w:rPr>
                      <w:szCs w:val="21"/>
                    </w:rPr>
                  </w:pPr>
                </w:p>
              </w:tc>
              <w:tc>
                <w:tcPr>
                  <w:tcW w:w="950" w:type="dxa"/>
                  <w:vMerge w:val="continue"/>
                  <w:vAlign w:val="center"/>
                </w:tcPr>
                <w:p>
                  <w:pPr>
                    <w:adjustRightInd w:val="0"/>
                    <w:snapToGrid w:val="0"/>
                    <w:ind w:firstLine="436"/>
                    <w:jc w:val="center"/>
                    <w:rPr>
                      <w:spacing w:val="-11"/>
                      <w:szCs w:val="21"/>
                    </w:rPr>
                  </w:pPr>
                </w:p>
              </w:tc>
              <w:tc>
                <w:tcPr>
                  <w:tcW w:w="1068" w:type="dxa"/>
                  <w:vMerge w:val="continue"/>
                  <w:vAlign w:val="center"/>
                </w:tcPr>
                <w:p>
                  <w:pPr>
                    <w:adjustRightInd w:val="0"/>
                    <w:snapToGrid w:val="0"/>
                    <w:jc w:val="center"/>
                    <w:rPr>
                      <w:szCs w:val="21"/>
                    </w:rPr>
                  </w:pPr>
                </w:p>
              </w:tc>
              <w:tc>
                <w:tcPr>
                  <w:tcW w:w="831" w:type="dxa"/>
                  <w:vMerge w:val="continue"/>
                  <w:vAlign w:val="center"/>
                </w:tcPr>
                <w:p>
                  <w:pPr>
                    <w:adjustRightInd w:val="0"/>
                    <w:snapToGrid w:val="0"/>
                    <w:jc w:val="center"/>
                    <w:rPr>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20" w:type="dxa"/>
                  <w:vMerge w:val="restart"/>
                  <w:vAlign w:val="center"/>
                </w:tcPr>
                <w:p>
                  <w:pPr>
                    <w:adjustRightInd w:val="0"/>
                    <w:snapToGrid w:val="0"/>
                    <w:ind w:firstLine="420"/>
                    <w:jc w:val="center"/>
                    <w:rPr>
                      <w:szCs w:val="21"/>
                    </w:rPr>
                  </w:pPr>
                  <w:r>
                    <w:rPr>
                      <w:szCs w:val="21"/>
                    </w:rPr>
                    <w:t>1</w:t>
                  </w:r>
                </w:p>
              </w:tc>
              <w:tc>
                <w:tcPr>
                  <w:tcW w:w="760" w:type="dxa"/>
                  <w:vMerge w:val="restart"/>
                  <w:vAlign w:val="center"/>
                </w:tcPr>
                <w:p>
                  <w:pPr>
                    <w:adjustRightInd w:val="0"/>
                    <w:snapToGrid w:val="0"/>
                    <w:ind w:firstLine="420"/>
                    <w:jc w:val="center"/>
                    <w:rPr>
                      <w:szCs w:val="21"/>
                    </w:rPr>
                  </w:pPr>
                  <w:r>
                    <w:rPr>
                      <w:szCs w:val="21"/>
                    </w:rPr>
                    <w:t>环境</w:t>
                  </w:r>
                </w:p>
                <w:p>
                  <w:pPr>
                    <w:adjustRightInd w:val="0"/>
                    <w:snapToGrid w:val="0"/>
                    <w:ind w:firstLine="420"/>
                    <w:jc w:val="center"/>
                    <w:rPr>
                      <w:szCs w:val="21"/>
                    </w:rPr>
                  </w:pPr>
                  <w:r>
                    <w:rPr>
                      <w:szCs w:val="21"/>
                    </w:rPr>
                    <w:t>空气</w:t>
                  </w:r>
                </w:p>
              </w:tc>
              <w:tc>
                <w:tcPr>
                  <w:tcW w:w="552" w:type="dxa"/>
                  <w:vAlign w:val="center"/>
                </w:tcPr>
                <w:p>
                  <w:pPr>
                    <w:pStyle w:val="34"/>
                    <w:widowControl w:val="0"/>
                    <w:adjustRightInd w:val="0"/>
                    <w:snapToGrid w:val="0"/>
                    <w:spacing w:beforeLines="0"/>
                    <w:rPr>
                      <w:kern w:val="2"/>
                      <w:sz w:val="21"/>
                      <w:szCs w:val="21"/>
                    </w:rPr>
                  </w:pPr>
                  <w:r>
                    <w:rPr>
                      <w:rFonts w:hint="eastAsia"/>
                      <w:kern w:val="2"/>
                      <w:sz w:val="21"/>
                      <w:szCs w:val="21"/>
                    </w:rPr>
                    <w:t>0</w:t>
                  </w:r>
                </w:p>
              </w:tc>
              <w:tc>
                <w:tcPr>
                  <w:tcW w:w="605" w:type="dxa"/>
                  <w:vAlign w:val="center"/>
                </w:tcPr>
                <w:p>
                  <w:pPr>
                    <w:pStyle w:val="34"/>
                    <w:widowControl w:val="0"/>
                    <w:adjustRightInd w:val="0"/>
                    <w:snapToGrid w:val="0"/>
                    <w:spacing w:beforeLines="0"/>
                    <w:rPr>
                      <w:kern w:val="2"/>
                      <w:sz w:val="21"/>
                      <w:szCs w:val="21"/>
                    </w:rPr>
                  </w:pPr>
                  <w:r>
                    <w:rPr>
                      <w:rFonts w:hint="eastAsia"/>
                      <w:kern w:val="2"/>
                      <w:sz w:val="21"/>
                      <w:szCs w:val="21"/>
                    </w:rPr>
                    <w:t>-5</w:t>
                  </w:r>
                </w:p>
              </w:tc>
              <w:tc>
                <w:tcPr>
                  <w:tcW w:w="1058" w:type="dxa"/>
                  <w:vMerge w:val="restart"/>
                  <w:vAlign w:val="center"/>
                </w:tcPr>
                <w:p>
                  <w:pPr>
                    <w:adjustRightInd w:val="0"/>
                    <w:snapToGrid w:val="0"/>
                    <w:ind w:firstLine="420"/>
                    <w:jc w:val="center"/>
                    <w:rPr>
                      <w:szCs w:val="21"/>
                    </w:rPr>
                  </w:pPr>
                  <w:r>
                    <w:rPr>
                      <w:szCs w:val="21"/>
                    </w:rPr>
                    <w:t>教堂子村</w:t>
                  </w:r>
                </w:p>
              </w:tc>
              <w:tc>
                <w:tcPr>
                  <w:tcW w:w="949" w:type="dxa"/>
                  <w:vMerge w:val="restart"/>
                  <w:vAlign w:val="center"/>
                </w:tcPr>
                <w:p>
                  <w:pPr>
                    <w:adjustRightInd w:val="0"/>
                    <w:snapToGrid w:val="0"/>
                    <w:ind w:firstLine="420"/>
                    <w:jc w:val="center"/>
                    <w:rPr>
                      <w:szCs w:val="21"/>
                    </w:rPr>
                  </w:pPr>
                  <w:r>
                    <w:rPr>
                      <w:rFonts w:hint="eastAsia"/>
                      <w:szCs w:val="21"/>
                    </w:rPr>
                    <w:t>居民</w:t>
                  </w:r>
                </w:p>
              </w:tc>
              <w:tc>
                <w:tcPr>
                  <w:tcW w:w="874" w:type="dxa"/>
                  <w:vMerge w:val="restart"/>
                  <w:vAlign w:val="center"/>
                </w:tcPr>
                <w:p>
                  <w:pPr>
                    <w:adjustRightInd w:val="0"/>
                    <w:snapToGrid w:val="0"/>
                    <w:ind w:firstLine="420"/>
                    <w:jc w:val="center"/>
                    <w:rPr>
                      <w:szCs w:val="21"/>
                    </w:rPr>
                  </w:pPr>
                  <w:r>
                    <w:rPr>
                      <w:szCs w:val="21"/>
                    </w:rPr>
                    <w:t>二级</w:t>
                  </w:r>
                </w:p>
              </w:tc>
              <w:tc>
                <w:tcPr>
                  <w:tcW w:w="950" w:type="dxa"/>
                  <w:vAlign w:val="center"/>
                </w:tcPr>
                <w:p>
                  <w:pPr>
                    <w:adjustRightInd w:val="0"/>
                    <w:snapToGrid w:val="0"/>
                    <w:ind w:firstLine="376"/>
                    <w:jc w:val="center"/>
                    <w:rPr>
                      <w:spacing w:val="-11"/>
                      <w:szCs w:val="21"/>
                    </w:rPr>
                  </w:pPr>
                  <w:r>
                    <w:rPr>
                      <w:rFonts w:hint="eastAsia"/>
                      <w:spacing w:val="-11"/>
                      <w:szCs w:val="21"/>
                    </w:rPr>
                    <w:t>南侧</w:t>
                  </w:r>
                </w:p>
              </w:tc>
              <w:tc>
                <w:tcPr>
                  <w:tcW w:w="1068" w:type="dxa"/>
                  <w:vAlign w:val="center"/>
                </w:tcPr>
                <w:p>
                  <w:pPr>
                    <w:adjustRightInd w:val="0"/>
                    <w:snapToGrid w:val="0"/>
                    <w:ind w:firstLine="376"/>
                    <w:jc w:val="center"/>
                    <w:rPr>
                      <w:spacing w:val="-11"/>
                      <w:szCs w:val="21"/>
                    </w:rPr>
                  </w:pPr>
                  <w:r>
                    <w:rPr>
                      <w:rFonts w:hint="eastAsia"/>
                      <w:spacing w:val="-11"/>
                      <w:szCs w:val="21"/>
                    </w:rPr>
                    <w:t>5</w:t>
                  </w:r>
                </w:p>
              </w:tc>
              <w:tc>
                <w:tcPr>
                  <w:tcW w:w="831" w:type="dxa"/>
                  <w:vMerge w:val="restart"/>
                  <w:vAlign w:val="center"/>
                </w:tcPr>
                <w:p>
                  <w:pPr>
                    <w:adjustRightInd w:val="0"/>
                    <w:snapToGrid w:val="0"/>
                    <w:ind w:firstLine="376"/>
                    <w:jc w:val="center"/>
                    <w:rPr>
                      <w:spacing w:val="-11"/>
                      <w:szCs w:val="21"/>
                    </w:rPr>
                  </w:pPr>
                  <w:r>
                    <w:rPr>
                      <w:rFonts w:hint="eastAsia"/>
                      <w:spacing w:val="-11"/>
                      <w:szCs w:val="21"/>
                    </w:rPr>
                    <w:t>840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20" w:type="dxa"/>
                  <w:vMerge w:val="continue"/>
                  <w:vAlign w:val="center"/>
                </w:tcPr>
                <w:p>
                  <w:pPr>
                    <w:adjustRightInd w:val="0"/>
                    <w:snapToGrid w:val="0"/>
                    <w:jc w:val="center"/>
                    <w:rPr>
                      <w:szCs w:val="21"/>
                    </w:rPr>
                  </w:pPr>
                </w:p>
              </w:tc>
              <w:tc>
                <w:tcPr>
                  <w:tcW w:w="760" w:type="dxa"/>
                  <w:vMerge w:val="continue"/>
                  <w:vAlign w:val="center"/>
                </w:tcPr>
                <w:p>
                  <w:pPr>
                    <w:adjustRightInd w:val="0"/>
                    <w:snapToGrid w:val="0"/>
                    <w:jc w:val="center"/>
                    <w:rPr>
                      <w:szCs w:val="21"/>
                    </w:rPr>
                  </w:pPr>
                </w:p>
              </w:tc>
              <w:tc>
                <w:tcPr>
                  <w:tcW w:w="552" w:type="dxa"/>
                  <w:vAlign w:val="center"/>
                </w:tcPr>
                <w:p>
                  <w:pPr>
                    <w:pStyle w:val="34"/>
                    <w:widowControl w:val="0"/>
                    <w:adjustRightInd w:val="0"/>
                    <w:snapToGrid w:val="0"/>
                    <w:spacing w:beforeLines="0"/>
                    <w:rPr>
                      <w:kern w:val="2"/>
                      <w:sz w:val="21"/>
                      <w:szCs w:val="21"/>
                    </w:rPr>
                  </w:pPr>
                  <w:r>
                    <w:rPr>
                      <w:rFonts w:hint="eastAsia"/>
                      <w:kern w:val="2"/>
                      <w:sz w:val="21"/>
                      <w:szCs w:val="21"/>
                    </w:rPr>
                    <w:t>5</w:t>
                  </w:r>
                </w:p>
              </w:tc>
              <w:tc>
                <w:tcPr>
                  <w:tcW w:w="605" w:type="dxa"/>
                  <w:vAlign w:val="center"/>
                </w:tcPr>
                <w:p>
                  <w:pPr>
                    <w:pStyle w:val="34"/>
                    <w:widowControl w:val="0"/>
                    <w:adjustRightInd w:val="0"/>
                    <w:snapToGrid w:val="0"/>
                    <w:spacing w:beforeLines="0"/>
                    <w:rPr>
                      <w:kern w:val="2"/>
                      <w:sz w:val="21"/>
                      <w:szCs w:val="21"/>
                    </w:rPr>
                  </w:pPr>
                  <w:r>
                    <w:rPr>
                      <w:rFonts w:hint="eastAsia"/>
                      <w:kern w:val="2"/>
                      <w:sz w:val="21"/>
                      <w:szCs w:val="21"/>
                    </w:rPr>
                    <w:t>0</w:t>
                  </w:r>
                </w:p>
              </w:tc>
              <w:tc>
                <w:tcPr>
                  <w:tcW w:w="1058" w:type="dxa"/>
                  <w:vMerge w:val="continue"/>
                  <w:vAlign w:val="center"/>
                </w:tcPr>
                <w:p>
                  <w:pPr>
                    <w:adjustRightInd w:val="0"/>
                    <w:snapToGrid w:val="0"/>
                    <w:jc w:val="center"/>
                    <w:rPr>
                      <w:szCs w:val="21"/>
                    </w:rPr>
                  </w:pPr>
                </w:p>
              </w:tc>
              <w:tc>
                <w:tcPr>
                  <w:tcW w:w="949" w:type="dxa"/>
                  <w:vMerge w:val="continue"/>
                  <w:vAlign w:val="center"/>
                </w:tcPr>
                <w:p>
                  <w:pPr>
                    <w:adjustRightInd w:val="0"/>
                    <w:snapToGrid w:val="0"/>
                    <w:jc w:val="center"/>
                    <w:rPr>
                      <w:szCs w:val="21"/>
                    </w:rPr>
                  </w:pPr>
                </w:p>
              </w:tc>
              <w:tc>
                <w:tcPr>
                  <w:tcW w:w="874" w:type="dxa"/>
                  <w:vMerge w:val="continue"/>
                  <w:vAlign w:val="center"/>
                </w:tcPr>
                <w:p>
                  <w:pPr>
                    <w:adjustRightInd w:val="0"/>
                    <w:snapToGrid w:val="0"/>
                    <w:jc w:val="center"/>
                    <w:rPr>
                      <w:szCs w:val="21"/>
                    </w:rPr>
                  </w:pPr>
                </w:p>
              </w:tc>
              <w:tc>
                <w:tcPr>
                  <w:tcW w:w="950" w:type="dxa"/>
                  <w:vAlign w:val="center"/>
                </w:tcPr>
                <w:p>
                  <w:pPr>
                    <w:adjustRightInd w:val="0"/>
                    <w:snapToGrid w:val="0"/>
                    <w:ind w:firstLine="376"/>
                    <w:jc w:val="center"/>
                    <w:rPr>
                      <w:spacing w:val="-11"/>
                      <w:szCs w:val="21"/>
                    </w:rPr>
                  </w:pPr>
                  <w:r>
                    <w:rPr>
                      <w:rFonts w:hint="eastAsia"/>
                      <w:spacing w:val="-11"/>
                      <w:szCs w:val="21"/>
                    </w:rPr>
                    <w:t>东侧</w:t>
                  </w:r>
                </w:p>
              </w:tc>
              <w:tc>
                <w:tcPr>
                  <w:tcW w:w="1068" w:type="dxa"/>
                  <w:vAlign w:val="center"/>
                </w:tcPr>
                <w:p>
                  <w:pPr>
                    <w:adjustRightInd w:val="0"/>
                    <w:snapToGrid w:val="0"/>
                    <w:ind w:firstLine="376"/>
                    <w:jc w:val="center"/>
                    <w:rPr>
                      <w:spacing w:val="-11"/>
                      <w:szCs w:val="21"/>
                    </w:rPr>
                  </w:pPr>
                  <w:r>
                    <w:rPr>
                      <w:rFonts w:hint="eastAsia"/>
                      <w:spacing w:val="-11"/>
                      <w:szCs w:val="21"/>
                    </w:rPr>
                    <w:t>5</w:t>
                  </w:r>
                </w:p>
              </w:tc>
              <w:tc>
                <w:tcPr>
                  <w:tcW w:w="831" w:type="dxa"/>
                  <w:vMerge w:val="continue"/>
                  <w:vAlign w:val="center"/>
                </w:tcPr>
                <w:p>
                  <w:pPr>
                    <w:adjustRightInd w:val="0"/>
                    <w:snapToGrid w:val="0"/>
                    <w:ind w:firstLine="436"/>
                    <w:jc w:val="center"/>
                    <w:rPr>
                      <w:spacing w:val="-1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20" w:type="dxa"/>
                  <w:vMerge w:val="restart"/>
                  <w:vAlign w:val="center"/>
                </w:tcPr>
                <w:p>
                  <w:pPr>
                    <w:adjustRightInd w:val="0"/>
                    <w:snapToGrid w:val="0"/>
                    <w:ind w:firstLine="420"/>
                    <w:jc w:val="center"/>
                    <w:rPr>
                      <w:szCs w:val="21"/>
                    </w:rPr>
                  </w:pPr>
                  <w:r>
                    <w:rPr>
                      <w:rFonts w:hint="eastAsia"/>
                      <w:szCs w:val="21"/>
                    </w:rPr>
                    <w:t>2</w:t>
                  </w:r>
                </w:p>
              </w:tc>
              <w:tc>
                <w:tcPr>
                  <w:tcW w:w="760" w:type="dxa"/>
                  <w:vMerge w:val="restart"/>
                  <w:vAlign w:val="center"/>
                </w:tcPr>
                <w:p>
                  <w:pPr>
                    <w:adjustRightInd w:val="0"/>
                    <w:snapToGrid w:val="0"/>
                    <w:ind w:firstLine="420"/>
                    <w:jc w:val="center"/>
                    <w:rPr>
                      <w:szCs w:val="21"/>
                    </w:rPr>
                  </w:pPr>
                  <w:r>
                    <w:rPr>
                      <w:rFonts w:hint="eastAsia"/>
                      <w:szCs w:val="21"/>
                    </w:rPr>
                    <w:t>声环境</w:t>
                  </w:r>
                </w:p>
              </w:tc>
              <w:tc>
                <w:tcPr>
                  <w:tcW w:w="552" w:type="dxa"/>
                  <w:vAlign w:val="center"/>
                </w:tcPr>
                <w:p>
                  <w:pPr>
                    <w:pStyle w:val="34"/>
                    <w:widowControl w:val="0"/>
                    <w:adjustRightInd w:val="0"/>
                    <w:snapToGrid w:val="0"/>
                    <w:spacing w:beforeLines="0"/>
                    <w:rPr>
                      <w:kern w:val="2"/>
                      <w:sz w:val="21"/>
                      <w:szCs w:val="21"/>
                    </w:rPr>
                  </w:pPr>
                  <w:r>
                    <w:rPr>
                      <w:rFonts w:hint="eastAsia"/>
                      <w:kern w:val="2"/>
                      <w:sz w:val="21"/>
                      <w:szCs w:val="21"/>
                    </w:rPr>
                    <w:t>0</w:t>
                  </w:r>
                </w:p>
              </w:tc>
              <w:tc>
                <w:tcPr>
                  <w:tcW w:w="605" w:type="dxa"/>
                  <w:vAlign w:val="center"/>
                </w:tcPr>
                <w:p>
                  <w:pPr>
                    <w:pStyle w:val="34"/>
                    <w:widowControl w:val="0"/>
                    <w:adjustRightInd w:val="0"/>
                    <w:snapToGrid w:val="0"/>
                    <w:spacing w:beforeLines="0"/>
                    <w:rPr>
                      <w:kern w:val="2"/>
                      <w:sz w:val="21"/>
                      <w:szCs w:val="21"/>
                    </w:rPr>
                  </w:pPr>
                  <w:r>
                    <w:rPr>
                      <w:rFonts w:hint="eastAsia"/>
                      <w:kern w:val="2"/>
                      <w:sz w:val="21"/>
                      <w:szCs w:val="21"/>
                    </w:rPr>
                    <w:t>-5</w:t>
                  </w:r>
                </w:p>
              </w:tc>
              <w:tc>
                <w:tcPr>
                  <w:tcW w:w="1058" w:type="dxa"/>
                  <w:vMerge w:val="restart"/>
                  <w:vAlign w:val="center"/>
                </w:tcPr>
                <w:p>
                  <w:pPr>
                    <w:adjustRightInd w:val="0"/>
                    <w:snapToGrid w:val="0"/>
                    <w:ind w:firstLine="420"/>
                    <w:jc w:val="center"/>
                    <w:rPr>
                      <w:szCs w:val="21"/>
                    </w:rPr>
                  </w:pPr>
                  <w:r>
                    <w:rPr>
                      <w:szCs w:val="21"/>
                    </w:rPr>
                    <w:t>教堂子村</w:t>
                  </w:r>
                </w:p>
              </w:tc>
              <w:tc>
                <w:tcPr>
                  <w:tcW w:w="949" w:type="dxa"/>
                  <w:vMerge w:val="restart"/>
                  <w:vAlign w:val="center"/>
                </w:tcPr>
                <w:p>
                  <w:pPr>
                    <w:adjustRightInd w:val="0"/>
                    <w:snapToGrid w:val="0"/>
                    <w:ind w:firstLine="420"/>
                    <w:jc w:val="center"/>
                    <w:rPr>
                      <w:szCs w:val="21"/>
                    </w:rPr>
                  </w:pPr>
                  <w:r>
                    <w:rPr>
                      <w:rFonts w:hint="eastAsia"/>
                      <w:szCs w:val="21"/>
                    </w:rPr>
                    <w:t>居民</w:t>
                  </w:r>
                </w:p>
              </w:tc>
              <w:tc>
                <w:tcPr>
                  <w:tcW w:w="874" w:type="dxa"/>
                  <w:vMerge w:val="restart"/>
                  <w:vAlign w:val="center"/>
                </w:tcPr>
                <w:p>
                  <w:pPr>
                    <w:adjustRightInd w:val="0"/>
                    <w:snapToGrid w:val="0"/>
                    <w:ind w:firstLine="420"/>
                    <w:jc w:val="center"/>
                    <w:rPr>
                      <w:szCs w:val="21"/>
                    </w:rPr>
                  </w:pPr>
                  <w:r>
                    <w:rPr>
                      <w:rFonts w:hint="eastAsia"/>
                      <w:szCs w:val="21"/>
                    </w:rPr>
                    <w:t>2类区</w:t>
                  </w:r>
                </w:p>
              </w:tc>
              <w:tc>
                <w:tcPr>
                  <w:tcW w:w="950" w:type="dxa"/>
                  <w:vAlign w:val="center"/>
                </w:tcPr>
                <w:p>
                  <w:pPr>
                    <w:adjustRightInd w:val="0"/>
                    <w:snapToGrid w:val="0"/>
                    <w:ind w:firstLine="376"/>
                    <w:jc w:val="center"/>
                    <w:rPr>
                      <w:spacing w:val="-11"/>
                      <w:szCs w:val="21"/>
                    </w:rPr>
                  </w:pPr>
                  <w:r>
                    <w:rPr>
                      <w:rFonts w:hint="eastAsia"/>
                      <w:spacing w:val="-11"/>
                      <w:szCs w:val="21"/>
                    </w:rPr>
                    <w:t>南侧</w:t>
                  </w:r>
                </w:p>
              </w:tc>
              <w:tc>
                <w:tcPr>
                  <w:tcW w:w="1068" w:type="dxa"/>
                  <w:vAlign w:val="center"/>
                </w:tcPr>
                <w:p>
                  <w:pPr>
                    <w:adjustRightInd w:val="0"/>
                    <w:snapToGrid w:val="0"/>
                    <w:ind w:firstLine="376"/>
                    <w:jc w:val="center"/>
                    <w:rPr>
                      <w:spacing w:val="-11"/>
                      <w:szCs w:val="21"/>
                    </w:rPr>
                  </w:pPr>
                  <w:r>
                    <w:rPr>
                      <w:rFonts w:hint="eastAsia"/>
                      <w:spacing w:val="-11"/>
                      <w:szCs w:val="21"/>
                    </w:rPr>
                    <w:t>5</w:t>
                  </w:r>
                </w:p>
              </w:tc>
              <w:tc>
                <w:tcPr>
                  <w:tcW w:w="831" w:type="dxa"/>
                  <w:vMerge w:val="restart"/>
                  <w:vAlign w:val="center"/>
                </w:tcPr>
                <w:p>
                  <w:pPr>
                    <w:adjustRightInd w:val="0"/>
                    <w:snapToGrid w:val="0"/>
                    <w:ind w:firstLine="376"/>
                    <w:jc w:val="center"/>
                    <w:rPr>
                      <w:spacing w:val="-11"/>
                      <w:szCs w:val="21"/>
                    </w:rPr>
                  </w:pPr>
                  <w:r>
                    <w:rPr>
                      <w:rFonts w:hint="eastAsia"/>
                      <w:spacing w:val="-11"/>
                      <w:szCs w:val="21"/>
                    </w:rPr>
                    <w:t>840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20" w:type="dxa"/>
                  <w:vMerge w:val="continue"/>
                  <w:vAlign w:val="center"/>
                </w:tcPr>
                <w:p>
                  <w:pPr>
                    <w:adjustRightInd w:val="0"/>
                    <w:snapToGrid w:val="0"/>
                    <w:jc w:val="center"/>
                    <w:rPr>
                      <w:szCs w:val="21"/>
                    </w:rPr>
                  </w:pPr>
                </w:p>
              </w:tc>
              <w:tc>
                <w:tcPr>
                  <w:tcW w:w="760" w:type="dxa"/>
                  <w:vMerge w:val="continue"/>
                  <w:vAlign w:val="center"/>
                </w:tcPr>
                <w:p>
                  <w:pPr>
                    <w:adjustRightInd w:val="0"/>
                    <w:snapToGrid w:val="0"/>
                    <w:jc w:val="center"/>
                    <w:rPr>
                      <w:szCs w:val="21"/>
                    </w:rPr>
                  </w:pPr>
                </w:p>
              </w:tc>
              <w:tc>
                <w:tcPr>
                  <w:tcW w:w="552" w:type="dxa"/>
                  <w:vAlign w:val="center"/>
                </w:tcPr>
                <w:p>
                  <w:pPr>
                    <w:pStyle w:val="34"/>
                    <w:widowControl w:val="0"/>
                    <w:adjustRightInd w:val="0"/>
                    <w:snapToGrid w:val="0"/>
                    <w:spacing w:beforeLines="0"/>
                    <w:rPr>
                      <w:kern w:val="2"/>
                      <w:sz w:val="21"/>
                      <w:szCs w:val="21"/>
                    </w:rPr>
                  </w:pPr>
                  <w:r>
                    <w:rPr>
                      <w:rFonts w:hint="eastAsia"/>
                      <w:kern w:val="2"/>
                      <w:sz w:val="21"/>
                      <w:szCs w:val="21"/>
                    </w:rPr>
                    <w:t>5</w:t>
                  </w:r>
                </w:p>
              </w:tc>
              <w:tc>
                <w:tcPr>
                  <w:tcW w:w="605" w:type="dxa"/>
                  <w:vAlign w:val="center"/>
                </w:tcPr>
                <w:p>
                  <w:pPr>
                    <w:pStyle w:val="34"/>
                    <w:widowControl w:val="0"/>
                    <w:adjustRightInd w:val="0"/>
                    <w:snapToGrid w:val="0"/>
                    <w:spacing w:beforeLines="0"/>
                    <w:rPr>
                      <w:kern w:val="2"/>
                      <w:sz w:val="21"/>
                      <w:szCs w:val="21"/>
                    </w:rPr>
                  </w:pPr>
                  <w:r>
                    <w:rPr>
                      <w:rFonts w:hint="eastAsia"/>
                      <w:kern w:val="2"/>
                      <w:sz w:val="21"/>
                      <w:szCs w:val="21"/>
                    </w:rPr>
                    <w:t>0</w:t>
                  </w:r>
                </w:p>
              </w:tc>
              <w:tc>
                <w:tcPr>
                  <w:tcW w:w="1058" w:type="dxa"/>
                  <w:vMerge w:val="continue"/>
                  <w:vAlign w:val="center"/>
                </w:tcPr>
                <w:p>
                  <w:pPr>
                    <w:adjustRightInd w:val="0"/>
                    <w:snapToGrid w:val="0"/>
                    <w:jc w:val="center"/>
                    <w:rPr>
                      <w:szCs w:val="21"/>
                    </w:rPr>
                  </w:pPr>
                </w:p>
              </w:tc>
              <w:tc>
                <w:tcPr>
                  <w:tcW w:w="949" w:type="dxa"/>
                  <w:vMerge w:val="continue"/>
                  <w:vAlign w:val="center"/>
                </w:tcPr>
                <w:p>
                  <w:pPr>
                    <w:adjustRightInd w:val="0"/>
                    <w:snapToGrid w:val="0"/>
                    <w:jc w:val="center"/>
                    <w:rPr>
                      <w:szCs w:val="21"/>
                    </w:rPr>
                  </w:pPr>
                </w:p>
              </w:tc>
              <w:tc>
                <w:tcPr>
                  <w:tcW w:w="874" w:type="dxa"/>
                  <w:vMerge w:val="continue"/>
                  <w:vAlign w:val="center"/>
                </w:tcPr>
                <w:p>
                  <w:pPr>
                    <w:adjustRightInd w:val="0"/>
                    <w:snapToGrid w:val="0"/>
                    <w:jc w:val="center"/>
                    <w:rPr>
                      <w:szCs w:val="21"/>
                    </w:rPr>
                  </w:pPr>
                </w:p>
              </w:tc>
              <w:tc>
                <w:tcPr>
                  <w:tcW w:w="950" w:type="dxa"/>
                  <w:vAlign w:val="center"/>
                </w:tcPr>
                <w:p>
                  <w:pPr>
                    <w:adjustRightInd w:val="0"/>
                    <w:snapToGrid w:val="0"/>
                    <w:ind w:firstLine="376"/>
                    <w:jc w:val="center"/>
                    <w:rPr>
                      <w:spacing w:val="-11"/>
                      <w:szCs w:val="21"/>
                    </w:rPr>
                  </w:pPr>
                  <w:r>
                    <w:rPr>
                      <w:rFonts w:hint="eastAsia"/>
                      <w:spacing w:val="-11"/>
                      <w:szCs w:val="21"/>
                    </w:rPr>
                    <w:t>东侧</w:t>
                  </w:r>
                </w:p>
              </w:tc>
              <w:tc>
                <w:tcPr>
                  <w:tcW w:w="1068" w:type="dxa"/>
                  <w:vAlign w:val="center"/>
                </w:tcPr>
                <w:p>
                  <w:pPr>
                    <w:adjustRightInd w:val="0"/>
                    <w:snapToGrid w:val="0"/>
                    <w:ind w:firstLine="376"/>
                    <w:jc w:val="center"/>
                    <w:rPr>
                      <w:spacing w:val="-11"/>
                      <w:szCs w:val="21"/>
                    </w:rPr>
                  </w:pPr>
                  <w:r>
                    <w:rPr>
                      <w:rFonts w:hint="eastAsia"/>
                      <w:spacing w:val="-11"/>
                      <w:szCs w:val="21"/>
                    </w:rPr>
                    <w:t>5</w:t>
                  </w:r>
                </w:p>
              </w:tc>
              <w:tc>
                <w:tcPr>
                  <w:tcW w:w="831" w:type="dxa"/>
                  <w:vMerge w:val="continue"/>
                  <w:vAlign w:val="center"/>
                </w:tcPr>
                <w:p>
                  <w:pPr>
                    <w:adjustRightInd w:val="0"/>
                    <w:snapToGrid w:val="0"/>
                    <w:ind w:firstLine="436"/>
                    <w:jc w:val="center"/>
                    <w:rPr>
                      <w:spacing w:val="-11"/>
                      <w:szCs w:val="21"/>
                    </w:rPr>
                  </w:pPr>
                </w:p>
              </w:tc>
            </w:tr>
          </w:tbl>
          <w:p>
            <w:pPr>
              <w:adjustRightInd w:val="0"/>
              <w:snapToGrid w:val="0"/>
              <w:ind w:firstLine="482"/>
              <w:jc w:val="left"/>
              <w:rPr>
                <w:b/>
                <w:bCs/>
                <w:kern w:val="0"/>
                <w:sz w:val="24"/>
              </w:rPr>
            </w:pPr>
            <w:r>
              <w:rPr>
                <w:rFonts w:hint="eastAsia"/>
                <w:b/>
                <w:bCs/>
                <w:kern w:val="0"/>
                <w:sz w:val="24"/>
              </w:rPr>
              <w:t>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0" w:hRule="atLeast"/>
        </w:trPr>
        <w:tc>
          <w:tcPr>
            <w:tcW w:w="770" w:type="dxa"/>
            <w:tcMar>
              <w:left w:w="28" w:type="dxa"/>
              <w:right w:w="28" w:type="dxa"/>
            </w:tcMar>
            <w:vAlign w:val="center"/>
          </w:tcPr>
          <w:p>
            <w:pPr>
              <w:adjustRightInd w:val="0"/>
              <w:snapToGrid w:val="0"/>
              <w:jc w:val="center"/>
              <w:rPr>
                <w:rFonts w:ascii="宋体" w:hAnsi="宋体" w:cs="宋体"/>
                <w:kern w:val="0"/>
                <w:szCs w:val="21"/>
              </w:rPr>
            </w:pPr>
            <w:r>
              <w:rPr>
                <w:rFonts w:hint="eastAsia" w:ascii="宋体" w:hAnsi="宋体" w:cs="宋体"/>
                <w:kern w:val="0"/>
                <w:szCs w:val="21"/>
              </w:rPr>
              <w:t>污染</w:t>
            </w:r>
          </w:p>
          <w:p>
            <w:pPr>
              <w:adjustRightInd w:val="0"/>
              <w:snapToGrid w:val="0"/>
              <w:jc w:val="center"/>
              <w:rPr>
                <w:rFonts w:ascii="宋体" w:hAnsi="宋体" w:cs="宋体"/>
                <w:kern w:val="0"/>
                <w:szCs w:val="21"/>
              </w:rPr>
            </w:pPr>
            <w:r>
              <w:rPr>
                <w:rFonts w:hint="eastAsia" w:ascii="宋体" w:hAnsi="宋体" w:cs="宋体"/>
                <w:kern w:val="0"/>
                <w:szCs w:val="21"/>
              </w:rPr>
              <w:t>物排</w:t>
            </w:r>
          </w:p>
          <w:p>
            <w:pPr>
              <w:adjustRightInd w:val="0"/>
              <w:snapToGrid w:val="0"/>
              <w:jc w:val="center"/>
              <w:rPr>
                <w:rFonts w:ascii="宋体" w:hAnsi="宋体" w:cs="宋体"/>
                <w:kern w:val="0"/>
                <w:szCs w:val="21"/>
              </w:rPr>
            </w:pPr>
            <w:r>
              <w:rPr>
                <w:rFonts w:hint="eastAsia" w:ascii="宋体" w:hAnsi="宋体" w:cs="宋体"/>
                <w:kern w:val="0"/>
                <w:szCs w:val="21"/>
              </w:rPr>
              <w:t>放控</w:t>
            </w:r>
          </w:p>
          <w:p>
            <w:pPr>
              <w:adjustRightInd w:val="0"/>
              <w:snapToGrid w:val="0"/>
              <w:jc w:val="center"/>
              <w:rPr>
                <w:rFonts w:ascii="宋体" w:hAnsi="宋体" w:cs="宋体"/>
                <w:kern w:val="0"/>
                <w:szCs w:val="21"/>
              </w:rPr>
            </w:pPr>
            <w:r>
              <w:rPr>
                <w:rFonts w:hint="eastAsia" w:ascii="宋体" w:hAnsi="宋体" w:cs="宋体"/>
                <w:kern w:val="0"/>
                <w:szCs w:val="21"/>
              </w:rPr>
              <w:t>制标</w:t>
            </w:r>
          </w:p>
          <w:p>
            <w:pPr>
              <w:adjustRightInd w:val="0"/>
              <w:snapToGrid w:val="0"/>
              <w:jc w:val="center"/>
              <w:rPr>
                <w:rFonts w:ascii="宋体" w:hAnsi="宋体" w:cs="宋体"/>
                <w:kern w:val="0"/>
                <w:szCs w:val="21"/>
              </w:rPr>
            </w:pPr>
            <w:r>
              <w:rPr>
                <w:rFonts w:hint="eastAsia" w:ascii="宋体" w:hAnsi="宋体" w:cs="宋体"/>
                <w:kern w:val="0"/>
                <w:szCs w:val="21"/>
              </w:rPr>
              <w:t>准</w:t>
            </w:r>
          </w:p>
        </w:tc>
        <w:tc>
          <w:tcPr>
            <w:tcW w:w="8291" w:type="dxa"/>
            <w:vAlign w:val="center"/>
          </w:tcPr>
          <w:p>
            <w:pPr>
              <w:ind w:firstLine="422" w:firstLineChars="200"/>
              <w:rPr>
                <w:b/>
                <w:bCs/>
                <w:kern w:val="0"/>
                <w:szCs w:val="21"/>
              </w:rPr>
            </w:pPr>
          </w:p>
          <w:p>
            <w:pPr>
              <w:spacing w:line="360" w:lineRule="auto"/>
              <w:ind w:firstLine="482" w:firstLineChars="200"/>
              <w:rPr>
                <w:b/>
                <w:bCs/>
                <w:kern w:val="0"/>
                <w:sz w:val="24"/>
                <w:lang w:val="zh-CN"/>
              </w:rPr>
            </w:pPr>
            <w:r>
              <w:rPr>
                <w:rFonts w:hint="eastAsia"/>
                <w:b/>
                <w:bCs/>
                <w:kern w:val="0"/>
                <w:sz w:val="24"/>
              </w:rPr>
              <w:t>1、</w:t>
            </w:r>
            <w:r>
              <w:rPr>
                <w:b/>
                <w:bCs/>
                <w:kern w:val="0"/>
                <w:sz w:val="24"/>
                <w:lang w:val="zh-CN"/>
              </w:rPr>
              <w:t>废水</w:t>
            </w:r>
          </w:p>
          <w:p>
            <w:pPr>
              <w:adjustRightInd w:val="0"/>
              <w:snapToGrid w:val="0"/>
              <w:spacing w:line="360" w:lineRule="auto"/>
              <w:ind w:firstLine="480" w:firstLineChars="200"/>
              <w:rPr>
                <w:kern w:val="0"/>
                <w:szCs w:val="21"/>
              </w:rPr>
            </w:pPr>
            <w:r>
              <w:rPr>
                <w:bCs/>
                <w:sz w:val="24"/>
              </w:rPr>
              <w:t>本项目不新增员工，员工均由企业内部进行调配，故无新增生活污水产生</w:t>
            </w:r>
            <w:r>
              <w:rPr>
                <w:rFonts w:hint="eastAsia"/>
                <w:bCs/>
                <w:sz w:val="24"/>
              </w:rPr>
              <w:t>，现有生活污水排入防渗旱厕，定期清掏用作农肥，不外排；项目废水主要为锅炉排污水、软化处理废水及蒸汽冷凝水，用于浇渣降尘或回用于生产，不外排。</w:t>
            </w:r>
          </w:p>
          <w:p>
            <w:pPr>
              <w:spacing w:line="360" w:lineRule="auto"/>
              <w:ind w:firstLine="482" w:firstLineChars="200"/>
              <w:rPr>
                <w:b/>
                <w:bCs/>
                <w:kern w:val="0"/>
                <w:sz w:val="24"/>
              </w:rPr>
            </w:pPr>
            <w:r>
              <w:rPr>
                <w:rFonts w:hint="eastAsia"/>
                <w:b/>
                <w:bCs/>
                <w:kern w:val="0"/>
                <w:sz w:val="24"/>
              </w:rPr>
              <w:t>2、</w:t>
            </w:r>
            <w:r>
              <w:rPr>
                <w:b/>
                <w:bCs/>
                <w:kern w:val="0"/>
                <w:sz w:val="24"/>
              </w:rPr>
              <w:t>废气</w:t>
            </w:r>
          </w:p>
          <w:p>
            <w:pPr>
              <w:spacing w:line="360" w:lineRule="auto"/>
              <w:ind w:firstLine="480" w:firstLineChars="200"/>
              <w:rPr>
                <w:kern w:val="0"/>
                <w:sz w:val="24"/>
              </w:rPr>
            </w:pPr>
            <w:r>
              <w:rPr>
                <w:rFonts w:hint="eastAsia"/>
                <w:kern w:val="0"/>
                <w:sz w:val="24"/>
              </w:rPr>
              <w:t>（1）</w:t>
            </w:r>
            <w:r>
              <w:rPr>
                <w:kern w:val="0"/>
                <w:sz w:val="24"/>
              </w:rPr>
              <w:t>施工期</w:t>
            </w:r>
          </w:p>
          <w:p>
            <w:pPr>
              <w:spacing w:line="360" w:lineRule="auto"/>
              <w:ind w:firstLine="480" w:firstLineChars="200"/>
              <w:rPr>
                <w:kern w:val="0"/>
                <w:sz w:val="24"/>
              </w:rPr>
            </w:pPr>
            <w:r>
              <w:rPr>
                <w:rFonts w:hint="eastAsia"/>
                <w:kern w:val="0"/>
                <w:sz w:val="24"/>
              </w:rPr>
              <w:t>项目施工期施工扬尘排放执行《大气污染物综合排放标准》（GB16297-1996）表2无组织排放监控浓度限值要求。</w:t>
            </w:r>
          </w:p>
          <w:p>
            <w:pPr>
              <w:pStyle w:val="23"/>
              <w:ind w:left="0" w:firstLine="0"/>
              <w:rPr>
                <w:u w:val="none"/>
              </w:rPr>
            </w:pPr>
            <w:r>
              <w:rPr>
                <w:u w:val="none"/>
              </w:rPr>
              <w:t>大气污染物排放标准</w:t>
            </w:r>
            <w:r>
              <w:rPr>
                <w:rFonts w:hint="eastAsia"/>
                <w:u w:val="none"/>
              </w:rPr>
              <w:t>限值</w:t>
            </w:r>
          </w:p>
          <w:tbl>
            <w:tblPr>
              <w:tblStyle w:val="19"/>
              <w:tblW w:w="8173" w:type="dxa"/>
              <w:tblInd w:w="6"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2068"/>
              <w:gridCol w:w="3240"/>
              <w:gridCol w:w="2865"/>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068" w:type="dxa"/>
                  <w:vMerge w:val="restart"/>
                  <w:tcBorders>
                    <w:tl2br w:val="nil"/>
                    <w:tr2bl w:val="nil"/>
                  </w:tcBorders>
                  <w:vAlign w:val="center"/>
                </w:tcPr>
                <w:p>
                  <w:pPr>
                    <w:ind w:firstLine="482"/>
                    <w:jc w:val="center"/>
                    <w:rPr>
                      <w:b/>
                      <w:bCs/>
                    </w:rPr>
                  </w:pPr>
                  <w:r>
                    <w:rPr>
                      <w:b/>
                      <w:bCs/>
                    </w:rPr>
                    <w:t>污染物</w:t>
                  </w:r>
                </w:p>
              </w:tc>
              <w:tc>
                <w:tcPr>
                  <w:tcW w:w="6105" w:type="dxa"/>
                  <w:gridSpan w:val="2"/>
                  <w:tcBorders>
                    <w:tl2br w:val="nil"/>
                    <w:tr2bl w:val="nil"/>
                  </w:tcBorders>
                  <w:vAlign w:val="center"/>
                </w:tcPr>
                <w:p>
                  <w:pPr>
                    <w:ind w:firstLine="482"/>
                    <w:jc w:val="center"/>
                    <w:rPr>
                      <w:b/>
                      <w:bCs/>
                    </w:rPr>
                  </w:pPr>
                  <w:r>
                    <w:rPr>
                      <w:b/>
                      <w:bCs/>
                    </w:rPr>
                    <w:t>无组织排放监控浓度限值</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trPr>
              <w:tc>
                <w:tcPr>
                  <w:tcW w:w="2068" w:type="dxa"/>
                  <w:vMerge w:val="continue"/>
                  <w:tcBorders>
                    <w:tl2br w:val="nil"/>
                    <w:tr2bl w:val="nil"/>
                  </w:tcBorders>
                  <w:vAlign w:val="center"/>
                </w:tcPr>
                <w:p>
                  <w:pPr>
                    <w:ind w:firstLine="482"/>
                    <w:jc w:val="center"/>
                    <w:rPr>
                      <w:b/>
                      <w:bCs/>
                    </w:rPr>
                  </w:pPr>
                </w:p>
              </w:tc>
              <w:tc>
                <w:tcPr>
                  <w:tcW w:w="3240" w:type="dxa"/>
                  <w:tcBorders>
                    <w:tl2br w:val="nil"/>
                    <w:tr2bl w:val="nil"/>
                  </w:tcBorders>
                  <w:vAlign w:val="center"/>
                </w:tcPr>
                <w:p>
                  <w:pPr>
                    <w:ind w:firstLine="482"/>
                    <w:jc w:val="center"/>
                    <w:rPr>
                      <w:b/>
                      <w:bCs/>
                    </w:rPr>
                  </w:pPr>
                  <w:r>
                    <w:rPr>
                      <w:b/>
                      <w:bCs/>
                    </w:rPr>
                    <w:t>监控点</w:t>
                  </w:r>
                </w:p>
              </w:tc>
              <w:tc>
                <w:tcPr>
                  <w:tcW w:w="2865" w:type="dxa"/>
                  <w:tcBorders>
                    <w:tl2br w:val="nil"/>
                    <w:tr2bl w:val="nil"/>
                  </w:tcBorders>
                  <w:vAlign w:val="center"/>
                </w:tcPr>
                <w:p>
                  <w:pPr>
                    <w:ind w:firstLine="398"/>
                    <w:jc w:val="center"/>
                    <w:rPr>
                      <w:b/>
                      <w:bCs/>
                      <w:spacing w:val="-6"/>
                    </w:rPr>
                  </w:pPr>
                  <w:r>
                    <w:rPr>
                      <w:b/>
                      <w:bCs/>
                      <w:spacing w:val="-6"/>
                    </w:rPr>
                    <w:t>浓度（mg/m</w:t>
                  </w:r>
                  <w:r>
                    <w:rPr>
                      <w:b/>
                      <w:bCs/>
                      <w:spacing w:val="-6"/>
                      <w:vertAlign w:val="superscript"/>
                    </w:rPr>
                    <w:t>3</w:t>
                  </w:r>
                  <w:r>
                    <w:rPr>
                      <w:b/>
                      <w:bCs/>
                      <w:spacing w:val="-6"/>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068" w:type="dxa"/>
                  <w:tcBorders>
                    <w:tl2br w:val="nil"/>
                    <w:tr2bl w:val="nil"/>
                  </w:tcBorders>
                  <w:vAlign w:val="center"/>
                </w:tcPr>
                <w:p>
                  <w:pPr>
                    <w:jc w:val="center"/>
                  </w:pPr>
                  <w:r>
                    <w:rPr>
                      <w:rFonts w:hint="eastAsia"/>
                    </w:rPr>
                    <w:t>颗粒物</w:t>
                  </w:r>
                </w:p>
              </w:tc>
              <w:tc>
                <w:tcPr>
                  <w:tcW w:w="3240" w:type="dxa"/>
                  <w:tcBorders>
                    <w:tl2br w:val="nil"/>
                    <w:tr2bl w:val="nil"/>
                  </w:tcBorders>
                  <w:vAlign w:val="center"/>
                </w:tcPr>
                <w:p>
                  <w:pPr>
                    <w:jc w:val="center"/>
                  </w:pPr>
                  <w:r>
                    <w:t>周界外浓度最高点</w:t>
                  </w:r>
                </w:p>
              </w:tc>
              <w:tc>
                <w:tcPr>
                  <w:tcW w:w="2865" w:type="dxa"/>
                  <w:tcBorders>
                    <w:tl2br w:val="nil"/>
                    <w:tr2bl w:val="nil"/>
                  </w:tcBorders>
                  <w:vAlign w:val="center"/>
                </w:tcPr>
                <w:p>
                  <w:pPr>
                    <w:jc w:val="center"/>
                  </w:pPr>
                  <w:r>
                    <w:rPr>
                      <w:rFonts w:hint="eastAsia"/>
                    </w:rPr>
                    <w:t>1.0</w:t>
                  </w:r>
                </w:p>
              </w:tc>
            </w:tr>
          </w:tbl>
          <w:p>
            <w:pPr>
              <w:spacing w:beforeLines="50" w:line="360" w:lineRule="auto"/>
              <w:ind w:firstLine="480" w:firstLineChars="200"/>
              <w:rPr>
                <w:kern w:val="0"/>
                <w:sz w:val="24"/>
              </w:rPr>
            </w:pPr>
            <w:r>
              <w:rPr>
                <w:rFonts w:hint="eastAsia"/>
                <w:kern w:val="0"/>
                <w:sz w:val="24"/>
              </w:rPr>
              <w:t>（2）</w:t>
            </w:r>
            <w:r>
              <w:rPr>
                <w:kern w:val="0"/>
                <w:sz w:val="24"/>
              </w:rPr>
              <w:t>运营期</w:t>
            </w:r>
          </w:p>
          <w:p>
            <w:pPr>
              <w:spacing w:line="360" w:lineRule="auto"/>
              <w:ind w:firstLine="480" w:firstLineChars="200"/>
              <w:rPr>
                <w:kern w:val="0"/>
                <w:sz w:val="24"/>
              </w:rPr>
            </w:pPr>
            <w:r>
              <w:rPr>
                <w:rFonts w:hint="eastAsia"/>
                <w:kern w:val="0"/>
                <w:sz w:val="24"/>
              </w:rPr>
              <w:t>本项目锅炉烟气排放</w:t>
            </w:r>
            <w:r>
              <w:rPr>
                <w:kern w:val="0"/>
                <w:sz w:val="24"/>
              </w:rPr>
              <w:t>执行《锅炉大气污染物排放标准》</w:t>
            </w:r>
            <w:r>
              <w:rPr>
                <w:rFonts w:hint="eastAsia"/>
                <w:kern w:val="0"/>
                <w:sz w:val="24"/>
              </w:rPr>
              <w:t>（</w:t>
            </w:r>
            <w:r>
              <w:rPr>
                <w:kern w:val="0"/>
                <w:sz w:val="24"/>
              </w:rPr>
              <w:t>GB13271-2014</w:t>
            </w:r>
            <w:r>
              <w:rPr>
                <w:rFonts w:hint="eastAsia"/>
                <w:kern w:val="0"/>
                <w:sz w:val="24"/>
              </w:rPr>
              <w:t>）表2中相关排放限值要求</w:t>
            </w:r>
            <w:r>
              <w:rPr>
                <w:kern w:val="0"/>
                <w:sz w:val="24"/>
              </w:rPr>
              <w:t>，详见</w:t>
            </w:r>
            <w:r>
              <w:rPr>
                <w:rFonts w:hint="eastAsia"/>
                <w:kern w:val="0"/>
                <w:sz w:val="24"/>
              </w:rPr>
              <w:t>下表</w:t>
            </w:r>
            <w:r>
              <w:rPr>
                <w:kern w:val="0"/>
                <w:sz w:val="24"/>
              </w:rPr>
              <w:t>。</w:t>
            </w:r>
          </w:p>
          <w:p>
            <w:pPr>
              <w:pStyle w:val="23"/>
              <w:spacing w:beforeLines="50"/>
              <w:ind w:left="0" w:firstLine="0"/>
              <w:rPr>
                <w:u w:val="none"/>
              </w:rPr>
            </w:pPr>
            <w:r>
              <w:rPr>
                <w:u w:val="none"/>
              </w:rPr>
              <w:t>锅炉大气污染物排放标准</w:t>
            </w:r>
            <w:r>
              <w:rPr>
                <w:rFonts w:hint="eastAsia"/>
                <w:u w:val="none"/>
              </w:rPr>
              <w:t xml:space="preserve">    单位：mg/m</w:t>
            </w:r>
            <w:r>
              <w:rPr>
                <w:rFonts w:hint="eastAsia"/>
                <w:u w:val="none"/>
                <w:vertAlign w:val="superscript"/>
              </w:rPr>
              <w:t>3</w:t>
            </w:r>
          </w:p>
          <w:tbl>
            <w:tblPr>
              <w:tblStyle w:val="19"/>
              <w:tblW w:w="8072"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654"/>
              <w:gridCol w:w="1486"/>
              <w:gridCol w:w="2236"/>
              <w:gridCol w:w="2696"/>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654" w:type="dxa"/>
                  <w:vAlign w:val="center"/>
                </w:tcPr>
                <w:p>
                  <w:pPr>
                    <w:autoSpaceDE w:val="0"/>
                    <w:autoSpaceDN w:val="0"/>
                    <w:adjustRightInd w:val="0"/>
                    <w:snapToGrid w:val="0"/>
                    <w:ind w:firstLine="482"/>
                    <w:jc w:val="center"/>
                    <w:rPr>
                      <w:b/>
                      <w:szCs w:val="21"/>
                    </w:rPr>
                  </w:pPr>
                  <w:r>
                    <w:rPr>
                      <w:b/>
                      <w:szCs w:val="21"/>
                    </w:rPr>
                    <w:t>污染物名称</w:t>
                  </w:r>
                </w:p>
              </w:tc>
              <w:tc>
                <w:tcPr>
                  <w:tcW w:w="1486" w:type="dxa"/>
                  <w:vAlign w:val="center"/>
                </w:tcPr>
                <w:p>
                  <w:pPr>
                    <w:autoSpaceDE w:val="0"/>
                    <w:autoSpaceDN w:val="0"/>
                    <w:adjustRightInd w:val="0"/>
                    <w:snapToGrid w:val="0"/>
                    <w:ind w:firstLine="482"/>
                    <w:jc w:val="center"/>
                    <w:rPr>
                      <w:b/>
                      <w:szCs w:val="21"/>
                    </w:rPr>
                  </w:pPr>
                  <w:r>
                    <w:rPr>
                      <w:b/>
                      <w:szCs w:val="21"/>
                    </w:rPr>
                    <w:t>标准值</w:t>
                  </w:r>
                </w:p>
              </w:tc>
              <w:tc>
                <w:tcPr>
                  <w:tcW w:w="2236" w:type="dxa"/>
                  <w:vAlign w:val="center"/>
                </w:tcPr>
                <w:p>
                  <w:pPr>
                    <w:autoSpaceDE w:val="0"/>
                    <w:autoSpaceDN w:val="0"/>
                    <w:adjustRightInd w:val="0"/>
                    <w:snapToGrid w:val="0"/>
                    <w:ind w:firstLine="482"/>
                    <w:jc w:val="center"/>
                    <w:rPr>
                      <w:b/>
                      <w:szCs w:val="21"/>
                    </w:rPr>
                  </w:pPr>
                  <w:r>
                    <w:rPr>
                      <w:b/>
                      <w:szCs w:val="21"/>
                    </w:rPr>
                    <w:t>烟囱/排气筒高度</w:t>
                  </w:r>
                </w:p>
              </w:tc>
              <w:tc>
                <w:tcPr>
                  <w:tcW w:w="2696" w:type="dxa"/>
                  <w:vAlign w:val="center"/>
                </w:tcPr>
                <w:p>
                  <w:pPr>
                    <w:autoSpaceDE w:val="0"/>
                    <w:autoSpaceDN w:val="0"/>
                    <w:adjustRightInd w:val="0"/>
                    <w:snapToGrid w:val="0"/>
                    <w:ind w:firstLine="482"/>
                    <w:jc w:val="center"/>
                    <w:rPr>
                      <w:b/>
                      <w:szCs w:val="21"/>
                    </w:rPr>
                  </w:pPr>
                  <w:r>
                    <w:rPr>
                      <w:b/>
                      <w:szCs w:val="21"/>
                    </w:rPr>
                    <w:t>标准来源</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654" w:type="dxa"/>
                  <w:vAlign w:val="center"/>
                </w:tcPr>
                <w:p>
                  <w:pPr>
                    <w:autoSpaceDE w:val="0"/>
                    <w:autoSpaceDN w:val="0"/>
                    <w:adjustRightInd w:val="0"/>
                    <w:snapToGrid w:val="0"/>
                    <w:jc w:val="center"/>
                    <w:rPr>
                      <w:bCs/>
                      <w:szCs w:val="21"/>
                    </w:rPr>
                  </w:pPr>
                  <w:r>
                    <w:rPr>
                      <w:bCs/>
                      <w:szCs w:val="21"/>
                    </w:rPr>
                    <w:t>SO</w:t>
                  </w:r>
                  <w:r>
                    <w:rPr>
                      <w:bCs/>
                      <w:szCs w:val="21"/>
                      <w:vertAlign w:val="subscript"/>
                    </w:rPr>
                    <w:t>2</w:t>
                  </w:r>
                </w:p>
              </w:tc>
              <w:tc>
                <w:tcPr>
                  <w:tcW w:w="1486" w:type="dxa"/>
                  <w:vAlign w:val="center"/>
                </w:tcPr>
                <w:p>
                  <w:pPr>
                    <w:autoSpaceDE w:val="0"/>
                    <w:autoSpaceDN w:val="0"/>
                    <w:adjustRightInd w:val="0"/>
                    <w:snapToGrid w:val="0"/>
                    <w:jc w:val="center"/>
                    <w:rPr>
                      <w:bCs/>
                      <w:szCs w:val="21"/>
                    </w:rPr>
                  </w:pPr>
                  <w:r>
                    <w:rPr>
                      <w:rFonts w:hint="eastAsia"/>
                      <w:bCs/>
                      <w:szCs w:val="21"/>
                    </w:rPr>
                    <w:t>300</w:t>
                  </w:r>
                </w:p>
              </w:tc>
              <w:tc>
                <w:tcPr>
                  <w:tcW w:w="2236" w:type="dxa"/>
                  <w:vMerge w:val="restart"/>
                  <w:vAlign w:val="center"/>
                </w:tcPr>
                <w:p>
                  <w:pPr>
                    <w:autoSpaceDE w:val="0"/>
                    <w:autoSpaceDN w:val="0"/>
                    <w:adjustRightInd w:val="0"/>
                    <w:snapToGrid w:val="0"/>
                    <w:jc w:val="center"/>
                    <w:rPr>
                      <w:bCs/>
                      <w:szCs w:val="21"/>
                    </w:rPr>
                  </w:pPr>
                  <w:r>
                    <w:rPr>
                      <w:bCs/>
                      <w:szCs w:val="21"/>
                    </w:rPr>
                    <w:t>不低于</w:t>
                  </w:r>
                  <w:r>
                    <w:rPr>
                      <w:rFonts w:hint="eastAsia"/>
                      <w:bCs/>
                      <w:szCs w:val="21"/>
                    </w:rPr>
                    <w:t>30</w:t>
                  </w:r>
                  <w:r>
                    <w:rPr>
                      <w:bCs/>
                      <w:szCs w:val="21"/>
                    </w:rPr>
                    <w:t>m</w:t>
                  </w:r>
                  <w:r>
                    <w:rPr>
                      <w:rFonts w:hint="eastAsia"/>
                      <w:bCs/>
                      <w:szCs w:val="21"/>
                    </w:rPr>
                    <w:t>，并高于周围半径200m距离内最高建筑物3m以上</w:t>
                  </w:r>
                </w:p>
              </w:tc>
              <w:tc>
                <w:tcPr>
                  <w:tcW w:w="2696" w:type="dxa"/>
                  <w:vMerge w:val="restart"/>
                  <w:vAlign w:val="center"/>
                </w:tcPr>
                <w:p>
                  <w:pPr>
                    <w:autoSpaceDE w:val="0"/>
                    <w:autoSpaceDN w:val="0"/>
                    <w:adjustRightInd w:val="0"/>
                    <w:snapToGrid w:val="0"/>
                    <w:jc w:val="center"/>
                    <w:rPr>
                      <w:bCs/>
                      <w:szCs w:val="21"/>
                    </w:rPr>
                  </w:pPr>
                  <w:r>
                    <w:rPr>
                      <w:bCs/>
                      <w:szCs w:val="21"/>
                    </w:rPr>
                    <w:t>《锅炉大气污染物排放标准》（GB13271-2014）</w:t>
                  </w:r>
                  <w:r>
                    <w:rPr>
                      <w:rFonts w:hint="eastAsia"/>
                      <w:bCs/>
                      <w:szCs w:val="21"/>
                    </w:rPr>
                    <w:t>表2中相关排放限值</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654" w:type="dxa"/>
                  <w:vAlign w:val="center"/>
                </w:tcPr>
                <w:p>
                  <w:pPr>
                    <w:autoSpaceDE w:val="0"/>
                    <w:autoSpaceDN w:val="0"/>
                    <w:adjustRightInd w:val="0"/>
                    <w:snapToGrid w:val="0"/>
                    <w:jc w:val="center"/>
                    <w:rPr>
                      <w:bCs/>
                      <w:szCs w:val="21"/>
                    </w:rPr>
                  </w:pPr>
                  <w:r>
                    <w:rPr>
                      <w:rFonts w:hint="eastAsia"/>
                      <w:bCs/>
                      <w:szCs w:val="21"/>
                    </w:rPr>
                    <w:t>颗粒物</w:t>
                  </w:r>
                </w:p>
              </w:tc>
              <w:tc>
                <w:tcPr>
                  <w:tcW w:w="1486" w:type="dxa"/>
                  <w:vAlign w:val="center"/>
                </w:tcPr>
                <w:p>
                  <w:pPr>
                    <w:autoSpaceDE w:val="0"/>
                    <w:autoSpaceDN w:val="0"/>
                    <w:adjustRightInd w:val="0"/>
                    <w:snapToGrid w:val="0"/>
                    <w:jc w:val="center"/>
                    <w:rPr>
                      <w:bCs/>
                      <w:szCs w:val="21"/>
                    </w:rPr>
                  </w:pPr>
                  <w:r>
                    <w:rPr>
                      <w:rFonts w:hint="eastAsia"/>
                      <w:bCs/>
                      <w:szCs w:val="21"/>
                    </w:rPr>
                    <w:t>50</w:t>
                  </w:r>
                </w:p>
              </w:tc>
              <w:tc>
                <w:tcPr>
                  <w:tcW w:w="2236" w:type="dxa"/>
                  <w:vMerge w:val="continue"/>
                  <w:vAlign w:val="center"/>
                </w:tcPr>
                <w:p>
                  <w:pPr>
                    <w:autoSpaceDE w:val="0"/>
                    <w:autoSpaceDN w:val="0"/>
                    <w:adjustRightInd w:val="0"/>
                    <w:snapToGrid w:val="0"/>
                    <w:jc w:val="center"/>
                    <w:rPr>
                      <w:bCs/>
                      <w:szCs w:val="21"/>
                    </w:rPr>
                  </w:pPr>
                </w:p>
              </w:tc>
              <w:tc>
                <w:tcPr>
                  <w:tcW w:w="2696" w:type="dxa"/>
                  <w:vMerge w:val="continue"/>
                  <w:vAlign w:val="center"/>
                </w:tcPr>
                <w:p>
                  <w:pPr>
                    <w:autoSpaceDE w:val="0"/>
                    <w:autoSpaceDN w:val="0"/>
                    <w:adjustRightInd w:val="0"/>
                    <w:snapToGrid w:val="0"/>
                    <w:jc w:val="center"/>
                    <w:rPr>
                      <w:bCs/>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654" w:type="dxa"/>
                  <w:vAlign w:val="center"/>
                </w:tcPr>
                <w:p>
                  <w:pPr>
                    <w:autoSpaceDE w:val="0"/>
                    <w:autoSpaceDN w:val="0"/>
                    <w:adjustRightInd w:val="0"/>
                    <w:snapToGrid w:val="0"/>
                    <w:jc w:val="center"/>
                    <w:rPr>
                      <w:bCs/>
                      <w:szCs w:val="21"/>
                    </w:rPr>
                  </w:pPr>
                  <w:r>
                    <w:rPr>
                      <w:rFonts w:hint="eastAsia"/>
                      <w:bCs/>
                      <w:szCs w:val="21"/>
                    </w:rPr>
                    <w:t>NO</w:t>
                  </w:r>
                  <w:r>
                    <w:rPr>
                      <w:rFonts w:hint="eastAsia"/>
                      <w:bCs/>
                      <w:szCs w:val="21"/>
                      <w:vertAlign w:val="subscript"/>
                    </w:rPr>
                    <w:t>X</w:t>
                  </w:r>
                </w:p>
              </w:tc>
              <w:tc>
                <w:tcPr>
                  <w:tcW w:w="1486" w:type="dxa"/>
                  <w:vAlign w:val="center"/>
                </w:tcPr>
                <w:p>
                  <w:pPr>
                    <w:autoSpaceDE w:val="0"/>
                    <w:autoSpaceDN w:val="0"/>
                    <w:adjustRightInd w:val="0"/>
                    <w:snapToGrid w:val="0"/>
                    <w:jc w:val="center"/>
                    <w:rPr>
                      <w:bCs/>
                      <w:szCs w:val="21"/>
                    </w:rPr>
                  </w:pPr>
                  <w:r>
                    <w:rPr>
                      <w:rFonts w:hint="eastAsia"/>
                      <w:bCs/>
                      <w:szCs w:val="21"/>
                    </w:rPr>
                    <w:t>300</w:t>
                  </w:r>
                </w:p>
              </w:tc>
              <w:tc>
                <w:tcPr>
                  <w:tcW w:w="2236" w:type="dxa"/>
                  <w:vMerge w:val="continue"/>
                  <w:vAlign w:val="center"/>
                </w:tcPr>
                <w:p>
                  <w:pPr>
                    <w:autoSpaceDE w:val="0"/>
                    <w:autoSpaceDN w:val="0"/>
                    <w:adjustRightInd w:val="0"/>
                    <w:snapToGrid w:val="0"/>
                    <w:jc w:val="center"/>
                    <w:rPr>
                      <w:bCs/>
                      <w:szCs w:val="21"/>
                    </w:rPr>
                  </w:pPr>
                </w:p>
              </w:tc>
              <w:tc>
                <w:tcPr>
                  <w:tcW w:w="2696" w:type="dxa"/>
                  <w:vMerge w:val="continue"/>
                  <w:vAlign w:val="center"/>
                </w:tcPr>
                <w:p>
                  <w:pPr>
                    <w:autoSpaceDE w:val="0"/>
                    <w:autoSpaceDN w:val="0"/>
                    <w:adjustRightInd w:val="0"/>
                    <w:snapToGrid w:val="0"/>
                    <w:jc w:val="center"/>
                    <w:rPr>
                      <w:bCs/>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654" w:type="dxa"/>
                  <w:vAlign w:val="center"/>
                </w:tcPr>
                <w:p>
                  <w:pPr>
                    <w:autoSpaceDE w:val="0"/>
                    <w:autoSpaceDN w:val="0"/>
                    <w:adjustRightInd w:val="0"/>
                    <w:snapToGrid w:val="0"/>
                    <w:jc w:val="center"/>
                    <w:rPr>
                      <w:bCs/>
                      <w:szCs w:val="21"/>
                    </w:rPr>
                  </w:pPr>
                  <w:r>
                    <w:rPr>
                      <w:rFonts w:hint="eastAsia"/>
                      <w:bCs/>
                      <w:szCs w:val="21"/>
                    </w:rPr>
                    <w:t>烟气黑度</w:t>
                  </w:r>
                </w:p>
              </w:tc>
              <w:tc>
                <w:tcPr>
                  <w:tcW w:w="1486" w:type="dxa"/>
                  <w:vAlign w:val="center"/>
                </w:tcPr>
                <w:p>
                  <w:pPr>
                    <w:autoSpaceDE w:val="0"/>
                    <w:autoSpaceDN w:val="0"/>
                    <w:adjustRightInd w:val="0"/>
                    <w:snapToGrid w:val="0"/>
                    <w:jc w:val="center"/>
                    <w:rPr>
                      <w:bCs/>
                      <w:szCs w:val="21"/>
                    </w:rPr>
                  </w:pPr>
                  <w:r>
                    <w:rPr>
                      <w:bCs/>
                      <w:szCs w:val="21"/>
                    </w:rPr>
                    <w:t>≤1级</w:t>
                  </w:r>
                </w:p>
              </w:tc>
              <w:tc>
                <w:tcPr>
                  <w:tcW w:w="2236" w:type="dxa"/>
                  <w:vMerge w:val="continue"/>
                  <w:vAlign w:val="center"/>
                </w:tcPr>
                <w:p>
                  <w:pPr>
                    <w:autoSpaceDE w:val="0"/>
                    <w:autoSpaceDN w:val="0"/>
                    <w:adjustRightInd w:val="0"/>
                    <w:snapToGrid w:val="0"/>
                    <w:jc w:val="center"/>
                    <w:rPr>
                      <w:bCs/>
                      <w:szCs w:val="21"/>
                    </w:rPr>
                  </w:pPr>
                </w:p>
              </w:tc>
              <w:tc>
                <w:tcPr>
                  <w:tcW w:w="2696" w:type="dxa"/>
                  <w:vMerge w:val="continue"/>
                  <w:vAlign w:val="center"/>
                </w:tcPr>
                <w:p>
                  <w:pPr>
                    <w:autoSpaceDE w:val="0"/>
                    <w:autoSpaceDN w:val="0"/>
                    <w:adjustRightInd w:val="0"/>
                    <w:snapToGrid w:val="0"/>
                    <w:jc w:val="center"/>
                    <w:rPr>
                      <w:bCs/>
                      <w:szCs w:val="21"/>
                    </w:rPr>
                  </w:pPr>
                </w:p>
              </w:tc>
            </w:tr>
          </w:tbl>
          <w:p>
            <w:pPr>
              <w:spacing w:beforeLines="50" w:line="360" w:lineRule="auto"/>
              <w:ind w:firstLine="480" w:firstLineChars="200"/>
              <w:rPr>
                <w:kern w:val="0"/>
                <w:sz w:val="24"/>
              </w:rPr>
            </w:pPr>
            <w:r>
              <w:rPr>
                <w:rFonts w:hint="eastAsia"/>
                <w:kern w:val="0"/>
                <w:sz w:val="24"/>
              </w:rPr>
              <w:t>无组织废气排放执行</w:t>
            </w:r>
            <w:r>
              <w:rPr>
                <w:bCs/>
                <w:sz w:val="24"/>
              </w:rPr>
              <w:t>《大气污染物综合排放标准》（GB16297-1996）中无组织排放限值要求</w:t>
            </w:r>
            <w:r>
              <w:rPr>
                <w:rFonts w:hint="eastAsia"/>
                <w:bCs/>
                <w:sz w:val="24"/>
              </w:rPr>
              <w:t>，</w:t>
            </w:r>
            <w:r>
              <w:rPr>
                <w:kern w:val="0"/>
                <w:sz w:val="24"/>
              </w:rPr>
              <w:t>详</w:t>
            </w:r>
            <w:r>
              <w:rPr>
                <w:rFonts w:hint="eastAsia"/>
                <w:kern w:val="0"/>
                <w:sz w:val="24"/>
              </w:rPr>
              <w:t>见下表。</w:t>
            </w:r>
          </w:p>
          <w:p>
            <w:pPr>
              <w:pStyle w:val="23"/>
              <w:ind w:left="0" w:firstLine="0"/>
              <w:rPr>
                <w:u w:val="none"/>
              </w:rPr>
            </w:pPr>
            <w:r>
              <w:rPr>
                <w:u w:val="none"/>
              </w:rPr>
              <w:t>大气污染物综合排放标准</w:t>
            </w:r>
          </w:p>
          <w:tbl>
            <w:tblPr>
              <w:tblStyle w:val="19"/>
              <w:tblW w:w="8173" w:type="dxa"/>
              <w:tblInd w:w="6"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2068"/>
              <w:gridCol w:w="3240"/>
              <w:gridCol w:w="2865"/>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068" w:type="dxa"/>
                  <w:vMerge w:val="restart"/>
                  <w:tcBorders>
                    <w:tl2br w:val="nil"/>
                    <w:tr2bl w:val="nil"/>
                  </w:tcBorders>
                  <w:vAlign w:val="center"/>
                </w:tcPr>
                <w:p>
                  <w:pPr>
                    <w:ind w:firstLine="482"/>
                    <w:jc w:val="center"/>
                    <w:rPr>
                      <w:b/>
                      <w:bCs/>
                    </w:rPr>
                  </w:pPr>
                  <w:r>
                    <w:rPr>
                      <w:b/>
                      <w:bCs/>
                    </w:rPr>
                    <w:t>污染物</w:t>
                  </w:r>
                </w:p>
              </w:tc>
              <w:tc>
                <w:tcPr>
                  <w:tcW w:w="6105" w:type="dxa"/>
                  <w:gridSpan w:val="2"/>
                  <w:tcBorders>
                    <w:tl2br w:val="nil"/>
                    <w:tr2bl w:val="nil"/>
                  </w:tcBorders>
                  <w:vAlign w:val="center"/>
                </w:tcPr>
                <w:p>
                  <w:pPr>
                    <w:ind w:firstLine="482"/>
                    <w:jc w:val="center"/>
                    <w:rPr>
                      <w:b/>
                      <w:bCs/>
                    </w:rPr>
                  </w:pPr>
                  <w:r>
                    <w:rPr>
                      <w:b/>
                      <w:bCs/>
                    </w:rPr>
                    <w:t>无组织排放监控浓度限值</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068" w:type="dxa"/>
                  <w:vMerge w:val="continue"/>
                  <w:tcBorders>
                    <w:tl2br w:val="nil"/>
                    <w:tr2bl w:val="nil"/>
                  </w:tcBorders>
                  <w:vAlign w:val="center"/>
                </w:tcPr>
                <w:p>
                  <w:pPr>
                    <w:ind w:firstLine="482"/>
                    <w:jc w:val="center"/>
                    <w:rPr>
                      <w:b/>
                      <w:bCs/>
                    </w:rPr>
                  </w:pPr>
                </w:p>
              </w:tc>
              <w:tc>
                <w:tcPr>
                  <w:tcW w:w="3240" w:type="dxa"/>
                  <w:tcBorders>
                    <w:tl2br w:val="nil"/>
                    <w:tr2bl w:val="nil"/>
                  </w:tcBorders>
                  <w:vAlign w:val="center"/>
                </w:tcPr>
                <w:p>
                  <w:pPr>
                    <w:ind w:firstLine="482"/>
                    <w:jc w:val="center"/>
                    <w:rPr>
                      <w:b/>
                      <w:bCs/>
                    </w:rPr>
                  </w:pPr>
                  <w:r>
                    <w:rPr>
                      <w:b/>
                      <w:bCs/>
                    </w:rPr>
                    <w:t>监控点</w:t>
                  </w:r>
                </w:p>
              </w:tc>
              <w:tc>
                <w:tcPr>
                  <w:tcW w:w="2865" w:type="dxa"/>
                  <w:tcBorders>
                    <w:tl2br w:val="nil"/>
                    <w:tr2bl w:val="nil"/>
                  </w:tcBorders>
                  <w:vAlign w:val="center"/>
                </w:tcPr>
                <w:p>
                  <w:pPr>
                    <w:ind w:firstLine="458"/>
                    <w:jc w:val="center"/>
                    <w:rPr>
                      <w:b/>
                      <w:bCs/>
                      <w:spacing w:val="-6"/>
                    </w:rPr>
                  </w:pPr>
                  <w:r>
                    <w:rPr>
                      <w:b/>
                      <w:bCs/>
                      <w:spacing w:val="-6"/>
                    </w:rPr>
                    <w:t>浓度（mg/m</w:t>
                  </w:r>
                  <w:r>
                    <w:rPr>
                      <w:b/>
                      <w:bCs/>
                      <w:spacing w:val="-6"/>
                      <w:vertAlign w:val="superscript"/>
                    </w:rPr>
                    <w:t>3</w:t>
                  </w:r>
                  <w:r>
                    <w:rPr>
                      <w:b/>
                      <w:bCs/>
                      <w:spacing w:val="-6"/>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068" w:type="dxa"/>
                  <w:tcBorders>
                    <w:tl2br w:val="nil"/>
                    <w:tr2bl w:val="nil"/>
                  </w:tcBorders>
                  <w:vAlign w:val="center"/>
                </w:tcPr>
                <w:p>
                  <w:pPr>
                    <w:jc w:val="center"/>
                  </w:pPr>
                  <w:r>
                    <w:rPr>
                      <w:rFonts w:hint="eastAsia"/>
                    </w:rPr>
                    <w:t>颗粒物</w:t>
                  </w:r>
                </w:p>
              </w:tc>
              <w:tc>
                <w:tcPr>
                  <w:tcW w:w="3240" w:type="dxa"/>
                  <w:tcBorders>
                    <w:tl2br w:val="nil"/>
                    <w:tr2bl w:val="nil"/>
                  </w:tcBorders>
                  <w:vAlign w:val="center"/>
                </w:tcPr>
                <w:p>
                  <w:pPr>
                    <w:jc w:val="center"/>
                  </w:pPr>
                  <w:r>
                    <w:t>周界外浓度最高点</w:t>
                  </w:r>
                </w:p>
              </w:tc>
              <w:tc>
                <w:tcPr>
                  <w:tcW w:w="2865" w:type="dxa"/>
                  <w:tcBorders>
                    <w:tl2br w:val="nil"/>
                    <w:tr2bl w:val="nil"/>
                  </w:tcBorders>
                  <w:vAlign w:val="center"/>
                </w:tcPr>
                <w:p>
                  <w:pPr>
                    <w:jc w:val="center"/>
                  </w:pPr>
                  <w:r>
                    <w:rPr>
                      <w:rFonts w:hint="eastAsia"/>
                    </w:rPr>
                    <w:t>1.0</w:t>
                  </w:r>
                </w:p>
              </w:tc>
            </w:tr>
          </w:tbl>
          <w:p>
            <w:pPr>
              <w:spacing w:beforeLines="50" w:line="360" w:lineRule="auto"/>
              <w:ind w:firstLine="482" w:firstLineChars="200"/>
              <w:rPr>
                <w:b/>
                <w:bCs/>
                <w:kern w:val="0"/>
                <w:sz w:val="24"/>
              </w:rPr>
            </w:pPr>
            <w:r>
              <w:rPr>
                <w:rFonts w:hint="eastAsia"/>
                <w:b/>
                <w:bCs/>
                <w:kern w:val="0"/>
                <w:sz w:val="24"/>
              </w:rPr>
              <w:t>3、</w:t>
            </w:r>
            <w:r>
              <w:rPr>
                <w:b/>
                <w:bCs/>
                <w:kern w:val="0"/>
                <w:sz w:val="24"/>
              </w:rPr>
              <w:t>噪声</w:t>
            </w:r>
          </w:p>
          <w:p>
            <w:pPr>
              <w:spacing w:line="360" w:lineRule="auto"/>
              <w:ind w:firstLine="480" w:firstLineChars="200"/>
              <w:rPr>
                <w:kern w:val="0"/>
                <w:sz w:val="24"/>
              </w:rPr>
            </w:pPr>
            <w:r>
              <w:rPr>
                <w:rFonts w:hint="eastAsia"/>
                <w:kern w:val="0"/>
                <w:sz w:val="24"/>
              </w:rPr>
              <w:t>（1）</w:t>
            </w:r>
            <w:r>
              <w:rPr>
                <w:kern w:val="0"/>
                <w:sz w:val="24"/>
              </w:rPr>
              <w:t>施工期</w:t>
            </w:r>
          </w:p>
          <w:p>
            <w:pPr>
              <w:spacing w:line="360" w:lineRule="auto"/>
              <w:ind w:firstLine="480" w:firstLineChars="200"/>
              <w:rPr>
                <w:kern w:val="0"/>
                <w:sz w:val="24"/>
              </w:rPr>
            </w:pPr>
            <w:r>
              <w:rPr>
                <w:kern w:val="0"/>
                <w:sz w:val="24"/>
              </w:rPr>
              <w:t>本项目施工期场地噪声执行《建筑施工噪声排放标准》（GB12523-20</w:t>
            </w:r>
            <w:r>
              <w:rPr>
                <w:rFonts w:hint="eastAsia"/>
                <w:kern w:val="0"/>
                <w:sz w:val="24"/>
              </w:rPr>
              <w:t>25</w:t>
            </w:r>
            <w:r>
              <w:rPr>
                <w:kern w:val="0"/>
                <w:sz w:val="24"/>
              </w:rPr>
              <w:t>）中</w:t>
            </w:r>
            <w:r>
              <w:rPr>
                <w:rFonts w:hint="eastAsia"/>
                <w:kern w:val="0"/>
                <w:sz w:val="24"/>
              </w:rPr>
              <w:t>相应标准</w:t>
            </w:r>
            <w:r>
              <w:rPr>
                <w:kern w:val="0"/>
                <w:sz w:val="24"/>
              </w:rPr>
              <w:t>，详见</w:t>
            </w:r>
            <w:r>
              <w:rPr>
                <w:rFonts w:hint="eastAsia"/>
                <w:kern w:val="0"/>
                <w:sz w:val="24"/>
              </w:rPr>
              <w:t>下表。</w:t>
            </w:r>
          </w:p>
          <w:p>
            <w:pPr>
              <w:pStyle w:val="23"/>
              <w:ind w:left="0" w:firstLine="0"/>
              <w:rPr>
                <w:u w:val="none"/>
              </w:rPr>
            </w:pPr>
            <w:r>
              <w:rPr>
                <w:u w:val="none"/>
              </w:rPr>
              <w:t xml:space="preserve">建筑施工噪声排放标准  </w:t>
            </w:r>
            <w:r>
              <w:rPr>
                <w:rFonts w:hint="eastAsia"/>
                <w:u w:val="none"/>
              </w:rPr>
              <w:t xml:space="preserve">  </w:t>
            </w:r>
            <w:r>
              <w:rPr>
                <w:u w:val="none"/>
              </w:rPr>
              <w:t>单位：dB(A)</w:t>
            </w:r>
          </w:p>
          <w:tbl>
            <w:tblPr>
              <w:tblStyle w:val="19"/>
              <w:tblW w:w="8072"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310"/>
              <w:gridCol w:w="1313"/>
              <w:gridCol w:w="5449"/>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310" w:type="dxa"/>
                  <w:vAlign w:val="center"/>
                </w:tcPr>
                <w:p>
                  <w:pPr>
                    <w:adjustRightInd w:val="0"/>
                    <w:snapToGrid w:val="0"/>
                    <w:ind w:firstLine="482"/>
                    <w:jc w:val="center"/>
                    <w:rPr>
                      <w:b/>
                      <w:bCs/>
                      <w:szCs w:val="21"/>
                    </w:rPr>
                  </w:pPr>
                  <w:r>
                    <w:rPr>
                      <w:b/>
                      <w:bCs/>
                      <w:szCs w:val="21"/>
                    </w:rPr>
                    <w:t>昼间</w:t>
                  </w:r>
                </w:p>
              </w:tc>
              <w:tc>
                <w:tcPr>
                  <w:tcW w:w="1313" w:type="dxa"/>
                  <w:vAlign w:val="center"/>
                </w:tcPr>
                <w:p>
                  <w:pPr>
                    <w:adjustRightInd w:val="0"/>
                    <w:snapToGrid w:val="0"/>
                    <w:ind w:firstLine="482"/>
                    <w:jc w:val="center"/>
                    <w:rPr>
                      <w:b/>
                      <w:bCs/>
                      <w:szCs w:val="21"/>
                    </w:rPr>
                  </w:pPr>
                  <w:r>
                    <w:rPr>
                      <w:b/>
                      <w:bCs/>
                      <w:szCs w:val="21"/>
                    </w:rPr>
                    <w:t>夜间</w:t>
                  </w:r>
                </w:p>
              </w:tc>
              <w:tc>
                <w:tcPr>
                  <w:tcW w:w="5449" w:type="dxa"/>
                  <w:vAlign w:val="center"/>
                </w:tcPr>
                <w:p>
                  <w:pPr>
                    <w:adjustRightInd w:val="0"/>
                    <w:snapToGrid w:val="0"/>
                    <w:ind w:firstLine="482"/>
                    <w:jc w:val="center"/>
                    <w:rPr>
                      <w:b/>
                      <w:bCs/>
                      <w:szCs w:val="21"/>
                    </w:rPr>
                  </w:pPr>
                  <w:r>
                    <w:rPr>
                      <w:b/>
                      <w:bCs/>
                      <w:szCs w:val="21"/>
                    </w:rPr>
                    <w:t>标准来源</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0" w:type="dxa"/>
                  <w:vAlign w:val="center"/>
                </w:tcPr>
                <w:p>
                  <w:pPr>
                    <w:adjustRightInd w:val="0"/>
                    <w:snapToGrid w:val="0"/>
                    <w:jc w:val="center"/>
                    <w:rPr>
                      <w:szCs w:val="21"/>
                    </w:rPr>
                  </w:pPr>
                  <w:r>
                    <w:rPr>
                      <w:szCs w:val="21"/>
                    </w:rPr>
                    <w:t>70</w:t>
                  </w:r>
                </w:p>
              </w:tc>
              <w:tc>
                <w:tcPr>
                  <w:tcW w:w="1313" w:type="dxa"/>
                  <w:vAlign w:val="center"/>
                </w:tcPr>
                <w:p>
                  <w:pPr>
                    <w:adjustRightInd w:val="0"/>
                    <w:snapToGrid w:val="0"/>
                    <w:jc w:val="center"/>
                    <w:rPr>
                      <w:szCs w:val="21"/>
                    </w:rPr>
                  </w:pPr>
                  <w:r>
                    <w:rPr>
                      <w:szCs w:val="21"/>
                    </w:rPr>
                    <w:t>55</w:t>
                  </w:r>
                </w:p>
              </w:tc>
              <w:tc>
                <w:tcPr>
                  <w:tcW w:w="5449" w:type="dxa"/>
                  <w:vAlign w:val="center"/>
                </w:tcPr>
                <w:p>
                  <w:pPr>
                    <w:adjustRightInd w:val="0"/>
                    <w:snapToGrid w:val="0"/>
                    <w:jc w:val="center"/>
                    <w:rPr>
                      <w:szCs w:val="21"/>
                    </w:rPr>
                  </w:pPr>
                  <w:r>
                    <w:rPr>
                      <w:szCs w:val="21"/>
                    </w:rPr>
                    <w:t>《建筑施工噪声排放标准》（GB12523-20</w:t>
                  </w:r>
                  <w:r>
                    <w:rPr>
                      <w:rFonts w:hint="eastAsia"/>
                      <w:szCs w:val="21"/>
                    </w:rPr>
                    <w:t>25</w:t>
                  </w:r>
                  <w:r>
                    <w:rPr>
                      <w:szCs w:val="21"/>
                    </w:rPr>
                    <w:t>）中</w:t>
                  </w:r>
                  <w:r>
                    <w:rPr>
                      <w:rFonts w:hint="eastAsia"/>
                      <w:szCs w:val="21"/>
                    </w:rPr>
                    <w:t>“</w:t>
                  </w:r>
                  <w:r>
                    <w:rPr>
                      <w:szCs w:val="21"/>
                    </w:rPr>
                    <w:t>表1 建筑施工场界噪声排放限值</w:t>
                  </w:r>
                  <w:r>
                    <w:rPr>
                      <w:rFonts w:hint="eastAsia"/>
                      <w:szCs w:val="21"/>
                    </w:rPr>
                    <w:t>”</w:t>
                  </w:r>
                  <w:r>
                    <w:rPr>
                      <w:szCs w:val="21"/>
                    </w:rPr>
                    <w:t>要求</w:t>
                  </w:r>
                </w:p>
              </w:tc>
            </w:tr>
          </w:tbl>
          <w:p>
            <w:pPr>
              <w:spacing w:beforeLines="50" w:line="360" w:lineRule="auto"/>
              <w:ind w:firstLine="480" w:firstLineChars="200"/>
              <w:rPr>
                <w:kern w:val="0"/>
                <w:sz w:val="24"/>
              </w:rPr>
            </w:pPr>
            <w:r>
              <w:rPr>
                <w:rFonts w:hint="eastAsia"/>
                <w:kern w:val="0"/>
                <w:sz w:val="24"/>
              </w:rPr>
              <w:t>（2）</w:t>
            </w:r>
            <w:r>
              <w:rPr>
                <w:kern w:val="0"/>
                <w:sz w:val="24"/>
              </w:rPr>
              <w:t>运营期</w:t>
            </w:r>
          </w:p>
          <w:p>
            <w:pPr>
              <w:spacing w:line="360" w:lineRule="auto"/>
              <w:ind w:firstLine="480" w:firstLineChars="200"/>
              <w:rPr>
                <w:kern w:val="0"/>
                <w:sz w:val="24"/>
              </w:rPr>
            </w:pPr>
            <w:r>
              <w:rPr>
                <w:rFonts w:hint="eastAsia"/>
                <w:kern w:val="0"/>
                <w:sz w:val="24"/>
                <w:u w:val="single"/>
              </w:rPr>
              <w:t>根据企业现有环评批复可知，项目所在区域为2类声环境功能区，</w:t>
            </w:r>
            <w:r>
              <w:rPr>
                <w:kern w:val="0"/>
                <w:sz w:val="24"/>
                <w:u w:val="single"/>
              </w:rPr>
              <w:t>项目</w:t>
            </w:r>
            <w:r>
              <w:rPr>
                <w:rFonts w:hint="eastAsia"/>
                <w:kern w:val="0"/>
                <w:sz w:val="24"/>
                <w:u w:val="single"/>
              </w:rPr>
              <w:t>运营期</w:t>
            </w:r>
            <w:r>
              <w:rPr>
                <w:kern w:val="0"/>
                <w:sz w:val="24"/>
                <w:u w:val="single"/>
              </w:rPr>
              <w:t>厂界噪声排放限值采用《工业企业厂界环境噪声排放标准》（GB12348-2008）中</w:t>
            </w:r>
            <w:r>
              <w:rPr>
                <w:rFonts w:hint="eastAsia"/>
                <w:kern w:val="0"/>
                <w:sz w:val="24"/>
                <w:u w:val="single"/>
              </w:rPr>
              <w:t>2类</w:t>
            </w:r>
            <w:r>
              <w:rPr>
                <w:kern w:val="0"/>
                <w:sz w:val="24"/>
                <w:u w:val="single"/>
              </w:rPr>
              <w:t>排放标准要求</w:t>
            </w:r>
            <w:r>
              <w:rPr>
                <w:rFonts w:hint="eastAsia"/>
                <w:kern w:val="0"/>
                <w:sz w:val="24"/>
                <w:u w:val="single"/>
              </w:rPr>
              <w:t>，项目周围敏感目标处噪声采用《声环境质量标准》（GB3096-2008）中2类区标准。</w:t>
            </w:r>
            <w:r>
              <w:rPr>
                <w:kern w:val="0"/>
                <w:sz w:val="24"/>
              </w:rPr>
              <w:t>标准值详见</w:t>
            </w:r>
            <w:r>
              <w:rPr>
                <w:rFonts w:hint="eastAsia"/>
                <w:kern w:val="0"/>
                <w:sz w:val="24"/>
              </w:rPr>
              <w:t>下表。</w:t>
            </w:r>
          </w:p>
          <w:p>
            <w:pPr>
              <w:pStyle w:val="23"/>
              <w:ind w:left="0" w:firstLine="0"/>
              <w:rPr>
                <w:u w:val="none"/>
              </w:rPr>
            </w:pPr>
            <w:r>
              <w:rPr>
                <w:u w:val="none"/>
              </w:rPr>
              <w:t xml:space="preserve">工业企业厂界环境噪声排放标准  </w:t>
            </w:r>
            <w:r>
              <w:rPr>
                <w:rFonts w:hint="eastAsia"/>
                <w:u w:val="none"/>
              </w:rPr>
              <w:t xml:space="preserve">  </w:t>
            </w:r>
            <w:r>
              <w:rPr>
                <w:u w:val="none"/>
              </w:rPr>
              <w:t>单位：dB(A)</w:t>
            </w:r>
          </w:p>
          <w:tbl>
            <w:tblPr>
              <w:tblStyle w:val="19"/>
              <w:tblW w:w="7849" w:type="dxa"/>
              <w:jc w:val="center"/>
              <w:tblBorders>
                <w:top w:val="single" w:color="auto" w:sz="12" w:space="0"/>
                <w:left w:val="none" w:color="auto" w:sz="0" w:space="0"/>
                <w:bottom w:val="single" w:color="000000"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331"/>
              <w:gridCol w:w="1625"/>
              <w:gridCol w:w="1625"/>
              <w:gridCol w:w="3268"/>
            </w:tblGrid>
            <w:tr>
              <w:tblPrEx>
                <w:tblBorders>
                  <w:top w:val="single" w:color="auto" w:sz="12" w:space="0"/>
                  <w:left w:val="none" w:color="auto" w:sz="0" w:space="0"/>
                  <w:bottom w:val="single" w:color="000000"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331" w:type="dxa"/>
                  <w:vMerge w:val="restart"/>
                  <w:tcBorders>
                    <w:top w:val="single" w:color="auto" w:sz="12" w:space="0"/>
                    <w:bottom w:val="single" w:color="auto" w:sz="4" w:space="0"/>
                    <w:right w:val="single" w:color="auto" w:sz="4" w:space="0"/>
                  </w:tcBorders>
                  <w:vAlign w:val="center"/>
                </w:tcPr>
                <w:p>
                  <w:pPr>
                    <w:ind w:firstLine="482"/>
                    <w:jc w:val="center"/>
                    <w:rPr>
                      <w:b/>
                      <w:bCs/>
                      <w:szCs w:val="21"/>
                    </w:rPr>
                  </w:pPr>
                  <w:r>
                    <w:rPr>
                      <w:b/>
                      <w:bCs/>
                      <w:szCs w:val="21"/>
                    </w:rPr>
                    <w:t>类别</w:t>
                  </w:r>
                </w:p>
              </w:tc>
              <w:tc>
                <w:tcPr>
                  <w:tcW w:w="3250" w:type="dxa"/>
                  <w:gridSpan w:val="2"/>
                  <w:tcBorders>
                    <w:top w:val="single" w:color="auto" w:sz="12" w:space="0"/>
                    <w:left w:val="single" w:color="auto" w:sz="4" w:space="0"/>
                    <w:bottom w:val="single" w:color="auto" w:sz="4" w:space="0"/>
                    <w:right w:val="single" w:color="auto" w:sz="4" w:space="0"/>
                  </w:tcBorders>
                  <w:vAlign w:val="center"/>
                </w:tcPr>
                <w:p>
                  <w:pPr>
                    <w:ind w:firstLine="482"/>
                    <w:jc w:val="center"/>
                    <w:rPr>
                      <w:b/>
                      <w:bCs/>
                      <w:szCs w:val="21"/>
                    </w:rPr>
                  </w:pPr>
                  <w:r>
                    <w:rPr>
                      <w:b/>
                      <w:bCs/>
                      <w:szCs w:val="21"/>
                    </w:rPr>
                    <w:t>标准值</w:t>
                  </w:r>
                </w:p>
              </w:tc>
              <w:tc>
                <w:tcPr>
                  <w:tcW w:w="3268" w:type="dxa"/>
                  <w:vMerge w:val="restart"/>
                  <w:tcBorders>
                    <w:top w:val="single" w:color="auto" w:sz="12" w:space="0"/>
                    <w:left w:val="single" w:color="auto" w:sz="4" w:space="0"/>
                    <w:bottom w:val="single" w:color="auto" w:sz="4" w:space="0"/>
                  </w:tcBorders>
                  <w:vAlign w:val="center"/>
                </w:tcPr>
                <w:p>
                  <w:pPr>
                    <w:ind w:firstLine="482"/>
                    <w:jc w:val="center"/>
                    <w:rPr>
                      <w:b/>
                      <w:bCs/>
                      <w:szCs w:val="21"/>
                    </w:rPr>
                  </w:pPr>
                  <w:r>
                    <w:rPr>
                      <w:b/>
                      <w:bCs/>
                      <w:szCs w:val="21"/>
                    </w:rPr>
                    <w:t>标准来源</w:t>
                  </w:r>
                </w:p>
              </w:tc>
            </w:tr>
            <w:tr>
              <w:tblPrEx>
                <w:tblBorders>
                  <w:top w:val="single" w:color="auto" w:sz="12" w:space="0"/>
                  <w:left w:val="none" w:color="auto" w:sz="0" w:space="0"/>
                  <w:bottom w:val="single" w:color="000000"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331" w:type="dxa"/>
                  <w:vMerge w:val="continue"/>
                  <w:tcBorders>
                    <w:top w:val="single" w:color="auto" w:sz="4" w:space="0"/>
                    <w:bottom w:val="single" w:color="auto" w:sz="4" w:space="0"/>
                    <w:right w:val="single" w:color="auto" w:sz="4" w:space="0"/>
                  </w:tcBorders>
                  <w:vAlign w:val="center"/>
                </w:tcPr>
                <w:p>
                  <w:pPr>
                    <w:jc w:val="center"/>
                    <w:rPr>
                      <w:szCs w:val="21"/>
                    </w:rPr>
                  </w:pPr>
                </w:p>
              </w:tc>
              <w:tc>
                <w:tcPr>
                  <w:tcW w:w="1625" w:type="dxa"/>
                  <w:tcBorders>
                    <w:top w:val="single" w:color="auto" w:sz="4" w:space="0"/>
                    <w:left w:val="single" w:color="auto" w:sz="4" w:space="0"/>
                    <w:bottom w:val="single" w:color="auto" w:sz="4" w:space="0"/>
                    <w:right w:val="single" w:color="auto" w:sz="4" w:space="0"/>
                  </w:tcBorders>
                  <w:vAlign w:val="center"/>
                </w:tcPr>
                <w:p>
                  <w:pPr>
                    <w:ind w:firstLine="482"/>
                    <w:jc w:val="center"/>
                    <w:rPr>
                      <w:b/>
                      <w:bCs/>
                      <w:szCs w:val="21"/>
                    </w:rPr>
                  </w:pPr>
                  <w:r>
                    <w:rPr>
                      <w:b/>
                      <w:bCs/>
                      <w:szCs w:val="21"/>
                    </w:rPr>
                    <w:t>昼间</w:t>
                  </w:r>
                </w:p>
              </w:tc>
              <w:tc>
                <w:tcPr>
                  <w:tcW w:w="1625" w:type="dxa"/>
                  <w:tcBorders>
                    <w:top w:val="single" w:color="auto" w:sz="4" w:space="0"/>
                    <w:left w:val="single" w:color="auto" w:sz="4" w:space="0"/>
                    <w:bottom w:val="single" w:color="auto" w:sz="4" w:space="0"/>
                    <w:right w:val="single" w:color="auto" w:sz="4" w:space="0"/>
                  </w:tcBorders>
                  <w:vAlign w:val="center"/>
                </w:tcPr>
                <w:p>
                  <w:pPr>
                    <w:ind w:firstLine="482"/>
                    <w:jc w:val="center"/>
                    <w:rPr>
                      <w:b/>
                      <w:bCs/>
                      <w:szCs w:val="21"/>
                    </w:rPr>
                  </w:pPr>
                  <w:r>
                    <w:rPr>
                      <w:b/>
                      <w:bCs/>
                      <w:szCs w:val="21"/>
                    </w:rPr>
                    <w:t>夜间</w:t>
                  </w:r>
                </w:p>
              </w:tc>
              <w:tc>
                <w:tcPr>
                  <w:tcW w:w="3268" w:type="dxa"/>
                  <w:vMerge w:val="continue"/>
                  <w:tcBorders>
                    <w:top w:val="single" w:color="auto" w:sz="4" w:space="0"/>
                    <w:left w:val="single" w:color="auto" w:sz="4" w:space="0"/>
                    <w:bottom w:val="single" w:color="auto" w:sz="4" w:space="0"/>
                  </w:tcBorders>
                  <w:vAlign w:val="center"/>
                </w:tcPr>
                <w:p>
                  <w:pPr>
                    <w:jc w:val="center"/>
                    <w:rPr>
                      <w:szCs w:val="21"/>
                    </w:rPr>
                  </w:pPr>
                </w:p>
              </w:tc>
            </w:tr>
            <w:tr>
              <w:tblPrEx>
                <w:tblBorders>
                  <w:top w:val="single" w:color="auto" w:sz="12" w:space="0"/>
                  <w:left w:val="none" w:color="auto" w:sz="0" w:space="0"/>
                  <w:bottom w:val="single" w:color="000000"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31" w:type="dxa"/>
                  <w:tcBorders>
                    <w:top w:val="single" w:color="auto" w:sz="4" w:space="0"/>
                    <w:bottom w:val="single" w:color="auto" w:sz="4" w:space="0"/>
                    <w:right w:val="single" w:color="auto" w:sz="4" w:space="0"/>
                  </w:tcBorders>
                  <w:vAlign w:val="center"/>
                </w:tcPr>
                <w:p>
                  <w:pPr>
                    <w:jc w:val="center"/>
                    <w:rPr>
                      <w:szCs w:val="21"/>
                    </w:rPr>
                  </w:pPr>
                  <w:r>
                    <w:rPr>
                      <w:rFonts w:hint="eastAsia"/>
                      <w:szCs w:val="21"/>
                    </w:rPr>
                    <w:t>2类</w:t>
                  </w:r>
                </w:p>
              </w:tc>
              <w:tc>
                <w:tcPr>
                  <w:tcW w:w="1625" w:type="dxa"/>
                  <w:tcBorders>
                    <w:top w:val="single" w:color="auto" w:sz="4" w:space="0"/>
                    <w:left w:val="single" w:color="auto" w:sz="4" w:space="0"/>
                    <w:bottom w:val="single" w:color="auto" w:sz="4" w:space="0"/>
                    <w:right w:val="single" w:color="auto" w:sz="4" w:space="0"/>
                  </w:tcBorders>
                  <w:vAlign w:val="center"/>
                </w:tcPr>
                <w:p>
                  <w:pPr>
                    <w:jc w:val="center"/>
                    <w:rPr>
                      <w:szCs w:val="21"/>
                    </w:rPr>
                  </w:pPr>
                  <w:r>
                    <w:rPr>
                      <w:rFonts w:hint="eastAsia"/>
                      <w:szCs w:val="21"/>
                    </w:rPr>
                    <w:t>60</w:t>
                  </w:r>
                </w:p>
              </w:tc>
              <w:tc>
                <w:tcPr>
                  <w:tcW w:w="1625" w:type="dxa"/>
                  <w:tcBorders>
                    <w:top w:val="single" w:color="auto" w:sz="4" w:space="0"/>
                    <w:left w:val="single" w:color="auto" w:sz="4" w:space="0"/>
                    <w:bottom w:val="single" w:color="auto" w:sz="4" w:space="0"/>
                    <w:right w:val="single" w:color="auto" w:sz="4" w:space="0"/>
                  </w:tcBorders>
                  <w:vAlign w:val="center"/>
                </w:tcPr>
                <w:p>
                  <w:pPr>
                    <w:jc w:val="center"/>
                    <w:rPr>
                      <w:szCs w:val="21"/>
                    </w:rPr>
                  </w:pPr>
                  <w:r>
                    <w:rPr>
                      <w:rFonts w:hint="eastAsia"/>
                      <w:szCs w:val="21"/>
                    </w:rPr>
                    <w:t>50</w:t>
                  </w:r>
                </w:p>
              </w:tc>
              <w:tc>
                <w:tcPr>
                  <w:tcW w:w="3268" w:type="dxa"/>
                  <w:tcBorders>
                    <w:top w:val="single" w:color="auto" w:sz="4" w:space="0"/>
                    <w:left w:val="single" w:color="auto" w:sz="4" w:space="0"/>
                    <w:bottom w:val="single" w:color="auto" w:sz="4" w:space="0"/>
                  </w:tcBorders>
                  <w:vAlign w:val="center"/>
                </w:tcPr>
                <w:p>
                  <w:pPr>
                    <w:widowControl/>
                    <w:jc w:val="center"/>
                    <w:rPr>
                      <w:szCs w:val="21"/>
                    </w:rPr>
                  </w:pPr>
                  <w:r>
                    <w:rPr>
                      <w:szCs w:val="21"/>
                    </w:rPr>
                    <w:t>GB12348-2008</w:t>
                  </w:r>
                </w:p>
              </w:tc>
            </w:tr>
            <w:tr>
              <w:tblPrEx>
                <w:tblBorders>
                  <w:top w:val="single" w:color="auto" w:sz="12" w:space="0"/>
                  <w:left w:val="none" w:color="auto" w:sz="0" w:space="0"/>
                  <w:bottom w:val="single" w:color="000000"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31" w:type="dxa"/>
                  <w:tcBorders>
                    <w:top w:val="single" w:color="auto" w:sz="4" w:space="0"/>
                    <w:bottom w:val="single" w:color="auto" w:sz="12" w:space="0"/>
                    <w:right w:val="single" w:color="auto" w:sz="4" w:space="0"/>
                  </w:tcBorders>
                  <w:vAlign w:val="center"/>
                </w:tcPr>
                <w:p>
                  <w:pPr>
                    <w:jc w:val="center"/>
                    <w:rPr>
                      <w:szCs w:val="21"/>
                    </w:rPr>
                  </w:pPr>
                  <w:r>
                    <w:rPr>
                      <w:rFonts w:hint="eastAsia"/>
                      <w:szCs w:val="21"/>
                    </w:rPr>
                    <w:t>2类区</w:t>
                  </w:r>
                </w:p>
              </w:tc>
              <w:tc>
                <w:tcPr>
                  <w:tcW w:w="1625" w:type="dxa"/>
                  <w:tcBorders>
                    <w:top w:val="single" w:color="auto" w:sz="4" w:space="0"/>
                    <w:left w:val="single" w:color="auto" w:sz="4" w:space="0"/>
                    <w:bottom w:val="single" w:color="auto" w:sz="12" w:space="0"/>
                    <w:right w:val="single" w:color="auto" w:sz="4" w:space="0"/>
                  </w:tcBorders>
                  <w:vAlign w:val="center"/>
                </w:tcPr>
                <w:p>
                  <w:pPr>
                    <w:jc w:val="center"/>
                    <w:rPr>
                      <w:szCs w:val="21"/>
                    </w:rPr>
                  </w:pPr>
                  <w:r>
                    <w:rPr>
                      <w:rFonts w:hint="eastAsia"/>
                      <w:szCs w:val="21"/>
                    </w:rPr>
                    <w:t>60</w:t>
                  </w:r>
                </w:p>
              </w:tc>
              <w:tc>
                <w:tcPr>
                  <w:tcW w:w="1625" w:type="dxa"/>
                  <w:tcBorders>
                    <w:top w:val="single" w:color="auto" w:sz="4" w:space="0"/>
                    <w:left w:val="single" w:color="auto" w:sz="4" w:space="0"/>
                    <w:bottom w:val="single" w:color="auto" w:sz="12" w:space="0"/>
                    <w:right w:val="single" w:color="auto" w:sz="4" w:space="0"/>
                  </w:tcBorders>
                  <w:vAlign w:val="center"/>
                </w:tcPr>
                <w:p>
                  <w:pPr>
                    <w:jc w:val="center"/>
                    <w:rPr>
                      <w:szCs w:val="21"/>
                    </w:rPr>
                  </w:pPr>
                  <w:r>
                    <w:rPr>
                      <w:rFonts w:hint="eastAsia"/>
                      <w:szCs w:val="21"/>
                    </w:rPr>
                    <w:t>50</w:t>
                  </w:r>
                </w:p>
              </w:tc>
              <w:tc>
                <w:tcPr>
                  <w:tcW w:w="3268" w:type="dxa"/>
                  <w:tcBorders>
                    <w:top w:val="single" w:color="auto" w:sz="4" w:space="0"/>
                    <w:left w:val="single" w:color="auto" w:sz="4" w:space="0"/>
                    <w:bottom w:val="single" w:color="auto" w:sz="12" w:space="0"/>
                  </w:tcBorders>
                  <w:vAlign w:val="center"/>
                </w:tcPr>
                <w:p>
                  <w:pPr>
                    <w:widowControl/>
                    <w:jc w:val="center"/>
                    <w:rPr>
                      <w:szCs w:val="21"/>
                    </w:rPr>
                  </w:pPr>
                  <w:r>
                    <w:rPr>
                      <w:rFonts w:hint="eastAsia"/>
                      <w:szCs w:val="21"/>
                    </w:rPr>
                    <w:t>GB3096-2008</w:t>
                  </w:r>
                </w:p>
              </w:tc>
            </w:tr>
          </w:tbl>
          <w:p>
            <w:pPr>
              <w:spacing w:beforeLines="50" w:line="360" w:lineRule="auto"/>
              <w:ind w:firstLine="482" w:firstLineChars="200"/>
              <w:rPr>
                <w:b/>
                <w:bCs/>
                <w:kern w:val="0"/>
                <w:sz w:val="24"/>
              </w:rPr>
            </w:pPr>
            <w:r>
              <w:rPr>
                <w:b/>
                <w:bCs/>
                <w:kern w:val="0"/>
                <w:sz w:val="24"/>
              </w:rPr>
              <w:t>4、固体废物</w:t>
            </w:r>
          </w:p>
          <w:p>
            <w:pPr>
              <w:spacing w:beforeLines="50" w:line="360" w:lineRule="auto"/>
              <w:ind w:firstLine="480" w:firstLineChars="200"/>
              <w:rPr>
                <w:rFonts w:ascii="宋体" w:hAnsi="宋体" w:cs="宋体"/>
                <w:kern w:val="0"/>
                <w:szCs w:val="21"/>
              </w:rPr>
            </w:pPr>
            <w:r>
              <w:rPr>
                <w:kern w:val="0"/>
                <w:sz w:val="24"/>
              </w:rPr>
              <w:t>本项目固体废物应执行《一般工业固体废物贮存和填埋污染控制标准》（GB18599-2020）</w:t>
            </w:r>
            <w:r>
              <w:rPr>
                <w:rFonts w:hint="eastAsia"/>
                <w:kern w:val="0"/>
                <w:sz w:val="24"/>
              </w:rPr>
              <w:t>、《危险废物贮存污染控制标准》（GB18597-2023）</w:t>
            </w:r>
            <w:r>
              <w:rPr>
                <w:kern w:val="0"/>
                <w:sz w:val="24"/>
              </w:rPr>
              <w:t>等相关规定</w:t>
            </w:r>
            <w:r>
              <w:rPr>
                <w:rFonts w:hint="eastAsia"/>
                <w:kern w:val="0"/>
                <w:sz w:val="24"/>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27" w:hRule="atLeast"/>
        </w:trPr>
        <w:tc>
          <w:tcPr>
            <w:tcW w:w="770" w:type="dxa"/>
            <w:tcMar>
              <w:left w:w="28" w:type="dxa"/>
              <w:right w:w="28" w:type="dxa"/>
            </w:tcMar>
            <w:vAlign w:val="center"/>
          </w:tcPr>
          <w:p>
            <w:pPr>
              <w:adjustRightInd w:val="0"/>
              <w:snapToGrid w:val="0"/>
              <w:jc w:val="center"/>
              <w:rPr>
                <w:rFonts w:ascii="宋体" w:hAnsi="宋体" w:cs="宋体"/>
                <w:kern w:val="0"/>
                <w:szCs w:val="21"/>
              </w:rPr>
            </w:pPr>
            <w:r>
              <w:rPr>
                <w:rFonts w:hint="eastAsia" w:ascii="宋体" w:hAnsi="宋体" w:cs="宋体"/>
                <w:kern w:val="0"/>
                <w:szCs w:val="21"/>
              </w:rPr>
              <w:t>总量</w:t>
            </w:r>
          </w:p>
          <w:p>
            <w:pPr>
              <w:adjustRightInd w:val="0"/>
              <w:snapToGrid w:val="0"/>
              <w:jc w:val="center"/>
              <w:rPr>
                <w:rFonts w:ascii="宋体" w:hAnsi="宋体" w:cs="宋体"/>
                <w:kern w:val="0"/>
                <w:szCs w:val="21"/>
              </w:rPr>
            </w:pPr>
            <w:r>
              <w:rPr>
                <w:rFonts w:hint="eastAsia" w:ascii="宋体" w:hAnsi="宋体" w:cs="宋体"/>
                <w:kern w:val="0"/>
                <w:szCs w:val="21"/>
              </w:rPr>
              <w:t>控制</w:t>
            </w:r>
          </w:p>
          <w:p>
            <w:pPr>
              <w:adjustRightInd w:val="0"/>
              <w:snapToGrid w:val="0"/>
              <w:jc w:val="center"/>
              <w:rPr>
                <w:rFonts w:ascii="宋体" w:hAnsi="宋体" w:cs="宋体"/>
                <w:kern w:val="0"/>
                <w:szCs w:val="21"/>
              </w:rPr>
            </w:pPr>
            <w:r>
              <w:rPr>
                <w:rFonts w:hint="eastAsia" w:ascii="宋体" w:hAnsi="宋体" w:cs="宋体"/>
                <w:kern w:val="0"/>
                <w:szCs w:val="21"/>
              </w:rPr>
              <w:t>指标</w:t>
            </w:r>
          </w:p>
        </w:tc>
        <w:tc>
          <w:tcPr>
            <w:tcW w:w="8291" w:type="dxa"/>
            <w:vAlign w:val="center"/>
          </w:tcPr>
          <w:p>
            <w:pPr>
              <w:spacing w:beforeLines="50" w:line="360" w:lineRule="auto"/>
              <w:ind w:firstLine="480" w:firstLineChars="200"/>
              <w:rPr>
                <w:bCs/>
                <w:sz w:val="24"/>
              </w:rPr>
            </w:pPr>
            <w:r>
              <w:rPr>
                <w:rFonts w:hint="eastAsia"/>
                <w:bCs/>
                <w:sz w:val="24"/>
              </w:rPr>
              <w:t>根据吉林省生态环境厅《关于进一步明确建设项目主要污染物排放总量审核有关事宜的复函》，对COD、NH</w:t>
            </w:r>
            <w:r>
              <w:rPr>
                <w:rFonts w:hint="eastAsia"/>
                <w:bCs/>
                <w:sz w:val="24"/>
                <w:vertAlign w:val="subscript"/>
              </w:rPr>
              <w:t>3</w:t>
            </w:r>
            <w:r>
              <w:rPr>
                <w:rFonts w:hint="eastAsia"/>
                <w:bCs/>
                <w:sz w:val="24"/>
              </w:rPr>
              <w:t>-N、SO</w:t>
            </w:r>
            <w:r>
              <w:rPr>
                <w:rFonts w:hint="eastAsia"/>
                <w:bCs/>
                <w:sz w:val="24"/>
                <w:vertAlign w:val="subscript"/>
              </w:rPr>
              <w:t>2</w:t>
            </w:r>
            <w:r>
              <w:rPr>
                <w:rFonts w:hint="eastAsia"/>
                <w:bCs/>
                <w:sz w:val="24"/>
              </w:rPr>
              <w:t>、NO</w:t>
            </w:r>
            <w:r>
              <w:rPr>
                <w:rFonts w:hint="eastAsia"/>
                <w:bCs/>
                <w:sz w:val="24"/>
                <w:vertAlign w:val="subscript"/>
              </w:rPr>
              <w:t>X</w:t>
            </w:r>
            <w:r>
              <w:rPr>
                <w:rFonts w:hint="eastAsia"/>
                <w:bCs/>
                <w:sz w:val="24"/>
              </w:rPr>
              <w:t>、NMHC、烟尘等污染物实施总量控制。根据复函，对建设项目污染物排放总量审核实施分类管理，按照行业排污绩效，将建设项目污染物排放总量分为重点行业排放管理，一般行业排放管理和其他行业排放管理三类管理方式。</w:t>
            </w:r>
          </w:p>
          <w:p>
            <w:pPr>
              <w:spacing w:line="360" w:lineRule="auto"/>
              <w:ind w:firstLine="480" w:firstLineChars="200"/>
              <w:rPr>
                <w:kern w:val="0"/>
                <w:sz w:val="24"/>
              </w:rPr>
            </w:pPr>
            <w:r>
              <w:rPr>
                <w:rFonts w:hint="eastAsia"/>
                <w:kern w:val="0"/>
                <w:sz w:val="24"/>
              </w:rPr>
              <w:t>执行重点行业排放管理的建设项目包括石化、煤化工、燃煤发电、钢铁、有色金属冶炼、建材、造纸制浆、印染、集中供热等行业含有按照《排污许可证申请与核发技术规范》确定的主要排放口的涉及新增污染物排放的建设项目；执行一般行业排放管理的建设项目包括除重点行业外、含有按照《排污许可证申请与核发技术规范》确定的主要排放口的涉及新增污染物排放的建设项目；执行其他行业排放管理的建设项目包括除重点行业外、仅含有按照《排污许可证申请与核发技术规范》确定的一般排放口或无排污口的建设项目。</w:t>
            </w:r>
          </w:p>
          <w:p>
            <w:pPr>
              <w:spacing w:line="360" w:lineRule="auto"/>
              <w:ind w:firstLine="480" w:firstLineChars="200"/>
              <w:rPr>
                <w:bCs/>
                <w:sz w:val="24"/>
              </w:rPr>
            </w:pPr>
            <w:r>
              <w:rPr>
                <w:rFonts w:hint="eastAsia"/>
                <w:kern w:val="0"/>
                <w:sz w:val="24"/>
              </w:rPr>
              <w:t>对照《</w:t>
            </w:r>
            <w:r>
              <w:rPr>
                <w:bCs/>
                <w:sz w:val="24"/>
              </w:rPr>
              <w:t xml:space="preserve">排污许可证申请与核发技术规范 </w:t>
            </w:r>
            <w:r>
              <w:rPr>
                <w:rFonts w:hint="eastAsia"/>
                <w:bCs/>
                <w:sz w:val="24"/>
              </w:rPr>
              <w:t>总则》（HJ642-2018）</w:t>
            </w:r>
            <w:r>
              <w:rPr>
                <w:rFonts w:hint="eastAsia"/>
                <w:kern w:val="0"/>
                <w:sz w:val="24"/>
              </w:rPr>
              <w:t>、</w:t>
            </w:r>
            <w:r>
              <w:rPr>
                <w:bCs/>
                <w:sz w:val="24"/>
              </w:rPr>
              <w:t>《排污许可证申请与核发技术规范 锅炉》（HJ953-2018）</w:t>
            </w:r>
            <w:r>
              <w:rPr>
                <w:rFonts w:hint="eastAsia"/>
                <w:bCs/>
                <w:sz w:val="24"/>
              </w:rPr>
              <w:t>，本项目的污染物排放口类型属于一般排放口，不涉及主要排放口，属于其他行业。其他行业因排污量很少或基本不新增排污量，在环评审批过程中予以豁免主要污染物总量审核。各级环评审批部门应自行建立统计台账，纳入环境管理。</w:t>
            </w:r>
          </w:p>
          <w:p>
            <w:pPr>
              <w:spacing w:line="360" w:lineRule="auto"/>
              <w:ind w:firstLine="480" w:firstLineChars="200"/>
              <w:rPr>
                <w:bCs/>
                <w:sz w:val="24"/>
              </w:rPr>
            </w:pPr>
            <w:r>
              <w:rPr>
                <w:rFonts w:hint="eastAsia"/>
                <w:bCs/>
                <w:sz w:val="24"/>
              </w:rPr>
              <w:t>本项目废水均不外排，项目无需申请氨氨及COD的总量控制指标。</w:t>
            </w:r>
          </w:p>
          <w:p>
            <w:pPr>
              <w:spacing w:line="360" w:lineRule="auto"/>
              <w:ind w:firstLine="480" w:firstLineChars="200"/>
              <w:rPr>
                <w:kern w:val="0"/>
                <w:sz w:val="24"/>
              </w:rPr>
            </w:pPr>
            <w:r>
              <w:rPr>
                <w:kern w:val="0"/>
                <w:sz w:val="24"/>
              </w:rPr>
              <w:t>本项目</w:t>
            </w:r>
            <w:r>
              <w:rPr>
                <w:rFonts w:hint="eastAsia"/>
                <w:kern w:val="0"/>
                <w:sz w:val="24"/>
              </w:rPr>
              <w:t>建设1台2.5t/h</w:t>
            </w:r>
            <w:r>
              <w:rPr>
                <w:kern w:val="0"/>
                <w:sz w:val="24"/>
              </w:rPr>
              <w:t>燃</w:t>
            </w:r>
            <w:r>
              <w:rPr>
                <w:rFonts w:hint="eastAsia"/>
                <w:kern w:val="0"/>
                <w:sz w:val="24"/>
              </w:rPr>
              <w:t>生物质蒸汽锅炉，锅炉运行过程中会产生SO</w:t>
            </w:r>
            <w:r>
              <w:rPr>
                <w:rFonts w:hint="eastAsia"/>
                <w:kern w:val="0"/>
                <w:sz w:val="24"/>
                <w:vertAlign w:val="subscript"/>
              </w:rPr>
              <w:t>2</w:t>
            </w:r>
            <w:r>
              <w:rPr>
                <w:rFonts w:hint="eastAsia"/>
                <w:kern w:val="0"/>
                <w:sz w:val="24"/>
              </w:rPr>
              <w:t>、NO</w:t>
            </w:r>
            <w:r>
              <w:rPr>
                <w:rFonts w:hint="eastAsia"/>
                <w:kern w:val="0"/>
                <w:sz w:val="24"/>
                <w:vertAlign w:val="subscript"/>
              </w:rPr>
              <w:t>X</w:t>
            </w:r>
            <w:r>
              <w:rPr>
                <w:rFonts w:hint="eastAsia"/>
                <w:kern w:val="0"/>
                <w:sz w:val="24"/>
              </w:rPr>
              <w:t>、烟尘等污染物，根据核算，项目锅炉废气污染物排放量为颗粒物：0.022t/a、SO</w:t>
            </w:r>
            <w:r>
              <w:rPr>
                <w:rFonts w:hint="eastAsia"/>
                <w:kern w:val="0"/>
                <w:sz w:val="24"/>
                <w:vertAlign w:val="subscript"/>
              </w:rPr>
              <w:t>2</w:t>
            </w:r>
            <w:r>
              <w:rPr>
                <w:rFonts w:hint="eastAsia"/>
                <w:kern w:val="0"/>
                <w:sz w:val="24"/>
              </w:rPr>
              <w:t>：0.019t/a、NO</w:t>
            </w:r>
            <w:r>
              <w:rPr>
                <w:rFonts w:hint="eastAsia"/>
                <w:kern w:val="0"/>
                <w:sz w:val="24"/>
                <w:vertAlign w:val="subscript"/>
              </w:rPr>
              <w:t>X</w:t>
            </w:r>
            <w:r>
              <w:rPr>
                <w:rFonts w:hint="eastAsia"/>
                <w:kern w:val="0"/>
                <w:sz w:val="24"/>
              </w:rPr>
              <w:t>：0.213t/a。</w:t>
            </w:r>
          </w:p>
          <w:p>
            <w:pPr>
              <w:spacing w:line="360" w:lineRule="auto"/>
              <w:ind w:firstLine="480" w:firstLineChars="200"/>
              <w:rPr>
                <w:kern w:val="0"/>
                <w:sz w:val="24"/>
              </w:rPr>
            </w:pPr>
          </w:p>
          <w:p>
            <w:pPr>
              <w:spacing w:line="360" w:lineRule="auto"/>
              <w:ind w:firstLine="480" w:firstLineChars="200"/>
              <w:rPr>
                <w:kern w:val="0"/>
                <w:sz w:val="24"/>
              </w:rPr>
            </w:pPr>
          </w:p>
          <w:p>
            <w:pPr>
              <w:spacing w:line="360" w:lineRule="auto"/>
              <w:rPr>
                <w:kern w:val="0"/>
                <w:sz w:val="24"/>
              </w:rPr>
            </w:pPr>
          </w:p>
        </w:tc>
      </w:tr>
    </w:tbl>
    <w:p>
      <w:pPr>
        <w:pStyle w:val="17"/>
        <w:spacing w:before="120"/>
        <w:ind w:firstLine="200"/>
        <w:jc w:val="center"/>
        <w:outlineLvl w:val="0"/>
        <w:rPr>
          <w:rFonts w:ascii="黑体" w:hAnsi="黑体" w:eastAsia="黑体"/>
          <w:snapToGrid w:val="0"/>
          <w:sz w:val="10"/>
          <w:szCs w:val="10"/>
        </w:rPr>
        <w:sectPr>
          <w:pgSz w:w="11907" w:h="16840"/>
          <w:pgMar w:top="1701" w:right="1531" w:bottom="2127" w:left="1531" w:header="851" w:footer="851" w:gutter="0"/>
          <w:cols w:space="720" w:num="1"/>
          <w:docGrid w:linePitch="312" w:charSpace="0"/>
        </w:sectPr>
      </w:pPr>
    </w:p>
    <w:p>
      <w:pPr>
        <w:pStyle w:val="17"/>
        <w:spacing w:before="120"/>
        <w:ind w:firstLine="600"/>
        <w:jc w:val="center"/>
        <w:outlineLvl w:val="0"/>
        <w:rPr>
          <w:rFonts w:ascii="黑体" w:hAnsi="黑体" w:eastAsia="黑体"/>
          <w:snapToGrid w:val="0"/>
          <w:sz w:val="30"/>
          <w:szCs w:val="30"/>
        </w:rPr>
      </w:pPr>
      <w:r>
        <w:rPr>
          <w:rFonts w:hint="eastAsia" w:ascii="黑体" w:hAnsi="黑体" w:eastAsia="黑体"/>
          <w:snapToGrid w:val="0"/>
          <w:sz w:val="30"/>
          <w:szCs w:val="30"/>
        </w:rPr>
        <w:t>四、主要环境影响和保护措施</w:t>
      </w:r>
    </w:p>
    <w:tbl>
      <w:tblPr>
        <w:tblStyle w:val="19"/>
        <w:tblpPr w:leftFromText="180" w:rightFromText="180" w:vertAnchor="text" w:tblpXSpec="center" w:tblpY="1"/>
        <w:tblOverlap w:val="never"/>
        <w:tblW w:w="8916"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746"/>
        <w:gridCol w:w="8170"/>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746" w:type="dxa"/>
            <w:tcMar>
              <w:left w:w="28" w:type="dxa"/>
              <w:right w:w="28" w:type="dxa"/>
            </w:tcMar>
            <w:vAlign w:val="center"/>
          </w:tcPr>
          <w:p>
            <w:pPr>
              <w:pStyle w:val="17"/>
              <w:adjustRightInd w:val="0"/>
              <w:snapToGrid w:val="0"/>
              <w:spacing w:before="120" w:beforeAutospacing="0" w:after="0" w:afterAutospacing="0"/>
              <w:ind w:firstLine="420"/>
              <w:jc w:val="center"/>
              <w:rPr>
                <w:rFonts w:cs="宋体"/>
                <w:kern w:val="2"/>
                <w:sz w:val="21"/>
                <w:szCs w:val="21"/>
              </w:rPr>
            </w:pPr>
            <w:r>
              <w:rPr>
                <w:rFonts w:hint="eastAsia" w:cs="宋体"/>
                <w:kern w:val="2"/>
                <w:sz w:val="21"/>
                <w:szCs w:val="21"/>
              </w:rPr>
              <w:t>施工</w:t>
            </w:r>
          </w:p>
          <w:p>
            <w:pPr>
              <w:pStyle w:val="17"/>
              <w:adjustRightInd w:val="0"/>
              <w:snapToGrid w:val="0"/>
              <w:spacing w:before="120" w:beforeAutospacing="0" w:after="0" w:afterAutospacing="0"/>
              <w:ind w:firstLine="420"/>
              <w:jc w:val="center"/>
              <w:rPr>
                <w:rFonts w:cs="宋体"/>
                <w:kern w:val="2"/>
                <w:sz w:val="21"/>
                <w:szCs w:val="21"/>
              </w:rPr>
            </w:pPr>
            <w:r>
              <w:rPr>
                <w:rFonts w:hint="eastAsia" w:cs="宋体"/>
                <w:kern w:val="2"/>
                <w:sz w:val="21"/>
                <w:szCs w:val="21"/>
              </w:rPr>
              <w:t>期环</w:t>
            </w:r>
          </w:p>
          <w:p>
            <w:pPr>
              <w:pStyle w:val="17"/>
              <w:adjustRightInd w:val="0"/>
              <w:snapToGrid w:val="0"/>
              <w:spacing w:before="120" w:beforeAutospacing="0" w:after="0" w:afterAutospacing="0"/>
              <w:ind w:firstLine="420"/>
              <w:jc w:val="center"/>
              <w:rPr>
                <w:rFonts w:cs="宋体"/>
                <w:kern w:val="2"/>
                <w:sz w:val="21"/>
                <w:szCs w:val="21"/>
              </w:rPr>
            </w:pPr>
            <w:r>
              <w:rPr>
                <w:rFonts w:hint="eastAsia" w:cs="宋体"/>
                <w:kern w:val="2"/>
                <w:sz w:val="21"/>
                <w:szCs w:val="21"/>
              </w:rPr>
              <w:t>境保</w:t>
            </w:r>
          </w:p>
          <w:p>
            <w:pPr>
              <w:pStyle w:val="17"/>
              <w:adjustRightInd w:val="0"/>
              <w:snapToGrid w:val="0"/>
              <w:spacing w:before="120" w:beforeAutospacing="0" w:after="0" w:afterAutospacing="0"/>
              <w:ind w:firstLine="420"/>
              <w:jc w:val="center"/>
              <w:rPr>
                <w:rFonts w:cs="宋体"/>
                <w:kern w:val="2"/>
                <w:sz w:val="21"/>
                <w:szCs w:val="21"/>
              </w:rPr>
            </w:pPr>
            <w:r>
              <w:rPr>
                <w:rFonts w:hint="eastAsia" w:cs="宋体"/>
                <w:kern w:val="2"/>
                <w:sz w:val="21"/>
                <w:szCs w:val="21"/>
              </w:rPr>
              <w:t>护措</w:t>
            </w:r>
          </w:p>
          <w:p>
            <w:pPr>
              <w:pStyle w:val="17"/>
              <w:adjustRightInd w:val="0"/>
              <w:snapToGrid w:val="0"/>
              <w:spacing w:before="120" w:beforeAutospacing="0" w:after="0" w:afterAutospacing="0"/>
              <w:ind w:firstLine="420"/>
              <w:jc w:val="center"/>
              <w:rPr>
                <w:rFonts w:cs="宋体"/>
                <w:bCs/>
                <w:kern w:val="2"/>
                <w:sz w:val="21"/>
                <w:szCs w:val="21"/>
              </w:rPr>
            </w:pPr>
            <w:r>
              <w:rPr>
                <w:rFonts w:hint="eastAsia" w:cs="宋体"/>
                <w:kern w:val="2"/>
                <w:sz w:val="21"/>
                <w:szCs w:val="21"/>
              </w:rPr>
              <w:t>施</w:t>
            </w:r>
          </w:p>
        </w:tc>
        <w:tc>
          <w:tcPr>
            <w:tcW w:w="8170" w:type="dxa"/>
            <w:vAlign w:val="center"/>
          </w:tcPr>
          <w:p>
            <w:pPr>
              <w:adjustRightInd w:val="0"/>
              <w:snapToGrid w:val="0"/>
              <w:ind w:firstLine="482"/>
              <w:rPr>
                <w:b/>
                <w:szCs w:val="21"/>
              </w:rPr>
            </w:pPr>
          </w:p>
          <w:p>
            <w:pPr>
              <w:adjustRightInd w:val="0"/>
              <w:snapToGrid w:val="0"/>
              <w:spacing w:line="360" w:lineRule="auto"/>
              <w:ind w:firstLine="480" w:firstLineChars="200"/>
              <w:rPr>
                <w:bCs/>
                <w:sz w:val="24"/>
              </w:rPr>
            </w:pPr>
            <w:r>
              <w:rPr>
                <w:rFonts w:hint="eastAsia"/>
                <w:bCs/>
                <w:sz w:val="24"/>
              </w:rPr>
              <w:t>本项目利用现有锅炉房进行建设，施工工程主要进行现有1t/h锅炉的拆除及新建2.5t/h锅炉的安装，施工期主要污染防治措施如下。</w:t>
            </w:r>
          </w:p>
          <w:p>
            <w:pPr>
              <w:adjustRightInd w:val="0"/>
              <w:snapToGrid w:val="0"/>
              <w:spacing w:line="360" w:lineRule="auto"/>
              <w:ind w:firstLine="482" w:firstLineChars="200"/>
              <w:rPr>
                <w:b/>
                <w:sz w:val="24"/>
              </w:rPr>
            </w:pPr>
            <w:r>
              <w:rPr>
                <w:rFonts w:hint="eastAsia"/>
                <w:b/>
                <w:sz w:val="24"/>
              </w:rPr>
              <w:t>1</w:t>
            </w:r>
            <w:r>
              <w:rPr>
                <w:b/>
                <w:sz w:val="24"/>
              </w:rPr>
              <w:t>、废气污染防治措施</w:t>
            </w:r>
          </w:p>
          <w:p>
            <w:pPr>
              <w:adjustRightInd w:val="0"/>
              <w:snapToGrid w:val="0"/>
              <w:spacing w:line="360" w:lineRule="auto"/>
              <w:ind w:firstLine="480" w:firstLineChars="200"/>
              <w:rPr>
                <w:bCs/>
                <w:sz w:val="24"/>
              </w:rPr>
            </w:pPr>
            <w:r>
              <w:rPr>
                <w:bCs/>
                <w:sz w:val="24"/>
              </w:rPr>
              <w:t>施工期主要建设内容为设备的拆除及安装。施工期废气主要为施工扬尘、汽车尾气等。施工扬尘需采取洒水降尘等措施降低施工期扬尘对周围环境产生的不利影响；汽车尾气排放量较少且在施工范围内活动影响较小，只是暂时的。在严格落实本评价提出的各项施工期扬尘污染防治措施后，项目施工期扬尘对周围大气环境保护目标的影响降低，达到可接受的范围。</w:t>
            </w:r>
          </w:p>
          <w:p>
            <w:pPr>
              <w:adjustRightInd w:val="0"/>
              <w:snapToGrid w:val="0"/>
              <w:spacing w:line="360" w:lineRule="auto"/>
              <w:ind w:firstLine="482" w:firstLineChars="200"/>
              <w:rPr>
                <w:b/>
                <w:sz w:val="24"/>
              </w:rPr>
            </w:pPr>
            <w:r>
              <w:rPr>
                <w:b/>
                <w:sz w:val="24"/>
              </w:rPr>
              <w:t>2、废水污染防治措施</w:t>
            </w:r>
          </w:p>
          <w:p>
            <w:pPr>
              <w:adjustRightInd w:val="0"/>
              <w:snapToGrid w:val="0"/>
              <w:spacing w:line="360" w:lineRule="auto"/>
              <w:ind w:firstLine="480" w:firstLineChars="200"/>
              <w:rPr>
                <w:bCs/>
                <w:sz w:val="24"/>
              </w:rPr>
            </w:pPr>
            <w:r>
              <w:rPr>
                <w:bCs/>
                <w:sz w:val="24"/>
              </w:rPr>
              <w:t>施工期废水主要是施工人员的生活污水，施工废水属间断排放，且水量不大</w:t>
            </w:r>
            <w:r>
              <w:rPr>
                <w:rFonts w:hint="eastAsia"/>
                <w:bCs/>
                <w:sz w:val="24"/>
              </w:rPr>
              <w:t>，</w:t>
            </w:r>
            <w:r>
              <w:rPr>
                <w:bCs/>
                <w:sz w:val="24"/>
              </w:rPr>
              <w:t>生活污水</w:t>
            </w:r>
            <w:r>
              <w:rPr>
                <w:rFonts w:hint="eastAsia"/>
                <w:bCs/>
                <w:sz w:val="24"/>
              </w:rPr>
              <w:t>排入防渗旱厕，定期清掏用作农肥，不外排</w:t>
            </w:r>
            <w:r>
              <w:rPr>
                <w:bCs/>
                <w:sz w:val="24"/>
              </w:rPr>
              <w:t>。</w:t>
            </w:r>
          </w:p>
          <w:p>
            <w:pPr>
              <w:adjustRightInd w:val="0"/>
              <w:snapToGrid w:val="0"/>
              <w:spacing w:line="360" w:lineRule="auto"/>
              <w:ind w:firstLine="482" w:firstLineChars="200"/>
              <w:rPr>
                <w:b/>
                <w:sz w:val="24"/>
              </w:rPr>
            </w:pPr>
            <w:r>
              <w:rPr>
                <w:b/>
                <w:sz w:val="24"/>
              </w:rPr>
              <w:t>3、噪声污染防治措施</w:t>
            </w:r>
          </w:p>
          <w:p>
            <w:pPr>
              <w:adjustRightInd w:val="0"/>
              <w:snapToGrid w:val="0"/>
              <w:spacing w:line="360" w:lineRule="auto"/>
              <w:ind w:firstLine="480" w:firstLineChars="200"/>
              <w:rPr>
                <w:bCs/>
                <w:sz w:val="24"/>
              </w:rPr>
            </w:pPr>
            <w:r>
              <w:rPr>
                <w:bCs/>
                <w:sz w:val="24"/>
              </w:rPr>
              <w:t>①在满足施工需要的前提下，尽可能选取噪声低、振动小、能耗小的先进设备。加强对施工机械的维护保养，避免由于设备性能差而使机械噪声增大的现象发生。</w:t>
            </w:r>
          </w:p>
          <w:p>
            <w:pPr>
              <w:adjustRightInd w:val="0"/>
              <w:snapToGrid w:val="0"/>
              <w:spacing w:line="360" w:lineRule="auto"/>
              <w:ind w:firstLine="480" w:firstLineChars="200"/>
              <w:rPr>
                <w:bCs/>
                <w:sz w:val="24"/>
              </w:rPr>
            </w:pPr>
            <w:r>
              <w:rPr>
                <w:bCs/>
                <w:sz w:val="24"/>
              </w:rPr>
              <w:t>②加快施工进度，合理安排工期。施工期间精心组织施工，禁止高噪声设备夜间施工。</w:t>
            </w:r>
          </w:p>
          <w:p>
            <w:pPr>
              <w:adjustRightInd w:val="0"/>
              <w:snapToGrid w:val="0"/>
              <w:spacing w:line="360" w:lineRule="auto"/>
              <w:ind w:firstLine="480" w:firstLineChars="200"/>
              <w:rPr>
                <w:bCs/>
                <w:sz w:val="24"/>
              </w:rPr>
            </w:pPr>
            <w:r>
              <w:rPr>
                <w:bCs/>
                <w:sz w:val="24"/>
              </w:rPr>
              <w:t>③施工部门应统筹安排好施工时间，根据施工作业各阶段的具体情况，尽量避免高噪声机械设备集中使用或几台声功率相同的设备同时、同点作业，以减少作业时的噪声级。</w:t>
            </w:r>
          </w:p>
          <w:p>
            <w:pPr>
              <w:adjustRightInd w:val="0"/>
              <w:snapToGrid w:val="0"/>
              <w:spacing w:line="360" w:lineRule="auto"/>
              <w:ind w:firstLine="480" w:firstLineChars="200"/>
              <w:rPr>
                <w:bCs/>
                <w:sz w:val="24"/>
              </w:rPr>
            </w:pPr>
            <w:r>
              <w:rPr>
                <w:bCs/>
                <w:sz w:val="24"/>
              </w:rPr>
              <w:t>④运输车辆经过居民区、医院及学校等环境敏感点时减缓速度行驶，并在敏感目标附近禁止鸣笛。</w:t>
            </w:r>
          </w:p>
          <w:p>
            <w:pPr>
              <w:adjustRightInd w:val="0"/>
              <w:snapToGrid w:val="0"/>
              <w:spacing w:line="360" w:lineRule="auto"/>
              <w:ind w:firstLine="482" w:firstLineChars="200"/>
              <w:rPr>
                <w:b/>
                <w:sz w:val="24"/>
              </w:rPr>
            </w:pPr>
            <w:r>
              <w:rPr>
                <w:b/>
                <w:sz w:val="24"/>
              </w:rPr>
              <w:t>4、固废物污染防治措施</w:t>
            </w:r>
          </w:p>
          <w:p>
            <w:pPr>
              <w:adjustRightInd w:val="0"/>
              <w:snapToGrid w:val="0"/>
              <w:spacing w:line="360" w:lineRule="auto"/>
              <w:ind w:firstLine="480" w:firstLineChars="200"/>
              <w:rPr>
                <w:rFonts w:ascii="宋体" w:hAnsi="宋体" w:cs="宋体"/>
                <w:bCs/>
                <w:spacing w:val="-10"/>
                <w:szCs w:val="21"/>
              </w:rPr>
            </w:pPr>
            <w:r>
              <w:rPr>
                <w:bCs/>
                <w:sz w:val="24"/>
              </w:rPr>
              <w:t>本工程施工期间固体废物主要为施工阶段产生的废弃锅炉、包装物及生活垃圾。生活垃圾设置专门收集装置，收集后定期交由环卫部门处理，不允许随意抛弃；拆除的废旧锅炉外售</w:t>
            </w:r>
            <w:r>
              <w:rPr>
                <w:rFonts w:hint="eastAsia"/>
                <w:bCs/>
                <w:sz w:val="24"/>
              </w:rPr>
              <w:t>；</w:t>
            </w:r>
            <w:r>
              <w:rPr>
                <w:bCs/>
                <w:sz w:val="24"/>
              </w:rPr>
              <w:t>包装物收集后外售回收站。</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336" w:hRule="atLeast"/>
          <w:jc w:val="center"/>
        </w:trPr>
        <w:tc>
          <w:tcPr>
            <w:tcW w:w="746" w:type="dxa"/>
            <w:tcMar>
              <w:left w:w="28" w:type="dxa"/>
              <w:right w:w="28" w:type="dxa"/>
            </w:tcMar>
            <w:vAlign w:val="center"/>
          </w:tcPr>
          <w:p>
            <w:pPr>
              <w:adjustRightInd w:val="0"/>
              <w:snapToGrid w:val="0"/>
              <w:jc w:val="center"/>
              <w:rPr>
                <w:rFonts w:ascii="宋体" w:hAnsi="宋体" w:cs="宋体"/>
                <w:bCs/>
                <w:szCs w:val="21"/>
              </w:rPr>
            </w:pPr>
            <w:r>
              <w:rPr>
                <w:rFonts w:hint="eastAsia" w:ascii="宋体" w:hAnsi="宋体" w:cs="宋体"/>
                <w:bCs/>
                <w:szCs w:val="21"/>
              </w:rPr>
              <w:t>运营</w:t>
            </w:r>
          </w:p>
          <w:p>
            <w:pPr>
              <w:adjustRightInd w:val="0"/>
              <w:snapToGrid w:val="0"/>
              <w:jc w:val="center"/>
              <w:rPr>
                <w:rFonts w:ascii="宋体" w:hAnsi="宋体" w:cs="宋体"/>
                <w:bCs/>
                <w:szCs w:val="21"/>
              </w:rPr>
            </w:pPr>
            <w:r>
              <w:rPr>
                <w:rFonts w:hint="eastAsia" w:ascii="宋体" w:hAnsi="宋体" w:cs="宋体"/>
                <w:bCs/>
                <w:szCs w:val="21"/>
              </w:rPr>
              <w:t>期环</w:t>
            </w:r>
          </w:p>
          <w:p>
            <w:pPr>
              <w:adjustRightInd w:val="0"/>
              <w:snapToGrid w:val="0"/>
              <w:jc w:val="center"/>
              <w:rPr>
                <w:rFonts w:ascii="宋体" w:hAnsi="宋体" w:cs="宋体"/>
                <w:bCs/>
                <w:szCs w:val="21"/>
              </w:rPr>
            </w:pPr>
            <w:r>
              <w:rPr>
                <w:rFonts w:hint="eastAsia" w:ascii="宋体" w:hAnsi="宋体" w:cs="宋体"/>
                <w:bCs/>
                <w:szCs w:val="21"/>
              </w:rPr>
              <w:t>境影</w:t>
            </w:r>
          </w:p>
          <w:p>
            <w:pPr>
              <w:adjustRightInd w:val="0"/>
              <w:snapToGrid w:val="0"/>
              <w:jc w:val="center"/>
              <w:rPr>
                <w:rFonts w:ascii="宋体" w:hAnsi="宋体" w:cs="宋体"/>
                <w:bCs/>
                <w:szCs w:val="21"/>
              </w:rPr>
            </w:pPr>
            <w:r>
              <w:rPr>
                <w:rFonts w:hint="eastAsia" w:ascii="宋体" w:hAnsi="宋体" w:cs="宋体"/>
                <w:bCs/>
                <w:szCs w:val="21"/>
              </w:rPr>
              <w:t>响和</w:t>
            </w:r>
          </w:p>
          <w:p>
            <w:pPr>
              <w:adjustRightInd w:val="0"/>
              <w:snapToGrid w:val="0"/>
              <w:jc w:val="center"/>
              <w:rPr>
                <w:rFonts w:ascii="宋体" w:hAnsi="宋体" w:cs="宋体"/>
                <w:bCs/>
                <w:szCs w:val="21"/>
              </w:rPr>
            </w:pPr>
            <w:r>
              <w:rPr>
                <w:rFonts w:hint="eastAsia" w:ascii="宋体" w:hAnsi="宋体" w:cs="宋体"/>
                <w:bCs/>
                <w:szCs w:val="21"/>
              </w:rPr>
              <w:t>保护</w:t>
            </w:r>
          </w:p>
          <w:p>
            <w:pPr>
              <w:adjustRightInd w:val="0"/>
              <w:snapToGrid w:val="0"/>
              <w:jc w:val="center"/>
              <w:rPr>
                <w:rFonts w:cs="宋体"/>
                <w:szCs w:val="21"/>
              </w:rPr>
            </w:pPr>
            <w:r>
              <w:rPr>
                <w:rFonts w:hint="eastAsia" w:ascii="宋体" w:hAnsi="宋体" w:cs="宋体"/>
                <w:bCs/>
                <w:szCs w:val="21"/>
              </w:rPr>
              <w:t>措施</w:t>
            </w:r>
          </w:p>
        </w:tc>
        <w:tc>
          <w:tcPr>
            <w:tcW w:w="8170" w:type="dxa"/>
            <w:vAlign w:val="center"/>
          </w:tcPr>
          <w:p>
            <w:pPr>
              <w:adjustRightInd w:val="0"/>
              <w:snapToGrid w:val="0"/>
              <w:spacing w:line="360" w:lineRule="auto"/>
              <w:ind w:firstLine="482" w:firstLineChars="200"/>
              <w:rPr>
                <w:b/>
                <w:bCs/>
                <w:sz w:val="24"/>
              </w:rPr>
            </w:pPr>
            <w:r>
              <w:rPr>
                <w:rFonts w:hint="eastAsia"/>
                <w:b/>
                <w:bCs/>
                <w:sz w:val="24"/>
              </w:rPr>
              <w:t>1、废气</w:t>
            </w:r>
          </w:p>
          <w:p>
            <w:pPr>
              <w:adjustRightInd w:val="0"/>
              <w:snapToGrid w:val="0"/>
              <w:spacing w:line="360" w:lineRule="auto"/>
              <w:ind w:firstLine="482" w:firstLineChars="200"/>
              <w:rPr>
                <w:b/>
                <w:sz w:val="24"/>
              </w:rPr>
            </w:pPr>
            <w:r>
              <w:rPr>
                <w:rFonts w:hint="eastAsia"/>
                <w:b/>
                <w:sz w:val="24"/>
              </w:rPr>
              <w:t>（1）污染物源强核算</w:t>
            </w:r>
          </w:p>
          <w:p>
            <w:pPr>
              <w:adjustRightInd w:val="0"/>
              <w:snapToGrid w:val="0"/>
              <w:spacing w:line="360" w:lineRule="auto"/>
              <w:ind w:firstLine="480" w:firstLineChars="200"/>
              <w:rPr>
                <w:sz w:val="24"/>
              </w:rPr>
            </w:pPr>
            <w:r>
              <w:rPr>
                <w:rFonts w:hint="eastAsia"/>
                <w:sz w:val="24"/>
              </w:rPr>
              <w:t>①锅炉烟气</w:t>
            </w:r>
          </w:p>
          <w:p>
            <w:pPr>
              <w:adjustRightInd w:val="0"/>
              <w:snapToGrid w:val="0"/>
              <w:spacing w:line="360" w:lineRule="auto"/>
              <w:ind w:firstLine="480" w:firstLineChars="200"/>
              <w:rPr>
                <w:sz w:val="24"/>
              </w:rPr>
            </w:pPr>
            <w:r>
              <w:rPr>
                <w:rFonts w:hint="eastAsia"/>
                <w:sz w:val="24"/>
              </w:rPr>
              <w:t>根据企业提供的资料，本项目建设一台2.5t/h燃生物质蒸汽锅炉，燃用生物质成型燃料，现有产能、用热负荷不变情况下，年燃料消耗量约300t。本项目燃生物质蒸汽锅炉产生的锅炉烟气通过低氮燃烧+陶瓷多管+布袋除尘器处理后，经1根30m高排气筒排放。</w:t>
            </w:r>
          </w:p>
          <w:p>
            <w:pPr>
              <w:adjustRightInd w:val="0"/>
              <w:snapToGrid w:val="0"/>
              <w:spacing w:line="360" w:lineRule="auto"/>
              <w:ind w:firstLine="480" w:firstLineChars="200"/>
              <w:rPr>
                <w:sz w:val="24"/>
                <w:u w:val="single"/>
              </w:rPr>
            </w:pPr>
            <w:r>
              <w:rPr>
                <w:sz w:val="24"/>
                <w:u w:val="single"/>
              </w:rPr>
              <w:t>根据《</w:t>
            </w:r>
            <w:r>
              <w:rPr>
                <w:rFonts w:hint="eastAsia"/>
                <w:sz w:val="24"/>
                <w:u w:val="single"/>
              </w:rPr>
              <w:t>污染源源强核算技术指南</w:t>
            </w:r>
            <w:r>
              <w:rPr>
                <w:sz w:val="24"/>
                <w:u w:val="single"/>
              </w:rPr>
              <w:t xml:space="preserve"> 锅炉</w:t>
            </w:r>
            <w:r>
              <w:rPr>
                <w:rFonts w:hint="eastAsia"/>
                <w:sz w:val="24"/>
                <w:u w:val="single"/>
              </w:rPr>
              <w:t>》（HJ991-2018）中废气污染源源强核算方法要求，本次采用物料衡算法进行核算。</w:t>
            </w:r>
          </w:p>
          <w:p>
            <w:pPr>
              <w:adjustRightInd w:val="0"/>
              <w:snapToGrid w:val="0"/>
              <w:spacing w:line="360" w:lineRule="auto"/>
              <w:ind w:firstLine="480" w:firstLineChars="200"/>
              <w:rPr>
                <w:sz w:val="24"/>
                <w:u w:val="single"/>
              </w:rPr>
            </w:pPr>
            <w:r>
              <w:rPr>
                <w:sz w:val="24"/>
                <w:u w:val="single"/>
              </w:rPr>
              <w:t>A.烟气量</w:t>
            </w:r>
          </w:p>
          <w:p>
            <w:pPr>
              <w:adjustRightInd w:val="0"/>
              <w:snapToGrid w:val="0"/>
              <w:spacing w:line="360" w:lineRule="auto"/>
              <w:ind w:firstLine="480" w:firstLineChars="200"/>
              <w:rPr>
                <w:sz w:val="24"/>
                <w:u w:val="single"/>
              </w:rPr>
            </w:pPr>
            <w:r>
              <w:rPr>
                <w:sz w:val="24"/>
                <w:u w:val="single"/>
              </w:rPr>
              <w:t>根据《污染源源强核算技术指南 锅炉》（HJ991-2018）附录C中C.5 “没有元素分析时，干烟气排放量的经验公式计算参照HJ 953”，故本项目燃生物质锅炉排放的烟气量采用《排污许可证申请与核发技术规范 锅炉》（HJ953-2018）表5中“燃生物质锅炉”的取值，具体取值表详见下表。</w:t>
            </w:r>
          </w:p>
          <w:p>
            <w:pPr>
              <w:pStyle w:val="23"/>
              <w:ind w:left="0" w:firstLine="0"/>
            </w:pPr>
            <w:r>
              <w:t>基准烟气量取值表</w:t>
            </w:r>
          </w:p>
          <w:tbl>
            <w:tblPr>
              <w:tblStyle w:val="19"/>
              <w:tblW w:w="7954"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365"/>
              <w:gridCol w:w="2016"/>
              <w:gridCol w:w="1262"/>
              <w:gridCol w:w="2342"/>
              <w:gridCol w:w="969"/>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643" w:type="dxa"/>
                  <w:gridSpan w:val="3"/>
                  <w:tcBorders>
                    <w:tl2br w:val="nil"/>
                    <w:tr2bl w:val="nil"/>
                  </w:tcBorders>
                  <w:vAlign w:val="center"/>
                </w:tcPr>
                <w:p>
                  <w:pPr>
                    <w:pStyle w:val="15"/>
                    <w:spacing w:after="0"/>
                    <w:ind w:left="0" w:leftChars="0" w:firstLine="422"/>
                    <w:jc w:val="center"/>
                    <w:rPr>
                      <w:b/>
                      <w:sz w:val="21"/>
                      <w:szCs w:val="21"/>
                      <w:u w:val="single"/>
                    </w:rPr>
                  </w:pPr>
                  <w:r>
                    <w:rPr>
                      <w:b/>
                      <w:sz w:val="21"/>
                      <w:szCs w:val="21"/>
                      <w:u w:val="single"/>
                    </w:rPr>
                    <w:t>锅炉</w:t>
                  </w:r>
                </w:p>
              </w:tc>
              <w:tc>
                <w:tcPr>
                  <w:tcW w:w="2342" w:type="dxa"/>
                  <w:tcBorders>
                    <w:tl2br w:val="nil"/>
                    <w:tr2bl w:val="nil"/>
                  </w:tcBorders>
                  <w:vAlign w:val="center"/>
                </w:tcPr>
                <w:p>
                  <w:pPr>
                    <w:pStyle w:val="15"/>
                    <w:spacing w:after="0"/>
                    <w:ind w:left="0" w:leftChars="0" w:firstLine="422"/>
                    <w:jc w:val="center"/>
                    <w:rPr>
                      <w:b/>
                      <w:sz w:val="21"/>
                      <w:szCs w:val="21"/>
                      <w:u w:val="single"/>
                    </w:rPr>
                  </w:pPr>
                  <w:r>
                    <w:rPr>
                      <w:b/>
                      <w:sz w:val="21"/>
                      <w:szCs w:val="21"/>
                      <w:u w:val="single"/>
                    </w:rPr>
                    <w:t>基准烟气量</w:t>
                  </w:r>
                </w:p>
              </w:tc>
              <w:tc>
                <w:tcPr>
                  <w:tcW w:w="969" w:type="dxa"/>
                  <w:tcBorders>
                    <w:tl2br w:val="nil"/>
                    <w:tr2bl w:val="nil"/>
                  </w:tcBorders>
                  <w:vAlign w:val="center"/>
                </w:tcPr>
                <w:p>
                  <w:pPr>
                    <w:pStyle w:val="15"/>
                    <w:spacing w:after="0"/>
                    <w:ind w:left="0" w:leftChars="0" w:firstLine="422"/>
                    <w:jc w:val="center"/>
                    <w:rPr>
                      <w:b/>
                      <w:sz w:val="21"/>
                      <w:szCs w:val="21"/>
                      <w:u w:val="single"/>
                    </w:rPr>
                  </w:pPr>
                  <w:r>
                    <w:rPr>
                      <w:b/>
                      <w:sz w:val="21"/>
                      <w:szCs w:val="21"/>
                      <w:u w:val="single"/>
                    </w:rPr>
                    <w:t>单位</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365" w:type="dxa"/>
                  <w:vMerge w:val="restart"/>
                  <w:tcBorders>
                    <w:tl2br w:val="nil"/>
                    <w:tr2bl w:val="nil"/>
                  </w:tcBorders>
                  <w:vAlign w:val="center"/>
                </w:tcPr>
                <w:p>
                  <w:pPr>
                    <w:pStyle w:val="15"/>
                    <w:spacing w:after="0"/>
                    <w:ind w:left="0" w:leftChars="0" w:firstLine="420"/>
                    <w:jc w:val="center"/>
                    <w:rPr>
                      <w:bCs/>
                      <w:sz w:val="21"/>
                      <w:szCs w:val="21"/>
                      <w:u w:val="single"/>
                    </w:rPr>
                  </w:pPr>
                  <w:r>
                    <w:rPr>
                      <w:bCs/>
                      <w:sz w:val="21"/>
                      <w:szCs w:val="21"/>
                      <w:u w:val="single"/>
                    </w:rPr>
                    <w:t>燃生物质锅炉</w:t>
                  </w:r>
                </w:p>
              </w:tc>
              <w:tc>
                <w:tcPr>
                  <w:tcW w:w="2016" w:type="dxa"/>
                  <w:vMerge w:val="restart"/>
                  <w:tcBorders>
                    <w:tl2br w:val="nil"/>
                    <w:tr2bl w:val="nil"/>
                  </w:tcBorders>
                  <w:vAlign w:val="center"/>
                </w:tcPr>
                <w:p>
                  <w:pPr>
                    <w:pStyle w:val="15"/>
                    <w:spacing w:after="0"/>
                    <w:ind w:left="0" w:leftChars="0" w:firstLine="420"/>
                    <w:jc w:val="center"/>
                    <w:rPr>
                      <w:bCs/>
                      <w:sz w:val="21"/>
                      <w:szCs w:val="21"/>
                      <w:u w:val="single"/>
                    </w:rPr>
                  </w:pPr>
                  <w:r>
                    <w:rPr>
                      <w:bCs/>
                      <w:sz w:val="21"/>
                      <w:szCs w:val="21"/>
                      <w:u w:val="single"/>
                    </w:rPr>
                    <w:t>Q</w:t>
                  </w:r>
                  <w:r>
                    <w:rPr>
                      <w:bCs/>
                      <w:sz w:val="21"/>
                      <w:szCs w:val="21"/>
                      <w:u w:val="single"/>
                      <w:vertAlign w:val="subscript"/>
                    </w:rPr>
                    <w:t>net,ar</w:t>
                  </w:r>
                  <w:r>
                    <w:rPr>
                      <w:bCs/>
                      <w:sz w:val="21"/>
                      <w:szCs w:val="21"/>
                      <w:u w:val="single"/>
                    </w:rPr>
                    <w:t>≥12.54MJ/kg</w:t>
                  </w:r>
                </w:p>
              </w:tc>
              <w:tc>
                <w:tcPr>
                  <w:tcW w:w="1262" w:type="dxa"/>
                  <w:tcBorders>
                    <w:tl2br w:val="nil"/>
                    <w:tr2bl w:val="nil"/>
                  </w:tcBorders>
                  <w:vAlign w:val="center"/>
                </w:tcPr>
                <w:p>
                  <w:pPr>
                    <w:pStyle w:val="15"/>
                    <w:spacing w:after="0"/>
                    <w:ind w:left="0" w:leftChars="0" w:firstLine="420"/>
                    <w:jc w:val="center"/>
                    <w:rPr>
                      <w:bCs/>
                      <w:sz w:val="21"/>
                      <w:szCs w:val="21"/>
                      <w:u w:val="single"/>
                    </w:rPr>
                  </w:pPr>
                  <w:r>
                    <w:rPr>
                      <w:bCs/>
                      <w:sz w:val="21"/>
                      <w:szCs w:val="21"/>
                      <w:u w:val="single"/>
                    </w:rPr>
                    <w:t>V</w:t>
                  </w:r>
                  <w:r>
                    <w:rPr>
                      <w:bCs/>
                      <w:sz w:val="21"/>
                      <w:szCs w:val="21"/>
                      <w:u w:val="single"/>
                      <w:vertAlign w:val="subscript"/>
                    </w:rPr>
                    <w:t>daf</w:t>
                  </w:r>
                  <w:r>
                    <w:rPr>
                      <w:bCs/>
                      <w:sz w:val="21"/>
                      <w:szCs w:val="21"/>
                      <w:u w:val="single"/>
                    </w:rPr>
                    <w:t>≥15%</w:t>
                  </w:r>
                </w:p>
              </w:tc>
              <w:tc>
                <w:tcPr>
                  <w:tcW w:w="2342" w:type="dxa"/>
                  <w:tcBorders>
                    <w:tl2br w:val="nil"/>
                    <w:tr2bl w:val="nil"/>
                  </w:tcBorders>
                  <w:vAlign w:val="center"/>
                </w:tcPr>
                <w:p>
                  <w:pPr>
                    <w:pStyle w:val="15"/>
                    <w:spacing w:after="0"/>
                    <w:ind w:left="0" w:leftChars="0" w:firstLine="420"/>
                    <w:jc w:val="center"/>
                    <w:rPr>
                      <w:bCs/>
                      <w:sz w:val="21"/>
                      <w:szCs w:val="21"/>
                      <w:u w:val="single"/>
                    </w:rPr>
                  </w:pPr>
                  <w:r>
                    <w:rPr>
                      <w:bCs/>
                      <w:sz w:val="21"/>
                      <w:szCs w:val="21"/>
                      <w:u w:val="single"/>
                    </w:rPr>
                    <w:t>V</w:t>
                  </w:r>
                  <w:r>
                    <w:rPr>
                      <w:bCs/>
                      <w:sz w:val="21"/>
                      <w:szCs w:val="21"/>
                      <w:u w:val="single"/>
                      <w:vertAlign w:val="subscript"/>
                    </w:rPr>
                    <w:t>gy</w:t>
                  </w:r>
                  <w:r>
                    <w:rPr>
                      <w:bCs/>
                      <w:sz w:val="21"/>
                      <w:szCs w:val="21"/>
                      <w:u w:val="single"/>
                    </w:rPr>
                    <w:t>=0.</w:t>
                  </w:r>
                  <w:r>
                    <w:rPr>
                      <w:rFonts w:hint="eastAsia"/>
                      <w:bCs/>
                      <w:sz w:val="21"/>
                      <w:szCs w:val="21"/>
                      <w:u w:val="single"/>
                    </w:rPr>
                    <w:t>393</w:t>
                  </w:r>
                  <w:r>
                    <w:rPr>
                      <w:bCs/>
                      <w:sz w:val="21"/>
                      <w:szCs w:val="21"/>
                      <w:u w:val="single"/>
                    </w:rPr>
                    <w:t>Q</w:t>
                  </w:r>
                  <w:r>
                    <w:rPr>
                      <w:bCs/>
                      <w:sz w:val="21"/>
                      <w:szCs w:val="21"/>
                      <w:u w:val="single"/>
                      <w:vertAlign w:val="subscript"/>
                    </w:rPr>
                    <w:t>net,ar</w:t>
                  </w:r>
                  <w:r>
                    <w:rPr>
                      <w:bCs/>
                      <w:sz w:val="21"/>
                      <w:szCs w:val="21"/>
                      <w:u w:val="single"/>
                    </w:rPr>
                    <w:t>+</w:t>
                  </w:r>
                  <w:r>
                    <w:rPr>
                      <w:rFonts w:hint="eastAsia"/>
                      <w:bCs/>
                      <w:sz w:val="21"/>
                      <w:szCs w:val="21"/>
                      <w:u w:val="single"/>
                    </w:rPr>
                    <w:t>0.876</w:t>
                  </w:r>
                </w:p>
              </w:tc>
              <w:tc>
                <w:tcPr>
                  <w:tcW w:w="969" w:type="dxa"/>
                  <w:tcBorders>
                    <w:tl2br w:val="nil"/>
                    <w:tr2bl w:val="nil"/>
                  </w:tcBorders>
                  <w:vAlign w:val="center"/>
                </w:tcPr>
                <w:p>
                  <w:pPr>
                    <w:pStyle w:val="15"/>
                    <w:spacing w:after="0"/>
                    <w:ind w:left="0" w:leftChars="0" w:firstLine="420"/>
                    <w:jc w:val="center"/>
                    <w:rPr>
                      <w:bCs/>
                      <w:sz w:val="21"/>
                      <w:szCs w:val="21"/>
                      <w:u w:val="single"/>
                    </w:rPr>
                  </w:pPr>
                  <w:r>
                    <w:rPr>
                      <w:bCs/>
                      <w:sz w:val="21"/>
                      <w:szCs w:val="21"/>
                      <w:u w:val="single"/>
                    </w:rPr>
                    <w:t>Nm</w:t>
                  </w:r>
                  <w:r>
                    <w:rPr>
                      <w:bCs/>
                      <w:sz w:val="21"/>
                      <w:szCs w:val="21"/>
                      <w:u w:val="single"/>
                      <w:vertAlign w:val="superscript"/>
                    </w:rPr>
                    <w:t>3</w:t>
                  </w:r>
                  <w:r>
                    <w:rPr>
                      <w:bCs/>
                      <w:sz w:val="21"/>
                      <w:szCs w:val="21"/>
                      <w:u w:val="single"/>
                    </w:rPr>
                    <w:t>/kg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365" w:type="dxa"/>
                  <w:vMerge w:val="continue"/>
                  <w:tcBorders>
                    <w:tl2br w:val="nil"/>
                    <w:tr2bl w:val="nil"/>
                  </w:tcBorders>
                  <w:vAlign w:val="center"/>
                </w:tcPr>
                <w:p>
                  <w:pPr>
                    <w:pStyle w:val="15"/>
                    <w:spacing w:after="0"/>
                    <w:ind w:left="0" w:leftChars="0" w:firstLine="420"/>
                    <w:jc w:val="center"/>
                    <w:rPr>
                      <w:bCs/>
                      <w:sz w:val="21"/>
                      <w:szCs w:val="21"/>
                      <w:u w:val="single"/>
                    </w:rPr>
                  </w:pPr>
                </w:p>
              </w:tc>
              <w:tc>
                <w:tcPr>
                  <w:tcW w:w="2016" w:type="dxa"/>
                  <w:vMerge w:val="continue"/>
                  <w:tcBorders>
                    <w:tl2br w:val="nil"/>
                    <w:tr2bl w:val="nil"/>
                  </w:tcBorders>
                  <w:vAlign w:val="center"/>
                </w:tcPr>
                <w:p>
                  <w:pPr>
                    <w:pStyle w:val="15"/>
                    <w:spacing w:after="0"/>
                    <w:ind w:left="0" w:leftChars="0" w:firstLine="420"/>
                    <w:jc w:val="center"/>
                    <w:rPr>
                      <w:bCs/>
                      <w:sz w:val="21"/>
                      <w:szCs w:val="21"/>
                      <w:u w:val="single"/>
                    </w:rPr>
                  </w:pPr>
                </w:p>
              </w:tc>
              <w:tc>
                <w:tcPr>
                  <w:tcW w:w="1262" w:type="dxa"/>
                  <w:tcBorders>
                    <w:tl2br w:val="nil"/>
                    <w:tr2bl w:val="nil"/>
                  </w:tcBorders>
                  <w:vAlign w:val="center"/>
                </w:tcPr>
                <w:p>
                  <w:pPr>
                    <w:pStyle w:val="15"/>
                    <w:spacing w:after="0"/>
                    <w:ind w:left="0" w:leftChars="0" w:firstLine="420"/>
                    <w:jc w:val="center"/>
                    <w:rPr>
                      <w:bCs/>
                      <w:sz w:val="21"/>
                      <w:szCs w:val="21"/>
                      <w:u w:val="single"/>
                    </w:rPr>
                  </w:pPr>
                  <w:r>
                    <w:rPr>
                      <w:bCs/>
                      <w:sz w:val="21"/>
                      <w:szCs w:val="21"/>
                      <w:u w:val="single"/>
                    </w:rPr>
                    <w:t>V</w:t>
                  </w:r>
                  <w:r>
                    <w:rPr>
                      <w:bCs/>
                      <w:sz w:val="21"/>
                      <w:szCs w:val="21"/>
                      <w:u w:val="single"/>
                      <w:vertAlign w:val="subscript"/>
                    </w:rPr>
                    <w:t>daf</w:t>
                  </w:r>
                  <w:r>
                    <w:rPr>
                      <w:rFonts w:hint="eastAsia"/>
                      <w:bCs/>
                      <w:sz w:val="21"/>
                      <w:szCs w:val="21"/>
                      <w:u w:val="single"/>
                    </w:rPr>
                    <w:t>&lt;</w:t>
                  </w:r>
                  <w:r>
                    <w:rPr>
                      <w:bCs/>
                      <w:sz w:val="21"/>
                      <w:szCs w:val="21"/>
                      <w:u w:val="single"/>
                    </w:rPr>
                    <w:t>15%</w:t>
                  </w:r>
                </w:p>
              </w:tc>
              <w:tc>
                <w:tcPr>
                  <w:tcW w:w="2342" w:type="dxa"/>
                  <w:tcBorders>
                    <w:tl2br w:val="nil"/>
                    <w:tr2bl w:val="nil"/>
                  </w:tcBorders>
                  <w:vAlign w:val="center"/>
                </w:tcPr>
                <w:p>
                  <w:pPr>
                    <w:pStyle w:val="15"/>
                    <w:spacing w:after="0"/>
                    <w:ind w:left="0" w:leftChars="0" w:firstLine="420"/>
                    <w:jc w:val="center"/>
                    <w:rPr>
                      <w:bCs/>
                      <w:sz w:val="21"/>
                      <w:szCs w:val="21"/>
                      <w:u w:val="single"/>
                    </w:rPr>
                  </w:pPr>
                  <w:r>
                    <w:rPr>
                      <w:bCs/>
                      <w:sz w:val="21"/>
                      <w:szCs w:val="21"/>
                      <w:u w:val="single"/>
                    </w:rPr>
                    <w:t>V</w:t>
                  </w:r>
                  <w:r>
                    <w:rPr>
                      <w:bCs/>
                      <w:sz w:val="21"/>
                      <w:szCs w:val="21"/>
                      <w:u w:val="single"/>
                      <w:vertAlign w:val="subscript"/>
                    </w:rPr>
                    <w:t>gy</w:t>
                  </w:r>
                  <w:r>
                    <w:rPr>
                      <w:bCs/>
                      <w:sz w:val="21"/>
                      <w:szCs w:val="21"/>
                      <w:u w:val="single"/>
                    </w:rPr>
                    <w:t>=0.</w:t>
                  </w:r>
                  <w:r>
                    <w:rPr>
                      <w:rFonts w:hint="eastAsia"/>
                      <w:bCs/>
                      <w:sz w:val="21"/>
                      <w:szCs w:val="21"/>
                      <w:u w:val="single"/>
                    </w:rPr>
                    <w:t>385</w:t>
                  </w:r>
                  <w:r>
                    <w:rPr>
                      <w:bCs/>
                      <w:sz w:val="21"/>
                      <w:szCs w:val="21"/>
                      <w:u w:val="single"/>
                    </w:rPr>
                    <w:t>Q</w:t>
                  </w:r>
                  <w:r>
                    <w:rPr>
                      <w:bCs/>
                      <w:sz w:val="21"/>
                      <w:szCs w:val="21"/>
                      <w:u w:val="single"/>
                      <w:vertAlign w:val="subscript"/>
                    </w:rPr>
                    <w:t>net,ar</w:t>
                  </w:r>
                  <w:r>
                    <w:rPr>
                      <w:bCs/>
                      <w:sz w:val="21"/>
                      <w:szCs w:val="21"/>
                      <w:u w:val="single"/>
                    </w:rPr>
                    <w:t>+1.</w:t>
                  </w:r>
                  <w:r>
                    <w:rPr>
                      <w:rFonts w:hint="eastAsia"/>
                      <w:bCs/>
                      <w:sz w:val="21"/>
                      <w:szCs w:val="21"/>
                      <w:u w:val="single"/>
                    </w:rPr>
                    <w:t>095</w:t>
                  </w:r>
                </w:p>
              </w:tc>
              <w:tc>
                <w:tcPr>
                  <w:tcW w:w="969" w:type="dxa"/>
                  <w:tcBorders>
                    <w:tl2br w:val="nil"/>
                    <w:tr2bl w:val="nil"/>
                  </w:tcBorders>
                  <w:vAlign w:val="center"/>
                </w:tcPr>
                <w:p>
                  <w:pPr>
                    <w:jc w:val="center"/>
                    <w:rPr>
                      <w:bCs/>
                      <w:szCs w:val="21"/>
                      <w:u w:val="single"/>
                    </w:rPr>
                  </w:pPr>
                  <w:r>
                    <w:rPr>
                      <w:bCs/>
                      <w:szCs w:val="21"/>
                      <w:u w:val="single"/>
                    </w:rPr>
                    <w:t>Nm</w:t>
                  </w:r>
                  <w:r>
                    <w:rPr>
                      <w:bCs/>
                      <w:szCs w:val="21"/>
                      <w:u w:val="single"/>
                      <w:vertAlign w:val="superscript"/>
                    </w:rPr>
                    <w:t>3</w:t>
                  </w:r>
                  <w:r>
                    <w:rPr>
                      <w:bCs/>
                      <w:szCs w:val="21"/>
                      <w:u w:val="single"/>
                    </w:rPr>
                    <w:t>/kg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365" w:type="dxa"/>
                  <w:vMerge w:val="continue"/>
                  <w:tcBorders>
                    <w:tl2br w:val="nil"/>
                    <w:tr2bl w:val="nil"/>
                  </w:tcBorders>
                  <w:vAlign w:val="center"/>
                </w:tcPr>
                <w:p>
                  <w:pPr>
                    <w:pStyle w:val="15"/>
                    <w:spacing w:after="0"/>
                    <w:ind w:left="0" w:leftChars="0" w:firstLine="420"/>
                    <w:jc w:val="center"/>
                    <w:rPr>
                      <w:bCs/>
                      <w:sz w:val="21"/>
                      <w:szCs w:val="21"/>
                      <w:u w:val="single"/>
                    </w:rPr>
                  </w:pPr>
                </w:p>
              </w:tc>
              <w:tc>
                <w:tcPr>
                  <w:tcW w:w="3278" w:type="dxa"/>
                  <w:gridSpan w:val="2"/>
                  <w:tcBorders>
                    <w:tl2br w:val="nil"/>
                    <w:tr2bl w:val="nil"/>
                  </w:tcBorders>
                  <w:vAlign w:val="center"/>
                </w:tcPr>
                <w:p>
                  <w:pPr>
                    <w:pStyle w:val="15"/>
                    <w:spacing w:after="0"/>
                    <w:ind w:left="0" w:leftChars="0" w:firstLine="420"/>
                    <w:jc w:val="center"/>
                    <w:rPr>
                      <w:bCs/>
                      <w:sz w:val="21"/>
                      <w:szCs w:val="21"/>
                      <w:u w:val="single"/>
                    </w:rPr>
                  </w:pPr>
                  <w:r>
                    <w:rPr>
                      <w:bCs/>
                      <w:sz w:val="21"/>
                      <w:szCs w:val="21"/>
                      <w:u w:val="single"/>
                    </w:rPr>
                    <w:t>Q</w:t>
                  </w:r>
                  <w:r>
                    <w:rPr>
                      <w:bCs/>
                      <w:sz w:val="21"/>
                      <w:szCs w:val="21"/>
                      <w:u w:val="single"/>
                      <w:vertAlign w:val="subscript"/>
                    </w:rPr>
                    <w:t>net,ar</w:t>
                  </w:r>
                  <w:r>
                    <w:rPr>
                      <w:rFonts w:hint="eastAsia"/>
                      <w:bCs/>
                      <w:sz w:val="21"/>
                      <w:szCs w:val="21"/>
                      <w:u w:val="single"/>
                    </w:rPr>
                    <w:t>&lt;</w:t>
                  </w:r>
                  <w:r>
                    <w:rPr>
                      <w:bCs/>
                      <w:sz w:val="21"/>
                      <w:szCs w:val="21"/>
                      <w:u w:val="single"/>
                    </w:rPr>
                    <w:t>12.54MJ/kg</w:t>
                  </w:r>
                </w:p>
              </w:tc>
              <w:tc>
                <w:tcPr>
                  <w:tcW w:w="2342" w:type="dxa"/>
                  <w:tcBorders>
                    <w:tl2br w:val="nil"/>
                    <w:tr2bl w:val="nil"/>
                  </w:tcBorders>
                  <w:vAlign w:val="center"/>
                </w:tcPr>
                <w:p>
                  <w:pPr>
                    <w:pStyle w:val="15"/>
                    <w:spacing w:after="0"/>
                    <w:ind w:left="0" w:leftChars="0" w:firstLine="420"/>
                    <w:jc w:val="center"/>
                    <w:rPr>
                      <w:bCs/>
                      <w:sz w:val="21"/>
                      <w:szCs w:val="21"/>
                      <w:u w:val="single"/>
                    </w:rPr>
                  </w:pPr>
                  <w:r>
                    <w:rPr>
                      <w:bCs/>
                      <w:sz w:val="21"/>
                      <w:szCs w:val="21"/>
                      <w:u w:val="single"/>
                    </w:rPr>
                    <w:t>V</w:t>
                  </w:r>
                  <w:r>
                    <w:rPr>
                      <w:bCs/>
                      <w:sz w:val="21"/>
                      <w:szCs w:val="21"/>
                      <w:u w:val="single"/>
                      <w:vertAlign w:val="subscript"/>
                    </w:rPr>
                    <w:t>gy</w:t>
                  </w:r>
                  <w:r>
                    <w:rPr>
                      <w:bCs/>
                      <w:sz w:val="21"/>
                      <w:szCs w:val="21"/>
                      <w:u w:val="single"/>
                    </w:rPr>
                    <w:t>=0.</w:t>
                  </w:r>
                  <w:r>
                    <w:rPr>
                      <w:rFonts w:hint="eastAsia"/>
                      <w:bCs/>
                      <w:sz w:val="21"/>
                      <w:szCs w:val="21"/>
                      <w:u w:val="single"/>
                    </w:rPr>
                    <w:t>385</w:t>
                  </w:r>
                  <w:r>
                    <w:rPr>
                      <w:bCs/>
                      <w:sz w:val="21"/>
                      <w:szCs w:val="21"/>
                      <w:u w:val="single"/>
                    </w:rPr>
                    <w:t>Q</w:t>
                  </w:r>
                  <w:r>
                    <w:rPr>
                      <w:bCs/>
                      <w:sz w:val="21"/>
                      <w:szCs w:val="21"/>
                      <w:u w:val="single"/>
                      <w:vertAlign w:val="subscript"/>
                    </w:rPr>
                    <w:t>net,ar</w:t>
                  </w:r>
                  <w:r>
                    <w:rPr>
                      <w:bCs/>
                      <w:sz w:val="21"/>
                      <w:szCs w:val="21"/>
                      <w:u w:val="single"/>
                    </w:rPr>
                    <w:t>+0.</w:t>
                  </w:r>
                  <w:r>
                    <w:rPr>
                      <w:rFonts w:hint="eastAsia"/>
                      <w:bCs/>
                      <w:sz w:val="21"/>
                      <w:szCs w:val="21"/>
                      <w:u w:val="single"/>
                    </w:rPr>
                    <w:t>788</w:t>
                  </w:r>
                </w:p>
              </w:tc>
              <w:tc>
                <w:tcPr>
                  <w:tcW w:w="969" w:type="dxa"/>
                  <w:tcBorders>
                    <w:tl2br w:val="nil"/>
                    <w:tr2bl w:val="nil"/>
                  </w:tcBorders>
                  <w:vAlign w:val="center"/>
                </w:tcPr>
                <w:p>
                  <w:pPr>
                    <w:pStyle w:val="15"/>
                    <w:spacing w:after="0"/>
                    <w:ind w:left="0" w:leftChars="0" w:firstLine="420"/>
                    <w:jc w:val="center"/>
                    <w:rPr>
                      <w:bCs/>
                      <w:sz w:val="21"/>
                      <w:szCs w:val="21"/>
                      <w:u w:val="single"/>
                    </w:rPr>
                  </w:pPr>
                  <w:r>
                    <w:rPr>
                      <w:bCs/>
                      <w:sz w:val="21"/>
                      <w:szCs w:val="21"/>
                      <w:u w:val="single"/>
                    </w:rPr>
                    <w:t>Nm</w:t>
                  </w:r>
                  <w:r>
                    <w:rPr>
                      <w:bCs/>
                      <w:sz w:val="21"/>
                      <w:szCs w:val="21"/>
                      <w:u w:val="single"/>
                      <w:vertAlign w:val="superscript"/>
                    </w:rPr>
                    <w:t>3</w:t>
                  </w:r>
                  <w:r>
                    <w:rPr>
                      <w:bCs/>
                      <w:sz w:val="21"/>
                      <w:szCs w:val="21"/>
                      <w:u w:val="single"/>
                    </w:rPr>
                    <w:t>/kg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954" w:type="dxa"/>
                  <w:gridSpan w:val="5"/>
                  <w:tcBorders>
                    <w:tl2br w:val="nil"/>
                    <w:tr2bl w:val="nil"/>
                  </w:tcBorders>
                  <w:vAlign w:val="center"/>
                </w:tcPr>
                <w:p>
                  <w:pPr>
                    <w:pStyle w:val="15"/>
                    <w:spacing w:after="0"/>
                    <w:ind w:left="0" w:leftChars="0" w:firstLine="420"/>
                    <w:jc w:val="center"/>
                    <w:rPr>
                      <w:bCs/>
                      <w:sz w:val="21"/>
                      <w:szCs w:val="21"/>
                      <w:u w:val="single"/>
                    </w:rPr>
                  </w:pPr>
                  <w:r>
                    <w:rPr>
                      <w:bCs/>
                      <w:sz w:val="21"/>
                      <w:szCs w:val="21"/>
                      <w:u w:val="single"/>
                    </w:rPr>
                    <w:t>注：1、V</w:t>
                  </w:r>
                  <w:r>
                    <w:rPr>
                      <w:bCs/>
                      <w:sz w:val="21"/>
                      <w:szCs w:val="21"/>
                      <w:u w:val="single"/>
                      <w:vertAlign w:val="subscript"/>
                    </w:rPr>
                    <w:t>daf</w:t>
                  </w:r>
                  <w:r>
                    <w:rPr>
                      <w:bCs/>
                      <w:sz w:val="21"/>
                      <w:szCs w:val="21"/>
                      <w:u w:val="single"/>
                    </w:rPr>
                    <w:t>，燃料干燥无灰基挥发分（%）；V</w:t>
                  </w:r>
                  <w:r>
                    <w:rPr>
                      <w:bCs/>
                      <w:sz w:val="21"/>
                      <w:szCs w:val="21"/>
                      <w:u w:val="single"/>
                      <w:vertAlign w:val="subscript"/>
                    </w:rPr>
                    <w:t>gy</w:t>
                  </w:r>
                  <w:r>
                    <w:rPr>
                      <w:bCs/>
                      <w:sz w:val="21"/>
                      <w:szCs w:val="21"/>
                      <w:u w:val="single"/>
                    </w:rPr>
                    <w:t>，基准烟气量（Nm</w:t>
                  </w:r>
                  <w:r>
                    <w:rPr>
                      <w:bCs/>
                      <w:sz w:val="21"/>
                      <w:szCs w:val="21"/>
                      <w:u w:val="single"/>
                      <w:vertAlign w:val="superscript"/>
                    </w:rPr>
                    <w:t>3</w:t>
                  </w:r>
                  <w:r>
                    <w:rPr>
                      <w:bCs/>
                      <w:sz w:val="21"/>
                      <w:szCs w:val="21"/>
                      <w:u w:val="single"/>
                    </w:rPr>
                    <w:t>/kg或Nm</w:t>
                  </w:r>
                  <w:r>
                    <w:rPr>
                      <w:bCs/>
                      <w:sz w:val="21"/>
                      <w:szCs w:val="21"/>
                      <w:u w:val="single"/>
                      <w:vertAlign w:val="superscript"/>
                    </w:rPr>
                    <w:t>3</w:t>
                  </w:r>
                  <w:r>
                    <w:rPr>
                      <w:bCs/>
                      <w:sz w:val="21"/>
                      <w:szCs w:val="21"/>
                      <w:u w:val="single"/>
                    </w:rPr>
                    <w:t>/m</w:t>
                  </w:r>
                  <w:r>
                    <w:rPr>
                      <w:bCs/>
                      <w:sz w:val="21"/>
                      <w:szCs w:val="21"/>
                      <w:u w:val="single"/>
                      <w:vertAlign w:val="superscript"/>
                    </w:rPr>
                    <w:t>3</w:t>
                  </w:r>
                  <w:r>
                    <w:rPr>
                      <w:bCs/>
                      <w:sz w:val="21"/>
                      <w:szCs w:val="21"/>
                      <w:u w:val="single"/>
                    </w:rPr>
                    <w:t>）</w:t>
                  </w:r>
                </w:p>
                <w:p>
                  <w:pPr>
                    <w:pStyle w:val="15"/>
                    <w:spacing w:after="0"/>
                    <w:ind w:firstLine="420"/>
                    <w:rPr>
                      <w:bCs/>
                      <w:sz w:val="21"/>
                      <w:szCs w:val="21"/>
                      <w:u w:val="single"/>
                    </w:rPr>
                  </w:pPr>
                  <w:r>
                    <w:rPr>
                      <w:bCs/>
                      <w:sz w:val="21"/>
                      <w:szCs w:val="21"/>
                      <w:u w:val="single"/>
                    </w:rPr>
                    <w:t>2、Q</w:t>
                  </w:r>
                  <w:r>
                    <w:rPr>
                      <w:bCs/>
                      <w:sz w:val="21"/>
                      <w:szCs w:val="21"/>
                      <w:u w:val="single"/>
                      <w:vertAlign w:val="subscript"/>
                    </w:rPr>
                    <w:t>net,ar</w:t>
                  </w:r>
                  <w:r>
                    <w:rPr>
                      <w:bCs/>
                      <w:sz w:val="21"/>
                      <w:szCs w:val="21"/>
                      <w:u w:val="single"/>
                    </w:rPr>
                    <w:t>，燃料收到基低位发热量（MJ/kg）</w:t>
                  </w:r>
                </w:p>
              </w:tc>
            </w:tr>
          </w:tbl>
          <w:p>
            <w:pPr>
              <w:adjustRightInd w:val="0"/>
              <w:snapToGrid w:val="0"/>
              <w:spacing w:beforeLines="50" w:line="360" w:lineRule="auto"/>
              <w:ind w:firstLine="480" w:firstLineChars="200"/>
              <w:rPr>
                <w:sz w:val="24"/>
                <w:u w:val="single"/>
              </w:rPr>
            </w:pPr>
            <w:r>
              <w:rPr>
                <w:sz w:val="24"/>
                <w:u w:val="single"/>
              </w:rPr>
              <w:t>根据企业提供的生物质燃料成分分析单，本项目所用生物质V</w:t>
            </w:r>
            <w:r>
              <w:rPr>
                <w:sz w:val="24"/>
                <w:u w:val="single"/>
                <w:vertAlign w:val="subscript"/>
              </w:rPr>
              <w:t>daf</w:t>
            </w:r>
            <w:r>
              <w:rPr>
                <w:sz w:val="24"/>
                <w:u w:val="single"/>
              </w:rPr>
              <w:t>为8</w:t>
            </w:r>
            <w:r>
              <w:rPr>
                <w:rFonts w:hint="eastAsia"/>
                <w:sz w:val="24"/>
                <w:u w:val="single"/>
              </w:rPr>
              <w:t>4.52</w:t>
            </w:r>
            <w:r>
              <w:rPr>
                <w:sz w:val="24"/>
                <w:u w:val="single"/>
              </w:rPr>
              <w:t>%；收到基低位发热值Q</w:t>
            </w:r>
            <w:r>
              <w:rPr>
                <w:sz w:val="24"/>
                <w:u w:val="single"/>
                <w:vertAlign w:val="subscript"/>
              </w:rPr>
              <w:t>net,ar</w:t>
            </w:r>
            <w:r>
              <w:rPr>
                <w:sz w:val="24"/>
                <w:u w:val="single"/>
              </w:rPr>
              <w:t>为</w:t>
            </w:r>
            <w:r>
              <w:rPr>
                <w:rFonts w:hint="eastAsia"/>
                <w:sz w:val="24"/>
                <w:u w:val="single"/>
              </w:rPr>
              <w:t>17.59</w:t>
            </w:r>
            <w:r>
              <w:rPr>
                <w:sz w:val="24"/>
                <w:u w:val="single"/>
              </w:rPr>
              <w:t>MJ/kg，故本项目基准烟气量V</w:t>
            </w:r>
            <w:r>
              <w:rPr>
                <w:sz w:val="24"/>
                <w:u w:val="single"/>
                <w:vertAlign w:val="subscript"/>
              </w:rPr>
              <w:t>gy</w:t>
            </w:r>
            <w:r>
              <w:rPr>
                <w:sz w:val="24"/>
                <w:u w:val="single"/>
              </w:rPr>
              <w:t>为</w:t>
            </w:r>
            <w:r>
              <w:rPr>
                <w:rFonts w:hint="eastAsia"/>
                <w:sz w:val="24"/>
                <w:u w:val="single"/>
              </w:rPr>
              <w:t>7.789</w:t>
            </w:r>
            <w:r>
              <w:rPr>
                <w:sz w:val="24"/>
                <w:u w:val="single"/>
              </w:rPr>
              <w:t>Nm</w:t>
            </w:r>
            <w:r>
              <w:rPr>
                <w:sz w:val="24"/>
                <w:u w:val="single"/>
                <w:vertAlign w:val="superscript"/>
              </w:rPr>
              <w:t>3</w:t>
            </w:r>
            <w:r>
              <w:rPr>
                <w:sz w:val="24"/>
                <w:u w:val="single"/>
              </w:rPr>
              <w:t>/kg，本项目预计年燃生物质量</w:t>
            </w:r>
            <w:r>
              <w:rPr>
                <w:rFonts w:hint="eastAsia"/>
                <w:sz w:val="24"/>
                <w:u w:val="single"/>
              </w:rPr>
              <w:t>300</w:t>
            </w:r>
            <w:r>
              <w:rPr>
                <w:sz w:val="24"/>
                <w:u w:val="single"/>
              </w:rPr>
              <w:t>t/a，则烟气年排放量为2.</w:t>
            </w:r>
            <w:r>
              <w:rPr>
                <w:rFonts w:hint="eastAsia"/>
                <w:sz w:val="24"/>
                <w:u w:val="single"/>
              </w:rPr>
              <w:t>34</w:t>
            </w:r>
            <w:r>
              <w:rPr>
                <w:sz w:val="24"/>
                <w:u w:val="single"/>
              </w:rPr>
              <w:t>×10</w:t>
            </w:r>
            <w:r>
              <w:rPr>
                <w:sz w:val="24"/>
                <w:u w:val="single"/>
                <w:vertAlign w:val="superscript"/>
              </w:rPr>
              <w:t>6</w:t>
            </w:r>
            <w:r>
              <w:rPr>
                <w:sz w:val="24"/>
                <w:u w:val="single"/>
              </w:rPr>
              <w:t>Nm</w:t>
            </w:r>
            <w:r>
              <w:rPr>
                <w:sz w:val="24"/>
                <w:u w:val="single"/>
                <w:vertAlign w:val="superscript"/>
              </w:rPr>
              <w:t>3</w:t>
            </w:r>
            <w:r>
              <w:rPr>
                <w:sz w:val="24"/>
                <w:u w:val="single"/>
              </w:rPr>
              <w:t>/a。</w:t>
            </w:r>
          </w:p>
          <w:p>
            <w:pPr>
              <w:adjustRightInd w:val="0"/>
              <w:snapToGrid w:val="0"/>
              <w:spacing w:line="360" w:lineRule="auto"/>
              <w:ind w:firstLine="480" w:firstLineChars="200"/>
              <w:rPr>
                <w:sz w:val="24"/>
                <w:u w:val="single"/>
              </w:rPr>
            </w:pPr>
            <w:r>
              <w:rPr>
                <w:sz w:val="24"/>
                <w:u w:val="single"/>
              </w:rPr>
              <w:t>B.颗粒物</w:t>
            </w:r>
          </w:p>
          <w:p>
            <w:pPr>
              <w:adjustRightInd w:val="0"/>
              <w:snapToGrid w:val="0"/>
              <w:spacing w:line="360" w:lineRule="auto"/>
              <w:ind w:firstLine="480" w:firstLineChars="200"/>
              <w:rPr>
                <w:sz w:val="24"/>
                <w:u w:val="single"/>
              </w:rPr>
            </w:pPr>
            <w:r>
              <w:rPr>
                <w:sz w:val="24"/>
                <w:u w:val="single"/>
              </w:rPr>
              <w:t>根据《污染源源强核算技术指南 锅炉》（HJ991-2018）5.1 物料衡算法中颗粒物的计算公式：</w:t>
            </w:r>
          </w:p>
          <w:p>
            <w:pPr>
              <w:adjustRightInd w:val="0"/>
              <w:snapToGrid w:val="0"/>
              <w:spacing w:line="360" w:lineRule="auto"/>
              <w:jc w:val="center"/>
              <w:rPr>
                <w:sz w:val="24"/>
                <w:u w:val="single"/>
              </w:rPr>
            </w:pPr>
            <w:r>
              <w:rPr>
                <w:rFonts w:ascii="Times New Roman" w:hAnsi="Times New Roman" w:eastAsia="宋体" w:cs="Times New Roman"/>
                <w:bCs/>
                <w:kern w:val="2"/>
                <w:position w:val="-60"/>
                <w:sz w:val="24"/>
                <w:szCs w:val="24"/>
                <w:u w:val="single"/>
                <w:lang w:val="en-US" w:eastAsia="zh-CN" w:bidi="ar-SA"/>
              </w:rPr>
              <w:pict>
                <v:shape id="_x0000_i1144" o:spt="75" type="#_x0000_t75" style="height:67.8pt;width:154.05pt;" fillcolor="#FFFFFF" filled="f" o:preferrelative="t" stroked="f" coordsize="21600,21600">
                  <v:path/>
                  <v:fill on="f" color2="#FFFFFF" focussize="0,0"/>
                  <v:stroke on="f"/>
                  <v:imagedata r:id="rId18" gain="65536f" blacklevel="0f" gamma="0" o:title=""/>
                  <o:lock v:ext="edit" position="f" selection="f" grouping="f" rotation="f" cropping="f" text="f" aspectratio="t"/>
                  <w10:wrap type="none"/>
                  <w10:anchorlock/>
                </v:shape>
              </w:pict>
            </w:r>
          </w:p>
          <w:p>
            <w:pPr>
              <w:adjustRightInd w:val="0"/>
              <w:snapToGrid w:val="0"/>
              <w:spacing w:line="360" w:lineRule="auto"/>
              <w:ind w:firstLine="480" w:firstLineChars="200"/>
              <w:rPr>
                <w:sz w:val="24"/>
                <w:u w:val="single"/>
              </w:rPr>
            </w:pPr>
            <w:r>
              <w:rPr>
                <w:sz w:val="24"/>
                <w:u w:val="single"/>
              </w:rPr>
              <w:t>式中：E</w:t>
            </w:r>
            <w:r>
              <w:rPr>
                <w:sz w:val="24"/>
                <w:u w:val="single"/>
                <w:vertAlign w:val="subscript"/>
              </w:rPr>
              <w:t>A</w:t>
            </w:r>
            <w:r>
              <w:rPr>
                <w:sz w:val="24"/>
                <w:u w:val="single"/>
              </w:rPr>
              <w:t>——核算时段内颗粒物（烟尘）排放量，t；</w:t>
            </w:r>
          </w:p>
          <w:p>
            <w:pPr>
              <w:adjustRightInd w:val="0"/>
              <w:snapToGrid w:val="0"/>
              <w:spacing w:line="360" w:lineRule="auto"/>
              <w:ind w:firstLine="1200" w:firstLineChars="500"/>
              <w:rPr>
                <w:sz w:val="24"/>
                <w:u w:val="single"/>
              </w:rPr>
            </w:pPr>
            <w:r>
              <w:rPr>
                <w:sz w:val="24"/>
                <w:u w:val="single"/>
              </w:rPr>
              <w:t>R——核算时段内锅炉燃料耗量，t，本项目取</w:t>
            </w:r>
            <w:r>
              <w:rPr>
                <w:rFonts w:hint="eastAsia"/>
                <w:sz w:val="24"/>
                <w:u w:val="single"/>
              </w:rPr>
              <w:t>300</w:t>
            </w:r>
            <w:r>
              <w:rPr>
                <w:sz w:val="24"/>
                <w:u w:val="single"/>
              </w:rPr>
              <w:t>；</w:t>
            </w:r>
          </w:p>
          <w:p>
            <w:pPr>
              <w:adjustRightInd w:val="0"/>
              <w:snapToGrid w:val="0"/>
              <w:spacing w:line="360" w:lineRule="auto"/>
              <w:ind w:firstLine="1200" w:firstLineChars="500"/>
              <w:rPr>
                <w:sz w:val="24"/>
                <w:u w:val="single"/>
              </w:rPr>
            </w:pPr>
            <w:r>
              <w:rPr>
                <w:sz w:val="24"/>
                <w:u w:val="single"/>
              </w:rPr>
              <w:t>A</w:t>
            </w:r>
            <w:r>
              <w:rPr>
                <w:sz w:val="24"/>
                <w:u w:val="single"/>
                <w:vertAlign w:val="subscript"/>
              </w:rPr>
              <w:t>ar</w:t>
            </w:r>
            <w:r>
              <w:rPr>
                <w:sz w:val="24"/>
                <w:u w:val="single"/>
              </w:rPr>
              <w:t>——收到基灰分的质量分数，%，A</w:t>
            </w:r>
            <w:r>
              <w:rPr>
                <w:sz w:val="24"/>
                <w:u w:val="single"/>
                <w:vertAlign w:val="subscript"/>
              </w:rPr>
              <w:t>ar</w:t>
            </w:r>
            <w:r>
              <w:rPr>
                <w:sz w:val="24"/>
                <w:u w:val="single"/>
              </w:rPr>
              <w:t>=A</w:t>
            </w:r>
            <w:r>
              <w:rPr>
                <w:sz w:val="24"/>
                <w:u w:val="single"/>
                <w:vertAlign w:val="subscript"/>
              </w:rPr>
              <w:t>d</w:t>
            </w:r>
            <w:r>
              <w:rPr>
                <w:sz w:val="24"/>
                <w:u w:val="single"/>
              </w:rPr>
              <w:t>×（100-M</w:t>
            </w:r>
            <w:r>
              <w:rPr>
                <w:sz w:val="24"/>
                <w:u w:val="single"/>
                <w:vertAlign w:val="subscript"/>
              </w:rPr>
              <w:t>t</w:t>
            </w:r>
            <w:r>
              <w:rPr>
                <w:sz w:val="24"/>
                <w:u w:val="single"/>
              </w:rPr>
              <w:t>）/100，A</w:t>
            </w:r>
            <w:r>
              <w:rPr>
                <w:sz w:val="24"/>
                <w:u w:val="single"/>
                <w:vertAlign w:val="subscript"/>
              </w:rPr>
              <w:t>d</w:t>
            </w:r>
            <w:r>
              <w:rPr>
                <w:sz w:val="24"/>
                <w:u w:val="single"/>
              </w:rPr>
              <w:t>=1.</w:t>
            </w:r>
            <w:r>
              <w:rPr>
                <w:rFonts w:hint="eastAsia"/>
                <w:sz w:val="24"/>
                <w:u w:val="single"/>
              </w:rPr>
              <w:t>39</w:t>
            </w:r>
            <w:r>
              <w:rPr>
                <w:sz w:val="24"/>
                <w:u w:val="single"/>
              </w:rPr>
              <w:t>，M</w:t>
            </w:r>
            <w:r>
              <w:rPr>
                <w:sz w:val="24"/>
                <w:u w:val="single"/>
                <w:vertAlign w:val="subscript"/>
              </w:rPr>
              <w:t>t</w:t>
            </w:r>
            <w:r>
              <w:rPr>
                <w:sz w:val="24"/>
                <w:u w:val="single"/>
              </w:rPr>
              <w:t>=6.</w:t>
            </w:r>
            <w:r>
              <w:rPr>
                <w:rFonts w:hint="eastAsia"/>
                <w:sz w:val="24"/>
                <w:u w:val="single"/>
              </w:rPr>
              <w:t>4</w:t>
            </w:r>
            <w:r>
              <w:rPr>
                <w:sz w:val="24"/>
                <w:u w:val="single"/>
              </w:rPr>
              <w:t>，则A</w:t>
            </w:r>
            <w:r>
              <w:rPr>
                <w:sz w:val="24"/>
                <w:u w:val="single"/>
                <w:vertAlign w:val="subscript"/>
              </w:rPr>
              <w:t>ar</w:t>
            </w:r>
            <w:r>
              <w:rPr>
                <w:sz w:val="24"/>
                <w:u w:val="single"/>
              </w:rPr>
              <w:t>=1.3</w:t>
            </w:r>
            <w:r>
              <w:rPr>
                <w:rFonts w:hint="eastAsia"/>
                <w:sz w:val="24"/>
                <w:u w:val="single"/>
              </w:rPr>
              <w:t>0</w:t>
            </w:r>
            <w:r>
              <w:rPr>
                <w:sz w:val="24"/>
                <w:u w:val="single"/>
              </w:rPr>
              <w:t>；</w:t>
            </w:r>
          </w:p>
          <w:p>
            <w:pPr>
              <w:adjustRightInd w:val="0"/>
              <w:snapToGrid w:val="0"/>
              <w:spacing w:line="360" w:lineRule="auto"/>
              <w:ind w:firstLine="1200" w:firstLineChars="500"/>
              <w:rPr>
                <w:sz w:val="24"/>
                <w:u w:val="single"/>
              </w:rPr>
            </w:pPr>
            <w:r>
              <w:rPr>
                <w:sz w:val="24"/>
                <w:u w:val="single"/>
              </w:rPr>
              <w:t>d</w:t>
            </w:r>
            <w:r>
              <w:rPr>
                <w:sz w:val="24"/>
                <w:u w:val="single"/>
                <w:vertAlign w:val="subscript"/>
              </w:rPr>
              <w:t>fh</w:t>
            </w:r>
            <w:r>
              <w:rPr>
                <w:sz w:val="24"/>
                <w:u w:val="single"/>
              </w:rPr>
              <w:t>——锅炉烟气带出的飞灰份额，%，参考《污染源源强核算技术指南 锅炉》（HJ991-2018）附录B中表B.2，链条炉排炉飞灰份额为10-20%，燃用生物质</w:t>
            </w:r>
            <w:r>
              <w:rPr>
                <w:rFonts w:hint="eastAsia"/>
                <w:sz w:val="24"/>
                <w:u w:val="single"/>
              </w:rPr>
              <w:t>时</w:t>
            </w:r>
            <w:r>
              <w:rPr>
                <w:sz w:val="24"/>
                <w:u w:val="single"/>
              </w:rPr>
              <w:t>，飞灰份额加30%，故</w:t>
            </w:r>
            <w:r>
              <w:rPr>
                <w:rFonts w:hint="eastAsia"/>
                <w:sz w:val="24"/>
                <w:u w:val="single"/>
              </w:rPr>
              <w:t>本项目</w:t>
            </w:r>
            <w:r>
              <w:rPr>
                <w:sz w:val="24"/>
                <w:u w:val="single"/>
              </w:rPr>
              <w:t>取50；</w:t>
            </w:r>
          </w:p>
          <w:p>
            <w:pPr>
              <w:adjustRightInd w:val="0"/>
              <w:snapToGrid w:val="0"/>
              <w:spacing w:line="360" w:lineRule="auto"/>
              <w:ind w:firstLine="1200" w:firstLineChars="500"/>
              <w:rPr>
                <w:sz w:val="24"/>
                <w:u w:val="single"/>
              </w:rPr>
            </w:pPr>
            <w:r>
              <w:rPr>
                <w:sz w:val="24"/>
                <w:u w:val="single"/>
              </w:rPr>
              <w:t>ƞ</w:t>
            </w:r>
            <w:r>
              <w:rPr>
                <w:sz w:val="24"/>
                <w:u w:val="single"/>
                <w:vertAlign w:val="subscript"/>
              </w:rPr>
              <w:t>c</w:t>
            </w:r>
            <w:r>
              <w:rPr>
                <w:sz w:val="24"/>
                <w:u w:val="single"/>
              </w:rPr>
              <w:t>——综合除尘效率，%，本项目取99；</w:t>
            </w:r>
          </w:p>
          <w:p>
            <w:pPr>
              <w:adjustRightInd w:val="0"/>
              <w:snapToGrid w:val="0"/>
              <w:spacing w:line="360" w:lineRule="auto"/>
              <w:ind w:firstLine="1200" w:firstLineChars="500"/>
              <w:rPr>
                <w:sz w:val="24"/>
                <w:u w:val="single"/>
              </w:rPr>
            </w:pPr>
            <w:r>
              <w:rPr>
                <w:sz w:val="24"/>
                <w:u w:val="single"/>
              </w:rPr>
              <w:t>C</w:t>
            </w:r>
            <w:r>
              <w:rPr>
                <w:sz w:val="24"/>
                <w:u w:val="single"/>
                <w:vertAlign w:val="subscript"/>
              </w:rPr>
              <w:t>fh</w:t>
            </w:r>
            <w:r>
              <w:rPr>
                <w:sz w:val="24"/>
                <w:u w:val="single"/>
              </w:rPr>
              <w:t>——飞灰中的可燃物含量，%，本项目取1</w:t>
            </w:r>
            <w:r>
              <w:rPr>
                <w:rFonts w:hint="eastAsia"/>
                <w:sz w:val="24"/>
                <w:u w:val="single"/>
              </w:rPr>
              <w:t>2</w:t>
            </w:r>
            <w:r>
              <w:rPr>
                <w:sz w:val="24"/>
                <w:u w:val="single"/>
              </w:rPr>
              <w:t>。</w:t>
            </w:r>
          </w:p>
          <w:p>
            <w:pPr>
              <w:adjustRightInd w:val="0"/>
              <w:snapToGrid w:val="0"/>
              <w:spacing w:line="360" w:lineRule="auto"/>
              <w:ind w:firstLine="480" w:firstLineChars="200"/>
              <w:rPr>
                <w:sz w:val="24"/>
                <w:u w:val="single"/>
              </w:rPr>
            </w:pPr>
            <w:r>
              <w:rPr>
                <w:sz w:val="24"/>
                <w:u w:val="single"/>
              </w:rPr>
              <w:t>经计算，本项目颗粒物排放量约为0.0</w:t>
            </w:r>
            <w:r>
              <w:rPr>
                <w:rFonts w:hint="eastAsia"/>
                <w:sz w:val="24"/>
                <w:u w:val="single"/>
              </w:rPr>
              <w:t>22</w:t>
            </w:r>
            <w:r>
              <w:rPr>
                <w:sz w:val="24"/>
                <w:u w:val="single"/>
              </w:rPr>
              <w:t>t/a。</w:t>
            </w:r>
          </w:p>
          <w:p>
            <w:pPr>
              <w:adjustRightInd w:val="0"/>
              <w:snapToGrid w:val="0"/>
              <w:spacing w:line="360" w:lineRule="auto"/>
              <w:ind w:firstLine="480" w:firstLineChars="200"/>
              <w:rPr>
                <w:sz w:val="24"/>
                <w:u w:val="single"/>
              </w:rPr>
            </w:pPr>
            <w:r>
              <w:rPr>
                <w:sz w:val="24"/>
                <w:u w:val="single"/>
              </w:rPr>
              <w:t>C.二氧化硫</w:t>
            </w:r>
          </w:p>
          <w:p>
            <w:pPr>
              <w:adjustRightInd w:val="0"/>
              <w:snapToGrid w:val="0"/>
              <w:spacing w:line="360" w:lineRule="auto"/>
              <w:ind w:firstLine="480" w:firstLineChars="200"/>
              <w:rPr>
                <w:sz w:val="24"/>
                <w:u w:val="single"/>
              </w:rPr>
            </w:pPr>
            <w:r>
              <w:rPr>
                <w:sz w:val="24"/>
                <w:u w:val="single"/>
              </w:rPr>
              <w:t>根据《污染源源强核算技术指南 锅炉》（HJ991-2018）5.1 物料衡算法中二氧化硫的计算公式：</w:t>
            </w:r>
          </w:p>
          <w:p>
            <w:pPr>
              <w:adjustRightInd w:val="0"/>
              <w:snapToGrid w:val="0"/>
              <w:spacing w:line="360" w:lineRule="auto"/>
              <w:jc w:val="center"/>
              <w:rPr>
                <w:sz w:val="24"/>
                <w:u w:val="single"/>
              </w:rPr>
            </w:pPr>
            <w:r>
              <w:rPr>
                <w:rFonts w:ascii="Times New Roman" w:hAnsi="Times New Roman" w:eastAsia="宋体" w:cs="Times New Roman"/>
                <w:bCs/>
                <w:kern w:val="2"/>
                <w:position w:val="-30"/>
                <w:sz w:val="24"/>
                <w:szCs w:val="24"/>
                <w:u w:val="single"/>
                <w:lang w:val="en-US" w:eastAsia="zh-CN" w:bidi="ar-SA"/>
              </w:rPr>
              <w:pict>
                <v:shape id="_x0000_i1145" o:spt="75" type="#_x0000_t75" style="height:36pt;width:211pt;" fillcolor="#FFFFFF" filled="f" o:preferrelative="t" stroked="f" coordsize="21600,21600">
                  <v:path/>
                  <v:fill on="f" color2="#FFFFFF" focussize="0,0"/>
                  <v:stroke on="f"/>
                  <v:imagedata r:id="rId19" gain="65536f" blacklevel="0f" gamma="0" o:title=""/>
                  <o:lock v:ext="edit" position="f" selection="f" grouping="f" rotation="f" cropping="f" text="f" aspectratio="t"/>
                  <w10:wrap type="none"/>
                  <w10:anchorlock/>
                </v:shape>
              </w:pict>
            </w:r>
          </w:p>
          <w:p>
            <w:pPr>
              <w:adjustRightInd w:val="0"/>
              <w:snapToGrid w:val="0"/>
              <w:spacing w:line="360" w:lineRule="auto"/>
              <w:ind w:firstLine="480" w:firstLineChars="200"/>
              <w:rPr>
                <w:sz w:val="24"/>
                <w:u w:val="single"/>
              </w:rPr>
            </w:pPr>
            <w:r>
              <w:rPr>
                <w:sz w:val="24"/>
                <w:u w:val="single"/>
              </w:rPr>
              <w:t>式中：E</w:t>
            </w:r>
            <w:r>
              <w:rPr>
                <w:sz w:val="24"/>
                <w:u w:val="single"/>
                <w:vertAlign w:val="subscript"/>
              </w:rPr>
              <w:t>SO2</w:t>
            </w:r>
            <w:r>
              <w:rPr>
                <w:sz w:val="24"/>
                <w:u w:val="single"/>
              </w:rPr>
              <w:t>——核算时段内二氧化硫排放量，t；</w:t>
            </w:r>
          </w:p>
          <w:p>
            <w:pPr>
              <w:adjustRightInd w:val="0"/>
              <w:snapToGrid w:val="0"/>
              <w:spacing w:line="360" w:lineRule="auto"/>
              <w:ind w:firstLine="1200" w:firstLineChars="500"/>
              <w:rPr>
                <w:sz w:val="24"/>
                <w:u w:val="single"/>
              </w:rPr>
            </w:pPr>
            <w:r>
              <w:rPr>
                <w:sz w:val="24"/>
                <w:u w:val="single"/>
              </w:rPr>
              <w:t>R——核算时段内锅炉燃料耗量，t，本项目取</w:t>
            </w:r>
            <w:r>
              <w:rPr>
                <w:rFonts w:hint="eastAsia"/>
                <w:sz w:val="24"/>
                <w:u w:val="single"/>
              </w:rPr>
              <w:t>300</w:t>
            </w:r>
            <w:r>
              <w:rPr>
                <w:sz w:val="24"/>
                <w:u w:val="single"/>
              </w:rPr>
              <w:t>；</w:t>
            </w:r>
          </w:p>
          <w:p>
            <w:pPr>
              <w:adjustRightInd w:val="0"/>
              <w:snapToGrid w:val="0"/>
              <w:spacing w:line="360" w:lineRule="auto"/>
              <w:ind w:firstLine="1200" w:firstLineChars="500"/>
              <w:rPr>
                <w:sz w:val="24"/>
                <w:u w:val="single"/>
              </w:rPr>
            </w:pPr>
            <w:r>
              <w:rPr>
                <w:sz w:val="24"/>
                <w:u w:val="single"/>
              </w:rPr>
              <w:t>S</w:t>
            </w:r>
            <w:r>
              <w:rPr>
                <w:sz w:val="24"/>
                <w:u w:val="single"/>
                <w:vertAlign w:val="subscript"/>
              </w:rPr>
              <w:t>ar</w:t>
            </w:r>
            <w:r>
              <w:rPr>
                <w:sz w:val="24"/>
                <w:u w:val="single"/>
              </w:rPr>
              <w:t>——收到基硫的质量分数，%，S</w:t>
            </w:r>
            <w:r>
              <w:rPr>
                <w:sz w:val="24"/>
                <w:u w:val="single"/>
                <w:vertAlign w:val="subscript"/>
              </w:rPr>
              <w:t>ar</w:t>
            </w:r>
            <w:r>
              <w:rPr>
                <w:sz w:val="24"/>
                <w:u w:val="single"/>
              </w:rPr>
              <w:t>=S</w:t>
            </w:r>
            <w:r>
              <w:rPr>
                <w:sz w:val="24"/>
                <w:u w:val="single"/>
                <w:vertAlign w:val="subscript"/>
              </w:rPr>
              <w:t>t</w:t>
            </w:r>
            <w:r>
              <w:rPr>
                <w:sz w:val="24"/>
                <w:u w:val="single"/>
              </w:rPr>
              <w:t>×（100-M</w:t>
            </w:r>
            <w:r>
              <w:rPr>
                <w:sz w:val="24"/>
                <w:u w:val="single"/>
                <w:vertAlign w:val="subscript"/>
              </w:rPr>
              <w:t>t</w:t>
            </w:r>
            <w:r>
              <w:rPr>
                <w:sz w:val="24"/>
                <w:u w:val="single"/>
              </w:rPr>
              <w:t>）/100，S</w:t>
            </w:r>
            <w:r>
              <w:rPr>
                <w:sz w:val="24"/>
                <w:u w:val="single"/>
                <w:vertAlign w:val="subscript"/>
              </w:rPr>
              <w:t>t</w:t>
            </w:r>
            <w:r>
              <w:rPr>
                <w:sz w:val="24"/>
                <w:u w:val="single"/>
              </w:rPr>
              <w:t>=0.0</w:t>
            </w:r>
            <w:r>
              <w:rPr>
                <w:rFonts w:hint="eastAsia"/>
                <w:sz w:val="24"/>
                <w:u w:val="single"/>
              </w:rPr>
              <w:t>1</w:t>
            </w:r>
            <w:r>
              <w:rPr>
                <w:sz w:val="24"/>
                <w:u w:val="single"/>
              </w:rPr>
              <w:t>，M</w:t>
            </w:r>
            <w:r>
              <w:rPr>
                <w:sz w:val="24"/>
                <w:u w:val="single"/>
                <w:vertAlign w:val="subscript"/>
              </w:rPr>
              <w:t>t</w:t>
            </w:r>
            <w:r>
              <w:rPr>
                <w:sz w:val="24"/>
                <w:u w:val="single"/>
              </w:rPr>
              <w:t>=</w:t>
            </w:r>
            <w:r>
              <w:rPr>
                <w:rFonts w:hint="eastAsia"/>
                <w:sz w:val="24"/>
                <w:u w:val="single"/>
              </w:rPr>
              <w:t>6.4</w:t>
            </w:r>
            <w:r>
              <w:rPr>
                <w:sz w:val="24"/>
                <w:u w:val="single"/>
              </w:rPr>
              <w:t>，则S</w:t>
            </w:r>
            <w:r>
              <w:rPr>
                <w:sz w:val="24"/>
                <w:u w:val="single"/>
                <w:vertAlign w:val="subscript"/>
              </w:rPr>
              <w:t>ar</w:t>
            </w:r>
            <w:r>
              <w:rPr>
                <w:sz w:val="24"/>
                <w:u w:val="single"/>
              </w:rPr>
              <w:t>=0.0</w:t>
            </w:r>
            <w:r>
              <w:rPr>
                <w:rFonts w:hint="eastAsia"/>
                <w:sz w:val="24"/>
                <w:u w:val="single"/>
              </w:rPr>
              <w:t>09</w:t>
            </w:r>
            <w:r>
              <w:rPr>
                <w:sz w:val="24"/>
                <w:u w:val="single"/>
              </w:rPr>
              <w:t>；</w:t>
            </w:r>
          </w:p>
          <w:p>
            <w:pPr>
              <w:adjustRightInd w:val="0"/>
              <w:snapToGrid w:val="0"/>
              <w:spacing w:line="360" w:lineRule="auto"/>
              <w:ind w:firstLine="1200" w:firstLineChars="500"/>
              <w:rPr>
                <w:sz w:val="24"/>
                <w:u w:val="single"/>
              </w:rPr>
            </w:pPr>
            <w:r>
              <w:rPr>
                <w:sz w:val="24"/>
                <w:u w:val="single"/>
              </w:rPr>
              <w:t>q</w:t>
            </w:r>
            <w:r>
              <w:rPr>
                <w:sz w:val="24"/>
                <w:u w:val="single"/>
                <w:vertAlign w:val="subscript"/>
              </w:rPr>
              <w:t>4</w:t>
            </w:r>
            <w:r>
              <w:rPr>
                <w:sz w:val="24"/>
                <w:u w:val="single"/>
              </w:rPr>
              <w:t>——锅炉机械不完全燃烧热损失，%，参考《污染源源强核算技术指南 锅炉》（HJ991-2018）附录B中表B.1及《排污许可证申请与核发技术规范 锅炉》（HJ953-2018）中表11，本项目取10；</w:t>
            </w:r>
          </w:p>
          <w:p>
            <w:pPr>
              <w:adjustRightInd w:val="0"/>
              <w:snapToGrid w:val="0"/>
              <w:spacing w:line="360" w:lineRule="auto"/>
              <w:ind w:firstLine="1200" w:firstLineChars="500"/>
              <w:rPr>
                <w:sz w:val="24"/>
                <w:u w:val="single"/>
              </w:rPr>
            </w:pPr>
            <w:r>
              <w:rPr>
                <w:sz w:val="24"/>
                <w:u w:val="single"/>
              </w:rPr>
              <w:t>ƞ</w:t>
            </w:r>
            <w:r>
              <w:rPr>
                <w:sz w:val="24"/>
                <w:u w:val="single"/>
                <w:vertAlign w:val="subscript"/>
              </w:rPr>
              <w:t>s</w:t>
            </w:r>
            <w:r>
              <w:rPr>
                <w:sz w:val="24"/>
                <w:u w:val="single"/>
              </w:rPr>
              <w:t>——脱硫效率，%，本项目取0；</w:t>
            </w:r>
          </w:p>
          <w:p>
            <w:pPr>
              <w:adjustRightInd w:val="0"/>
              <w:snapToGrid w:val="0"/>
              <w:spacing w:line="360" w:lineRule="auto"/>
              <w:ind w:firstLine="1200" w:firstLineChars="500"/>
              <w:rPr>
                <w:sz w:val="24"/>
                <w:u w:val="single"/>
              </w:rPr>
            </w:pPr>
            <w:r>
              <w:rPr>
                <w:sz w:val="24"/>
                <w:u w:val="single"/>
              </w:rPr>
              <w:t>K——燃料中的硫燃烧后氧化成二氧化硫的份额，量纲一的量，参考《污染源源强核算技术指南 锅炉》（HJ991-2018）附录B中表B.3，本项目取0.4。</w:t>
            </w:r>
          </w:p>
          <w:p>
            <w:pPr>
              <w:adjustRightInd w:val="0"/>
              <w:snapToGrid w:val="0"/>
              <w:spacing w:line="360" w:lineRule="auto"/>
              <w:ind w:firstLine="480" w:firstLineChars="200"/>
              <w:rPr>
                <w:sz w:val="24"/>
                <w:u w:val="single"/>
              </w:rPr>
            </w:pPr>
            <w:r>
              <w:rPr>
                <w:sz w:val="24"/>
                <w:u w:val="single"/>
              </w:rPr>
              <w:t>经计算，本项目二氧化硫排放量约为0.0</w:t>
            </w:r>
            <w:r>
              <w:rPr>
                <w:rFonts w:hint="eastAsia"/>
                <w:sz w:val="24"/>
                <w:u w:val="single"/>
              </w:rPr>
              <w:t>19</w:t>
            </w:r>
            <w:r>
              <w:rPr>
                <w:sz w:val="24"/>
                <w:u w:val="single"/>
              </w:rPr>
              <w:t>t/a。</w:t>
            </w:r>
          </w:p>
          <w:p>
            <w:pPr>
              <w:adjustRightInd w:val="0"/>
              <w:snapToGrid w:val="0"/>
              <w:spacing w:line="360" w:lineRule="auto"/>
              <w:ind w:firstLine="480" w:firstLineChars="200"/>
              <w:rPr>
                <w:sz w:val="24"/>
                <w:u w:val="single"/>
              </w:rPr>
            </w:pPr>
            <w:r>
              <w:rPr>
                <w:sz w:val="24"/>
                <w:u w:val="single"/>
              </w:rPr>
              <w:t>D.氮氧化物</w:t>
            </w:r>
          </w:p>
          <w:p>
            <w:pPr>
              <w:adjustRightInd w:val="0"/>
              <w:snapToGrid w:val="0"/>
              <w:spacing w:line="360" w:lineRule="auto"/>
              <w:ind w:firstLine="480" w:firstLineChars="200"/>
              <w:rPr>
                <w:sz w:val="24"/>
                <w:u w:val="single"/>
              </w:rPr>
            </w:pPr>
            <w:r>
              <w:rPr>
                <w:rFonts w:hint="eastAsia"/>
                <w:sz w:val="24"/>
                <w:u w:val="single"/>
              </w:rPr>
              <w:t>本项目无锅炉生产商提供的氮氧化物控制保证浓度值，无法进行物料衡算。</w:t>
            </w:r>
            <w:r>
              <w:rPr>
                <w:sz w:val="24"/>
                <w:u w:val="single"/>
              </w:rPr>
              <w:t>根据《</w:t>
            </w:r>
            <w:r>
              <w:rPr>
                <w:rFonts w:hint="eastAsia"/>
                <w:sz w:val="24"/>
                <w:u w:val="single"/>
              </w:rPr>
              <w:t>污染源源强核算技术指南</w:t>
            </w:r>
            <w:r>
              <w:rPr>
                <w:sz w:val="24"/>
                <w:u w:val="single"/>
              </w:rPr>
              <w:t xml:space="preserve"> 锅炉</w:t>
            </w:r>
            <w:r>
              <w:rPr>
                <w:rFonts w:hint="eastAsia"/>
                <w:sz w:val="24"/>
                <w:u w:val="single"/>
              </w:rPr>
              <w:t>》（HJ991-2018），项目</w:t>
            </w:r>
            <w:r>
              <w:rPr>
                <w:sz w:val="24"/>
                <w:u w:val="single"/>
              </w:rPr>
              <w:t>生物质锅炉</w:t>
            </w:r>
            <w:r>
              <w:rPr>
                <w:rFonts w:hint="eastAsia"/>
                <w:sz w:val="24"/>
                <w:u w:val="single"/>
              </w:rPr>
              <w:t>烟气中</w:t>
            </w:r>
            <w:r>
              <w:rPr>
                <w:sz w:val="24"/>
                <w:u w:val="single"/>
              </w:rPr>
              <w:t>NO</w:t>
            </w:r>
            <w:r>
              <w:rPr>
                <w:sz w:val="24"/>
                <w:u w:val="single"/>
                <w:vertAlign w:val="subscript"/>
              </w:rPr>
              <w:t>X</w:t>
            </w:r>
            <w:r>
              <w:rPr>
                <w:sz w:val="24"/>
                <w:u w:val="single"/>
              </w:rPr>
              <w:t>排放量</w:t>
            </w:r>
            <w:r>
              <w:rPr>
                <w:rFonts w:hint="eastAsia"/>
                <w:sz w:val="24"/>
                <w:u w:val="single"/>
              </w:rPr>
              <w:t>采用产污系数法进行源强核算。产污系数法</w:t>
            </w:r>
            <w:r>
              <w:rPr>
                <w:sz w:val="24"/>
                <w:u w:val="single"/>
              </w:rPr>
              <w:t>计算公式</w:t>
            </w:r>
            <w:r>
              <w:rPr>
                <w:rFonts w:hint="eastAsia"/>
                <w:sz w:val="24"/>
                <w:u w:val="single"/>
              </w:rPr>
              <w:t>：</w:t>
            </w:r>
          </w:p>
          <w:p>
            <w:pPr>
              <w:adjustRightInd w:val="0"/>
              <w:snapToGrid w:val="0"/>
              <w:spacing w:line="360" w:lineRule="auto"/>
              <w:jc w:val="center"/>
              <w:rPr>
                <w:sz w:val="24"/>
                <w:u w:val="single"/>
              </w:rPr>
            </w:pPr>
            <w:r>
              <w:rPr>
                <w:rFonts w:ascii="Times New Roman" w:hAnsi="Times New Roman" w:eastAsia="宋体" w:cs="Times New Roman"/>
                <w:bCs/>
                <w:kern w:val="2"/>
                <w:position w:val="-28"/>
                <w:sz w:val="24"/>
                <w:szCs w:val="24"/>
                <w:u w:val="single"/>
                <w:lang w:val="en-US" w:eastAsia="zh-CN" w:bidi="ar-SA"/>
              </w:rPr>
              <w:pict>
                <v:shape id="_x0000_i1146" o:spt="75" type="#_x0000_t75" style="height:34.35pt;width:146.5pt;" fillcolor="#FFFFFF" filled="f" o:preferrelative="t" stroked="f" coordsize="21600,21600">
                  <v:path/>
                  <v:fill on="f" color2="#FFFFFF" focussize="0,0"/>
                  <v:stroke on="f"/>
                  <v:imagedata r:id="rId20" gain="65536f" blacklevel="0f" gamma="0" o:title=""/>
                  <o:lock v:ext="edit" position="f" selection="f" grouping="f" rotation="f" cropping="f" text="f" aspectratio="t"/>
                  <w10:wrap type="none"/>
                  <w10:anchorlock/>
                </v:shape>
              </w:pict>
            </w:r>
          </w:p>
          <w:p>
            <w:pPr>
              <w:adjustRightInd w:val="0"/>
              <w:snapToGrid w:val="0"/>
              <w:spacing w:line="360" w:lineRule="auto"/>
              <w:ind w:firstLine="480" w:firstLineChars="200"/>
              <w:rPr>
                <w:sz w:val="24"/>
                <w:u w:val="single"/>
              </w:rPr>
            </w:pPr>
            <w:r>
              <w:rPr>
                <w:sz w:val="24"/>
                <w:u w:val="single"/>
              </w:rPr>
              <w:t>式中：E</w:t>
            </w:r>
            <w:r>
              <w:rPr>
                <w:rFonts w:hint="eastAsia"/>
                <w:sz w:val="24"/>
                <w:u w:val="single"/>
                <w:vertAlign w:val="subscript"/>
              </w:rPr>
              <w:t>j</w:t>
            </w:r>
            <w:r>
              <w:rPr>
                <w:sz w:val="24"/>
                <w:u w:val="single"/>
              </w:rPr>
              <w:t>——核算时段内</w:t>
            </w:r>
            <w:r>
              <w:rPr>
                <w:rFonts w:hint="eastAsia"/>
                <w:sz w:val="24"/>
                <w:u w:val="single"/>
              </w:rPr>
              <w:t>第j种污染物</w:t>
            </w:r>
            <w:r>
              <w:rPr>
                <w:sz w:val="24"/>
                <w:u w:val="single"/>
              </w:rPr>
              <w:t>排放量，t；</w:t>
            </w:r>
          </w:p>
          <w:p>
            <w:pPr>
              <w:adjustRightInd w:val="0"/>
              <w:snapToGrid w:val="0"/>
              <w:spacing w:line="360" w:lineRule="auto"/>
              <w:ind w:firstLine="1200" w:firstLineChars="500"/>
              <w:rPr>
                <w:sz w:val="24"/>
                <w:u w:val="single"/>
              </w:rPr>
            </w:pPr>
            <w:r>
              <w:rPr>
                <w:sz w:val="24"/>
                <w:u w:val="single"/>
              </w:rPr>
              <w:t>R——核算时段内燃料耗量，t，本项目取300；</w:t>
            </w:r>
          </w:p>
          <w:p>
            <w:pPr>
              <w:adjustRightInd w:val="0"/>
              <w:snapToGrid w:val="0"/>
              <w:spacing w:line="360" w:lineRule="auto"/>
              <w:ind w:firstLine="1200" w:firstLineChars="500"/>
              <w:rPr>
                <w:sz w:val="24"/>
                <w:u w:val="single"/>
              </w:rPr>
            </w:pPr>
            <w:r>
              <w:rPr>
                <w:sz w:val="24"/>
                <w:u w:val="single"/>
              </w:rPr>
              <w:t>β</w:t>
            </w:r>
            <w:r>
              <w:rPr>
                <w:sz w:val="24"/>
                <w:u w:val="single"/>
                <w:vertAlign w:val="subscript"/>
              </w:rPr>
              <w:t>j</w:t>
            </w:r>
            <w:r>
              <w:rPr>
                <w:sz w:val="24"/>
                <w:u w:val="single"/>
              </w:rPr>
              <w:t>——</w:t>
            </w:r>
            <w:r>
              <w:rPr>
                <w:rFonts w:hint="eastAsia"/>
                <w:sz w:val="24"/>
                <w:u w:val="single"/>
              </w:rPr>
              <w:t>产污系数</w:t>
            </w:r>
            <w:r>
              <w:rPr>
                <w:sz w:val="24"/>
                <w:u w:val="single"/>
              </w:rPr>
              <w:t>，</w:t>
            </w:r>
            <w:r>
              <w:rPr>
                <w:rFonts w:hint="eastAsia"/>
                <w:sz w:val="24"/>
                <w:u w:val="single"/>
              </w:rPr>
              <w:t>kg/t，参照《排污许可证申请与核发技术规范 锅炉》（HJ953-2018）附录F 表F.4 燃生物质工业锅炉的废气产排污系数，采用低氮燃烧直排的NO</w:t>
            </w:r>
            <w:r>
              <w:rPr>
                <w:rFonts w:hint="eastAsia"/>
                <w:sz w:val="24"/>
                <w:u w:val="single"/>
                <w:vertAlign w:val="subscript"/>
              </w:rPr>
              <w:t>X</w:t>
            </w:r>
            <w:r>
              <w:rPr>
                <w:rFonts w:hint="eastAsia"/>
                <w:sz w:val="24"/>
                <w:u w:val="single"/>
              </w:rPr>
              <w:t>产污系数为0.71kg/t-燃料；</w:t>
            </w:r>
          </w:p>
          <w:p>
            <w:pPr>
              <w:adjustRightInd w:val="0"/>
              <w:snapToGrid w:val="0"/>
              <w:spacing w:line="360" w:lineRule="auto"/>
              <w:ind w:firstLine="1200" w:firstLineChars="500"/>
              <w:rPr>
                <w:sz w:val="24"/>
                <w:u w:val="single"/>
              </w:rPr>
            </w:pPr>
            <w:r>
              <w:rPr>
                <w:sz w:val="24"/>
                <w:u w:val="single"/>
              </w:rPr>
              <w:t>ƞ——</w:t>
            </w:r>
            <w:r>
              <w:rPr>
                <w:rFonts w:hint="eastAsia"/>
                <w:sz w:val="24"/>
                <w:u w:val="single"/>
              </w:rPr>
              <w:t>污染物的脱除</w:t>
            </w:r>
            <w:r>
              <w:rPr>
                <w:sz w:val="24"/>
                <w:u w:val="single"/>
              </w:rPr>
              <w:t>效率，%</w:t>
            </w:r>
            <w:r>
              <w:rPr>
                <w:rFonts w:hint="eastAsia"/>
                <w:sz w:val="24"/>
                <w:u w:val="single"/>
              </w:rPr>
              <w:t>，本项目取0。</w:t>
            </w:r>
          </w:p>
          <w:p>
            <w:pPr>
              <w:adjustRightInd w:val="0"/>
              <w:snapToGrid w:val="0"/>
              <w:spacing w:line="360" w:lineRule="auto"/>
              <w:ind w:firstLine="480" w:firstLineChars="200"/>
              <w:rPr>
                <w:sz w:val="24"/>
                <w:u w:val="single"/>
              </w:rPr>
            </w:pPr>
            <w:r>
              <w:rPr>
                <w:sz w:val="24"/>
                <w:u w:val="single"/>
              </w:rPr>
              <w:t>经计算，本项目氮氧化物排放量约为0.</w:t>
            </w:r>
            <w:r>
              <w:rPr>
                <w:rFonts w:hint="eastAsia"/>
                <w:sz w:val="24"/>
                <w:u w:val="single"/>
              </w:rPr>
              <w:t>213</w:t>
            </w:r>
            <w:r>
              <w:rPr>
                <w:sz w:val="24"/>
                <w:u w:val="single"/>
              </w:rPr>
              <w:t>t/a。</w:t>
            </w:r>
          </w:p>
          <w:p>
            <w:pPr>
              <w:adjustRightInd w:val="0"/>
              <w:snapToGrid w:val="0"/>
              <w:spacing w:line="360" w:lineRule="auto"/>
              <w:ind w:firstLine="480" w:firstLineChars="200"/>
              <w:rPr>
                <w:sz w:val="24"/>
                <w:u w:val="single"/>
              </w:rPr>
            </w:pPr>
            <w:r>
              <w:rPr>
                <w:sz w:val="24"/>
                <w:u w:val="single"/>
              </w:rPr>
              <w:t>本项目锅炉烟气产生及排放情况详见</w:t>
            </w:r>
            <w:r>
              <w:rPr>
                <w:rFonts w:hint="eastAsia"/>
                <w:sz w:val="24"/>
                <w:u w:val="single"/>
              </w:rPr>
              <w:t>下表</w:t>
            </w:r>
            <w:r>
              <w:rPr>
                <w:sz w:val="24"/>
                <w:u w:val="single"/>
              </w:rPr>
              <w:t>。</w:t>
            </w:r>
          </w:p>
          <w:p>
            <w:pPr>
              <w:pStyle w:val="23"/>
              <w:ind w:left="0" w:firstLine="0"/>
            </w:pPr>
            <w:r>
              <w:rPr>
                <w:rFonts w:hint="eastAsia"/>
              </w:rPr>
              <w:t>本项目锅炉烟气产生及排放情况一览表</w:t>
            </w:r>
          </w:p>
          <w:tbl>
            <w:tblPr>
              <w:tblStyle w:val="19"/>
              <w:tblW w:w="7951"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944"/>
              <w:gridCol w:w="1139"/>
              <w:gridCol w:w="898"/>
              <w:gridCol w:w="1301"/>
              <w:gridCol w:w="1177"/>
              <w:gridCol w:w="1312"/>
              <w:gridCol w:w="1180"/>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944" w:type="dxa"/>
                  <w:vMerge w:val="restart"/>
                  <w:vAlign w:val="center"/>
                </w:tcPr>
                <w:p>
                  <w:pPr>
                    <w:ind w:firstLine="482"/>
                    <w:jc w:val="center"/>
                    <w:rPr>
                      <w:b/>
                      <w:bCs/>
                      <w:u w:val="single"/>
                    </w:rPr>
                  </w:pPr>
                  <w:r>
                    <w:rPr>
                      <w:b/>
                      <w:bCs/>
                      <w:u w:val="single"/>
                    </w:rPr>
                    <w:t>燃</w:t>
                  </w:r>
                  <w:r>
                    <w:rPr>
                      <w:rFonts w:hint="eastAsia"/>
                      <w:b/>
                      <w:bCs/>
                      <w:u w:val="single"/>
                    </w:rPr>
                    <w:t>料</w:t>
                  </w:r>
                  <w:r>
                    <w:rPr>
                      <w:b/>
                      <w:bCs/>
                      <w:u w:val="single"/>
                    </w:rPr>
                    <w:t>量(</w:t>
                  </w:r>
                  <w:r>
                    <w:rPr>
                      <w:rFonts w:hint="eastAsia"/>
                      <w:b/>
                      <w:bCs/>
                      <w:u w:val="single"/>
                    </w:rPr>
                    <w:t>t</w:t>
                  </w:r>
                  <w:r>
                    <w:rPr>
                      <w:b/>
                      <w:bCs/>
                      <w:u w:val="single"/>
                    </w:rPr>
                    <w:t>/a)</w:t>
                  </w:r>
                </w:p>
              </w:tc>
              <w:tc>
                <w:tcPr>
                  <w:tcW w:w="1139" w:type="dxa"/>
                  <w:vMerge w:val="restart"/>
                  <w:vAlign w:val="center"/>
                </w:tcPr>
                <w:p>
                  <w:pPr>
                    <w:ind w:firstLine="482"/>
                    <w:jc w:val="center"/>
                    <w:rPr>
                      <w:b/>
                      <w:bCs/>
                      <w:u w:val="single"/>
                    </w:rPr>
                  </w:pPr>
                  <w:r>
                    <w:rPr>
                      <w:rFonts w:hint="eastAsia"/>
                      <w:b/>
                      <w:bCs/>
                      <w:u w:val="single"/>
                    </w:rPr>
                    <w:t>废</w:t>
                  </w:r>
                  <w:r>
                    <w:rPr>
                      <w:b/>
                      <w:bCs/>
                      <w:u w:val="single"/>
                    </w:rPr>
                    <w:t>气量(m</w:t>
                  </w:r>
                  <w:r>
                    <w:rPr>
                      <w:b/>
                      <w:bCs/>
                      <w:u w:val="single"/>
                      <w:vertAlign w:val="superscript"/>
                    </w:rPr>
                    <w:t>3</w:t>
                  </w:r>
                  <w:r>
                    <w:rPr>
                      <w:b/>
                      <w:bCs/>
                      <w:u w:val="single"/>
                    </w:rPr>
                    <w:t>/a)</w:t>
                  </w:r>
                </w:p>
              </w:tc>
              <w:tc>
                <w:tcPr>
                  <w:tcW w:w="898" w:type="dxa"/>
                  <w:vMerge w:val="restart"/>
                  <w:vAlign w:val="center"/>
                </w:tcPr>
                <w:p>
                  <w:pPr>
                    <w:ind w:firstLine="482"/>
                    <w:jc w:val="center"/>
                    <w:rPr>
                      <w:b/>
                      <w:bCs/>
                      <w:u w:val="single"/>
                    </w:rPr>
                  </w:pPr>
                  <w:r>
                    <w:rPr>
                      <w:b/>
                      <w:bCs/>
                      <w:u w:val="single"/>
                    </w:rPr>
                    <w:t>污染物</w:t>
                  </w:r>
                </w:p>
              </w:tc>
              <w:tc>
                <w:tcPr>
                  <w:tcW w:w="2478" w:type="dxa"/>
                  <w:gridSpan w:val="2"/>
                  <w:vAlign w:val="center"/>
                </w:tcPr>
                <w:p>
                  <w:pPr>
                    <w:ind w:firstLine="482"/>
                    <w:jc w:val="center"/>
                    <w:rPr>
                      <w:b/>
                      <w:bCs/>
                      <w:u w:val="single"/>
                    </w:rPr>
                  </w:pPr>
                  <w:r>
                    <w:rPr>
                      <w:b/>
                      <w:bCs/>
                      <w:u w:val="single"/>
                    </w:rPr>
                    <w:t>产生情况</w:t>
                  </w:r>
                </w:p>
              </w:tc>
              <w:tc>
                <w:tcPr>
                  <w:tcW w:w="2492" w:type="dxa"/>
                  <w:gridSpan w:val="2"/>
                  <w:vAlign w:val="center"/>
                </w:tcPr>
                <w:p>
                  <w:pPr>
                    <w:ind w:firstLine="482"/>
                    <w:jc w:val="center"/>
                    <w:rPr>
                      <w:b/>
                      <w:bCs/>
                      <w:u w:val="single"/>
                    </w:rPr>
                  </w:pPr>
                  <w:r>
                    <w:rPr>
                      <w:b/>
                      <w:bCs/>
                      <w:u w:val="single"/>
                    </w:rPr>
                    <w:t>排放情况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944" w:type="dxa"/>
                  <w:vMerge w:val="continue"/>
                  <w:vAlign w:val="center"/>
                </w:tcPr>
                <w:p>
                  <w:pPr>
                    <w:ind w:firstLine="482"/>
                    <w:jc w:val="center"/>
                    <w:rPr>
                      <w:b/>
                      <w:bCs/>
                      <w:u w:val="single"/>
                    </w:rPr>
                  </w:pPr>
                </w:p>
              </w:tc>
              <w:tc>
                <w:tcPr>
                  <w:tcW w:w="1139" w:type="dxa"/>
                  <w:vMerge w:val="continue"/>
                  <w:vAlign w:val="center"/>
                </w:tcPr>
                <w:p>
                  <w:pPr>
                    <w:ind w:firstLine="482"/>
                    <w:jc w:val="center"/>
                    <w:rPr>
                      <w:b/>
                      <w:bCs/>
                      <w:u w:val="single"/>
                    </w:rPr>
                  </w:pPr>
                </w:p>
              </w:tc>
              <w:tc>
                <w:tcPr>
                  <w:tcW w:w="898" w:type="dxa"/>
                  <w:vMerge w:val="continue"/>
                  <w:vAlign w:val="center"/>
                </w:tcPr>
                <w:p>
                  <w:pPr>
                    <w:ind w:firstLine="482"/>
                    <w:jc w:val="center"/>
                    <w:rPr>
                      <w:b/>
                      <w:bCs/>
                      <w:u w:val="single"/>
                    </w:rPr>
                  </w:pPr>
                </w:p>
              </w:tc>
              <w:tc>
                <w:tcPr>
                  <w:tcW w:w="1301" w:type="dxa"/>
                  <w:vAlign w:val="center"/>
                </w:tcPr>
                <w:p>
                  <w:pPr>
                    <w:ind w:firstLine="482"/>
                    <w:jc w:val="center"/>
                    <w:rPr>
                      <w:b/>
                      <w:bCs/>
                      <w:u w:val="single"/>
                    </w:rPr>
                  </w:pPr>
                  <w:r>
                    <w:rPr>
                      <w:b/>
                      <w:bCs/>
                      <w:u w:val="single"/>
                    </w:rPr>
                    <w:t>产生浓度（mg/m</w:t>
                  </w:r>
                  <w:r>
                    <w:rPr>
                      <w:b/>
                      <w:bCs/>
                      <w:u w:val="single"/>
                      <w:vertAlign w:val="superscript"/>
                    </w:rPr>
                    <w:t>3</w:t>
                  </w:r>
                  <w:r>
                    <w:rPr>
                      <w:b/>
                      <w:bCs/>
                      <w:u w:val="single"/>
                    </w:rPr>
                    <w:t>）</w:t>
                  </w:r>
                </w:p>
              </w:tc>
              <w:tc>
                <w:tcPr>
                  <w:tcW w:w="1177" w:type="dxa"/>
                  <w:vAlign w:val="center"/>
                </w:tcPr>
                <w:p>
                  <w:pPr>
                    <w:ind w:firstLine="482"/>
                    <w:jc w:val="center"/>
                    <w:rPr>
                      <w:b/>
                      <w:bCs/>
                      <w:u w:val="single"/>
                    </w:rPr>
                  </w:pPr>
                  <w:r>
                    <w:rPr>
                      <w:b/>
                      <w:bCs/>
                      <w:u w:val="single"/>
                    </w:rPr>
                    <w:t>产生量（</w:t>
                  </w:r>
                  <w:r>
                    <w:rPr>
                      <w:rFonts w:hint="eastAsia"/>
                      <w:b/>
                      <w:bCs/>
                      <w:u w:val="single"/>
                    </w:rPr>
                    <w:t>t</w:t>
                  </w:r>
                  <w:r>
                    <w:rPr>
                      <w:b/>
                      <w:bCs/>
                      <w:u w:val="single"/>
                    </w:rPr>
                    <w:t>/a）</w:t>
                  </w:r>
                </w:p>
              </w:tc>
              <w:tc>
                <w:tcPr>
                  <w:tcW w:w="1312" w:type="dxa"/>
                  <w:vAlign w:val="center"/>
                </w:tcPr>
                <w:p>
                  <w:pPr>
                    <w:ind w:firstLine="482"/>
                    <w:jc w:val="center"/>
                    <w:rPr>
                      <w:b/>
                      <w:bCs/>
                      <w:u w:val="single"/>
                    </w:rPr>
                  </w:pPr>
                  <w:r>
                    <w:rPr>
                      <w:b/>
                      <w:bCs/>
                      <w:u w:val="single"/>
                    </w:rPr>
                    <w:t>排放浓度（mg/m</w:t>
                  </w:r>
                  <w:r>
                    <w:rPr>
                      <w:b/>
                      <w:bCs/>
                      <w:u w:val="single"/>
                      <w:vertAlign w:val="superscript"/>
                    </w:rPr>
                    <w:t>3</w:t>
                  </w:r>
                  <w:r>
                    <w:rPr>
                      <w:b/>
                      <w:bCs/>
                      <w:u w:val="single"/>
                    </w:rPr>
                    <w:t>）</w:t>
                  </w:r>
                </w:p>
              </w:tc>
              <w:tc>
                <w:tcPr>
                  <w:tcW w:w="1180" w:type="dxa"/>
                  <w:vAlign w:val="center"/>
                </w:tcPr>
                <w:p>
                  <w:pPr>
                    <w:ind w:firstLine="482"/>
                    <w:jc w:val="center"/>
                    <w:rPr>
                      <w:b/>
                      <w:bCs/>
                      <w:u w:val="single"/>
                    </w:rPr>
                  </w:pPr>
                  <w:r>
                    <w:rPr>
                      <w:b/>
                      <w:bCs/>
                      <w:u w:val="single"/>
                    </w:rPr>
                    <w:t>排放量（</w:t>
                  </w:r>
                  <w:r>
                    <w:rPr>
                      <w:rFonts w:hint="eastAsia"/>
                      <w:b/>
                      <w:bCs/>
                      <w:u w:val="single"/>
                    </w:rPr>
                    <w:t>t</w:t>
                  </w:r>
                  <w:r>
                    <w:rPr>
                      <w:b/>
                      <w:bCs/>
                      <w:u w:val="single"/>
                    </w:rPr>
                    <w:t>/a）</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944" w:type="dxa"/>
                  <w:vMerge w:val="restart"/>
                  <w:vAlign w:val="center"/>
                </w:tcPr>
                <w:p>
                  <w:pPr>
                    <w:jc w:val="center"/>
                    <w:rPr>
                      <w:u w:val="single"/>
                    </w:rPr>
                  </w:pPr>
                  <w:r>
                    <w:rPr>
                      <w:rFonts w:hint="eastAsia"/>
                      <w:u w:val="single"/>
                    </w:rPr>
                    <w:t>300</w:t>
                  </w:r>
                </w:p>
              </w:tc>
              <w:tc>
                <w:tcPr>
                  <w:tcW w:w="1139" w:type="dxa"/>
                  <w:vMerge w:val="restart"/>
                  <w:vAlign w:val="center"/>
                </w:tcPr>
                <w:p>
                  <w:pPr>
                    <w:jc w:val="center"/>
                    <w:rPr>
                      <w:u w:val="single"/>
                    </w:rPr>
                  </w:pPr>
                  <w:r>
                    <w:rPr>
                      <w:rFonts w:hint="eastAsia"/>
                      <w:u w:val="single"/>
                    </w:rPr>
                    <w:t>2.34</w:t>
                  </w:r>
                  <w:r>
                    <w:rPr>
                      <w:u w:val="single"/>
                    </w:rPr>
                    <w:t>×10</w:t>
                  </w:r>
                  <w:r>
                    <w:rPr>
                      <w:rFonts w:hint="eastAsia"/>
                      <w:u w:val="single"/>
                      <w:vertAlign w:val="superscript"/>
                    </w:rPr>
                    <w:t>6</w:t>
                  </w:r>
                </w:p>
              </w:tc>
              <w:tc>
                <w:tcPr>
                  <w:tcW w:w="898" w:type="dxa"/>
                  <w:vAlign w:val="center"/>
                </w:tcPr>
                <w:p>
                  <w:pPr>
                    <w:jc w:val="center"/>
                    <w:rPr>
                      <w:u w:val="single"/>
                    </w:rPr>
                  </w:pPr>
                  <w:r>
                    <w:rPr>
                      <w:u w:val="single"/>
                    </w:rPr>
                    <w:t>颗粒物</w:t>
                  </w:r>
                </w:p>
              </w:tc>
              <w:tc>
                <w:tcPr>
                  <w:tcW w:w="1301" w:type="dxa"/>
                  <w:vAlign w:val="center"/>
                </w:tcPr>
                <w:p>
                  <w:pPr>
                    <w:jc w:val="center"/>
                    <w:rPr>
                      <w:u w:val="single"/>
                    </w:rPr>
                  </w:pPr>
                  <w:r>
                    <w:rPr>
                      <w:rFonts w:hint="eastAsia"/>
                      <w:u w:val="single"/>
                    </w:rPr>
                    <w:t>947.009</w:t>
                  </w:r>
                </w:p>
              </w:tc>
              <w:tc>
                <w:tcPr>
                  <w:tcW w:w="1177" w:type="dxa"/>
                  <w:vAlign w:val="center"/>
                </w:tcPr>
                <w:p>
                  <w:pPr>
                    <w:jc w:val="center"/>
                    <w:rPr>
                      <w:u w:val="single"/>
                    </w:rPr>
                  </w:pPr>
                  <w:r>
                    <w:rPr>
                      <w:rFonts w:hint="eastAsia"/>
                      <w:u w:val="single"/>
                    </w:rPr>
                    <w:t>2.216</w:t>
                  </w:r>
                </w:p>
              </w:tc>
              <w:tc>
                <w:tcPr>
                  <w:tcW w:w="1312" w:type="dxa"/>
                  <w:vAlign w:val="center"/>
                </w:tcPr>
                <w:p>
                  <w:pPr>
                    <w:jc w:val="center"/>
                    <w:rPr>
                      <w:u w:val="single"/>
                    </w:rPr>
                  </w:pPr>
                  <w:r>
                    <w:rPr>
                      <w:rFonts w:hint="eastAsia"/>
                      <w:u w:val="single"/>
                    </w:rPr>
                    <w:t>9.402</w:t>
                  </w:r>
                </w:p>
              </w:tc>
              <w:tc>
                <w:tcPr>
                  <w:tcW w:w="1180" w:type="dxa"/>
                  <w:vAlign w:val="center"/>
                </w:tcPr>
                <w:p>
                  <w:pPr>
                    <w:jc w:val="center"/>
                    <w:rPr>
                      <w:u w:val="single"/>
                    </w:rPr>
                  </w:pPr>
                  <w:r>
                    <w:rPr>
                      <w:rFonts w:hint="eastAsia"/>
                      <w:u w:val="single"/>
                    </w:rPr>
                    <w:t>0.022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944" w:type="dxa"/>
                  <w:vMerge w:val="continue"/>
                  <w:vAlign w:val="center"/>
                </w:tcPr>
                <w:p>
                  <w:pPr>
                    <w:jc w:val="center"/>
                    <w:rPr>
                      <w:u w:val="single"/>
                    </w:rPr>
                  </w:pPr>
                </w:p>
              </w:tc>
              <w:tc>
                <w:tcPr>
                  <w:tcW w:w="1139" w:type="dxa"/>
                  <w:vMerge w:val="continue"/>
                  <w:vAlign w:val="center"/>
                </w:tcPr>
                <w:p>
                  <w:pPr>
                    <w:jc w:val="center"/>
                    <w:rPr>
                      <w:u w:val="single"/>
                    </w:rPr>
                  </w:pPr>
                </w:p>
              </w:tc>
              <w:tc>
                <w:tcPr>
                  <w:tcW w:w="898" w:type="dxa"/>
                  <w:vAlign w:val="center"/>
                </w:tcPr>
                <w:p>
                  <w:pPr>
                    <w:jc w:val="center"/>
                    <w:rPr>
                      <w:u w:val="single"/>
                      <w:vertAlign w:val="subscript"/>
                    </w:rPr>
                  </w:pPr>
                  <w:r>
                    <w:rPr>
                      <w:u w:val="single"/>
                    </w:rPr>
                    <w:t>SO</w:t>
                  </w:r>
                  <w:r>
                    <w:rPr>
                      <w:u w:val="single"/>
                      <w:vertAlign w:val="subscript"/>
                    </w:rPr>
                    <w:t>2</w:t>
                  </w:r>
                </w:p>
              </w:tc>
              <w:tc>
                <w:tcPr>
                  <w:tcW w:w="1301" w:type="dxa"/>
                  <w:vAlign w:val="center"/>
                </w:tcPr>
                <w:p>
                  <w:pPr>
                    <w:jc w:val="center"/>
                    <w:rPr>
                      <w:u w:val="single"/>
                    </w:rPr>
                  </w:pPr>
                  <w:r>
                    <w:rPr>
                      <w:rFonts w:hint="eastAsia"/>
                      <w:u w:val="single"/>
                    </w:rPr>
                    <w:t>8.120</w:t>
                  </w:r>
                </w:p>
              </w:tc>
              <w:tc>
                <w:tcPr>
                  <w:tcW w:w="1177" w:type="dxa"/>
                  <w:vAlign w:val="center"/>
                </w:tcPr>
                <w:p>
                  <w:pPr>
                    <w:jc w:val="center"/>
                    <w:rPr>
                      <w:u w:val="single"/>
                    </w:rPr>
                  </w:pPr>
                  <w:r>
                    <w:rPr>
                      <w:rFonts w:hint="eastAsia"/>
                      <w:u w:val="single"/>
                    </w:rPr>
                    <w:t>0.019</w:t>
                  </w:r>
                </w:p>
              </w:tc>
              <w:tc>
                <w:tcPr>
                  <w:tcW w:w="1312" w:type="dxa"/>
                  <w:vAlign w:val="center"/>
                </w:tcPr>
                <w:p>
                  <w:pPr>
                    <w:jc w:val="center"/>
                    <w:rPr>
                      <w:u w:val="single"/>
                    </w:rPr>
                  </w:pPr>
                  <w:r>
                    <w:rPr>
                      <w:rFonts w:hint="eastAsia"/>
                      <w:u w:val="single"/>
                    </w:rPr>
                    <w:t>8.120</w:t>
                  </w:r>
                </w:p>
              </w:tc>
              <w:tc>
                <w:tcPr>
                  <w:tcW w:w="1180" w:type="dxa"/>
                  <w:vAlign w:val="center"/>
                </w:tcPr>
                <w:p>
                  <w:pPr>
                    <w:jc w:val="center"/>
                    <w:rPr>
                      <w:u w:val="single"/>
                    </w:rPr>
                  </w:pPr>
                  <w:r>
                    <w:rPr>
                      <w:rFonts w:hint="eastAsia"/>
                      <w:u w:val="single"/>
                    </w:rPr>
                    <w:t>0.019</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944" w:type="dxa"/>
                  <w:vMerge w:val="continue"/>
                  <w:vAlign w:val="center"/>
                </w:tcPr>
                <w:p>
                  <w:pPr>
                    <w:jc w:val="center"/>
                    <w:rPr>
                      <w:u w:val="single"/>
                    </w:rPr>
                  </w:pPr>
                </w:p>
              </w:tc>
              <w:tc>
                <w:tcPr>
                  <w:tcW w:w="1139" w:type="dxa"/>
                  <w:vMerge w:val="continue"/>
                  <w:vAlign w:val="center"/>
                </w:tcPr>
                <w:p>
                  <w:pPr>
                    <w:jc w:val="center"/>
                    <w:rPr>
                      <w:u w:val="single"/>
                    </w:rPr>
                  </w:pPr>
                </w:p>
              </w:tc>
              <w:tc>
                <w:tcPr>
                  <w:tcW w:w="898" w:type="dxa"/>
                  <w:vAlign w:val="center"/>
                </w:tcPr>
                <w:p>
                  <w:pPr>
                    <w:jc w:val="center"/>
                    <w:rPr>
                      <w:u w:val="single"/>
                    </w:rPr>
                  </w:pPr>
                  <w:r>
                    <w:rPr>
                      <w:u w:val="single"/>
                    </w:rPr>
                    <w:t>NO</w:t>
                  </w:r>
                  <w:r>
                    <w:rPr>
                      <w:u w:val="single"/>
                      <w:vertAlign w:val="subscript"/>
                    </w:rPr>
                    <w:t>X</w:t>
                  </w:r>
                </w:p>
              </w:tc>
              <w:tc>
                <w:tcPr>
                  <w:tcW w:w="1301" w:type="dxa"/>
                  <w:vAlign w:val="center"/>
                </w:tcPr>
                <w:p>
                  <w:pPr>
                    <w:jc w:val="center"/>
                    <w:rPr>
                      <w:u w:val="single"/>
                    </w:rPr>
                  </w:pPr>
                  <w:r>
                    <w:rPr>
                      <w:rFonts w:hint="eastAsia"/>
                      <w:u w:val="single"/>
                    </w:rPr>
                    <w:t>91.026</w:t>
                  </w:r>
                </w:p>
              </w:tc>
              <w:tc>
                <w:tcPr>
                  <w:tcW w:w="1177" w:type="dxa"/>
                  <w:vAlign w:val="center"/>
                </w:tcPr>
                <w:p>
                  <w:pPr>
                    <w:jc w:val="center"/>
                    <w:rPr>
                      <w:u w:val="single"/>
                    </w:rPr>
                  </w:pPr>
                  <w:r>
                    <w:rPr>
                      <w:rFonts w:hint="eastAsia"/>
                      <w:u w:val="single"/>
                    </w:rPr>
                    <w:t>0.213</w:t>
                  </w:r>
                </w:p>
              </w:tc>
              <w:tc>
                <w:tcPr>
                  <w:tcW w:w="1312" w:type="dxa"/>
                  <w:vAlign w:val="center"/>
                </w:tcPr>
                <w:p>
                  <w:pPr>
                    <w:jc w:val="center"/>
                    <w:rPr>
                      <w:u w:val="single"/>
                    </w:rPr>
                  </w:pPr>
                  <w:r>
                    <w:rPr>
                      <w:rFonts w:hint="eastAsia"/>
                      <w:u w:val="single"/>
                    </w:rPr>
                    <w:t>91.026</w:t>
                  </w:r>
                </w:p>
              </w:tc>
              <w:tc>
                <w:tcPr>
                  <w:tcW w:w="1180" w:type="dxa"/>
                  <w:vAlign w:val="center"/>
                </w:tcPr>
                <w:p>
                  <w:pPr>
                    <w:jc w:val="center"/>
                    <w:rPr>
                      <w:u w:val="single"/>
                    </w:rPr>
                  </w:pPr>
                  <w:r>
                    <w:rPr>
                      <w:rFonts w:hint="eastAsia"/>
                      <w:u w:val="single"/>
                    </w:rPr>
                    <w:t>0.213</w:t>
                  </w:r>
                </w:p>
              </w:tc>
            </w:tr>
          </w:tbl>
          <w:p>
            <w:pPr>
              <w:adjustRightInd w:val="0"/>
              <w:snapToGrid w:val="0"/>
              <w:spacing w:beforeLines="50" w:line="360" w:lineRule="auto"/>
              <w:ind w:firstLine="480" w:firstLineChars="200"/>
              <w:rPr>
                <w:sz w:val="24"/>
              </w:rPr>
            </w:pPr>
            <w:r>
              <w:rPr>
                <w:rFonts w:hint="eastAsia"/>
                <w:sz w:val="24"/>
              </w:rPr>
              <w:t>由上表可知，项目燃生物质锅炉产生的锅炉烟气通过低氮燃烧+陶瓷多管+布袋除尘器处理后，排放的颗粒物、SO</w:t>
            </w:r>
            <w:r>
              <w:rPr>
                <w:rFonts w:hint="eastAsia"/>
                <w:sz w:val="24"/>
                <w:vertAlign w:val="subscript"/>
              </w:rPr>
              <w:t>2</w:t>
            </w:r>
            <w:r>
              <w:rPr>
                <w:rFonts w:hint="eastAsia"/>
                <w:sz w:val="24"/>
              </w:rPr>
              <w:t>、NO</w:t>
            </w:r>
            <w:r>
              <w:rPr>
                <w:rFonts w:hint="eastAsia"/>
                <w:sz w:val="24"/>
                <w:vertAlign w:val="subscript"/>
              </w:rPr>
              <w:t>X</w:t>
            </w:r>
            <w:r>
              <w:rPr>
                <w:rFonts w:hint="eastAsia"/>
                <w:sz w:val="24"/>
              </w:rPr>
              <w:t>浓度均满足</w:t>
            </w:r>
            <w:r>
              <w:rPr>
                <w:sz w:val="24"/>
              </w:rPr>
              <w:t>《锅炉大气污染物排放标准》</w:t>
            </w:r>
            <w:r>
              <w:rPr>
                <w:rFonts w:hint="eastAsia"/>
                <w:sz w:val="24"/>
              </w:rPr>
              <w:t>（</w:t>
            </w:r>
            <w:r>
              <w:rPr>
                <w:sz w:val="24"/>
              </w:rPr>
              <w:t>GB13271-2014</w:t>
            </w:r>
            <w:r>
              <w:rPr>
                <w:rFonts w:hint="eastAsia"/>
                <w:sz w:val="24"/>
              </w:rPr>
              <w:t>）表2</w:t>
            </w:r>
            <w:r>
              <w:rPr>
                <w:sz w:val="24"/>
              </w:rPr>
              <w:t>中</w:t>
            </w:r>
            <w:r>
              <w:rPr>
                <w:rFonts w:hint="eastAsia"/>
                <w:sz w:val="24"/>
              </w:rPr>
              <w:t>相关</w:t>
            </w:r>
            <w:r>
              <w:rPr>
                <w:sz w:val="24"/>
              </w:rPr>
              <w:t>排放</w:t>
            </w:r>
            <w:r>
              <w:rPr>
                <w:rFonts w:hint="eastAsia"/>
                <w:sz w:val="24"/>
              </w:rPr>
              <w:t>限值</w:t>
            </w:r>
            <w:r>
              <w:rPr>
                <w:sz w:val="24"/>
              </w:rPr>
              <w:t>要求</w:t>
            </w:r>
            <w:r>
              <w:rPr>
                <w:rFonts w:hint="eastAsia"/>
                <w:sz w:val="24"/>
              </w:rPr>
              <w:t>，对周围环境空气影响较小。根据《环境影响评价技术导则 大气环境》（HJ2.2-2018）附录A推荐模型中的AERSCREEN估算模式进行预测，各污染物在最近敏感目标处的预测贡献质量浓度分别为颗粒物：0.208</w:t>
            </w:r>
            <w:r>
              <w:rPr>
                <w:sz w:val="24"/>
              </w:rPr>
              <w:t>μg/m</w:t>
            </w:r>
            <w:r>
              <w:rPr>
                <w:sz w:val="24"/>
                <w:vertAlign w:val="superscript"/>
              </w:rPr>
              <w:t>3</w:t>
            </w:r>
            <w:r>
              <w:rPr>
                <w:sz w:val="24"/>
              </w:rPr>
              <w:t>、</w:t>
            </w:r>
            <w:r>
              <w:rPr>
                <w:rFonts w:hint="eastAsia"/>
                <w:sz w:val="24"/>
              </w:rPr>
              <w:t>SO</w:t>
            </w:r>
            <w:r>
              <w:rPr>
                <w:rFonts w:hint="eastAsia"/>
                <w:sz w:val="24"/>
                <w:vertAlign w:val="subscript"/>
              </w:rPr>
              <w:t>2</w:t>
            </w:r>
            <w:r>
              <w:rPr>
                <w:rFonts w:hint="eastAsia"/>
                <w:sz w:val="24"/>
              </w:rPr>
              <w:t>：0.180</w:t>
            </w:r>
            <w:r>
              <w:rPr>
                <w:sz w:val="24"/>
              </w:rPr>
              <w:t>μg/m</w:t>
            </w:r>
            <w:r>
              <w:rPr>
                <w:sz w:val="24"/>
                <w:vertAlign w:val="superscript"/>
              </w:rPr>
              <w:t>3</w:t>
            </w:r>
            <w:r>
              <w:rPr>
                <w:sz w:val="24"/>
              </w:rPr>
              <w:t>、</w:t>
            </w:r>
            <w:r>
              <w:rPr>
                <w:rFonts w:hint="eastAsia"/>
                <w:sz w:val="24"/>
              </w:rPr>
              <w:t>NO</w:t>
            </w:r>
            <w:r>
              <w:rPr>
                <w:rFonts w:hint="eastAsia"/>
                <w:sz w:val="24"/>
                <w:vertAlign w:val="subscript"/>
              </w:rPr>
              <w:t>X</w:t>
            </w:r>
            <w:r>
              <w:rPr>
                <w:rFonts w:hint="eastAsia"/>
                <w:sz w:val="24"/>
              </w:rPr>
              <w:t>：2.017</w:t>
            </w:r>
            <w:r>
              <w:rPr>
                <w:sz w:val="24"/>
              </w:rPr>
              <w:t>μg/m</w:t>
            </w:r>
            <w:r>
              <w:rPr>
                <w:sz w:val="24"/>
                <w:vertAlign w:val="superscript"/>
              </w:rPr>
              <w:t>3</w:t>
            </w:r>
            <w:r>
              <w:rPr>
                <w:rFonts w:hint="eastAsia"/>
                <w:sz w:val="24"/>
              </w:rPr>
              <w:t>，叠加背景浓度后敏感目标处预测质量浓度分别为颗粒物：38.208</w:t>
            </w:r>
            <w:r>
              <w:rPr>
                <w:sz w:val="24"/>
              </w:rPr>
              <w:t>μg/m</w:t>
            </w:r>
            <w:r>
              <w:rPr>
                <w:sz w:val="24"/>
                <w:vertAlign w:val="superscript"/>
              </w:rPr>
              <w:t>3</w:t>
            </w:r>
            <w:r>
              <w:rPr>
                <w:sz w:val="24"/>
              </w:rPr>
              <w:t>、</w:t>
            </w:r>
            <w:r>
              <w:rPr>
                <w:rFonts w:hint="eastAsia"/>
                <w:sz w:val="24"/>
              </w:rPr>
              <w:t>SO</w:t>
            </w:r>
            <w:r>
              <w:rPr>
                <w:rFonts w:hint="eastAsia"/>
                <w:sz w:val="24"/>
                <w:vertAlign w:val="subscript"/>
              </w:rPr>
              <w:t>2</w:t>
            </w:r>
            <w:r>
              <w:rPr>
                <w:rFonts w:hint="eastAsia"/>
                <w:sz w:val="24"/>
              </w:rPr>
              <w:t>：12.180</w:t>
            </w:r>
            <w:r>
              <w:rPr>
                <w:sz w:val="24"/>
              </w:rPr>
              <w:t>μg/m</w:t>
            </w:r>
            <w:r>
              <w:rPr>
                <w:sz w:val="24"/>
                <w:vertAlign w:val="superscript"/>
              </w:rPr>
              <w:t>3</w:t>
            </w:r>
            <w:r>
              <w:rPr>
                <w:sz w:val="24"/>
              </w:rPr>
              <w:t>、</w:t>
            </w:r>
            <w:r>
              <w:rPr>
                <w:rFonts w:hint="eastAsia"/>
                <w:sz w:val="24"/>
              </w:rPr>
              <w:t>NO</w:t>
            </w:r>
            <w:r>
              <w:rPr>
                <w:rFonts w:hint="eastAsia"/>
                <w:sz w:val="24"/>
                <w:vertAlign w:val="subscript"/>
              </w:rPr>
              <w:t>X</w:t>
            </w:r>
            <w:r>
              <w:rPr>
                <w:rFonts w:hint="eastAsia"/>
                <w:sz w:val="24"/>
              </w:rPr>
              <w:t>：23.017</w:t>
            </w:r>
            <w:r>
              <w:rPr>
                <w:sz w:val="24"/>
              </w:rPr>
              <w:t>μg/m</w:t>
            </w:r>
            <w:r>
              <w:rPr>
                <w:sz w:val="24"/>
                <w:vertAlign w:val="superscript"/>
              </w:rPr>
              <w:t>3</w:t>
            </w:r>
            <w:r>
              <w:rPr>
                <w:rFonts w:hint="eastAsia"/>
                <w:sz w:val="24"/>
              </w:rPr>
              <w:t>，均满足《环境空气质量标准》（GB 3095-2012）二级标准要求。综上，本项目排放的废气对最近环境敏感目标的环境影响可以接受。</w:t>
            </w:r>
          </w:p>
          <w:p>
            <w:pPr>
              <w:adjustRightInd w:val="0"/>
              <w:snapToGrid w:val="0"/>
              <w:spacing w:line="360" w:lineRule="auto"/>
              <w:ind w:firstLine="480" w:firstLineChars="200"/>
              <w:rPr>
                <w:sz w:val="24"/>
              </w:rPr>
            </w:pPr>
            <w:r>
              <w:rPr>
                <w:rFonts w:hint="eastAsia"/>
                <w:sz w:val="24"/>
              </w:rPr>
              <w:t>②无组织废气</w:t>
            </w:r>
          </w:p>
          <w:p>
            <w:pPr>
              <w:adjustRightInd w:val="0"/>
              <w:snapToGrid w:val="0"/>
              <w:spacing w:line="360" w:lineRule="auto"/>
              <w:ind w:firstLine="480" w:firstLineChars="200"/>
              <w:rPr>
                <w:sz w:val="24"/>
              </w:rPr>
            </w:pPr>
            <w:r>
              <w:rPr>
                <w:rFonts w:hint="eastAsia"/>
                <w:sz w:val="24"/>
              </w:rPr>
              <w:t>本项目生物质成型燃料颗粒袋装储存于封闭锅炉房内，项目生物质为成型颗粒状，故燃料上料过程产生的粉尘较小；灰渣储存在封闭的锅炉房内，均不露天堆放，且装卸过程中进行洒水降尘，可有效控制无组织粉尘对周围环境的影响，无组织粉尘产生量较少，可忽略不计。</w:t>
            </w:r>
          </w:p>
          <w:p>
            <w:pPr>
              <w:adjustRightInd w:val="0"/>
              <w:snapToGrid w:val="0"/>
              <w:spacing w:line="360" w:lineRule="auto"/>
              <w:ind w:firstLine="480" w:firstLineChars="200"/>
              <w:rPr>
                <w:sz w:val="24"/>
              </w:rPr>
            </w:pPr>
            <w:r>
              <w:rPr>
                <w:rFonts w:hint="eastAsia"/>
                <w:sz w:val="24"/>
              </w:rPr>
              <w:t>（2）废气治理措施及可行性分析</w:t>
            </w:r>
          </w:p>
          <w:p>
            <w:pPr>
              <w:adjustRightInd w:val="0"/>
              <w:snapToGrid w:val="0"/>
              <w:spacing w:line="360" w:lineRule="auto"/>
              <w:ind w:firstLine="480" w:firstLineChars="200"/>
              <w:rPr>
                <w:sz w:val="24"/>
              </w:rPr>
            </w:pPr>
            <w:r>
              <w:rPr>
                <w:sz w:val="24"/>
              </w:rPr>
              <w:t>根据《排污许可证申请与核发技术规范 锅炉》（HJ953-2018）中</w:t>
            </w:r>
            <w:r>
              <w:rPr>
                <w:rFonts w:hint="eastAsia"/>
                <w:sz w:val="24"/>
              </w:rPr>
              <w:t>表7锅炉烟气污染防治可行技术要求</w:t>
            </w:r>
            <w:r>
              <w:rPr>
                <w:sz w:val="24"/>
              </w:rPr>
              <w:t>，本项目</w:t>
            </w:r>
            <w:r>
              <w:rPr>
                <w:rFonts w:hint="eastAsia"/>
                <w:sz w:val="24"/>
              </w:rPr>
              <w:t>燃生物质锅炉</w:t>
            </w:r>
            <w:r>
              <w:rPr>
                <w:sz w:val="24"/>
              </w:rPr>
              <w:t>采用低氮燃烧+</w:t>
            </w:r>
            <w:r>
              <w:rPr>
                <w:rFonts w:hint="eastAsia"/>
                <w:sz w:val="24"/>
              </w:rPr>
              <w:t>陶瓷多管+</w:t>
            </w:r>
            <w:r>
              <w:rPr>
                <w:sz w:val="24"/>
              </w:rPr>
              <w:t>布袋除尘器对锅炉烟气进行处理</w:t>
            </w:r>
            <w:r>
              <w:rPr>
                <w:rFonts w:hint="eastAsia"/>
                <w:sz w:val="24"/>
              </w:rPr>
              <w:t>，</w:t>
            </w:r>
            <w:r>
              <w:rPr>
                <w:sz w:val="24"/>
              </w:rPr>
              <w:t>属于可行性技术。项目锅炉烟气</w:t>
            </w:r>
            <w:r>
              <w:rPr>
                <w:rFonts w:hint="eastAsia"/>
                <w:sz w:val="24"/>
              </w:rPr>
              <w:t>经处理后通过1根30m高排气筒排放，</w:t>
            </w:r>
            <w:r>
              <w:rPr>
                <w:sz w:val="24"/>
              </w:rPr>
              <w:t>排放的颗粒物、SO</w:t>
            </w:r>
            <w:r>
              <w:rPr>
                <w:sz w:val="24"/>
                <w:vertAlign w:val="subscript"/>
              </w:rPr>
              <w:t>2</w:t>
            </w:r>
            <w:r>
              <w:rPr>
                <w:sz w:val="24"/>
              </w:rPr>
              <w:t>、NO</w:t>
            </w:r>
            <w:r>
              <w:rPr>
                <w:sz w:val="24"/>
                <w:vertAlign w:val="subscript"/>
              </w:rPr>
              <w:t>X</w:t>
            </w:r>
            <w:r>
              <w:rPr>
                <w:sz w:val="24"/>
              </w:rPr>
              <w:t>浓度均满足《锅炉大气污染物排放标准》（GB13271-2014）表2中相关标准要求，对周围环境空气影响较小。</w:t>
            </w:r>
          </w:p>
          <w:p>
            <w:pPr>
              <w:adjustRightInd w:val="0"/>
              <w:snapToGrid w:val="0"/>
              <w:spacing w:line="360" w:lineRule="auto"/>
              <w:ind w:firstLine="480" w:firstLineChars="200"/>
              <w:rPr>
                <w:sz w:val="24"/>
              </w:rPr>
            </w:pPr>
            <w:r>
              <w:rPr>
                <w:rFonts w:hint="eastAsia"/>
                <w:sz w:val="24"/>
                <w:u w:val="single"/>
              </w:rPr>
              <w:t>低氮燃烧原理：采用分级燃烧技术，</w:t>
            </w:r>
            <w:r>
              <w:rPr>
                <w:sz w:val="24"/>
                <w:u w:val="single"/>
              </w:rPr>
              <w:t>分级燃烧技术又称为再燃烧技术，其特点是将燃烧分成3个区域，一次燃烧区是氧化性或弱还原性气氛；在第二燃烧区，将二次燃料送入炉内，使其呈还原性气氛（α&lt;1）。在高温和还原气氛下，生成碳氢原子团，该原子团与一次燃烧区生成的NO</w:t>
            </w:r>
            <w:r>
              <w:rPr>
                <w:sz w:val="24"/>
                <w:u w:val="single"/>
                <w:vertAlign w:val="subscript"/>
              </w:rPr>
              <w:t>X</w:t>
            </w:r>
            <w:r>
              <w:rPr>
                <w:sz w:val="24"/>
                <w:u w:val="single"/>
              </w:rPr>
              <w:t>反应，主要生产N</w:t>
            </w:r>
            <w:r>
              <w:rPr>
                <w:sz w:val="24"/>
                <w:u w:val="single"/>
                <w:vertAlign w:val="subscript"/>
              </w:rPr>
              <w:t>2</w:t>
            </w:r>
            <w:r>
              <w:rPr>
                <w:sz w:val="24"/>
                <w:u w:val="single"/>
              </w:rPr>
              <w:t>。这个区域通常称为还原区或再燃烧区，二次燃料通常成为再燃燃料；在还原区的上方，送入二次风使再燃燃料燃烧完全，该区域称为燃尽区，这部分二次风也称为燃尽风。燃尽过程中虽然会重新生成少量的NO</w:t>
            </w:r>
            <w:r>
              <w:rPr>
                <w:rFonts w:hint="eastAsia"/>
                <w:sz w:val="24"/>
                <w:u w:val="single"/>
              </w:rPr>
              <w:t>，但总的来看，使用分级燃烧技术后，最终NO</w:t>
            </w:r>
            <w:r>
              <w:rPr>
                <w:rFonts w:hint="eastAsia"/>
                <w:sz w:val="24"/>
                <w:u w:val="single"/>
                <w:vertAlign w:val="subscript"/>
              </w:rPr>
              <w:t>X</w:t>
            </w:r>
            <w:r>
              <w:rPr>
                <w:rFonts w:hint="eastAsia"/>
                <w:sz w:val="24"/>
                <w:u w:val="single"/>
              </w:rPr>
              <w:t>排放量会大大降低。低氮燃烧是目前应用最广泛的处理工艺，其综合成本较低，对废气处理效率稳定，可以使本项目废气稳定、达标排放。</w:t>
            </w:r>
          </w:p>
          <w:p>
            <w:pPr>
              <w:adjustRightInd w:val="0"/>
              <w:snapToGrid w:val="0"/>
              <w:spacing w:line="360" w:lineRule="auto"/>
              <w:ind w:firstLine="480" w:firstLineChars="200"/>
              <w:rPr>
                <w:sz w:val="24"/>
              </w:rPr>
            </w:pPr>
            <w:r>
              <w:rPr>
                <w:rFonts w:hint="eastAsia"/>
                <w:sz w:val="24"/>
              </w:rPr>
              <w:t>陶瓷多管除尘：为旋</w:t>
            </w:r>
            <w:r>
              <w:rPr>
                <w:sz w:val="24"/>
              </w:rPr>
              <w:t>风离心式除尘设备，含尘烟气进入陶瓷旋风子后形成高速旋转气流，粉尘在离心力作用下被甩向壁面落入灰斗，主要去除烟气中粒径较大的粗颗粒粉尘（≥50μm），同</w:t>
            </w:r>
            <w:r>
              <w:rPr>
                <w:rFonts w:hint="eastAsia"/>
                <w:sz w:val="24"/>
              </w:rPr>
              <w:t>时有效捕集烟气中夹带的火星，起到预处理和阻火保护作用，可显著降低后续布袋除尘器的粉尘负荷。</w:t>
            </w:r>
          </w:p>
          <w:p>
            <w:pPr>
              <w:adjustRightInd w:val="0"/>
              <w:snapToGrid w:val="0"/>
              <w:spacing w:line="360" w:lineRule="auto"/>
              <w:ind w:firstLine="480" w:firstLineChars="200"/>
              <w:rPr>
                <w:sz w:val="24"/>
              </w:rPr>
            </w:pPr>
            <w:r>
              <w:rPr>
                <w:rFonts w:hint="eastAsia"/>
                <w:sz w:val="24"/>
              </w:rPr>
              <w:t>布袋除尘：为高效干式过滤设备，含尘烟气穿过滤袋时，粉尘因拦截、惯性碰撞等效应被阻留在滤袋表面，净化后的洁净气体排出。当滤袋阻力达到设定值时，采用脉冲喷吹压缩空气进行在线清灰，保证滤袋持续保持良好过滤状态。布袋除尘器对微细粉尘具有极高的捕集效率。</w:t>
            </w:r>
          </w:p>
          <w:p>
            <w:pPr>
              <w:adjustRightInd w:val="0"/>
              <w:snapToGrid w:val="0"/>
              <w:spacing w:line="360" w:lineRule="auto"/>
              <w:ind w:firstLine="480" w:firstLineChars="200"/>
              <w:rPr>
                <w:sz w:val="24"/>
              </w:rPr>
            </w:pPr>
            <w:r>
              <w:rPr>
                <w:rFonts w:hint="eastAsia"/>
                <w:sz w:val="24"/>
              </w:rPr>
              <w:t>陶瓷多管除尘利用耐高温、耐磨损特性承担粗除尘和阻火功能，为布袋除尘器提供安全运行条件；布袋除尘器发挥高效精过滤优势，确保烟尘排放浓度稳定满足《锅炉大气污染物排放标准》（GB 13271-2014）中相关标准要求。两级协同可以实现除尘系统长期稳定达标运行。</w:t>
            </w:r>
          </w:p>
          <w:p>
            <w:pPr>
              <w:adjustRightInd w:val="0"/>
              <w:snapToGrid w:val="0"/>
              <w:spacing w:line="360" w:lineRule="auto"/>
              <w:ind w:firstLine="480" w:firstLineChars="200"/>
              <w:rPr>
                <w:sz w:val="24"/>
              </w:rPr>
            </w:pPr>
            <w:r>
              <w:rPr>
                <w:rFonts w:hint="eastAsia"/>
                <w:sz w:val="24"/>
              </w:rPr>
              <w:t>综上，本项目</w:t>
            </w:r>
            <w:r>
              <w:rPr>
                <w:sz w:val="24"/>
              </w:rPr>
              <w:t>采用低氮燃烧+</w:t>
            </w:r>
            <w:r>
              <w:rPr>
                <w:rFonts w:hint="eastAsia"/>
                <w:sz w:val="24"/>
              </w:rPr>
              <w:t>陶瓷多管+</w:t>
            </w:r>
            <w:r>
              <w:rPr>
                <w:sz w:val="24"/>
              </w:rPr>
              <w:t>布袋除尘器对锅炉烟气进行处理</w:t>
            </w:r>
            <w:r>
              <w:rPr>
                <w:rFonts w:hint="eastAsia"/>
                <w:sz w:val="24"/>
              </w:rPr>
              <w:t>，技术成熟可靠，满足污染防治可行技术要求。</w:t>
            </w:r>
          </w:p>
          <w:p>
            <w:pPr>
              <w:adjustRightInd w:val="0"/>
              <w:snapToGrid w:val="0"/>
              <w:spacing w:line="360" w:lineRule="auto"/>
              <w:ind w:firstLine="482" w:firstLineChars="200"/>
              <w:rPr>
                <w:b/>
                <w:bCs/>
                <w:sz w:val="24"/>
              </w:rPr>
            </w:pPr>
            <w:r>
              <w:rPr>
                <w:rFonts w:hint="eastAsia"/>
                <w:b/>
                <w:bCs/>
                <w:sz w:val="24"/>
              </w:rPr>
              <w:t>（3）排放口基本情况</w:t>
            </w:r>
          </w:p>
          <w:p>
            <w:pPr>
              <w:pStyle w:val="23"/>
              <w:ind w:left="0" w:firstLine="0"/>
              <w:rPr>
                <w:u w:val="none"/>
              </w:rPr>
            </w:pPr>
            <w:r>
              <w:rPr>
                <w:rFonts w:hint="eastAsia"/>
                <w:u w:val="none"/>
              </w:rPr>
              <w:t>本项目排放口基本情况</w:t>
            </w:r>
          </w:p>
          <w:tbl>
            <w:tblPr>
              <w:tblStyle w:val="19"/>
              <w:tblW w:w="7951"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199"/>
              <w:gridCol w:w="1274"/>
              <w:gridCol w:w="2142"/>
              <w:gridCol w:w="855"/>
              <w:gridCol w:w="788"/>
              <w:gridCol w:w="858"/>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835" w:type="dxa"/>
                  <w:vMerge w:val="restart"/>
                  <w:vAlign w:val="center"/>
                </w:tcPr>
                <w:p>
                  <w:pPr>
                    <w:ind w:firstLine="482"/>
                    <w:jc w:val="center"/>
                    <w:rPr>
                      <w:b/>
                      <w:bCs/>
                    </w:rPr>
                  </w:pPr>
                  <w:r>
                    <w:rPr>
                      <w:rFonts w:hint="eastAsia"/>
                      <w:b/>
                      <w:bCs/>
                    </w:rPr>
                    <w:t>编号</w:t>
                  </w:r>
                </w:p>
              </w:tc>
              <w:tc>
                <w:tcPr>
                  <w:tcW w:w="1199" w:type="dxa"/>
                  <w:vMerge w:val="restart"/>
                  <w:vAlign w:val="center"/>
                </w:tcPr>
                <w:p>
                  <w:pPr>
                    <w:ind w:firstLine="482"/>
                    <w:jc w:val="center"/>
                    <w:rPr>
                      <w:b/>
                      <w:bCs/>
                    </w:rPr>
                  </w:pPr>
                  <w:r>
                    <w:rPr>
                      <w:rFonts w:hint="eastAsia"/>
                      <w:b/>
                      <w:bCs/>
                    </w:rPr>
                    <w:t>名称</w:t>
                  </w:r>
                </w:p>
              </w:tc>
              <w:tc>
                <w:tcPr>
                  <w:tcW w:w="1274" w:type="dxa"/>
                  <w:vMerge w:val="restart"/>
                  <w:vAlign w:val="center"/>
                </w:tcPr>
                <w:p>
                  <w:pPr>
                    <w:ind w:firstLine="482"/>
                    <w:jc w:val="center"/>
                    <w:rPr>
                      <w:b/>
                      <w:bCs/>
                    </w:rPr>
                  </w:pPr>
                  <w:r>
                    <w:rPr>
                      <w:rFonts w:hint="eastAsia"/>
                      <w:b/>
                      <w:bCs/>
                    </w:rPr>
                    <w:t>类型</w:t>
                  </w:r>
                </w:p>
              </w:tc>
              <w:tc>
                <w:tcPr>
                  <w:tcW w:w="3785" w:type="dxa"/>
                  <w:gridSpan w:val="3"/>
                  <w:vAlign w:val="center"/>
                </w:tcPr>
                <w:p>
                  <w:pPr>
                    <w:ind w:firstLine="482"/>
                    <w:jc w:val="center"/>
                    <w:rPr>
                      <w:b/>
                      <w:bCs/>
                    </w:rPr>
                  </w:pPr>
                  <w:r>
                    <w:rPr>
                      <w:rFonts w:hint="eastAsia"/>
                      <w:b/>
                      <w:bCs/>
                    </w:rPr>
                    <w:t>排气筒</w:t>
                  </w:r>
                </w:p>
              </w:tc>
              <w:tc>
                <w:tcPr>
                  <w:tcW w:w="858" w:type="dxa"/>
                  <w:vMerge w:val="restart"/>
                  <w:vAlign w:val="center"/>
                </w:tcPr>
                <w:p>
                  <w:pPr>
                    <w:ind w:firstLine="482"/>
                    <w:jc w:val="center"/>
                    <w:rPr>
                      <w:b/>
                      <w:bCs/>
                    </w:rPr>
                  </w:pPr>
                  <w:r>
                    <w:rPr>
                      <w:rFonts w:hint="eastAsia"/>
                      <w:b/>
                      <w:bCs/>
                    </w:rPr>
                    <w:t>温度</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35" w:type="dxa"/>
                  <w:vMerge w:val="continue"/>
                  <w:vAlign w:val="center"/>
                </w:tcPr>
                <w:p>
                  <w:pPr>
                    <w:jc w:val="center"/>
                  </w:pPr>
                </w:p>
              </w:tc>
              <w:tc>
                <w:tcPr>
                  <w:tcW w:w="1199" w:type="dxa"/>
                  <w:vMerge w:val="continue"/>
                  <w:vAlign w:val="center"/>
                </w:tcPr>
                <w:p>
                  <w:pPr>
                    <w:jc w:val="center"/>
                  </w:pPr>
                </w:p>
              </w:tc>
              <w:tc>
                <w:tcPr>
                  <w:tcW w:w="1274" w:type="dxa"/>
                  <w:vMerge w:val="continue"/>
                  <w:vAlign w:val="center"/>
                </w:tcPr>
                <w:p>
                  <w:pPr>
                    <w:jc w:val="center"/>
                  </w:pPr>
                </w:p>
              </w:tc>
              <w:tc>
                <w:tcPr>
                  <w:tcW w:w="2142" w:type="dxa"/>
                  <w:vAlign w:val="center"/>
                </w:tcPr>
                <w:p>
                  <w:pPr>
                    <w:ind w:firstLine="482"/>
                    <w:jc w:val="center"/>
                    <w:rPr>
                      <w:b/>
                      <w:bCs/>
                    </w:rPr>
                  </w:pPr>
                  <w:r>
                    <w:rPr>
                      <w:rFonts w:hint="eastAsia"/>
                      <w:b/>
                      <w:bCs/>
                    </w:rPr>
                    <w:t>地理坐标</w:t>
                  </w:r>
                </w:p>
              </w:tc>
              <w:tc>
                <w:tcPr>
                  <w:tcW w:w="855" w:type="dxa"/>
                  <w:vAlign w:val="center"/>
                </w:tcPr>
                <w:p>
                  <w:pPr>
                    <w:ind w:firstLine="482"/>
                    <w:jc w:val="center"/>
                    <w:rPr>
                      <w:b/>
                      <w:bCs/>
                    </w:rPr>
                  </w:pPr>
                  <w:r>
                    <w:rPr>
                      <w:rFonts w:hint="eastAsia"/>
                      <w:b/>
                      <w:bCs/>
                    </w:rPr>
                    <w:t>高度</w:t>
                  </w:r>
                </w:p>
              </w:tc>
              <w:tc>
                <w:tcPr>
                  <w:tcW w:w="788" w:type="dxa"/>
                  <w:vAlign w:val="center"/>
                </w:tcPr>
                <w:p>
                  <w:pPr>
                    <w:ind w:firstLine="482"/>
                    <w:jc w:val="center"/>
                    <w:rPr>
                      <w:b/>
                      <w:bCs/>
                    </w:rPr>
                  </w:pPr>
                  <w:r>
                    <w:rPr>
                      <w:rFonts w:hint="eastAsia"/>
                      <w:b/>
                      <w:bCs/>
                    </w:rPr>
                    <w:t>内径</w:t>
                  </w:r>
                </w:p>
              </w:tc>
              <w:tc>
                <w:tcPr>
                  <w:tcW w:w="858" w:type="dxa"/>
                  <w:vMerge w:val="continue"/>
                  <w:vAlign w:val="center"/>
                </w:tcPr>
                <w:p>
                  <w:pPr>
                    <w:ind w:firstLine="482"/>
                    <w:jc w:val="center"/>
                    <w:rPr>
                      <w:b/>
                      <w:bCs/>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35" w:type="dxa"/>
                  <w:vAlign w:val="center"/>
                </w:tcPr>
                <w:p>
                  <w:pPr>
                    <w:jc w:val="center"/>
                  </w:pPr>
                  <w:r>
                    <w:rPr>
                      <w:rFonts w:hint="eastAsia"/>
                    </w:rPr>
                    <w:t>DA001</w:t>
                  </w:r>
                </w:p>
              </w:tc>
              <w:tc>
                <w:tcPr>
                  <w:tcW w:w="1199" w:type="dxa"/>
                  <w:vAlign w:val="center"/>
                </w:tcPr>
                <w:p>
                  <w:pPr>
                    <w:jc w:val="center"/>
                  </w:pPr>
                  <w:r>
                    <w:rPr>
                      <w:rFonts w:hint="eastAsia"/>
                    </w:rPr>
                    <w:t>锅炉烟气排气筒</w:t>
                  </w:r>
                </w:p>
              </w:tc>
              <w:tc>
                <w:tcPr>
                  <w:tcW w:w="1274" w:type="dxa"/>
                  <w:vAlign w:val="center"/>
                </w:tcPr>
                <w:p>
                  <w:pPr>
                    <w:jc w:val="center"/>
                  </w:pPr>
                  <w:r>
                    <w:rPr>
                      <w:rFonts w:hint="eastAsia"/>
                    </w:rPr>
                    <w:t>一般排放口</w:t>
                  </w:r>
                </w:p>
              </w:tc>
              <w:tc>
                <w:tcPr>
                  <w:tcW w:w="2142" w:type="dxa"/>
                  <w:vAlign w:val="center"/>
                </w:tcPr>
                <w:p>
                  <w:pPr>
                    <w:jc w:val="center"/>
                  </w:pPr>
                  <w:r>
                    <w:t>东经：</w:t>
                  </w:r>
                  <w:r>
                    <w:rPr>
                      <w:rFonts w:hint="eastAsia"/>
                    </w:rPr>
                    <w:t>125</w:t>
                  </w:r>
                  <w:r>
                    <w:t>°</w:t>
                  </w:r>
                  <w:r>
                    <w:rPr>
                      <w:rFonts w:hint="eastAsia"/>
                    </w:rPr>
                    <w:t>54</w:t>
                  </w:r>
                  <w:r>
                    <w:t>′</w:t>
                  </w:r>
                  <w:r>
                    <w:rPr>
                      <w:rFonts w:hint="eastAsia"/>
                    </w:rPr>
                    <w:t>4.003</w:t>
                  </w:r>
                  <w:r>
                    <w:t>″</w:t>
                  </w:r>
                </w:p>
                <w:p>
                  <w:pPr>
                    <w:jc w:val="center"/>
                  </w:pPr>
                  <w:r>
                    <w:t>北纬：</w:t>
                  </w:r>
                  <w:r>
                    <w:rPr>
                      <w:rFonts w:hint="eastAsia"/>
                    </w:rPr>
                    <w:t>42</w:t>
                  </w:r>
                  <w:r>
                    <w:t>°</w:t>
                  </w:r>
                  <w:r>
                    <w:rPr>
                      <w:rFonts w:hint="eastAsia"/>
                    </w:rPr>
                    <w:t>9</w:t>
                  </w:r>
                  <w:r>
                    <w:t>′</w:t>
                  </w:r>
                  <w:r>
                    <w:rPr>
                      <w:rFonts w:hint="eastAsia"/>
                    </w:rPr>
                    <w:t>11.357</w:t>
                  </w:r>
                  <w:r>
                    <w:t>″</w:t>
                  </w:r>
                </w:p>
              </w:tc>
              <w:tc>
                <w:tcPr>
                  <w:tcW w:w="855" w:type="dxa"/>
                  <w:vAlign w:val="center"/>
                </w:tcPr>
                <w:p>
                  <w:pPr>
                    <w:jc w:val="center"/>
                  </w:pPr>
                  <w:r>
                    <w:rPr>
                      <w:rFonts w:hint="eastAsia"/>
                    </w:rPr>
                    <w:t>30m</w:t>
                  </w:r>
                </w:p>
              </w:tc>
              <w:tc>
                <w:tcPr>
                  <w:tcW w:w="788" w:type="dxa"/>
                  <w:vAlign w:val="center"/>
                </w:tcPr>
                <w:p>
                  <w:pPr>
                    <w:jc w:val="center"/>
                  </w:pPr>
                  <w:r>
                    <w:rPr>
                      <w:rFonts w:hint="eastAsia"/>
                    </w:rPr>
                    <w:t>0.35</w:t>
                  </w:r>
                  <w:r>
                    <w:t>m</w:t>
                  </w:r>
                </w:p>
              </w:tc>
              <w:tc>
                <w:tcPr>
                  <w:tcW w:w="858" w:type="dxa"/>
                  <w:vAlign w:val="center"/>
                </w:tcPr>
                <w:p>
                  <w:pPr>
                    <w:jc w:val="center"/>
                  </w:pPr>
                  <w:r>
                    <w:rPr>
                      <w:rFonts w:hint="eastAsia"/>
                    </w:rPr>
                    <w:t>125</w:t>
                  </w:r>
                  <w:r>
                    <w:t>℃</w:t>
                  </w:r>
                </w:p>
              </w:tc>
            </w:tr>
          </w:tbl>
          <w:p>
            <w:pPr>
              <w:pStyle w:val="24"/>
              <w:spacing w:beforeLines="50" w:line="360" w:lineRule="auto"/>
              <w:ind w:firstLine="480"/>
              <w:rPr>
                <w:rFonts w:ascii="Times New Roman" w:hAnsi="Times New Roman" w:cs="Times New Roman"/>
                <w:bCs/>
                <w:color w:val="auto"/>
                <w:sz w:val="24"/>
                <w:szCs w:val="24"/>
                <w:u w:val="single"/>
              </w:rPr>
            </w:pPr>
            <w:r>
              <w:rPr>
                <w:rFonts w:hint="eastAsia" w:ascii="Times New Roman" w:hAnsi="Times New Roman" w:cs="Times New Roman"/>
                <w:bCs/>
                <w:color w:val="auto"/>
                <w:sz w:val="24"/>
                <w:szCs w:val="24"/>
                <w:u w:val="single"/>
              </w:rPr>
              <w:t>根据《锅炉大气污染物排放标准》（GB13271-2014）表4中相关要求，“锅炉房装机总容量2~&lt;4t/h，其烟囱最低允许高度为30m”。项目周围半径200m距离内最高建筑物约9m高。项目建设1台2.5t/h燃生物质蒸汽锅炉，采用低氮燃烧+陶瓷多管+布袋除尘器对锅炉烟气进行处理，处理后经1根30m高排气筒排放，锅炉排气筒高度满足《锅炉大气污染物排放标准》（GB13271-2014）中相关要求，故项目锅炉排气筒设置合理。</w:t>
            </w:r>
          </w:p>
          <w:p>
            <w:pPr>
              <w:pStyle w:val="24"/>
              <w:spacing w:line="360" w:lineRule="auto"/>
              <w:ind w:firstLine="482"/>
              <w:rPr>
                <w:rFonts w:ascii="Times New Roman" w:hAnsi="Times New Roman" w:cs="Times New Roman"/>
                <w:b/>
                <w:bCs/>
                <w:color w:val="auto"/>
                <w:sz w:val="24"/>
                <w:szCs w:val="24"/>
              </w:rPr>
            </w:pPr>
            <w:r>
              <w:rPr>
                <w:rFonts w:hint="eastAsia" w:ascii="Times New Roman" w:hAnsi="Times New Roman" w:cs="Times New Roman"/>
                <w:b/>
                <w:bCs/>
                <w:color w:val="auto"/>
                <w:sz w:val="24"/>
                <w:szCs w:val="24"/>
              </w:rPr>
              <w:t>（3）非正常工况污染物排放情况</w:t>
            </w:r>
          </w:p>
          <w:p>
            <w:pPr>
              <w:pStyle w:val="24"/>
              <w:spacing w:line="360" w:lineRule="auto"/>
              <w:ind w:firstLine="480"/>
              <w:rPr>
                <w:rFonts w:ascii="Times New Roman" w:hAnsi="Times New Roman" w:cs="Times New Roman"/>
                <w:bCs/>
                <w:color w:val="auto"/>
                <w:sz w:val="24"/>
                <w:szCs w:val="24"/>
              </w:rPr>
            </w:pPr>
            <w:r>
              <w:rPr>
                <w:rFonts w:hint="eastAsia" w:ascii="Times New Roman" w:hAnsi="Times New Roman" w:cs="Times New Roman"/>
                <w:bCs/>
                <w:color w:val="auto"/>
                <w:sz w:val="24"/>
                <w:szCs w:val="24"/>
              </w:rPr>
              <w:t>本项目非正常工况是指设备检修及开停车、环保设施异常（环保设施损坏，本项目考虑最不利情况下废气处理系统净化效率为50%的情况），非正常工况下废气污染物产生及排放情况如下表。</w:t>
            </w:r>
          </w:p>
          <w:p>
            <w:pPr>
              <w:pStyle w:val="23"/>
              <w:ind w:left="0" w:firstLine="0"/>
              <w:rPr>
                <w:u w:val="none"/>
              </w:rPr>
            </w:pPr>
            <w:r>
              <w:rPr>
                <w:rFonts w:hint="eastAsia"/>
                <w:u w:val="none"/>
              </w:rPr>
              <w:t>项目非正常排放参数一览表</w:t>
            </w:r>
          </w:p>
          <w:tbl>
            <w:tblPr>
              <w:tblStyle w:val="19"/>
              <w:tblW w:w="7948"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867"/>
              <w:gridCol w:w="711"/>
              <w:gridCol w:w="1108"/>
              <w:gridCol w:w="1011"/>
              <w:gridCol w:w="885"/>
              <w:gridCol w:w="1138"/>
              <w:gridCol w:w="726"/>
              <w:gridCol w:w="647"/>
              <w:gridCol w:w="855"/>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67" w:type="dxa"/>
                  <w:vAlign w:val="center"/>
                </w:tcPr>
                <w:p>
                  <w:pPr>
                    <w:ind w:firstLine="482"/>
                    <w:jc w:val="center"/>
                    <w:rPr>
                      <w:b/>
                      <w:bCs/>
                    </w:rPr>
                  </w:pPr>
                  <w:r>
                    <w:rPr>
                      <w:rFonts w:hint="eastAsia"/>
                      <w:b/>
                      <w:bCs/>
                    </w:rPr>
                    <w:t>污染源</w:t>
                  </w:r>
                </w:p>
              </w:tc>
              <w:tc>
                <w:tcPr>
                  <w:tcW w:w="711" w:type="dxa"/>
                  <w:vAlign w:val="center"/>
                </w:tcPr>
                <w:p>
                  <w:pPr>
                    <w:ind w:firstLine="482"/>
                    <w:jc w:val="center"/>
                    <w:rPr>
                      <w:b/>
                      <w:bCs/>
                    </w:rPr>
                  </w:pPr>
                  <w:r>
                    <w:rPr>
                      <w:rFonts w:hint="eastAsia"/>
                      <w:b/>
                      <w:bCs/>
                    </w:rPr>
                    <w:t>污染物</w:t>
                  </w:r>
                </w:p>
              </w:tc>
              <w:tc>
                <w:tcPr>
                  <w:tcW w:w="1108" w:type="dxa"/>
                  <w:vAlign w:val="center"/>
                </w:tcPr>
                <w:p>
                  <w:pPr>
                    <w:ind w:firstLine="482"/>
                    <w:jc w:val="center"/>
                    <w:rPr>
                      <w:b/>
                      <w:bCs/>
                    </w:rPr>
                  </w:pPr>
                  <w:r>
                    <w:rPr>
                      <w:rFonts w:hint="eastAsia"/>
                      <w:b/>
                      <w:bCs/>
                    </w:rPr>
                    <w:t>产生浓度(</w:t>
                  </w:r>
                  <w:r>
                    <w:rPr>
                      <w:b/>
                      <w:bCs/>
                    </w:rPr>
                    <w:t>mg/m</w:t>
                  </w:r>
                  <w:r>
                    <w:rPr>
                      <w:b/>
                      <w:bCs/>
                      <w:vertAlign w:val="superscript"/>
                    </w:rPr>
                    <w:t>3</w:t>
                  </w:r>
                  <w:r>
                    <w:rPr>
                      <w:rFonts w:hint="eastAsia"/>
                      <w:b/>
                      <w:bCs/>
                    </w:rPr>
                    <w:t>)</w:t>
                  </w:r>
                </w:p>
              </w:tc>
              <w:tc>
                <w:tcPr>
                  <w:tcW w:w="1011" w:type="dxa"/>
                  <w:vAlign w:val="center"/>
                </w:tcPr>
                <w:p>
                  <w:pPr>
                    <w:ind w:firstLine="482"/>
                    <w:jc w:val="center"/>
                    <w:rPr>
                      <w:b/>
                      <w:bCs/>
                    </w:rPr>
                  </w:pPr>
                  <w:r>
                    <w:rPr>
                      <w:rFonts w:hint="eastAsia"/>
                      <w:b/>
                      <w:bCs/>
                    </w:rPr>
                    <w:t>产生速率(kg/h)</w:t>
                  </w:r>
                </w:p>
              </w:tc>
              <w:tc>
                <w:tcPr>
                  <w:tcW w:w="885" w:type="dxa"/>
                  <w:vAlign w:val="center"/>
                </w:tcPr>
                <w:p>
                  <w:pPr>
                    <w:ind w:firstLine="482"/>
                    <w:jc w:val="center"/>
                    <w:rPr>
                      <w:b/>
                      <w:bCs/>
                    </w:rPr>
                  </w:pPr>
                  <w:r>
                    <w:rPr>
                      <w:rFonts w:hint="eastAsia"/>
                      <w:b/>
                      <w:bCs/>
                    </w:rPr>
                    <w:t>工况</w:t>
                  </w:r>
                </w:p>
              </w:tc>
              <w:tc>
                <w:tcPr>
                  <w:tcW w:w="1138" w:type="dxa"/>
                  <w:vAlign w:val="center"/>
                </w:tcPr>
                <w:p>
                  <w:pPr>
                    <w:ind w:firstLine="482"/>
                    <w:jc w:val="center"/>
                    <w:rPr>
                      <w:b/>
                      <w:bCs/>
                    </w:rPr>
                  </w:pPr>
                  <w:r>
                    <w:rPr>
                      <w:rFonts w:hint="eastAsia"/>
                      <w:b/>
                      <w:bCs/>
                    </w:rPr>
                    <w:t>排放浓度(</w:t>
                  </w:r>
                  <w:r>
                    <w:rPr>
                      <w:b/>
                      <w:bCs/>
                    </w:rPr>
                    <w:t>mg/m</w:t>
                  </w:r>
                  <w:r>
                    <w:rPr>
                      <w:b/>
                      <w:bCs/>
                      <w:vertAlign w:val="superscript"/>
                    </w:rPr>
                    <w:t>3</w:t>
                  </w:r>
                  <w:r>
                    <w:rPr>
                      <w:rFonts w:hint="eastAsia"/>
                      <w:b/>
                      <w:bCs/>
                    </w:rPr>
                    <w:t>)</w:t>
                  </w:r>
                </w:p>
              </w:tc>
              <w:tc>
                <w:tcPr>
                  <w:tcW w:w="726" w:type="dxa"/>
                  <w:vAlign w:val="center"/>
                </w:tcPr>
                <w:p>
                  <w:pPr>
                    <w:ind w:firstLine="482"/>
                    <w:jc w:val="center"/>
                    <w:rPr>
                      <w:b/>
                      <w:bCs/>
                    </w:rPr>
                  </w:pPr>
                  <w:r>
                    <w:rPr>
                      <w:rFonts w:hint="eastAsia"/>
                      <w:b/>
                      <w:bCs/>
                    </w:rPr>
                    <w:t>发生频次</w:t>
                  </w:r>
                </w:p>
              </w:tc>
              <w:tc>
                <w:tcPr>
                  <w:tcW w:w="647" w:type="dxa"/>
                  <w:vAlign w:val="center"/>
                </w:tcPr>
                <w:p>
                  <w:pPr>
                    <w:ind w:firstLine="482"/>
                    <w:jc w:val="center"/>
                    <w:rPr>
                      <w:b/>
                      <w:bCs/>
                    </w:rPr>
                  </w:pPr>
                  <w:r>
                    <w:rPr>
                      <w:rFonts w:hint="eastAsia"/>
                      <w:b/>
                      <w:bCs/>
                    </w:rPr>
                    <w:t>排放时间</w:t>
                  </w:r>
                </w:p>
              </w:tc>
              <w:tc>
                <w:tcPr>
                  <w:tcW w:w="855" w:type="dxa"/>
                  <w:vAlign w:val="center"/>
                </w:tcPr>
                <w:p>
                  <w:pPr>
                    <w:ind w:firstLine="482"/>
                    <w:jc w:val="center"/>
                    <w:rPr>
                      <w:b/>
                      <w:bCs/>
                    </w:rPr>
                  </w:pPr>
                  <w:r>
                    <w:rPr>
                      <w:rFonts w:hint="eastAsia"/>
                      <w:b/>
                      <w:bCs/>
                    </w:rPr>
                    <w:t>排放量(kg/次)</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867" w:type="dxa"/>
                  <w:vAlign w:val="center"/>
                </w:tcPr>
                <w:p>
                  <w:pPr>
                    <w:jc w:val="center"/>
                  </w:pPr>
                  <w:r>
                    <w:rPr>
                      <w:rFonts w:hint="eastAsia"/>
                    </w:rPr>
                    <w:t>锅炉烟气</w:t>
                  </w:r>
                </w:p>
              </w:tc>
              <w:tc>
                <w:tcPr>
                  <w:tcW w:w="711" w:type="dxa"/>
                  <w:vAlign w:val="center"/>
                </w:tcPr>
                <w:p>
                  <w:pPr>
                    <w:jc w:val="center"/>
                  </w:pPr>
                  <w:r>
                    <w:rPr>
                      <w:rFonts w:hint="eastAsia"/>
                    </w:rPr>
                    <w:t>颗粒物</w:t>
                  </w:r>
                </w:p>
              </w:tc>
              <w:tc>
                <w:tcPr>
                  <w:tcW w:w="1108" w:type="dxa"/>
                  <w:vAlign w:val="center"/>
                </w:tcPr>
                <w:p>
                  <w:pPr>
                    <w:jc w:val="center"/>
                  </w:pPr>
                  <w:r>
                    <w:rPr>
                      <w:rFonts w:hint="eastAsia"/>
                    </w:rPr>
                    <w:t>947.009</w:t>
                  </w:r>
                </w:p>
              </w:tc>
              <w:tc>
                <w:tcPr>
                  <w:tcW w:w="1011" w:type="dxa"/>
                  <w:vAlign w:val="center"/>
                </w:tcPr>
                <w:p>
                  <w:pPr>
                    <w:jc w:val="center"/>
                  </w:pPr>
                  <w:r>
                    <w:rPr>
                      <w:rFonts w:hint="eastAsia"/>
                    </w:rPr>
                    <w:t>3.166</w:t>
                  </w:r>
                </w:p>
              </w:tc>
              <w:tc>
                <w:tcPr>
                  <w:tcW w:w="885" w:type="dxa"/>
                  <w:vAlign w:val="center"/>
                </w:tcPr>
                <w:p>
                  <w:pPr>
                    <w:jc w:val="center"/>
                  </w:pPr>
                  <w:r>
                    <w:rPr>
                      <w:rFonts w:hint="eastAsia"/>
                    </w:rPr>
                    <w:t>非正常</w:t>
                  </w:r>
                </w:p>
              </w:tc>
              <w:tc>
                <w:tcPr>
                  <w:tcW w:w="1138" w:type="dxa"/>
                  <w:vAlign w:val="center"/>
                </w:tcPr>
                <w:p>
                  <w:pPr>
                    <w:jc w:val="center"/>
                  </w:pPr>
                  <w:r>
                    <w:rPr>
                      <w:rFonts w:hint="eastAsia"/>
                    </w:rPr>
                    <w:t>473.505</w:t>
                  </w:r>
                </w:p>
              </w:tc>
              <w:tc>
                <w:tcPr>
                  <w:tcW w:w="726" w:type="dxa"/>
                  <w:vAlign w:val="center"/>
                </w:tcPr>
                <w:p>
                  <w:pPr>
                    <w:jc w:val="center"/>
                  </w:pPr>
                  <w:r>
                    <w:rPr>
                      <w:rFonts w:hint="eastAsia"/>
                    </w:rPr>
                    <w:t>1次/1年</w:t>
                  </w:r>
                </w:p>
              </w:tc>
              <w:tc>
                <w:tcPr>
                  <w:tcW w:w="647" w:type="dxa"/>
                  <w:vAlign w:val="center"/>
                </w:tcPr>
                <w:p>
                  <w:pPr>
                    <w:jc w:val="center"/>
                  </w:pPr>
                  <w:r>
                    <w:rPr>
                      <w:rFonts w:hint="eastAsia"/>
                    </w:rPr>
                    <w:t>1h</w:t>
                  </w:r>
                </w:p>
              </w:tc>
              <w:tc>
                <w:tcPr>
                  <w:tcW w:w="855" w:type="dxa"/>
                  <w:vAlign w:val="center"/>
                </w:tcPr>
                <w:p>
                  <w:pPr>
                    <w:jc w:val="center"/>
                  </w:pPr>
                  <w:r>
                    <w:rPr>
                      <w:rFonts w:hint="eastAsia"/>
                    </w:rPr>
                    <w:t>1.583</w:t>
                  </w:r>
                </w:p>
              </w:tc>
            </w:tr>
          </w:tbl>
          <w:p>
            <w:pPr>
              <w:pStyle w:val="24"/>
              <w:spacing w:beforeLines="50" w:line="360" w:lineRule="auto"/>
              <w:ind w:firstLine="480"/>
              <w:rPr>
                <w:rFonts w:ascii="Times New Roman" w:hAnsi="Times New Roman" w:cs="Times New Roman"/>
                <w:bCs/>
                <w:color w:val="auto"/>
                <w:sz w:val="24"/>
                <w:szCs w:val="24"/>
              </w:rPr>
            </w:pPr>
            <w:r>
              <w:rPr>
                <w:rFonts w:hint="eastAsia" w:ascii="Times New Roman" w:hAnsi="Times New Roman" w:cs="Times New Roman"/>
                <w:bCs/>
                <w:color w:val="auto"/>
                <w:sz w:val="24"/>
                <w:szCs w:val="24"/>
              </w:rPr>
              <w:t>非正常工况处理措施：当本项目发生非正常工况为环保措施发生故障失效时，必要时应立即关闭设备，并及时查找事故源头，进行检修。该过程一般维持1h左右，此时核算的非正常工况废气排放量为环保措施全部失效，未经处理的废气排放量。</w:t>
            </w:r>
          </w:p>
          <w:p>
            <w:pPr>
              <w:pStyle w:val="24"/>
              <w:spacing w:line="360" w:lineRule="auto"/>
              <w:ind w:firstLine="482"/>
              <w:rPr>
                <w:rFonts w:ascii="Times New Roman" w:hAnsi="Times New Roman" w:cs="Times New Roman"/>
                <w:b/>
                <w:bCs/>
                <w:color w:val="auto"/>
                <w:sz w:val="24"/>
                <w:szCs w:val="24"/>
              </w:rPr>
            </w:pPr>
            <w:r>
              <w:rPr>
                <w:rFonts w:hint="eastAsia" w:ascii="Times New Roman" w:hAnsi="Times New Roman" w:cs="Times New Roman"/>
                <w:b/>
                <w:bCs/>
                <w:color w:val="auto"/>
                <w:sz w:val="24"/>
                <w:szCs w:val="24"/>
              </w:rPr>
              <w:t>（4）废气环境监测计划</w:t>
            </w:r>
          </w:p>
          <w:p>
            <w:pPr>
              <w:pStyle w:val="24"/>
              <w:spacing w:line="360" w:lineRule="auto"/>
              <w:ind w:firstLine="480"/>
              <w:rPr>
                <w:rFonts w:ascii="Times New Roman" w:hAnsi="Times New Roman" w:cs="Times New Roman"/>
                <w:color w:val="auto"/>
                <w:sz w:val="24"/>
                <w:szCs w:val="24"/>
              </w:rPr>
            </w:pPr>
            <w:r>
              <w:rPr>
                <w:rFonts w:hint="eastAsia" w:ascii="Times New Roman" w:hAnsi="Times New Roman" w:cs="Times New Roman"/>
                <w:color w:val="auto"/>
                <w:sz w:val="24"/>
                <w:szCs w:val="24"/>
              </w:rPr>
              <w:t>按照《排污单位自行监测技术指南 总则》（HJ 819-2017）及《排污单位自行监测技术指南 火力发电及锅炉》（HJ820-2017）等相关要求，本项目废气中各污染物监测计划详见下表。</w:t>
            </w:r>
          </w:p>
          <w:p>
            <w:pPr>
              <w:pStyle w:val="23"/>
              <w:ind w:left="0" w:firstLine="0"/>
              <w:rPr>
                <w:u w:val="none"/>
              </w:rPr>
            </w:pPr>
            <w:r>
              <w:rPr>
                <w:rFonts w:hint="eastAsia"/>
                <w:u w:val="none"/>
              </w:rPr>
              <w:t>废气污染源监测计划表</w:t>
            </w:r>
          </w:p>
          <w:tbl>
            <w:tblPr>
              <w:tblStyle w:val="19"/>
              <w:tblW w:w="7951"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815"/>
              <w:gridCol w:w="2363"/>
              <w:gridCol w:w="3122"/>
              <w:gridCol w:w="1651"/>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5" w:type="dxa"/>
                  <w:vAlign w:val="center"/>
                </w:tcPr>
                <w:p>
                  <w:pPr>
                    <w:ind w:firstLine="482"/>
                    <w:jc w:val="center"/>
                    <w:rPr>
                      <w:b/>
                      <w:bCs/>
                    </w:rPr>
                  </w:pPr>
                  <w:r>
                    <w:rPr>
                      <w:rFonts w:hint="eastAsia"/>
                      <w:b/>
                      <w:bCs/>
                    </w:rPr>
                    <w:t>项目</w:t>
                  </w:r>
                </w:p>
              </w:tc>
              <w:tc>
                <w:tcPr>
                  <w:tcW w:w="2363" w:type="dxa"/>
                  <w:vAlign w:val="center"/>
                </w:tcPr>
                <w:p>
                  <w:pPr>
                    <w:ind w:firstLine="482"/>
                    <w:jc w:val="center"/>
                    <w:rPr>
                      <w:b/>
                      <w:bCs/>
                    </w:rPr>
                  </w:pPr>
                  <w:r>
                    <w:rPr>
                      <w:rFonts w:hint="eastAsia"/>
                      <w:b/>
                      <w:bCs/>
                    </w:rPr>
                    <w:t>监测点位</w:t>
                  </w:r>
                </w:p>
              </w:tc>
              <w:tc>
                <w:tcPr>
                  <w:tcW w:w="3122" w:type="dxa"/>
                  <w:vAlign w:val="center"/>
                </w:tcPr>
                <w:p>
                  <w:pPr>
                    <w:ind w:firstLine="482"/>
                    <w:jc w:val="center"/>
                    <w:rPr>
                      <w:b/>
                      <w:bCs/>
                    </w:rPr>
                  </w:pPr>
                  <w:r>
                    <w:rPr>
                      <w:rFonts w:hint="eastAsia"/>
                      <w:b/>
                      <w:bCs/>
                    </w:rPr>
                    <w:t>监测因子</w:t>
                  </w:r>
                </w:p>
              </w:tc>
              <w:tc>
                <w:tcPr>
                  <w:tcW w:w="1651" w:type="dxa"/>
                  <w:vAlign w:val="center"/>
                </w:tcPr>
                <w:p>
                  <w:pPr>
                    <w:ind w:firstLine="482"/>
                    <w:jc w:val="center"/>
                    <w:rPr>
                      <w:b/>
                      <w:bCs/>
                    </w:rPr>
                  </w:pPr>
                  <w:r>
                    <w:rPr>
                      <w:rFonts w:hint="eastAsia"/>
                      <w:b/>
                      <w:bCs/>
                    </w:rPr>
                    <w:t>监测频次</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5" w:type="dxa"/>
                  <w:vMerge w:val="restart"/>
                  <w:vAlign w:val="center"/>
                </w:tcPr>
                <w:p>
                  <w:pPr>
                    <w:jc w:val="center"/>
                  </w:pPr>
                  <w:r>
                    <w:rPr>
                      <w:rFonts w:hint="eastAsia"/>
                    </w:rPr>
                    <w:t>废气</w:t>
                  </w:r>
                </w:p>
              </w:tc>
              <w:tc>
                <w:tcPr>
                  <w:tcW w:w="2363" w:type="dxa"/>
                  <w:vAlign w:val="center"/>
                </w:tcPr>
                <w:p>
                  <w:pPr>
                    <w:jc w:val="center"/>
                  </w:pPr>
                  <w:r>
                    <w:rPr>
                      <w:rFonts w:hint="eastAsia"/>
                    </w:rPr>
                    <w:t>锅炉烟气排气筒</w:t>
                  </w:r>
                </w:p>
              </w:tc>
              <w:tc>
                <w:tcPr>
                  <w:tcW w:w="3122" w:type="dxa"/>
                  <w:vAlign w:val="center"/>
                </w:tcPr>
                <w:p>
                  <w:pPr>
                    <w:jc w:val="center"/>
                  </w:pPr>
                  <w:r>
                    <w:rPr>
                      <w:rFonts w:hint="eastAsia"/>
                    </w:rPr>
                    <w:t>氮氧化物、颗粒物、二氧化硫、林格曼黑度</w:t>
                  </w:r>
                </w:p>
              </w:tc>
              <w:tc>
                <w:tcPr>
                  <w:tcW w:w="1651" w:type="dxa"/>
                  <w:vAlign w:val="center"/>
                </w:tcPr>
                <w:p>
                  <w:pPr>
                    <w:jc w:val="center"/>
                  </w:pPr>
                  <w:r>
                    <w:rPr>
                      <w:rFonts w:hint="eastAsia"/>
                    </w:rPr>
                    <w:t>1次/月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5" w:type="dxa"/>
                  <w:vMerge w:val="continue"/>
                  <w:vAlign w:val="center"/>
                </w:tcPr>
                <w:p>
                  <w:pPr>
                    <w:jc w:val="center"/>
                  </w:pPr>
                </w:p>
              </w:tc>
              <w:tc>
                <w:tcPr>
                  <w:tcW w:w="2363" w:type="dxa"/>
                  <w:vAlign w:val="center"/>
                </w:tcPr>
                <w:p>
                  <w:pPr>
                    <w:jc w:val="center"/>
                  </w:pPr>
                  <w:r>
                    <w:rPr>
                      <w:rFonts w:hint="eastAsia"/>
                    </w:rPr>
                    <w:t>厂界</w:t>
                  </w:r>
                </w:p>
              </w:tc>
              <w:tc>
                <w:tcPr>
                  <w:tcW w:w="3122" w:type="dxa"/>
                  <w:vAlign w:val="center"/>
                </w:tcPr>
                <w:p>
                  <w:pPr>
                    <w:jc w:val="center"/>
                  </w:pPr>
                  <w:r>
                    <w:rPr>
                      <w:rFonts w:hint="eastAsia"/>
                    </w:rPr>
                    <w:t>颗粒物</w:t>
                  </w:r>
                </w:p>
              </w:tc>
              <w:tc>
                <w:tcPr>
                  <w:tcW w:w="1651" w:type="dxa"/>
                  <w:vAlign w:val="center"/>
                </w:tcPr>
                <w:p>
                  <w:pPr>
                    <w:jc w:val="center"/>
                  </w:pPr>
                  <w:r>
                    <w:rPr>
                      <w:rFonts w:hint="eastAsia"/>
                    </w:rPr>
                    <w:t>1次/季度</w:t>
                  </w:r>
                </w:p>
              </w:tc>
            </w:tr>
          </w:tbl>
          <w:p>
            <w:pPr>
              <w:adjustRightInd w:val="0"/>
              <w:snapToGrid w:val="0"/>
              <w:spacing w:beforeLines="50" w:line="360" w:lineRule="auto"/>
              <w:ind w:firstLine="482" w:firstLineChars="200"/>
              <w:rPr>
                <w:b/>
                <w:bCs/>
                <w:sz w:val="24"/>
              </w:rPr>
            </w:pPr>
            <w:r>
              <w:rPr>
                <w:rFonts w:hint="eastAsia"/>
                <w:b/>
                <w:bCs/>
                <w:sz w:val="24"/>
              </w:rPr>
              <w:t>2、废水</w:t>
            </w:r>
          </w:p>
          <w:p>
            <w:pPr>
              <w:adjustRightInd w:val="0"/>
              <w:snapToGrid w:val="0"/>
              <w:spacing w:line="360" w:lineRule="auto"/>
              <w:ind w:firstLine="480" w:firstLineChars="200"/>
              <w:rPr>
                <w:bCs/>
                <w:sz w:val="24"/>
                <w:u w:val="single"/>
              </w:rPr>
            </w:pPr>
            <w:r>
              <w:rPr>
                <w:rFonts w:hint="eastAsia"/>
                <w:bCs/>
                <w:sz w:val="24"/>
              </w:rPr>
              <w:t>本项目不新增员工，员工均由企业内部进行调配，故无新增生活污水产生；</w:t>
            </w:r>
            <w:r>
              <w:rPr>
                <w:rFonts w:hint="eastAsia"/>
                <w:bCs/>
                <w:sz w:val="24"/>
                <w:lang w:val="zh-CN"/>
              </w:rPr>
              <w:t>项目</w:t>
            </w:r>
            <w:r>
              <w:rPr>
                <w:rFonts w:hint="eastAsia"/>
                <w:bCs/>
                <w:sz w:val="24"/>
              </w:rPr>
              <w:t>废水主要为锅炉排污水、软化处理废水及蒸汽冷凝水，其中锅炉排污水产生量为0.88t/d（175t/a），软化处理废水产生量为0.27t/d（54t/a），蒸汽冷凝水产生量为0.79t/d（157.5t/a），部分用于浇渣降尘，浇渣用水量约为4.87t/a，剩余部分全部回用于生产，均不外排。</w:t>
            </w:r>
          </w:p>
          <w:p>
            <w:pPr>
              <w:pStyle w:val="24"/>
              <w:spacing w:line="360" w:lineRule="auto"/>
              <w:ind w:firstLine="482"/>
              <w:rPr>
                <w:rFonts w:ascii="Times New Roman" w:hAnsi="Times New Roman" w:cs="Times New Roman"/>
                <w:b/>
                <w:color w:val="auto"/>
                <w:sz w:val="24"/>
                <w:szCs w:val="24"/>
              </w:rPr>
            </w:pPr>
            <w:r>
              <w:rPr>
                <w:rFonts w:hint="eastAsia" w:ascii="Times New Roman" w:hAnsi="Times New Roman" w:cs="Times New Roman"/>
                <w:b/>
                <w:color w:val="auto"/>
                <w:sz w:val="24"/>
                <w:szCs w:val="24"/>
              </w:rPr>
              <w:t>3、噪声</w:t>
            </w:r>
          </w:p>
          <w:p>
            <w:pPr>
              <w:pStyle w:val="24"/>
              <w:spacing w:line="360" w:lineRule="auto"/>
              <w:ind w:firstLine="482"/>
              <w:rPr>
                <w:rFonts w:ascii="Times New Roman" w:hAnsi="Times New Roman" w:cs="Times New Roman"/>
                <w:b/>
                <w:color w:val="auto"/>
                <w:sz w:val="24"/>
                <w:szCs w:val="24"/>
              </w:rPr>
            </w:pPr>
            <w:r>
              <w:rPr>
                <w:rFonts w:hint="eastAsia" w:ascii="Times New Roman" w:hAnsi="Times New Roman" w:cs="Times New Roman"/>
                <w:b/>
                <w:color w:val="auto"/>
                <w:sz w:val="24"/>
                <w:szCs w:val="24"/>
              </w:rPr>
              <w:t>（1）噪声源强核算</w:t>
            </w:r>
          </w:p>
          <w:p>
            <w:pPr>
              <w:spacing w:line="360" w:lineRule="auto"/>
              <w:ind w:firstLine="480" w:firstLineChars="200"/>
              <w:rPr>
                <w:bCs/>
                <w:sz w:val="24"/>
              </w:rPr>
            </w:pPr>
            <w:r>
              <w:rPr>
                <w:rFonts w:hint="eastAsia"/>
                <w:bCs/>
                <w:sz w:val="24"/>
                <w:u w:val="single"/>
              </w:rPr>
              <w:t>本项目为生物质锅炉改造项目，运营期噪声源主要为锅炉房内的设备运行产生的噪声，锅炉预计年运行天数为200d，每天预计运行3.5h。</w:t>
            </w:r>
            <w:r>
              <w:rPr>
                <w:rFonts w:hint="eastAsia"/>
                <w:bCs/>
                <w:sz w:val="24"/>
              </w:rPr>
              <w:t>鉴于企业现处于停产状态，现有生物质锅炉已停用，无法开展现有项目正常生产情况下的厂界噪声监测。故本次评价以改建后全厂主要噪声源作为源强进行预测，以改建后全厂噪声源叠加贡献值作为预测结果评价厂界噪声达标情况。</w:t>
            </w:r>
          </w:p>
          <w:p>
            <w:pPr>
              <w:spacing w:line="360" w:lineRule="auto"/>
              <w:ind w:firstLine="480" w:firstLineChars="200"/>
              <w:rPr>
                <w:bCs/>
                <w:sz w:val="24"/>
              </w:rPr>
            </w:pPr>
            <w:r>
              <w:rPr>
                <w:rFonts w:hint="eastAsia"/>
                <w:bCs/>
                <w:sz w:val="24"/>
              </w:rPr>
              <w:t>改建后全厂主要噪声源来自锅炉房的设备、现有搅拌机、悬辊机、滚焊机等生产设备运行产生的噪声，其声压级约为70~95dB(A)，通过对发声设备采取独立基础，安装减振设施、厂房采用吸音、隔声内墙等措施，可以降低噪声约20-30dB(A)。</w:t>
            </w:r>
          </w:p>
          <w:p>
            <w:pPr>
              <w:spacing w:line="360" w:lineRule="auto"/>
              <w:ind w:firstLine="480" w:firstLineChars="200"/>
              <w:rPr>
                <w:sz w:val="24"/>
              </w:rPr>
            </w:pPr>
            <w:r>
              <w:rPr>
                <w:sz w:val="24"/>
              </w:rPr>
              <w:t>企业改建后（拆除现有</w:t>
            </w:r>
            <w:r>
              <w:rPr>
                <w:rFonts w:hint="eastAsia"/>
                <w:sz w:val="24"/>
              </w:rPr>
              <w:t>生物质锅炉及其配套设施</w:t>
            </w:r>
            <w:r>
              <w:rPr>
                <w:sz w:val="24"/>
              </w:rPr>
              <w:t>）</w:t>
            </w:r>
            <w:r>
              <w:rPr>
                <w:rFonts w:hint="eastAsia"/>
                <w:sz w:val="24"/>
              </w:rPr>
              <w:t>，全厂</w:t>
            </w:r>
            <w:r>
              <w:rPr>
                <w:sz w:val="24"/>
              </w:rPr>
              <w:t>主要噪声设备情况见下表。</w:t>
            </w:r>
          </w:p>
          <w:p>
            <w:pPr>
              <w:pStyle w:val="23"/>
              <w:ind w:left="0" w:firstLine="0"/>
            </w:pPr>
            <w:r>
              <w:rPr>
                <w:rFonts w:hint="eastAsia"/>
              </w:rPr>
              <w:t>主要产噪设备及其源强一览表</w:t>
            </w:r>
          </w:p>
          <w:tbl>
            <w:tblPr>
              <w:tblStyle w:val="19"/>
              <w:tblW w:w="7948"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405"/>
              <w:gridCol w:w="664"/>
              <w:gridCol w:w="674"/>
              <w:gridCol w:w="704"/>
              <w:gridCol w:w="811"/>
              <w:gridCol w:w="718"/>
              <w:gridCol w:w="505"/>
              <w:gridCol w:w="558"/>
              <w:gridCol w:w="451"/>
              <w:gridCol w:w="517"/>
              <w:gridCol w:w="734"/>
              <w:gridCol w:w="779"/>
              <w:gridCol w:w="428"/>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05" w:type="dxa"/>
                  <w:vMerge w:val="restart"/>
                  <w:vAlign w:val="center"/>
                </w:tcPr>
                <w:p>
                  <w:pPr>
                    <w:ind w:firstLine="354"/>
                    <w:jc w:val="center"/>
                    <w:rPr>
                      <w:b/>
                      <w:bCs/>
                      <w:spacing w:val="-17"/>
                      <w:u w:val="single"/>
                    </w:rPr>
                  </w:pPr>
                  <w:r>
                    <w:rPr>
                      <w:rFonts w:hint="eastAsia"/>
                      <w:b/>
                      <w:bCs/>
                      <w:spacing w:val="-17"/>
                      <w:u w:val="single"/>
                    </w:rPr>
                    <w:t>序号</w:t>
                  </w:r>
                </w:p>
              </w:tc>
              <w:tc>
                <w:tcPr>
                  <w:tcW w:w="664" w:type="dxa"/>
                  <w:vMerge w:val="restart"/>
                  <w:vAlign w:val="center"/>
                </w:tcPr>
                <w:p>
                  <w:pPr>
                    <w:ind w:firstLine="354"/>
                    <w:jc w:val="center"/>
                    <w:rPr>
                      <w:b/>
                      <w:bCs/>
                      <w:spacing w:val="-17"/>
                      <w:u w:val="single"/>
                    </w:rPr>
                  </w:pPr>
                  <w:r>
                    <w:rPr>
                      <w:rFonts w:hint="eastAsia"/>
                      <w:b/>
                      <w:bCs/>
                      <w:spacing w:val="-17"/>
                      <w:u w:val="single"/>
                    </w:rPr>
                    <w:t>声源位置</w:t>
                  </w:r>
                </w:p>
              </w:tc>
              <w:tc>
                <w:tcPr>
                  <w:tcW w:w="674" w:type="dxa"/>
                  <w:vMerge w:val="restart"/>
                  <w:vAlign w:val="center"/>
                </w:tcPr>
                <w:p>
                  <w:pPr>
                    <w:ind w:firstLine="354"/>
                    <w:jc w:val="center"/>
                    <w:rPr>
                      <w:b/>
                      <w:bCs/>
                      <w:spacing w:val="-17"/>
                      <w:u w:val="single"/>
                    </w:rPr>
                  </w:pPr>
                  <w:r>
                    <w:rPr>
                      <w:rFonts w:hint="eastAsia"/>
                      <w:b/>
                      <w:bCs/>
                      <w:spacing w:val="-17"/>
                      <w:u w:val="single"/>
                    </w:rPr>
                    <w:t>声源</w:t>
                  </w:r>
                </w:p>
                <w:p>
                  <w:pPr>
                    <w:ind w:firstLine="354"/>
                    <w:jc w:val="center"/>
                    <w:rPr>
                      <w:b/>
                      <w:bCs/>
                      <w:spacing w:val="-17"/>
                      <w:u w:val="single"/>
                    </w:rPr>
                  </w:pPr>
                  <w:r>
                    <w:rPr>
                      <w:rFonts w:hint="eastAsia"/>
                      <w:b/>
                      <w:bCs/>
                      <w:spacing w:val="-17"/>
                      <w:u w:val="single"/>
                    </w:rPr>
                    <w:t>名称</w:t>
                  </w:r>
                </w:p>
              </w:tc>
              <w:tc>
                <w:tcPr>
                  <w:tcW w:w="704" w:type="dxa"/>
                  <w:vMerge w:val="restart"/>
                  <w:vAlign w:val="center"/>
                </w:tcPr>
                <w:p>
                  <w:pPr>
                    <w:ind w:firstLine="354"/>
                    <w:jc w:val="center"/>
                    <w:rPr>
                      <w:b/>
                      <w:bCs/>
                      <w:spacing w:val="-17"/>
                      <w:u w:val="single"/>
                    </w:rPr>
                  </w:pPr>
                  <w:r>
                    <w:rPr>
                      <w:rFonts w:hint="eastAsia"/>
                      <w:b/>
                      <w:bCs/>
                      <w:spacing w:val="-17"/>
                      <w:u w:val="single"/>
                    </w:rPr>
                    <w:t>声压级/</w:t>
                  </w:r>
                </w:p>
                <w:p>
                  <w:pPr>
                    <w:ind w:firstLine="354"/>
                    <w:jc w:val="center"/>
                    <w:rPr>
                      <w:b/>
                      <w:bCs/>
                      <w:spacing w:val="-17"/>
                      <w:u w:val="single"/>
                    </w:rPr>
                  </w:pPr>
                  <w:r>
                    <w:rPr>
                      <w:rFonts w:hint="eastAsia"/>
                      <w:b/>
                      <w:bCs/>
                      <w:spacing w:val="-17"/>
                      <w:u w:val="single"/>
                    </w:rPr>
                    <w:t>dB(A)</w:t>
                  </w:r>
                </w:p>
              </w:tc>
              <w:tc>
                <w:tcPr>
                  <w:tcW w:w="811" w:type="dxa"/>
                  <w:vMerge w:val="restart"/>
                  <w:vAlign w:val="center"/>
                </w:tcPr>
                <w:p>
                  <w:pPr>
                    <w:ind w:firstLine="354"/>
                    <w:jc w:val="center"/>
                    <w:rPr>
                      <w:b/>
                      <w:bCs/>
                      <w:spacing w:val="-17"/>
                      <w:u w:val="single"/>
                    </w:rPr>
                  </w:pPr>
                  <w:r>
                    <w:rPr>
                      <w:rFonts w:hint="eastAsia"/>
                      <w:b/>
                      <w:bCs/>
                      <w:spacing w:val="-17"/>
                      <w:u w:val="single"/>
                    </w:rPr>
                    <w:t>声源控制措施</w:t>
                  </w:r>
                </w:p>
              </w:tc>
              <w:tc>
                <w:tcPr>
                  <w:tcW w:w="718" w:type="dxa"/>
                  <w:vMerge w:val="restart"/>
                  <w:vAlign w:val="center"/>
                </w:tcPr>
                <w:p>
                  <w:pPr>
                    <w:ind w:firstLine="354"/>
                    <w:jc w:val="center"/>
                    <w:rPr>
                      <w:b/>
                      <w:bCs/>
                      <w:spacing w:val="-17"/>
                      <w:u w:val="single"/>
                    </w:rPr>
                  </w:pPr>
                  <w:r>
                    <w:rPr>
                      <w:rFonts w:hint="eastAsia"/>
                      <w:b/>
                      <w:bCs/>
                      <w:spacing w:val="-17"/>
                      <w:u w:val="single"/>
                    </w:rPr>
                    <w:t>治理后声压级/ dB(A)</w:t>
                  </w:r>
                </w:p>
              </w:tc>
              <w:tc>
                <w:tcPr>
                  <w:tcW w:w="2031" w:type="dxa"/>
                  <w:gridSpan w:val="4"/>
                  <w:vAlign w:val="center"/>
                </w:tcPr>
                <w:p>
                  <w:pPr>
                    <w:ind w:firstLine="354"/>
                    <w:jc w:val="center"/>
                    <w:rPr>
                      <w:b/>
                      <w:bCs/>
                      <w:spacing w:val="-17"/>
                      <w:u w:val="single"/>
                    </w:rPr>
                  </w:pPr>
                  <w:r>
                    <w:rPr>
                      <w:rFonts w:hint="eastAsia"/>
                      <w:b/>
                      <w:bCs/>
                      <w:spacing w:val="-17"/>
                      <w:u w:val="single"/>
                    </w:rPr>
                    <w:t>距厂界外1m处距离/m</w:t>
                  </w:r>
                </w:p>
              </w:tc>
              <w:tc>
                <w:tcPr>
                  <w:tcW w:w="734" w:type="dxa"/>
                  <w:vMerge w:val="restart"/>
                  <w:vAlign w:val="center"/>
                </w:tcPr>
                <w:p>
                  <w:pPr>
                    <w:ind w:firstLine="330"/>
                    <w:jc w:val="center"/>
                    <w:rPr>
                      <w:b/>
                      <w:bCs/>
                      <w:spacing w:val="-23"/>
                      <w:u w:val="single"/>
                    </w:rPr>
                  </w:pPr>
                  <w:r>
                    <w:rPr>
                      <w:rFonts w:hint="eastAsia"/>
                      <w:b/>
                      <w:bCs/>
                      <w:spacing w:val="-23"/>
                      <w:u w:val="single"/>
                    </w:rPr>
                    <w:t>距东侧教堂子村距离/m</w:t>
                  </w:r>
                </w:p>
              </w:tc>
              <w:tc>
                <w:tcPr>
                  <w:tcW w:w="779" w:type="dxa"/>
                  <w:vMerge w:val="restart"/>
                  <w:vAlign w:val="center"/>
                </w:tcPr>
                <w:p>
                  <w:pPr>
                    <w:ind w:firstLine="330"/>
                    <w:jc w:val="center"/>
                    <w:rPr>
                      <w:b/>
                      <w:bCs/>
                      <w:spacing w:val="-23"/>
                      <w:u w:val="single"/>
                    </w:rPr>
                  </w:pPr>
                  <w:r>
                    <w:rPr>
                      <w:rFonts w:hint="eastAsia"/>
                      <w:b/>
                      <w:bCs/>
                      <w:spacing w:val="-23"/>
                      <w:u w:val="single"/>
                    </w:rPr>
                    <w:t>距南侧教堂子村距离/m</w:t>
                  </w:r>
                </w:p>
              </w:tc>
              <w:tc>
                <w:tcPr>
                  <w:tcW w:w="428" w:type="dxa"/>
                  <w:vMerge w:val="restart"/>
                  <w:vAlign w:val="center"/>
                </w:tcPr>
                <w:p>
                  <w:pPr>
                    <w:ind w:firstLine="354"/>
                    <w:jc w:val="center"/>
                    <w:rPr>
                      <w:b/>
                      <w:bCs/>
                      <w:spacing w:val="-17"/>
                      <w:u w:val="single"/>
                    </w:rPr>
                  </w:pPr>
                  <w:r>
                    <w:rPr>
                      <w:rFonts w:hint="eastAsia"/>
                      <w:b/>
                      <w:bCs/>
                      <w:spacing w:val="-17"/>
                      <w:u w:val="single"/>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405" w:type="dxa"/>
                  <w:vMerge w:val="continue"/>
                  <w:vAlign w:val="center"/>
                </w:tcPr>
                <w:p>
                  <w:pPr>
                    <w:jc w:val="center"/>
                    <w:rPr>
                      <w:u w:val="single"/>
                    </w:rPr>
                  </w:pPr>
                </w:p>
              </w:tc>
              <w:tc>
                <w:tcPr>
                  <w:tcW w:w="664" w:type="dxa"/>
                  <w:vMerge w:val="continue"/>
                  <w:vAlign w:val="center"/>
                </w:tcPr>
                <w:p>
                  <w:pPr>
                    <w:jc w:val="center"/>
                    <w:rPr>
                      <w:u w:val="single"/>
                    </w:rPr>
                  </w:pPr>
                </w:p>
              </w:tc>
              <w:tc>
                <w:tcPr>
                  <w:tcW w:w="674" w:type="dxa"/>
                  <w:vMerge w:val="continue"/>
                  <w:vAlign w:val="center"/>
                </w:tcPr>
                <w:p>
                  <w:pPr>
                    <w:jc w:val="center"/>
                    <w:rPr>
                      <w:u w:val="single"/>
                    </w:rPr>
                  </w:pPr>
                </w:p>
              </w:tc>
              <w:tc>
                <w:tcPr>
                  <w:tcW w:w="704" w:type="dxa"/>
                  <w:vMerge w:val="continue"/>
                  <w:vAlign w:val="center"/>
                </w:tcPr>
                <w:p>
                  <w:pPr>
                    <w:jc w:val="center"/>
                    <w:rPr>
                      <w:u w:val="single"/>
                    </w:rPr>
                  </w:pPr>
                </w:p>
              </w:tc>
              <w:tc>
                <w:tcPr>
                  <w:tcW w:w="811" w:type="dxa"/>
                  <w:vMerge w:val="continue"/>
                  <w:vAlign w:val="center"/>
                </w:tcPr>
                <w:p>
                  <w:pPr>
                    <w:jc w:val="center"/>
                    <w:rPr>
                      <w:u w:val="single"/>
                    </w:rPr>
                  </w:pPr>
                </w:p>
              </w:tc>
              <w:tc>
                <w:tcPr>
                  <w:tcW w:w="718" w:type="dxa"/>
                  <w:vMerge w:val="continue"/>
                  <w:vAlign w:val="center"/>
                </w:tcPr>
                <w:p>
                  <w:pPr>
                    <w:jc w:val="center"/>
                    <w:rPr>
                      <w:u w:val="single"/>
                    </w:rPr>
                  </w:pPr>
                </w:p>
              </w:tc>
              <w:tc>
                <w:tcPr>
                  <w:tcW w:w="505" w:type="dxa"/>
                  <w:vAlign w:val="center"/>
                </w:tcPr>
                <w:p>
                  <w:pPr>
                    <w:ind w:firstLine="378"/>
                    <w:jc w:val="center"/>
                    <w:rPr>
                      <w:b/>
                      <w:bCs/>
                      <w:spacing w:val="-11"/>
                      <w:u w:val="single"/>
                    </w:rPr>
                  </w:pPr>
                  <w:r>
                    <w:rPr>
                      <w:rFonts w:hint="eastAsia"/>
                      <w:b/>
                      <w:bCs/>
                      <w:spacing w:val="-11"/>
                      <w:u w:val="single"/>
                    </w:rPr>
                    <w:t>东侧</w:t>
                  </w:r>
                </w:p>
              </w:tc>
              <w:tc>
                <w:tcPr>
                  <w:tcW w:w="558" w:type="dxa"/>
                  <w:vAlign w:val="center"/>
                </w:tcPr>
                <w:p>
                  <w:pPr>
                    <w:ind w:firstLine="378"/>
                    <w:jc w:val="center"/>
                    <w:rPr>
                      <w:b/>
                      <w:bCs/>
                      <w:spacing w:val="-11"/>
                      <w:u w:val="single"/>
                    </w:rPr>
                  </w:pPr>
                  <w:r>
                    <w:rPr>
                      <w:rFonts w:hint="eastAsia"/>
                      <w:b/>
                      <w:bCs/>
                      <w:spacing w:val="-11"/>
                      <w:u w:val="single"/>
                    </w:rPr>
                    <w:t>南侧</w:t>
                  </w:r>
                </w:p>
              </w:tc>
              <w:tc>
                <w:tcPr>
                  <w:tcW w:w="451" w:type="dxa"/>
                  <w:vAlign w:val="center"/>
                </w:tcPr>
                <w:p>
                  <w:pPr>
                    <w:ind w:firstLine="378"/>
                    <w:jc w:val="center"/>
                    <w:rPr>
                      <w:b/>
                      <w:bCs/>
                      <w:spacing w:val="-11"/>
                      <w:u w:val="single"/>
                    </w:rPr>
                  </w:pPr>
                  <w:r>
                    <w:rPr>
                      <w:rFonts w:hint="eastAsia"/>
                      <w:b/>
                      <w:bCs/>
                      <w:spacing w:val="-11"/>
                      <w:u w:val="single"/>
                    </w:rPr>
                    <w:t>西侧</w:t>
                  </w:r>
                </w:p>
              </w:tc>
              <w:tc>
                <w:tcPr>
                  <w:tcW w:w="517" w:type="dxa"/>
                  <w:vAlign w:val="center"/>
                </w:tcPr>
                <w:p>
                  <w:pPr>
                    <w:ind w:firstLine="378"/>
                    <w:jc w:val="center"/>
                    <w:rPr>
                      <w:b/>
                      <w:bCs/>
                      <w:spacing w:val="-11"/>
                      <w:u w:val="single"/>
                    </w:rPr>
                  </w:pPr>
                  <w:r>
                    <w:rPr>
                      <w:rFonts w:hint="eastAsia"/>
                      <w:b/>
                      <w:bCs/>
                      <w:spacing w:val="-11"/>
                      <w:u w:val="single"/>
                    </w:rPr>
                    <w:t>北侧</w:t>
                  </w:r>
                </w:p>
              </w:tc>
              <w:tc>
                <w:tcPr>
                  <w:tcW w:w="734" w:type="dxa"/>
                  <w:vMerge w:val="continue"/>
                  <w:vAlign w:val="center"/>
                </w:tcPr>
                <w:p>
                  <w:pPr>
                    <w:ind w:firstLine="438"/>
                    <w:jc w:val="center"/>
                    <w:rPr>
                      <w:b/>
                      <w:bCs/>
                      <w:spacing w:val="-11"/>
                      <w:u w:val="single"/>
                    </w:rPr>
                  </w:pPr>
                </w:p>
              </w:tc>
              <w:tc>
                <w:tcPr>
                  <w:tcW w:w="779" w:type="dxa"/>
                  <w:vMerge w:val="continue"/>
                  <w:vAlign w:val="center"/>
                </w:tcPr>
                <w:p>
                  <w:pPr>
                    <w:ind w:firstLine="438"/>
                    <w:jc w:val="center"/>
                    <w:rPr>
                      <w:b/>
                      <w:bCs/>
                      <w:spacing w:val="-11"/>
                      <w:u w:val="single"/>
                    </w:rPr>
                  </w:pPr>
                </w:p>
              </w:tc>
              <w:tc>
                <w:tcPr>
                  <w:tcW w:w="428" w:type="dxa"/>
                  <w:vMerge w:val="continue"/>
                  <w:vAlign w:val="center"/>
                </w:tcPr>
                <w:p>
                  <w:pPr>
                    <w:ind w:firstLine="438"/>
                    <w:jc w:val="center"/>
                    <w:rPr>
                      <w:b/>
                      <w:bCs/>
                      <w:spacing w:val="-11"/>
                      <w:u w:val="singl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05" w:type="dxa"/>
                  <w:vAlign w:val="center"/>
                </w:tcPr>
                <w:p>
                  <w:pPr>
                    <w:ind w:firstLine="436"/>
                    <w:jc w:val="center"/>
                    <w:rPr>
                      <w:spacing w:val="-11"/>
                      <w:u w:val="single"/>
                    </w:rPr>
                  </w:pPr>
                  <w:r>
                    <w:rPr>
                      <w:rFonts w:hint="eastAsia"/>
                      <w:spacing w:val="-11"/>
                      <w:u w:val="single"/>
                    </w:rPr>
                    <w:t>1</w:t>
                  </w:r>
                </w:p>
              </w:tc>
              <w:tc>
                <w:tcPr>
                  <w:tcW w:w="664" w:type="dxa"/>
                  <w:vMerge w:val="restart"/>
                  <w:vAlign w:val="center"/>
                </w:tcPr>
                <w:p>
                  <w:pPr>
                    <w:jc w:val="center"/>
                    <w:rPr>
                      <w:u w:val="single"/>
                    </w:rPr>
                  </w:pPr>
                  <w:r>
                    <w:rPr>
                      <w:rFonts w:hint="eastAsia"/>
                      <w:u w:val="single"/>
                    </w:rPr>
                    <w:t>锅炉房</w:t>
                  </w:r>
                </w:p>
              </w:tc>
              <w:tc>
                <w:tcPr>
                  <w:tcW w:w="674" w:type="dxa"/>
                  <w:vAlign w:val="center"/>
                </w:tcPr>
                <w:p>
                  <w:pPr>
                    <w:ind w:firstLine="376"/>
                    <w:jc w:val="center"/>
                    <w:rPr>
                      <w:spacing w:val="-11"/>
                      <w:szCs w:val="21"/>
                      <w:u w:val="single"/>
                    </w:rPr>
                  </w:pPr>
                  <w:r>
                    <w:rPr>
                      <w:rFonts w:hint="eastAsia"/>
                      <w:spacing w:val="-11"/>
                      <w:u w:val="single"/>
                    </w:rPr>
                    <w:t>锅炉</w:t>
                  </w:r>
                </w:p>
              </w:tc>
              <w:tc>
                <w:tcPr>
                  <w:tcW w:w="704" w:type="dxa"/>
                  <w:vAlign w:val="center"/>
                </w:tcPr>
                <w:p>
                  <w:pPr>
                    <w:ind w:firstLine="420"/>
                    <w:jc w:val="center"/>
                    <w:rPr>
                      <w:szCs w:val="21"/>
                      <w:u w:val="single"/>
                    </w:rPr>
                  </w:pPr>
                  <w:r>
                    <w:rPr>
                      <w:rFonts w:hint="eastAsia"/>
                      <w:szCs w:val="21"/>
                      <w:u w:val="single"/>
                    </w:rPr>
                    <w:t>85</w:t>
                  </w:r>
                </w:p>
              </w:tc>
              <w:tc>
                <w:tcPr>
                  <w:tcW w:w="811" w:type="dxa"/>
                  <w:vMerge w:val="restart"/>
                  <w:vAlign w:val="center"/>
                </w:tcPr>
                <w:p>
                  <w:pPr>
                    <w:ind w:firstLine="420"/>
                    <w:jc w:val="center"/>
                    <w:rPr>
                      <w:szCs w:val="21"/>
                      <w:u w:val="single"/>
                    </w:rPr>
                  </w:pPr>
                  <w:r>
                    <w:rPr>
                      <w:szCs w:val="21"/>
                      <w:u w:val="single"/>
                    </w:rPr>
                    <w:t>隔声、减振</w:t>
                  </w:r>
                </w:p>
              </w:tc>
              <w:tc>
                <w:tcPr>
                  <w:tcW w:w="718" w:type="dxa"/>
                  <w:vAlign w:val="center"/>
                </w:tcPr>
                <w:p>
                  <w:pPr>
                    <w:ind w:firstLine="420"/>
                    <w:jc w:val="center"/>
                    <w:rPr>
                      <w:szCs w:val="21"/>
                      <w:u w:val="single"/>
                    </w:rPr>
                  </w:pPr>
                  <w:r>
                    <w:rPr>
                      <w:rFonts w:hint="eastAsia"/>
                      <w:szCs w:val="21"/>
                      <w:u w:val="single"/>
                    </w:rPr>
                    <w:t>65</w:t>
                  </w:r>
                </w:p>
              </w:tc>
              <w:tc>
                <w:tcPr>
                  <w:tcW w:w="505" w:type="dxa"/>
                  <w:vAlign w:val="center"/>
                </w:tcPr>
                <w:p>
                  <w:pPr>
                    <w:ind w:firstLine="420"/>
                    <w:jc w:val="center"/>
                    <w:rPr>
                      <w:szCs w:val="21"/>
                      <w:u w:val="single"/>
                    </w:rPr>
                  </w:pPr>
                  <w:r>
                    <w:rPr>
                      <w:rFonts w:hint="eastAsia"/>
                      <w:szCs w:val="21"/>
                      <w:u w:val="single"/>
                    </w:rPr>
                    <w:t>59</w:t>
                  </w:r>
                </w:p>
              </w:tc>
              <w:tc>
                <w:tcPr>
                  <w:tcW w:w="558" w:type="dxa"/>
                  <w:vAlign w:val="center"/>
                </w:tcPr>
                <w:p>
                  <w:pPr>
                    <w:ind w:firstLine="420"/>
                    <w:jc w:val="center"/>
                    <w:rPr>
                      <w:szCs w:val="21"/>
                      <w:u w:val="single"/>
                    </w:rPr>
                  </w:pPr>
                  <w:r>
                    <w:rPr>
                      <w:rFonts w:hint="eastAsia"/>
                      <w:szCs w:val="21"/>
                      <w:u w:val="single"/>
                    </w:rPr>
                    <w:t>141</w:t>
                  </w:r>
                </w:p>
              </w:tc>
              <w:tc>
                <w:tcPr>
                  <w:tcW w:w="451" w:type="dxa"/>
                  <w:vAlign w:val="center"/>
                </w:tcPr>
                <w:p>
                  <w:pPr>
                    <w:ind w:firstLine="420"/>
                    <w:jc w:val="center"/>
                    <w:rPr>
                      <w:szCs w:val="21"/>
                      <w:u w:val="single"/>
                    </w:rPr>
                  </w:pPr>
                  <w:r>
                    <w:rPr>
                      <w:rFonts w:hint="eastAsia"/>
                      <w:szCs w:val="21"/>
                      <w:u w:val="single"/>
                    </w:rPr>
                    <w:t>49</w:t>
                  </w:r>
                </w:p>
              </w:tc>
              <w:tc>
                <w:tcPr>
                  <w:tcW w:w="517" w:type="dxa"/>
                  <w:vAlign w:val="center"/>
                </w:tcPr>
                <w:p>
                  <w:pPr>
                    <w:ind w:firstLine="420"/>
                    <w:jc w:val="center"/>
                    <w:rPr>
                      <w:szCs w:val="21"/>
                      <w:u w:val="single"/>
                    </w:rPr>
                  </w:pPr>
                  <w:r>
                    <w:rPr>
                      <w:rFonts w:hint="eastAsia"/>
                      <w:szCs w:val="21"/>
                      <w:u w:val="single"/>
                    </w:rPr>
                    <w:t>45</w:t>
                  </w:r>
                </w:p>
              </w:tc>
              <w:tc>
                <w:tcPr>
                  <w:tcW w:w="734" w:type="dxa"/>
                  <w:vAlign w:val="center"/>
                </w:tcPr>
                <w:p>
                  <w:pPr>
                    <w:ind w:firstLine="420"/>
                    <w:jc w:val="center"/>
                    <w:rPr>
                      <w:szCs w:val="21"/>
                      <w:u w:val="single"/>
                    </w:rPr>
                  </w:pPr>
                  <w:r>
                    <w:rPr>
                      <w:rFonts w:hint="eastAsia"/>
                      <w:szCs w:val="21"/>
                      <w:u w:val="single"/>
                    </w:rPr>
                    <w:t>95</w:t>
                  </w:r>
                </w:p>
              </w:tc>
              <w:tc>
                <w:tcPr>
                  <w:tcW w:w="779" w:type="dxa"/>
                  <w:vAlign w:val="center"/>
                </w:tcPr>
                <w:p>
                  <w:pPr>
                    <w:ind w:firstLine="420"/>
                    <w:jc w:val="center"/>
                    <w:rPr>
                      <w:szCs w:val="21"/>
                      <w:u w:val="single"/>
                    </w:rPr>
                  </w:pPr>
                  <w:r>
                    <w:rPr>
                      <w:rFonts w:hint="eastAsia"/>
                      <w:szCs w:val="21"/>
                      <w:u w:val="single"/>
                    </w:rPr>
                    <w:t>148</w:t>
                  </w:r>
                </w:p>
              </w:tc>
              <w:tc>
                <w:tcPr>
                  <w:tcW w:w="428" w:type="dxa"/>
                  <w:vAlign w:val="center"/>
                </w:tcPr>
                <w:p>
                  <w:pPr>
                    <w:ind w:firstLine="420"/>
                    <w:jc w:val="center"/>
                    <w:rPr>
                      <w:szCs w:val="21"/>
                      <w:u w:val="single"/>
                    </w:rPr>
                  </w:pPr>
                  <w:r>
                    <w:rPr>
                      <w:rFonts w:hint="eastAsia"/>
                      <w:szCs w:val="21"/>
                      <w:u w:val="single"/>
                    </w:rPr>
                    <w:t>新增</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05" w:type="dxa"/>
                  <w:vAlign w:val="center"/>
                </w:tcPr>
                <w:p>
                  <w:pPr>
                    <w:ind w:firstLine="436"/>
                    <w:jc w:val="center"/>
                    <w:rPr>
                      <w:spacing w:val="-11"/>
                      <w:u w:val="single"/>
                    </w:rPr>
                  </w:pPr>
                  <w:r>
                    <w:rPr>
                      <w:rFonts w:hint="eastAsia"/>
                      <w:spacing w:val="-11"/>
                      <w:u w:val="single"/>
                    </w:rPr>
                    <w:t>2</w:t>
                  </w:r>
                </w:p>
              </w:tc>
              <w:tc>
                <w:tcPr>
                  <w:tcW w:w="664" w:type="dxa"/>
                  <w:vMerge w:val="continue"/>
                  <w:vAlign w:val="center"/>
                </w:tcPr>
                <w:p>
                  <w:pPr>
                    <w:jc w:val="center"/>
                    <w:rPr>
                      <w:u w:val="single"/>
                    </w:rPr>
                  </w:pPr>
                </w:p>
              </w:tc>
              <w:tc>
                <w:tcPr>
                  <w:tcW w:w="674" w:type="dxa"/>
                  <w:vAlign w:val="center"/>
                </w:tcPr>
                <w:p>
                  <w:pPr>
                    <w:jc w:val="center"/>
                    <w:rPr>
                      <w:szCs w:val="21"/>
                      <w:u w:val="single"/>
                    </w:rPr>
                  </w:pPr>
                  <w:r>
                    <w:rPr>
                      <w:rFonts w:hint="eastAsia"/>
                      <w:szCs w:val="21"/>
                      <w:u w:val="single"/>
                    </w:rPr>
                    <w:t>鼓风机</w:t>
                  </w:r>
                </w:p>
              </w:tc>
              <w:tc>
                <w:tcPr>
                  <w:tcW w:w="704" w:type="dxa"/>
                  <w:vAlign w:val="center"/>
                </w:tcPr>
                <w:p>
                  <w:pPr>
                    <w:ind w:firstLine="420"/>
                    <w:jc w:val="center"/>
                    <w:rPr>
                      <w:szCs w:val="21"/>
                      <w:u w:val="single"/>
                    </w:rPr>
                  </w:pPr>
                  <w:r>
                    <w:rPr>
                      <w:rFonts w:hint="eastAsia"/>
                      <w:szCs w:val="21"/>
                      <w:u w:val="single"/>
                    </w:rPr>
                    <w:t>90</w:t>
                  </w:r>
                </w:p>
              </w:tc>
              <w:tc>
                <w:tcPr>
                  <w:tcW w:w="811" w:type="dxa"/>
                  <w:vMerge w:val="continue"/>
                  <w:vAlign w:val="center"/>
                </w:tcPr>
                <w:p>
                  <w:pPr>
                    <w:jc w:val="center"/>
                    <w:rPr>
                      <w:szCs w:val="21"/>
                      <w:u w:val="single"/>
                    </w:rPr>
                  </w:pPr>
                </w:p>
              </w:tc>
              <w:tc>
                <w:tcPr>
                  <w:tcW w:w="718" w:type="dxa"/>
                  <w:vAlign w:val="center"/>
                </w:tcPr>
                <w:p>
                  <w:pPr>
                    <w:ind w:firstLine="420"/>
                    <w:jc w:val="center"/>
                    <w:rPr>
                      <w:szCs w:val="21"/>
                      <w:u w:val="single"/>
                    </w:rPr>
                  </w:pPr>
                  <w:r>
                    <w:rPr>
                      <w:rFonts w:hint="eastAsia"/>
                      <w:szCs w:val="21"/>
                      <w:u w:val="single"/>
                    </w:rPr>
                    <w:t>70</w:t>
                  </w:r>
                </w:p>
              </w:tc>
              <w:tc>
                <w:tcPr>
                  <w:tcW w:w="505" w:type="dxa"/>
                  <w:vAlign w:val="center"/>
                </w:tcPr>
                <w:p>
                  <w:pPr>
                    <w:ind w:firstLine="420"/>
                    <w:jc w:val="center"/>
                    <w:rPr>
                      <w:szCs w:val="21"/>
                      <w:u w:val="single"/>
                    </w:rPr>
                  </w:pPr>
                  <w:r>
                    <w:rPr>
                      <w:rFonts w:hint="eastAsia"/>
                      <w:szCs w:val="21"/>
                      <w:u w:val="single"/>
                    </w:rPr>
                    <w:t>57</w:t>
                  </w:r>
                </w:p>
              </w:tc>
              <w:tc>
                <w:tcPr>
                  <w:tcW w:w="558" w:type="dxa"/>
                  <w:vAlign w:val="center"/>
                </w:tcPr>
                <w:p>
                  <w:pPr>
                    <w:ind w:firstLine="420"/>
                    <w:jc w:val="center"/>
                    <w:rPr>
                      <w:szCs w:val="21"/>
                      <w:u w:val="single"/>
                    </w:rPr>
                  </w:pPr>
                  <w:r>
                    <w:rPr>
                      <w:rFonts w:hint="eastAsia"/>
                      <w:szCs w:val="21"/>
                      <w:u w:val="single"/>
                    </w:rPr>
                    <w:t>141</w:t>
                  </w:r>
                </w:p>
              </w:tc>
              <w:tc>
                <w:tcPr>
                  <w:tcW w:w="451" w:type="dxa"/>
                  <w:vAlign w:val="center"/>
                </w:tcPr>
                <w:p>
                  <w:pPr>
                    <w:ind w:firstLine="420"/>
                    <w:jc w:val="center"/>
                    <w:rPr>
                      <w:szCs w:val="21"/>
                      <w:u w:val="single"/>
                    </w:rPr>
                  </w:pPr>
                  <w:r>
                    <w:rPr>
                      <w:rFonts w:hint="eastAsia"/>
                      <w:szCs w:val="21"/>
                      <w:u w:val="single"/>
                    </w:rPr>
                    <w:t>51</w:t>
                  </w:r>
                </w:p>
              </w:tc>
              <w:tc>
                <w:tcPr>
                  <w:tcW w:w="517" w:type="dxa"/>
                  <w:vAlign w:val="center"/>
                </w:tcPr>
                <w:p>
                  <w:pPr>
                    <w:ind w:firstLine="420"/>
                    <w:jc w:val="center"/>
                    <w:rPr>
                      <w:szCs w:val="21"/>
                      <w:u w:val="single"/>
                    </w:rPr>
                  </w:pPr>
                  <w:r>
                    <w:rPr>
                      <w:rFonts w:hint="eastAsia"/>
                      <w:szCs w:val="21"/>
                      <w:u w:val="single"/>
                    </w:rPr>
                    <w:t>45</w:t>
                  </w:r>
                </w:p>
              </w:tc>
              <w:tc>
                <w:tcPr>
                  <w:tcW w:w="734" w:type="dxa"/>
                  <w:vAlign w:val="center"/>
                </w:tcPr>
                <w:p>
                  <w:pPr>
                    <w:ind w:firstLine="420"/>
                    <w:jc w:val="center"/>
                    <w:rPr>
                      <w:szCs w:val="21"/>
                      <w:u w:val="single"/>
                    </w:rPr>
                  </w:pPr>
                  <w:r>
                    <w:rPr>
                      <w:rFonts w:hint="eastAsia"/>
                      <w:szCs w:val="21"/>
                      <w:u w:val="single"/>
                    </w:rPr>
                    <w:t>93</w:t>
                  </w:r>
                </w:p>
              </w:tc>
              <w:tc>
                <w:tcPr>
                  <w:tcW w:w="779" w:type="dxa"/>
                  <w:vAlign w:val="center"/>
                </w:tcPr>
                <w:p>
                  <w:pPr>
                    <w:ind w:firstLine="420"/>
                    <w:jc w:val="center"/>
                    <w:rPr>
                      <w:szCs w:val="21"/>
                      <w:u w:val="single"/>
                    </w:rPr>
                  </w:pPr>
                  <w:r>
                    <w:rPr>
                      <w:rFonts w:hint="eastAsia"/>
                      <w:szCs w:val="21"/>
                      <w:u w:val="single"/>
                    </w:rPr>
                    <w:t>148</w:t>
                  </w:r>
                </w:p>
              </w:tc>
              <w:tc>
                <w:tcPr>
                  <w:tcW w:w="428" w:type="dxa"/>
                  <w:vAlign w:val="center"/>
                </w:tcPr>
                <w:p>
                  <w:pPr>
                    <w:ind w:firstLine="420"/>
                    <w:jc w:val="center"/>
                    <w:rPr>
                      <w:szCs w:val="21"/>
                      <w:u w:val="single"/>
                    </w:rPr>
                  </w:pPr>
                  <w:r>
                    <w:rPr>
                      <w:rFonts w:hint="eastAsia"/>
                      <w:szCs w:val="21"/>
                      <w:u w:val="single"/>
                    </w:rPr>
                    <w:t>新增</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05" w:type="dxa"/>
                  <w:vAlign w:val="center"/>
                </w:tcPr>
                <w:p>
                  <w:pPr>
                    <w:ind w:firstLine="436"/>
                    <w:jc w:val="center"/>
                    <w:rPr>
                      <w:spacing w:val="-11"/>
                      <w:u w:val="single"/>
                    </w:rPr>
                  </w:pPr>
                  <w:r>
                    <w:rPr>
                      <w:rFonts w:hint="eastAsia"/>
                      <w:spacing w:val="-11"/>
                      <w:u w:val="single"/>
                    </w:rPr>
                    <w:t>3</w:t>
                  </w:r>
                </w:p>
              </w:tc>
              <w:tc>
                <w:tcPr>
                  <w:tcW w:w="664" w:type="dxa"/>
                  <w:vMerge w:val="continue"/>
                  <w:vAlign w:val="center"/>
                </w:tcPr>
                <w:p>
                  <w:pPr>
                    <w:jc w:val="center"/>
                    <w:rPr>
                      <w:u w:val="single"/>
                    </w:rPr>
                  </w:pPr>
                </w:p>
              </w:tc>
              <w:tc>
                <w:tcPr>
                  <w:tcW w:w="674" w:type="dxa"/>
                  <w:vAlign w:val="center"/>
                </w:tcPr>
                <w:p>
                  <w:pPr>
                    <w:jc w:val="center"/>
                    <w:rPr>
                      <w:szCs w:val="21"/>
                      <w:u w:val="single"/>
                    </w:rPr>
                  </w:pPr>
                  <w:r>
                    <w:rPr>
                      <w:rFonts w:hint="eastAsia"/>
                      <w:szCs w:val="21"/>
                      <w:u w:val="single"/>
                    </w:rPr>
                    <w:t>引风机</w:t>
                  </w:r>
                </w:p>
              </w:tc>
              <w:tc>
                <w:tcPr>
                  <w:tcW w:w="704" w:type="dxa"/>
                  <w:vAlign w:val="center"/>
                </w:tcPr>
                <w:p>
                  <w:pPr>
                    <w:ind w:firstLine="420"/>
                    <w:jc w:val="center"/>
                    <w:rPr>
                      <w:szCs w:val="21"/>
                      <w:u w:val="single"/>
                    </w:rPr>
                  </w:pPr>
                  <w:r>
                    <w:rPr>
                      <w:rFonts w:hint="eastAsia"/>
                      <w:szCs w:val="21"/>
                      <w:u w:val="single"/>
                    </w:rPr>
                    <w:t>85</w:t>
                  </w:r>
                </w:p>
              </w:tc>
              <w:tc>
                <w:tcPr>
                  <w:tcW w:w="811" w:type="dxa"/>
                  <w:vMerge w:val="continue"/>
                  <w:vAlign w:val="center"/>
                </w:tcPr>
                <w:p>
                  <w:pPr>
                    <w:jc w:val="center"/>
                    <w:rPr>
                      <w:szCs w:val="21"/>
                      <w:u w:val="single"/>
                    </w:rPr>
                  </w:pPr>
                </w:p>
              </w:tc>
              <w:tc>
                <w:tcPr>
                  <w:tcW w:w="718" w:type="dxa"/>
                  <w:vAlign w:val="center"/>
                </w:tcPr>
                <w:p>
                  <w:pPr>
                    <w:ind w:firstLine="420"/>
                    <w:jc w:val="center"/>
                    <w:rPr>
                      <w:szCs w:val="21"/>
                      <w:u w:val="single"/>
                    </w:rPr>
                  </w:pPr>
                  <w:r>
                    <w:rPr>
                      <w:rFonts w:hint="eastAsia"/>
                      <w:szCs w:val="21"/>
                      <w:u w:val="single"/>
                    </w:rPr>
                    <w:t>65</w:t>
                  </w:r>
                </w:p>
              </w:tc>
              <w:tc>
                <w:tcPr>
                  <w:tcW w:w="505" w:type="dxa"/>
                  <w:vAlign w:val="center"/>
                </w:tcPr>
                <w:p>
                  <w:pPr>
                    <w:ind w:firstLine="420"/>
                    <w:jc w:val="center"/>
                    <w:rPr>
                      <w:szCs w:val="21"/>
                      <w:u w:val="single"/>
                    </w:rPr>
                  </w:pPr>
                  <w:r>
                    <w:rPr>
                      <w:rFonts w:hint="eastAsia"/>
                      <w:szCs w:val="21"/>
                      <w:u w:val="single"/>
                    </w:rPr>
                    <w:t>64</w:t>
                  </w:r>
                </w:p>
              </w:tc>
              <w:tc>
                <w:tcPr>
                  <w:tcW w:w="558" w:type="dxa"/>
                  <w:vAlign w:val="center"/>
                </w:tcPr>
                <w:p>
                  <w:pPr>
                    <w:ind w:firstLine="420"/>
                    <w:jc w:val="center"/>
                    <w:rPr>
                      <w:szCs w:val="21"/>
                      <w:u w:val="single"/>
                    </w:rPr>
                  </w:pPr>
                  <w:r>
                    <w:rPr>
                      <w:rFonts w:hint="eastAsia"/>
                      <w:szCs w:val="21"/>
                      <w:u w:val="single"/>
                    </w:rPr>
                    <w:t>140</w:t>
                  </w:r>
                </w:p>
              </w:tc>
              <w:tc>
                <w:tcPr>
                  <w:tcW w:w="451" w:type="dxa"/>
                  <w:vAlign w:val="center"/>
                </w:tcPr>
                <w:p>
                  <w:pPr>
                    <w:ind w:firstLine="420"/>
                    <w:jc w:val="center"/>
                    <w:rPr>
                      <w:szCs w:val="21"/>
                      <w:u w:val="single"/>
                    </w:rPr>
                  </w:pPr>
                  <w:r>
                    <w:rPr>
                      <w:rFonts w:hint="eastAsia"/>
                      <w:szCs w:val="21"/>
                      <w:u w:val="single"/>
                    </w:rPr>
                    <w:t>44</w:t>
                  </w:r>
                </w:p>
              </w:tc>
              <w:tc>
                <w:tcPr>
                  <w:tcW w:w="517" w:type="dxa"/>
                  <w:vAlign w:val="center"/>
                </w:tcPr>
                <w:p>
                  <w:pPr>
                    <w:ind w:firstLine="420"/>
                    <w:jc w:val="center"/>
                    <w:rPr>
                      <w:szCs w:val="21"/>
                      <w:u w:val="single"/>
                    </w:rPr>
                  </w:pPr>
                  <w:r>
                    <w:rPr>
                      <w:rFonts w:hint="eastAsia"/>
                      <w:szCs w:val="21"/>
                      <w:u w:val="single"/>
                    </w:rPr>
                    <w:t>46</w:t>
                  </w:r>
                </w:p>
              </w:tc>
              <w:tc>
                <w:tcPr>
                  <w:tcW w:w="734" w:type="dxa"/>
                  <w:vAlign w:val="center"/>
                </w:tcPr>
                <w:p>
                  <w:pPr>
                    <w:ind w:firstLine="420"/>
                    <w:jc w:val="center"/>
                    <w:rPr>
                      <w:szCs w:val="21"/>
                      <w:u w:val="single"/>
                    </w:rPr>
                  </w:pPr>
                  <w:r>
                    <w:rPr>
                      <w:rFonts w:hint="eastAsia"/>
                      <w:szCs w:val="21"/>
                      <w:u w:val="single"/>
                    </w:rPr>
                    <w:t>100</w:t>
                  </w:r>
                </w:p>
              </w:tc>
              <w:tc>
                <w:tcPr>
                  <w:tcW w:w="779" w:type="dxa"/>
                  <w:vAlign w:val="center"/>
                </w:tcPr>
                <w:p>
                  <w:pPr>
                    <w:ind w:firstLine="420"/>
                    <w:jc w:val="center"/>
                    <w:rPr>
                      <w:szCs w:val="21"/>
                      <w:u w:val="single"/>
                    </w:rPr>
                  </w:pPr>
                  <w:r>
                    <w:rPr>
                      <w:rFonts w:hint="eastAsia"/>
                      <w:szCs w:val="21"/>
                      <w:u w:val="single"/>
                    </w:rPr>
                    <w:t>147</w:t>
                  </w:r>
                </w:p>
              </w:tc>
              <w:tc>
                <w:tcPr>
                  <w:tcW w:w="428" w:type="dxa"/>
                  <w:vAlign w:val="center"/>
                </w:tcPr>
                <w:p>
                  <w:pPr>
                    <w:ind w:firstLine="420"/>
                    <w:jc w:val="center"/>
                    <w:rPr>
                      <w:szCs w:val="21"/>
                      <w:u w:val="single"/>
                    </w:rPr>
                  </w:pPr>
                  <w:r>
                    <w:rPr>
                      <w:rFonts w:hint="eastAsia"/>
                      <w:szCs w:val="21"/>
                      <w:u w:val="single"/>
                    </w:rPr>
                    <w:t>新增</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05" w:type="dxa"/>
                  <w:vAlign w:val="center"/>
                </w:tcPr>
                <w:p>
                  <w:pPr>
                    <w:ind w:firstLine="436"/>
                    <w:jc w:val="center"/>
                    <w:rPr>
                      <w:spacing w:val="-11"/>
                      <w:u w:val="single"/>
                    </w:rPr>
                  </w:pPr>
                  <w:r>
                    <w:rPr>
                      <w:rFonts w:hint="eastAsia"/>
                      <w:spacing w:val="-11"/>
                      <w:u w:val="single"/>
                    </w:rPr>
                    <w:t>4</w:t>
                  </w:r>
                </w:p>
              </w:tc>
              <w:tc>
                <w:tcPr>
                  <w:tcW w:w="664" w:type="dxa"/>
                  <w:vMerge w:val="continue"/>
                  <w:vAlign w:val="center"/>
                </w:tcPr>
                <w:p>
                  <w:pPr>
                    <w:jc w:val="center"/>
                    <w:rPr>
                      <w:u w:val="single"/>
                    </w:rPr>
                  </w:pPr>
                </w:p>
              </w:tc>
              <w:tc>
                <w:tcPr>
                  <w:tcW w:w="674" w:type="dxa"/>
                  <w:vAlign w:val="center"/>
                </w:tcPr>
                <w:p>
                  <w:pPr>
                    <w:jc w:val="center"/>
                    <w:rPr>
                      <w:szCs w:val="21"/>
                      <w:u w:val="single"/>
                    </w:rPr>
                  </w:pPr>
                  <w:r>
                    <w:rPr>
                      <w:rFonts w:hint="eastAsia"/>
                      <w:szCs w:val="21"/>
                      <w:u w:val="single"/>
                    </w:rPr>
                    <w:t>泵类</w:t>
                  </w:r>
                </w:p>
              </w:tc>
              <w:tc>
                <w:tcPr>
                  <w:tcW w:w="704" w:type="dxa"/>
                  <w:vAlign w:val="center"/>
                </w:tcPr>
                <w:p>
                  <w:pPr>
                    <w:ind w:firstLine="420"/>
                    <w:jc w:val="center"/>
                    <w:rPr>
                      <w:szCs w:val="21"/>
                      <w:u w:val="single"/>
                    </w:rPr>
                  </w:pPr>
                  <w:r>
                    <w:rPr>
                      <w:rFonts w:hint="eastAsia"/>
                      <w:szCs w:val="21"/>
                      <w:u w:val="single"/>
                    </w:rPr>
                    <w:t>85</w:t>
                  </w:r>
                </w:p>
              </w:tc>
              <w:tc>
                <w:tcPr>
                  <w:tcW w:w="811" w:type="dxa"/>
                  <w:vMerge w:val="continue"/>
                  <w:vAlign w:val="center"/>
                </w:tcPr>
                <w:p>
                  <w:pPr>
                    <w:jc w:val="center"/>
                    <w:rPr>
                      <w:szCs w:val="21"/>
                      <w:u w:val="single"/>
                    </w:rPr>
                  </w:pPr>
                </w:p>
              </w:tc>
              <w:tc>
                <w:tcPr>
                  <w:tcW w:w="718" w:type="dxa"/>
                  <w:vAlign w:val="center"/>
                </w:tcPr>
                <w:p>
                  <w:pPr>
                    <w:ind w:firstLine="420"/>
                    <w:jc w:val="center"/>
                    <w:rPr>
                      <w:szCs w:val="21"/>
                      <w:u w:val="single"/>
                    </w:rPr>
                  </w:pPr>
                  <w:r>
                    <w:rPr>
                      <w:rFonts w:hint="eastAsia"/>
                      <w:szCs w:val="21"/>
                      <w:u w:val="single"/>
                    </w:rPr>
                    <w:t>65</w:t>
                  </w:r>
                </w:p>
              </w:tc>
              <w:tc>
                <w:tcPr>
                  <w:tcW w:w="505" w:type="dxa"/>
                  <w:vAlign w:val="center"/>
                </w:tcPr>
                <w:p>
                  <w:pPr>
                    <w:ind w:firstLine="420"/>
                    <w:jc w:val="center"/>
                    <w:rPr>
                      <w:szCs w:val="21"/>
                      <w:u w:val="single"/>
                    </w:rPr>
                  </w:pPr>
                  <w:r>
                    <w:rPr>
                      <w:rFonts w:hint="eastAsia"/>
                      <w:szCs w:val="21"/>
                      <w:u w:val="single"/>
                    </w:rPr>
                    <w:t>58</w:t>
                  </w:r>
                </w:p>
              </w:tc>
              <w:tc>
                <w:tcPr>
                  <w:tcW w:w="558" w:type="dxa"/>
                  <w:vAlign w:val="center"/>
                </w:tcPr>
                <w:p>
                  <w:pPr>
                    <w:ind w:firstLine="420"/>
                    <w:jc w:val="center"/>
                    <w:rPr>
                      <w:szCs w:val="21"/>
                      <w:u w:val="single"/>
                    </w:rPr>
                  </w:pPr>
                  <w:r>
                    <w:rPr>
                      <w:rFonts w:hint="eastAsia"/>
                      <w:szCs w:val="21"/>
                      <w:u w:val="single"/>
                    </w:rPr>
                    <w:t>141</w:t>
                  </w:r>
                </w:p>
              </w:tc>
              <w:tc>
                <w:tcPr>
                  <w:tcW w:w="451" w:type="dxa"/>
                  <w:vAlign w:val="center"/>
                </w:tcPr>
                <w:p>
                  <w:pPr>
                    <w:ind w:firstLine="420"/>
                    <w:jc w:val="center"/>
                    <w:rPr>
                      <w:szCs w:val="21"/>
                      <w:u w:val="single"/>
                    </w:rPr>
                  </w:pPr>
                  <w:r>
                    <w:rPr>
                      <w:rFonts w:hint="eastAsia"/>
                      <w:szCs w:val="21"/>
                      <w:u w:val="single"/>
                    </w:rPr>
                    <w:t>50</w:t>
                  </w:r>
                </w:p>
              </w:tc>
              <w:tc>
                <w:tcPr>
                  <w:tcW w:w="517" w:type="dxa"/>
                  <w:vAlign w:val="center"/>
                </w:tcPr>
                <w:p>
                  <w:pPr>
                    <w:ind w:firstLine="420"/>
                    <w:jc w:val="center"/>
                    <w:rPr>
                      <w:szCs w:val="21"/>
                      <w:u w:val="single"/>
                    </w:rPr>
                  </w:pPr>
                  <w:r>
                    <w:rPr>
                      <w:rFonts w:hint="eastAsia"/>
                      <w:szCs w:val="21"/>
                      <w:u w:val="single"/>
                    </w:rPr>
                    <w:t>45</w:t>
                  </w:r>
                </w:p>
              </w:tc>
              <w:tc>
                <w:tcPr>
                  <w:tcW w:w="734" w:type="dxa"/>
                  <w:vAlign w:val="center"/>
                </w:tcPr>
                <w:p>
                  <w:pPr>
                    <w:ind w:firstLine="420"/>
                    <w:jc w:val="center"/>
                    <w:rPr>
                      <w:szCs w:val="21"/>
                      <w:u w:val="single"/>
                    </w:rPr>
                  </w:pPr>
                  <w:r>
                    <w:rPr>
                      <w:rFonts w:hint="eastAsia"/>
                      <w:szCs w:val="21"/>
                      <w:u w:val="single"/>
                    </w:rPr>
                    <w:t>94</w:t>
                  </w:r>
                </w:p>
              </w:tc>
              <w:tc>
                <w:tcPr>
                  <w:tcW w:w="779" w:type="dxa"/>
                  <w:vAlign w:val="center"/>
                </w:tcPr>
                <w:p>
                  <w:pPr>
                    <w:ind w:firstLine="420"/>
                    <w:jc w:val="center"/>
                    <w:rPr>
                      <w:szCs w:val="21"/>
                      <w:u w:val="single"/>
                    </w:rPr>
                  </w:pPr>
                  <w:r>
                    <w:rPr>
                      <w:rFonts w:hint="eastAsia"/>
                      <w:szCs w:val="21"/>
                      <w:u w:val="single"/>
                    </w:rPr>
                    <w:t>148</w:t>
                  </w:r>
                </w:p>
              </w:tc>
              <w:tc>
                <w:tcPr>
                  <w:tcW w:w="428" w:type="dxa"/>
                  <w:vAlign w:val="center"/>
                </w:tcPr>
                <w:p>
                  <w:pPr>
                    <w:ind w:firstLine="420"/>
                    <w:jc w:val="center"/>
                    <w:rPr>
                      <w:szCs w:val="21"/>
                      <w:u w:val="single"/>
                    </w:rPr>
                  </w:pPr>
                  <w:r>
                    <w:rPr>
                      <w:rFonts w:hint="eastAsia"/>
                      <w:szCs w:val="21"/>
                      <w:u w:val="single"/>
                    </w:rPr>
                    <w:t>新增</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05" w:type="dxa"/>
                  <w:vAlign w:val="center"/>
                </w:tcPr>
                <w:p>
                  <w:pPr>
                    <w:ind w:firstLine="436"/>
                    <w:jc w:val="center"/>
                    <w:rPr>
                      <w:spacing w:val="-11"/>
                      <w:u w:val="single"/>
                    </w:rPr>
                  </w:pPr>
                  <w:r>
                    <w:rPr>
                      <w:rFonts w:hint="eastAsia"/>
                      <w:spacing w:val="-11"/>
                      <w:u w:val="single"/>
                    </w:rPr>
                    <w:t>5</w:t>
                  </w:r>
                </w:p>
              </w:tc>
              <w:tc>
                <w:tcPr>
                  <w:tcW w:w="664" w:type="dxa"/>
                  <w:vMerge w:val="continue"/>
                  <w:vAlign w:val="center"/>
                </w:tcPr>
                <w:p>
                  <w:pPr>
                    <w:jc w:val="center"/>
                    <w:rPr>
                      <w:u w:val="single"/>
                    </w:rPr>
                  </w:pPr>
                </w:p>
              </w:tc>
              <w:tc>
                <w:tcPr>
                  <w:tcW w:w="674" w:type="dxa"/>
                  <w:vAlign w:val="center"/>
                </w:tcPr>
                <w:p>
                  <w:pPr>
                    <w:ind w:firstLine="420"/>
                    <w:jc w:val="center"/>
                    <w:rPr>
                      <w:szCs w:val="21"/>
                      <w:u w:val="single"/>
                    </w:rPr>
                  </w:pPr>
                  <w:r>
                    <w:rPr>
                      <w:rFonts w:hint="eastAsia"/>
                      <w:szCs w:val="21"/>
                      <w:u w:val="single"/>
                    </w:rPr>
                    <w:t>除尘器</w:t>
                  </w:r>
                </w:p>
              </w:tc>
              <w:tc>
                <w:tcPr>
                  <w:tcW w:w="704" w:type="dxa"/>
                  <w:vAlign w:val="center"/>
                </w:tcPr>
                <w:p>
                  <w:pPr>
                    <w:ind w:firstLine="420"/>
                    <w:jc w:val="center"/>
                    <w:rPr>
                      <w:szCs w:val="21"/>
                      <w:u w:val="single"/>
                    </w:rPr>
                  </w:pPr>
                  <w:r>
                    <w:rPr>
                      <w:rFonts w:hint="eastAsia"/>
                      <w:szCs w:val="21"/>
                      <w:u w:val="single"/>
                    </w:rPr>
                    <w:t>80</w:t>
                  </w:r>
                </w:p>
              </w:tc>
              <w:tc>
                <w:tcPr>
                  <w:tcW w:w="811" w:type="dxa"/>
                  <w:vMerge w:val="continue"/>
                  <w:vAlign w:val="center"/>
                </w:tcPr>
                <w:p>
                  <w:pPr>
                    <w:jc w:val="center"/>
                    <w:rPr>
                      <w:szCs w:val="21"/>
                      <w:u w:val="single"/>
                    </w:rPr>
                  </w:pPr>
                </w:p>
              </w:tc>
              <w:tc>
                <w:tcPr>
                  <w:tcW w:w="718" w:type="dxa"/>
                  <w:vAlign w:val="center"/>
                </w:tcPr>
                <w:p>
                  <w:pPr>
                    <w:ind w:firstLine="420"/>
                    <w:jc w:val="center"/>
                    <w:rPr>
                      <w:szCs w:val="21"/>
                      <w:u w:val="single"/>
                    </w:rPr>
                  </w:pPr>
                  <w:r>
                    <w:rPr>
                      <w:rFonts w:hint="eastAsia"/>
                      <w:szCs w:val="21"/>
                      <w:u w:val="single"/>
                    </w:rPr>
                    <w:t>60</w:t>
                  </w:r>
                </w:p>
              </w:tc>
              <w:tc>
                <w:tcPr>
                  <w:tcW w:w="505" w:type="dxa"/>
                  <w:vAlign w:val="center"/>
                </w:tcPr>
                <w:p>
                  <w:pPr>
                    <w:ind w:firstLine="420"/>
                    <w:jc w:val="center"/>
                    <w:rPr>
                      <w:szCs w:val="21"/>
                      <w:u w:val="single"/>
                    </w:rPr>
                  </w:pPr>
                  <w:r>
                    <w:rPr>
                      <w:rFonts w:hint="eastAsia"/>
                      <w:szCs w:val="21"/>
                      <w:u w:val="single"/>
                    </w:rPr>
                    <w:t>63</w:t>
                  </w:r>
                </w:p>
              </w:tc>
              <w:tc>
                <w:tcPr>
                  <w:tcW w:w="558" w:type="dxa"/>
                  <w:vAlign w:val="center"/>
                </w:tcPr>
                <w:p>
                  <w:pPr>
                    <w:ind w:firstLine="420"/>
                    <w:jc w:val="center"/>
                    <w:rPr>
                      <w:szCs w:val="21"/>
                      <w:u w:val="single"/>
                    </w:rPr>
                  </w:pPr>
                  <w:r>
                    <w:rPr>
                      <w:rFonts w:hint="eastAsia"/>
                      <w:szCs w:val="21"/>
                      <w:u w:val="single"/>
                    </w:rPr>
                    <w:t>140</w:t>
                  </w:r>
                </w:p>
              </w:tc>
              <w:tc>
                <w:tcPr>
                  <w:tcW w:w="451" w:type="dxa"/>
                  <w:vAlign w:val="center"/>
                </w:tcPr>
                <w:p>
                  <w:pPr>
                    <w:ind w:firstLine="420"/>
                    <w:jc w:val="center"/>
                    <w:rPr>
                      <w:szCs w:val="21"/>
                      <w:u w:val="single"/>
                    </w:rPr>
                  </w:pPr>
                  <w:r>
                    <w:rPr>
                      <w:rFonts w:hint="eastAsia"/>
                      <w:szCs w:val="21"/>
                      <w:u w:val="single"/>
                    </w:rPr>
                    <w:t>45</w:t>
                  </w:r>
                </w:p>
              </w:tc>
              <w:tc>
                <w:tcPr>
                  <w:tcW w:w="517" w:type="dxa"/>
                  <w:vAlign w:val="center"/>
                </w:tcPr>
                <w:p>
                  <w:pPr>
                    <w:ind w:firstLine="420"/>
                    <w:jc w:val="center"/>
                    <w:rPr>
                      <w:szCs w:val="21"/>
                      <w:u w:val="single"/>
                    </w:rPr>
                  </w:pPr>
                  <w:r>
                    <w:rPr>
                      <w:rFonts w:hint="eastAsia"/>
                      <w:szCs w:val="21"/>
                      <w:u w:val="single"/>
                    </w:rPr>
                    <w:t>46</w:t>
                  </w:r>
                </w:p>
              </w:tc>
              <w:tc>
                <w:tcPr>
                  <w:tcW w:w="734" w:type="dxa"/>
                  <w:vAlign w:val="center"/>
                </w:tcPr>
                <w:p>
                  <w:pPr>
                    <w:ind w:firstLine="420"/>
                    <w:jc w:val="center"/>
                    <w:rPr>
                      <w:szCs w:val="21"/>
                      <w:u w:val="single"/>
                    </w:rPr>
                  </w:pPr>
                  <w:r>
                    <w:rPr>
                      <w:rFonts w:hint="eastAsia"/>
                      <w:szCs w:val="21"/>
                      <w:u w:val="single"/>
                    </w:rPr>
                    <w:t>99</w:t>
                  </w:r>
                </w:p>
              </w:tc>
              <w:tc>
                <w:tcPr>
                  <w:tcW w:w="779" w:type="dxa"/>
                  <w:vAlign w:val="center"/>
                </w:tcPr>
                <w:p>
                  <w:pPr>
                    <w:ind w:firstLine="420"/>
                    <w:jc w:val="center"/>
                    <w:rPr>
                      <w:szCs w:val="21"/>
                      <w:u w:val="single"/>
                    </w:rPr>
                  </w:pPr>
                  <w:r>
                    <w:rPr>
                      <w:rFonts w:hint="eastAsia"/>
                      <w:szCs w:val="21"/>
                      <w:u w:val="single"/>
                    </w:rPr>
                    <w:t>147</w:t>
                  </w:r>
                </w:p>
              </w:tc>
              <w:tc>
                <w:tcPr>
                  <w:tcW w:w="428" w:type="dxa"/>
                  <w:vAlign w:val="center"/>
                </w:tcPr>
                <w:p>
                  <w:pPr>
                    <w:ind w:firstLine="420"/>
                    <w:jc w:val="center"/>
                    <w:rPr>
                      <w:szCs w:val="21"/>
                      <w:u w:val="single"/>
                    </w:rPr>
                  </w:pPr>
                  <w:r>
                    <w:rPr>
                      <w:rFonts w:hint="eastAsia"/>
                      <w:szCs w:val="21"/>
                      <w:u w:val="single"/>
                    </w:rPr>
                    <w:t>新增</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405" w:type="dxa"/>
                  <w:vAlign w:val="center"/>
                </w:tcPr>
                <w:p>
                  <w:pPr>
                    <w:ind w:firstLine="436"/>
                    <w:jc w:val="center"/>
                    <w:rPr>
                      <w:spacing w:val="-11"/>
                      <w:u w:val="single"/>
                    </w:rPr>
                  </w:pPr>
                  <w:r>
                    <w:rPr>
                      <w:rFonts w:hint="eastAsia"/>
                      <w:spacing w:val="-11"/>
                      <w:u w:val="single"/>
                    </w:rPr>
                    <w:t>6</w:t>
                  </w:r>
                </w:p>
              </w:tc>
              <w:tc>
                <w:tcPr>
                  <w:tcW w:w="664" w:type="dxa"/>
                  <w:vMerge w:val="restart"/>
                  <w:vAlign w:val="center"/>
                </w:tcPr>
                <w:p>
                  <w:pPr>
                    <w:jc w:val="center"/>
                    <w:rPr>
                      <w:u w:val="single"/>
                    </w:rPr>
                  </w:pPr>
                  <w:r>
                    <w:rPr>
                      <w:rFonts w:hint="eastAsia"/>
                      <w:u w:val="single"/>
                    </w:rPr>
                    <w:t>生产区</w:t>
                  </w:r>
                </w:p>
              </w:tc>
              <w:tc>
                <w:tcPr>
                  <w:tcW w:w="674" w:type="dxa"/>
                  <w:vAlign w:val="center"/>
                </w:tcPr>
                <w:p>
                  <w:pPr>
                    <w:ind w:firstLine="376"/>
                    <w:jc w:val="center"/>
                    <w:rPr>
                      <w:spacing w:val="-11"/>
                      <w:u w:val="single"/>
                    </w:rPr>
                  </w:pPr>
                  <w:r>
                    <w:rPr>
                      <w:rFonts w:hint="eastAsia"/>
                      <w:spacing w:val="-11"/>
                      <w:u w:val="single"/>
                    </w:rPr>
                    <w:t>悬辊机</w:t>
                  </w:r>
                </w:p>
              </w:tc>
              <w:tc>
                <w:tcPr>
                  <w:tcW w:w="704" w:type="dxa"/>
                  <w:vAlign w:val="center"/>
                </w:tcPr>
                <w:p>
                  <w:pPr>
                    <w:ind w:firstLine="420"/>
                    <w:jc w:val="center"/>
                    <w:rPr>
                      <w:szCs w:val="21"/>
                      <w:u w:val="single"/>
                    </w:rPr>
                  </w:pPr>
                  <w:r>
                    <w:rPr>
                      <w:rFonts w:hint="eastAsia"/>
                      <w:szCs w:val="21"/>
                      <w:u w:val="single"/>
                    </w:rPr>
                    <w:t>85</w:t>
                  </w:r>
                </w:p>
              </w:tc>
              <w:tc>
                <w:tcPr>
                  <w:tcW w:w="811" w:type="dxa"/>
                  <w:vAlign w:val="center"/>
                </w:tcPr>
                <w:p>
                  <w:pPr>
                    <w:ind w:firstLine="420"/>
                    <w:jc w:val="center"/>
                    <w:rPr>
                      <w:szCs w:val="21"/>
                      <w:u w:val="single"/>
                    </w:rPr>
                  </w:pPr>
                  <w:r>
                    <w:rPr>
                      <w:szCs w:val="21"/>
                      <w:u w:val="single"/>
                    </w:rPr>
                    <w:t>隔声、减振</w:t>
                  </w:r>
                </w:p>
              </w:tc>
              <w:tc>
                <w:tcPr>
                  <w:tcW w:w="718" w:type="dxa"/>
                  <w:vAlign w:val="center"/>
                </w:tcPr>
                <w:p>
                  <w:pPr>
                    <w:ind w:firstLine="420"/>
                    <w:jc w:val="center"/>
                    <w:rPr>
                      <w:szCs w:val="21"/>
                      <w:u w:val="single"/>
                    </w:rPr>
                  </w:pPr>
                  <w:r>
                    <w:rPr>
                      <w:rFonts w:hint="eastAsia"/>
                      <w:szCs w:val="21"/>
                      <w:u w:val="single"/>
                    </w:rPr>
                    <w:t>65</w:t>
                  </w:r>
                </w:p>
              </w:tc>
              <w:tc>
                <w:tcPr>
                  <w:tcW w:w="505" w:type="dxa"/>
                  <w:vAlign w:val="center"/>
                </w:tcPr>
                <w:p>
                  <w:pPr>
                    <w:ind w:firstLine="420"/>
                    <w:jc w:val="center"/>
                    <w:rPr>
                      <w:szCs w:val="21"/>
                      <w:u w:val="single"/>
                    </w:rPr>
                  </w:pPr>
                  <w:r>
                    <w:rPr>
                      <w:rFonts w:hint="eastAsia"/>
                      <w:szCs w:val="21"/>
                      <w:u w:val="single"/>
                    </w:rPr>
                    <w:t>45</w:t>
                  </w:r>
                </w:p>
              </w:tc>
              <w:tc>
                <w:tcPr>
                  <w:tcW w:w="558" w:type="dxa"/>
                  <w:vAlign w:val="center"/>
                </w:tcPr>
                <w:p>
                  <w:pPr>
                    <w:ind w:firstLine="420"/>
                    <w:jc w:val="center"/>
                    <w:rPr>
                      <w:szCs w:val="21"/>
                      <w:u w:val="single"/>
                    </w:rPr>
                  </w:pPr>
                  <w:r>
                    <w:rPr>
                      <w:rFonts w:hint="eastAsia"/>
                      <w:szCs w:val="21"/>
                      <w:u w:val="single"/>
                    </w:rPr>
                    <w:t>97</w:t>
                  </w:r>
                </w:p>
              </w:tc>
              <w:tc>
                <w:tcPr>
                  <w:tcW w:w="451" w:type="dxa"/>
                  <w:vAlign w:val="center"/>
                </w:tcPr>
                <w:p>
                  <w:pPr>
                    <w:ind w:firstLine="420"/>
                    <w:jc w:val="center"/>
                    <w:rPr>
                      <w:szCs w:val="21"/>
                      <w:u w:val="single"/>
                    </w:rPr>
                  </w:pPr>
                  <w:r>
                    <w:rPr>
                      <w:rFonts w:hint="eastAsia"/>
                      <w:szCs w:val="21"/>
                      <w:u w:val="single"/>
                    </w:rPr>
                    <w:t>63</w:t>
                  </w:r>
                </w:p>
              </w:tc>
              <w:tc>
                <w:tcPr>
                  <w:tcW w:w="517" w:type="dxa"/>
                  <w:vAlign w:val="center"/>
                </w:tcPr>
                <w:p>
                  <w:pPr>
                    <w:ind w:firstLine="420"/>
                    <w:jc w:val="center"/>
                    <w:rPr>
                      <w:szCs w:val="21"/>
                      <w:u w:val="single"/>
                    </w:rPr>
                  </w:pPr>
                  <w:r>
                    <w:rPr>
                      <w:rFonts w:hint="eastAsia"/>
                      <w:szCs w:val="21"/>
                      <w:u w:val="single"/>
                    </w:rPr>
                    <w:t>89</w:t>
                  </w:r>
                </w:p>
              </w:tc>
              <w:tc>
                <w:tcPr>
                  <w:tcW w:w="734" w:type="dxa"/>
                  <w:vAlign w:val="center"/>
                </w:tcPr>
                <w:p>
                  <w:pPr>
                    <w:ind w:firstLine="420"/>
                    <w:jc w:val="center"/>
                    <w:rPr>
                      <w:szCs w:val="21"/>
                      <w:u w:val="single"/>
                    </w:rPr>
                  </w:pPr>
                  <w:r>
                    <w:rPr>
                      <w:rFonts w:hint="eastAsia"/>
                      <w:szCs w:val="21"/>
                      <w:u w:val="single"/>
                    </w:rPr>
                    <w:t>81</w:t>
                  </w:r>
                </w:p>
              </w:tc>
              <w:tc>
                <w:tcPr>
                  <w:tcW w:w="779" w:type="dxa"/>
                  <w:vAlign w:val="center"/>
                </w:tcPr>
                <w:p>
                  <w:pPr>
                    <w:ind w:firstLine="420"/>
                    <w:jc w:val="center"/>
                    <w:rPr>
                      <w:szCs w:val="21"/>
                      <w:u w:val="single"/>
                    </w:rPr>
                  </w:pPr>
                  <w:r>
                    <w:rPr>
                      <w:rFonts w:hint="eastAsia"/>
                      <w:szCs w:val="21"/>
                      <w:u w:val="single"/>
                    </w:rPr>
                    <w:t>104</w:t>
                  </w:r>
                </w:p>
              </w:tc>
              <w:tc>
                <w:tcPr>
                  <w:tcW w:w="428" w:type="dxa"/>
                  <w:vAlign w:val="center"/>
                </w:tcPr>
                <w:p>
                  <w:pPr>
                    <w:ind w:firstLine="420"/>
                    <w:jc w:val="center"/>
                    <w:rPr>
                      <w:szCs w:val="21"/>
                      <w:u w:val="single"/>
                    </w:rPr>
                  </w:pPr>
                  <w:r>
                    <w:rPr>
                      <w:rFonts w:hint="eastAsia"/>
                      <w:szCs w:val="21"/>
                      <w:u w:val="single"/>
                    </w:rPr>
                    <w:t>现有</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05" w:type="dxa"/>
                  <w:vAlign w:val="center"/>
                </w:tcPr>
                <w:p>
                  <w:pPr>
                    <w:ind w:firstLine="436"/>
                    <w:jc w:val="center"/>
                    <w:rPr>
                      <w:spacing w:val="-11"/>
                      <w:u w:val="single"/>
                    </w:rPr>
                  </w:pPr>
                  <w:r>
                    <w:rPr>
                      <w:rFonts w:hint="eastAsia"/>
                      <w:spacing w:val="-11"/>
                      <w:u w:val="single"/>
                    </w:rPr>
                    <w:t>7</w:t>
                  </w:r>
                </w:p>
              </w:tc>
              <w:tc>
                <w:tcPr>
                  <w:tcW w:w="664" w:type="dxa"/>
                  <w:vMerge w:val="continue"/>
                  <w:vAlign w:val="center"/>
                </w:tcPr>
                <w:p>
                  <w:pPr>
                    <w:jc w:val="center"/>
                    <w:rPr>
                      <w:u w:val="single"/>
                    </w:rPr>
                  </w:pPr>
                </w:p>
              </w:tc>
              <w:tc>
                <w:tcPr>
                  <w:tcW w:w="674" w:type="dxa"/>
                  <w:vAlign w:val="center"/>
                </w:tcPr>
                <w:p>
                  <w:pPr>
                    <w:ind w:firstLine="376"/>
                    <w:jc w:val="center"/>
                    <w:rPr>
                      <w:spacing w:val="-11"/>
                      <w:u w:val="single"/>
                    </w:rPr>
                  </w:pPr>
                  <w:r>
                    <w:rPr>
                      <w:rFonts w:hint="eastAsia"/>
                      <w:spacing w:val="-11"/>
                      <w:u w:val="single"/>
                    </w:rPr>
                    <w:t>悬辊机</w:t>
                  </w:r>
                </w:p>
              </w:tc>
              <w:tc>
                <w:tcPr>
                  <w:tcW w:w="704" w:type="dxa"/>
                  <w:vAlign w:val="center"/>
                </w:tcPr>
                <w:p>
                  <w:pPr>
                    <w:ind w:firstLine="420"/>
                    <w:jc w:val="center"/>
                    <w:rPr>
                      <w:szCs w:val="21"/>
                      <w:u w:val="single"/>
                    </w:rPr>
                  </w:pPr>
                  <w:r>
                    <w:rPr>
                      <w:rFonts w:hint="eastAsia"/>
                      <w:szCs w:val="21"/>
                      <w:u w:val="single"/>
                    </w:rPr>
                    <w:t>85</w:t>
                  </w:r>
                </w:p>
              </w:tc>
              <w:tc>
                <w:tcPr>
                  <w:tcW w:w="811" w:type="dxa"/>
                  <w:vAlign w:val="center"/>
                </w:tcPr>
                <w:p>
                  <w:pPr>
                    <w:ind w:firstLine="420"/>
                    <w:jc w:val="center"/>
                    <w:rPr>
                      <w:szCs w:val="21"/>
                      <w:u w:val="single"/>
                    </w:rPr>
                  </w:pPr>
                  <w:r>
                    <w:rPr>
                      <w:szCs w:val="21"/>
                      <w:u w:val="single"/>
                    </w:rPr>
                    <w:t>隔声、减振</w:t>
                  </w:r>
                </w:p>
              </w:tc>
              <w:tc>
                <w:tcPr>
                  <w:tcW w:w="718" w:type="dxa"/>
                  <w:vAlign w:val="center"/>
                </w:tcPr>
                <w:p>
                  <w:pPr>
                    <w:ind w:firstLine="420"/>
                    <w:jc w:val="center"/>
                    <w:rPr>
                      <w:szCs w:val="21"/>
                      <w:u w:val="single"/>
                    </w:rPr>
                  </w:pPr>
                  <w:r>
                    <w:rPr>
                      <w:rFonts w:hint="eastAsia"/>
                      <w:szCs w:val="21"/>
                      <w:u w:val="single"/>
                    </w:rPr>
                    <w:t>65</w:t>
                  </w:r>
                </w:p>
              </w:tc>
              <w:tc>
                <w:tcPr>
                  <w:tcW w:w="505" w:type="dxa"/>
                  <w:vAlign w:val="center"/>
                </w:tcPr>
                <w:p>
                  <w:pPr>
                    <w:ind w:firstLine="420"/>
                    <w:jc w:val="center"/>
                    <w:rPr>
                      <w:szCs w:val="21"/>
                      <w:u w:val="single"/>
                    </w:rPr>
                  </w:pPr>
                  <w:r>
                    <w:rPr>
                      <w:rFonts w:hint="eastAsia"/>
                      <w:szCs w:val="21"/>
                      <w:u w:val="single"/>
                    </w:rPr>
                    <w:t>31</w:t>
                  </w:r>
                </w:p>
              </w:tc>
              <w:tc>
                <w:tcPr>
                  <w:tcW w:w="558" w:type="dxa"/>
                  <w:vAlign w:val="center"/>
                </w:tcPr>
                <w:p>
                  <w:pPr>
                    <w:ind w:firstLine="420"/>
                    <w:jc w:val="center"/>
                    <w:rPr>
                      <w:szCs w:val="21"/>
                      <w:u w:val="single"/>
                    </w:rPr>
                  </w:pPr>
                  <w:r>
                    <w:rPr>
                      <w:rFonts w:hint="eastAsia"/>
                      <w:szCs w:val="21"/>
                      <w:u w:val="single"/>
                    </w:rPr>
                    <w:t>97</w:t>
                  </w:r>
                </w:p>
              </w:tc>
              <w:tc>
                <w:tcPr>
                  <w:tcW w:w="451" w:type="dxa"/>
                  <w:vAlign w:val="center"/>
                </w:tcPr>
                <w:p>
                  <w:pPr>
                    <w:ind w:firstLine="420"/>
                    <w:jc w:val="center"/>
                    <w:rPr>
                      <w:szCs w:val="21"/>
                      <w:u w:val="single"/>
                    </w:rPr>
                  </w:pPr>
                  <w:r>
                    <w:rPr>
                      <w:rFonts w:hint="eastAsia"/>
                      <w:szCs w:val="21"/>
                      <w:u w:val="single"/>
                    </w:rPr>
                    <w:t>77</w:t>
                  </w:r>
                </w:p>
              </w:tc>
              <w:tc>
                <w:tcPr>
                  <w:tcW w:w="517" w:type="dxa"/>
                  <w:vAlign w:val="center"/>
                </w:tcPr>
                <w:p>
                  <w:pPr>
                    <w:ind w:firstLine="420"/>
                    <w:jc w:val="center"/>
                    <w:rPr>
                      <w:szCs w:val="21"/>
                      <w:u w:val="single"/>
                    </w:rPr>
                  </w:pPr>
                  <w:r>
                    <w:rPr>
                      <w:rFonts w:hint="eastAsia"/>
                      <w:szCs w:val="21"/>
                      <w:u w:val="single"/>
                    </w:rPr>
                    <w:t>89</w:t>
                  </w:r>
                </w:p>
              </w:tc>
              <w:tc>
                <w:tcPr>
                  <w:tcW w:w="734" w:type="dxa"/>
                  <w:vAlign w:val="center"/>
                </w:tcPr>
                <w:p>
                  <w:pPr>
                    <w:ind w:firstLine="420"/>
                    <w:jc w:val="center"/>
                    <w:rPr>
                      <w:szCs w:val="21"/>
                      <w:u w:val="single"/>
                    </w:rPr>
                  </w:pPr>
                  <w:r>
                    <w:rPr>
                      <w:rFonts w:hint="eastAsia"/>
                      <w:szCs w:val="21"/>
                      <w:u w:val="single"/>
                    </w:rPr>
                    <w:t>67</w:t>
                  </w:r>
                </w:p>
              </w:tc>
              <w:tc>
                <w:tcPr>
                  <w:tcW w:w="779" w:type="dxa"/>
                  <w:vAlign w:val="center"/>
                </w:tcPr>
                <w:p>
                  <w:pPr>
                    <w:ind w:firstLine="420"/>
                    <w:jc w:val="center"/>
                    <w:rPr>
                      <w:szCs w:val="21"/>
                      <w:u w:val="single"/>
                    </w:rPr>
                  </w:pPr>
                  <w:r>
                    <w:rPr>
                      <w:rFonts w:hint="eastAsia"/>
                      <w:szCs w:val="21"/>
                      <w:u w:val="single"/>
                    </w:rPr>
                    <w:t>104</w:t>
                  </w:r>
                </w:p>
              </w:tc>
              <w:tc>
                <w:tcPr>
                  <w:tcW w:w="428" w:type="dxa"/>
                  <w:vAlign w:val="center"/>
                </w:tcPr>
                <w:p>
                  <w:pPr>
                    <w:ind w:firstLine="420"/>
                    <w:jc w:val="center"/>
                    <w:rPr>
                      <w:szCs w:val="21"/>
                      <w:u w:val="single"/>
                    </w:rPr>
                  </w:pPr>
                  <w:r>
                    <w:rPr>
                      <w:rFonts w:hint="eastAsia"/>
                      <w:szCs w:val="21"/>
                      <w:u w:val="single"/>
                    </w:rPr>
                    <w:t>现有</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05" w:type="dxa"/>
                  <w:vAlign w:val="center"/>
                </w:tcPr>
                <w:p>
                  <w:pPr>
                    <w:ind w:firstLine="436"/>
                    <w:jc w:val="center"/>
                    <w:rPr>
                      <w:spacing w:val="-11"/>
                      <w:u w:val="single"/>
                    </w:rPr>
                  </w:pPr>
                  <w:r>
                    <w:rPr>
                      <w:rFonts w:hint="eastAsia"/>
                      <w:spacing w:val="-11"/>
                      <w:u w:val="single"/>
                    </w:rPr>
                    <w:t>8</w:t>
                  </w:r>
                </w:p>
              </w:tc>
              <w:tc>
                <w:tcPr>
                  <w:tcW w:w="664" w:type="dxa"/>
                  <w:vMerge w:val="continue"/>
                  <w:vAlign w:val="center"/>
                </w:tcPr>
                <w:p>
                  <w:pPr>
                    <w:jc w:val="center"/>
                    <w:rPr>
                      <w:u w:val="single"/>
                    </w:rPr>
                  </w:pPr>
                </w:p>
              </w:tc>
              <w:tc>
                <w:tcPr>
                  <w:tcW w:w="674" w:type="dxa"/>
                  <w:vAlign w:val="center"/>
                </w:tcPr>
                <w:p>
                  <w:pPr>
                    <w:ind w:firstLine="376"/>
                    <w:jc w:val="center"/>
                    <w:rPr>
                      <w:spacing w:val="-11"/>
                      <w:u w:val="single"/>
                    </w:rPr>
                  </w:pPr>
                  <w:r>
                    <w:rPr>
                      <w:rFonts w:hint="eastAsia"/>
                      <w:spacing w:val="-11"/>
                      <w:u w:val="single"/>
                    </w:rPr>
                    <w:t>搅拌机</w:t>
                  </w:r>
                </w:p>
              </w:tc>
              <w:tc>
                <w:tcPr>
                  <w:tcW w:w="704" w:type="dxa"/>
                  <w:vAlign w:val="center"/>
                </w:tcPr>
                <w:p>
                  <w:pPr>
                    <w:ind w:firstLine="420"/>
                    <w:jc w:val="center"/>
                    <w:rPr>
                      <w:szCs w:val="21"/>
                      <w:u w:val="single"/>
                    </w:rPr>
                  </w:pPr>
                  <w:r>
                    <w:rPr>
                      <w:rFonts w:hint="eastAsia"/>
                      <w:szCs w:val="21"/>
                      <w:u w:val="single"/>
                    </w:rPr>
                    <w:t>95</w:t>
                  </w:r>
                </w:p>
              </w:tc>
              <w:tc>
                <w:tcPr>
                  <w:tcW w:w="811" w:type="dxa"/>
                  <w:vAlign w:val="center"/>
                </w:tcPr>
                <w:p>
                  <w:pPr>
                    <w:ind w:firstLine="420"/>
                    <w:jc w:val="center"/>
                    <w:rPr>
                      <w:szCs w:val="21"/>
                      <w:u w:val="single"/>
                    </w:rPr>
                  </w:pPr>
                  <w:r>
                    <w:rPr>
                      <w:szCs w:val="21"/>
                      <w:u w:val="single"/>
                    </w:rPr>
                    <w:t>隔声、减振</w:t>
                  </w:r>
                </w:p>
              </w:tc>
              <w:tc>
                <w:tcPr>
                  <w:tcW w:w="718" w:type="dxa"/>
                  <w:vAlign w:val="center"/>
                </w:tcPr>
                <w:p>
                  <w:pPr>
                    <w:ind w:firstLine="420"/>
                    <w:jc w:val="center"/>
                    <w:rPr>
                      <w:szCs w:val="21"/>
                      <w:u w:val="single"/>
                    </w:rPr>
                  </w:pPr>
                  <w:r>
                    <w:rPr>
                      <w:rFonts w:hint="eastAsia"/>
                      <w:szCs w:val="21"/>
                      <w:u w:val="single"/>
                    </w:rPr>
                    <w:t>75</w:t>
                  </w:r>
                </w:p>
              </w:tc>
              <w:tc>
                <w:tcPr>
                  <w:tcW w:w="505" w:type="dxa"/>
                  <w:vAlign w:val="center"/>
                </w:tcPr>
                <w:p>
                  <w:pPr>
                    <w:ind w:firstLine="420"/>
                    <w:jc w:val="center"/>
                    <w:rPr>
                      <w:szCs w:val="21"/>
                      <w:u w:val="single"/>
                    </w:rPr>
                  </w:pPr>
                  <w:r>
                    <w:rPr>
                      <w:rFonts w:hint="eastAsia"/>
                      <w:szCs w:val="21"/>
                      <w:u w:val="single"/>
                    </w:rPr>
                    <w:t>45</w:t>
                  </w:r>
                </w:p>
              </w:tc>
              <w:tc>
                <w:tcPr>
                  <w:tcW w:w="558" w:type="dxa"/>
                  <w:vAlign w:val="center"/>
                </w:tcPr>
                <w:p>
                  <w:pPr>
                    <w:ind w:firstLine="420"/>
                    <w:jc w:val="center"/>
                    <w:rPr>
                      <w:szCs w:val="21"/>
                      <w:u w:val="single"/>
                    </w:rPr>
                  </w:pPr>
                  <w:r>
                    <w:rPr>
                      <w:rFonts w:hint="eastAsia"/>
                      <w:szCs w:val="21"/>
                      <w:u w:val="single"/>
                    </w:rPr>
                    <w:t>120</w:t>
                  </w:r>
                </w:p>
              </w:tc>
              <w:tc>
                <w:tcPr>
                  <w:tcW w:w="451" w:type="dxa"/>
                  <w:vAlign w:val="center"/>
                </w:tcPr>
                <w:p>
                  <w:pPr>
                    <w:ind w:firstLine="420"/>
                    <w:jc w:val="center"/>
                    <w:rPr>
                      <w:szCs w:val="21"/>
                      <w:u w:val="single"/>
                    </w:rPr>
                  </w:pPr>
                  <w:r>
                    <w:rPr>
                      <w:rFonts w:hint="eastAsia"/>
                      <w:szCs w:val="21"/>
                      <w:u w:val="single"/>
                    </w:rPr>
                    <w:t>63</w:t>
                  </w:r>
                </w:p>
              </w:tc>
              <w:tc>
                <w:tcPr>
                  <w:tcW w:w="517" w:type="dxa"/>
                  <w:vAlign w:val="center"/>
                </w:tcPr>
                <w:p>
                  <w:pPr>
                    <w:ind w:firstLine="420"/>
                    <w:jc w:val="center"/>
                    <w:rPr>
                      <w:szCs w:val="21"/>
                      <w:u w:val="single"/>
                    </w:rPr>
                  </w:pPr>
                  <w:r>
                    <w:rPr>
                      <w:rFonts w:hint="eastAsia"/>
                      <w:szCs w:val="21"/>
                      <w:u w:val="single"/>
                    </w:rPr>
                    <w:t>66</w:t>
                  </w:r>
                </w:p>
              </w:tc>
              <w:tc>
                <w:tcPr>
                  <w:tcW w:w="734" w:type="dxa"/>
                  <w:vAlign w:val="center"/>
                </w:tcPr>
                <w:p>
                  <w:pPr>
                    <w:ind w:firstLine="420"/>
                    <w:jc w:val="center"/>
                    <w:rPr>
                      <w:szCs w:val="21"/>
                      <w:u w:val="single"/>
                    </w:rPr>
                  </w:pPr>
                  <w:r>
                    <w:rPr>
                      <w:rFonts w:hint="eastAsia"/>
                      <w:szCs w:val="21"/>
                      <w:u w:val="single"/>
                    </w:rPr>
                    <w:t>81</w:t>
                  </w:r>
                </w:p>
              </w:tc>
              <w:tc>
                <w:tcPr>
                  <w:tcW w:w="779" w:type="dxa"/>
                  <w:vAlign w:val="center"/>
                </w:tcPr>
                <w:p>
                  <w:pPr>
                    <w:ind w:firstLine="420"/>
                    <w:jc w:val="center"/>
                    <w:rPr>
                      <w:szCs w:val="21"/>
                      <w:u w:val="single"/>
                    </w:rPr>
                  </w:pPr>
                  <w:r>
                    <w:rPr>
                      <w:rFonts w:hint="eastAsia"/>
                      <w:szCs w:val="21"/>
                      <w:u w:val="single"/>
                    </w:rPr>
                    <w:t>127</w:t>
                  </w:r>
                </w:p>
              </w:tc>
              <w:tc>
                <w:tcPr>
                  <w:tcW w:w="428" w:type="dxa"/>
                  <w:vAlign w:val="center"/>
                </w:tcPr>
                <w:p>
                  <w:pPr>
                    <w:ind w:firstLine="420"/>
                    <w:jc w:val="center"/>
                    <w:rPr>
                      <w:szCs w:val="21"/>
                      <w:u w:val="single"/>
                    </w:rPr>
                  </w:pPr>
                  <w:r>
                    <w:rPr>
                      <w:rFonts w:hint="eastAsia"/>
                      <w:szCs w:val="21"/>
                      <w:u w:val="single"/>
                    </w:rPr>
                    <w:t>现有</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05" w:type="dxa"/>
                  <w:vAlign w:val="center"/>
                </w:tcPr>
                <w:p>
                  <w:pPr>
                    <w:ind w:firstLine="436"/>
                    <w:jc w:val="center"/>
                    <w:rPr>
                      <w:spacing w:val="-11"/>
                      <w:u w:val="single"/>
                    </w:rPr>
                  </w:pPr>
                  <w:r>
                    <w:rPr>
                      <w:rFonts w:hint="eastAsia"/>
                      <w:spacing w:val="-11"/>
                      <w:u w:val="single"/>
                    </w:rPr>
                    <w:t>9</w:t>
                  </w:r>
                </w:p>
              </w:tc>
              <w:tc>
                <w:tcPr>
                  <w:tcW w:w="664" w:type="dxa"/>
                  <w:vMerge w:val="continue"/>
                  <w:vAlign w:val="center"/>
                </w:tcPr>
                <w:p>
                  <w:pPr>
                    <w:jc w:val="center"/>
                    <w:rPr>
                      <w:u w:val="single"/>
                    </w:rPr>
                  </w:pPr>
                </w:p>
              </w:tc>
              <w:tc>
                <w:tcPr>
                  <w:tcW w:w="674" w:type="dxa"/>
                  <w:vAlign w:val="center"/>
                </w:tcPr>
                <w:p>
                  <w:pPr>
                    <w:ind w:firstLine="376"/>
                    <w:jc w:val="center"/>
                    <w:rPr>
                      <w:spacing w:val="-11"/>
                      <w:u w:val="single"/>
                    </w:rPr>
                  </w:pPr>
                  <w:r>
                    <w:rPr>
                      <w:rFonts w:hint="eastAsia"/>
                      <w:spacing w:val="-11"/>
                      <w:u w:val="single"/>
                    </w:rPr>
                    <w:t>搅拌机</w:t>
                  </w:r>
                </w:p>
              </w:tc>
              <w:tc>
                <w:tcPr>
                  <w:tcW w:w="704" w:type="dxa"/>
                  <w:vAlign w:val="center"/>
                </w:tcPr>
                <w:p>
                  <w:pPr>
                    <w:ind w:firstLine="420"/>
                    <w:jc w:val="center"/>
                    <w:rPr>
                      <w:szCs w:val="21"/>
                      <w:u w:val="single"/>
                    </w:rPr>
                  </w:pPr>
                  <w:r>
                    <w:rPr>
                      <w:rFonts w:hint="eastAsia"/>
                      <w:szCs w:val="21"/>
                      <w:u w:val="single"/>
                    </w:rPr>
                    <w:t>95</w:t>
                  </w:r>
                </w:p>
              </w:tc>
              <w:tc>
                <w:tcPr>
                  <w:tcW w:w="811" w:type="dxa"/>
                  <w:vAlign w:val="center"/>
                </w:tcPr>
                <w:p>
                  <w:pPr>
                    <w:ind w:firstLine="420"/>
                    <w:jc w:val="center"/>
                    <w:rPr>
                      <w:szCs w:val="21"/>
                      <w:u w:val="single"/>
                    </w:rPr>
                  </w:pPr>
                  <w:r>
                    <w:rPr>
                      <w:szCs w:val="21"/>
                      <w:u w:val="single"/>
                    </w:rPr>
                    <w:t>隔声、减振</w:t>
                  </w:r>
                </w:p>
              </w:tc>
              <w:tc>
                <w:tcPr>
                  <w:tcW w:w="718" w:type="dxa"/>
                  <w:vAlign w:val="center"/>
                </w:tcPr>
                <w:p>
                  <w:pPr>
                    <w:ind w:firstLine="420"/>
                    <w:jc w:val="center"/>
                    <w:rPr>
                      <w:szCs w:val="21"/>
                      <w:u w:val="single"/>
                    </w:rPr>
                  </w:pPr>
                  <w:r>
                    <w:rPr>
                      <w:rFonts w:hint="eastAsia"/>
                      <w:szCs w:val="21"/>
                      <w:u w:val="single"/>
                    </w:rPr>
                    <w:t>75</w:t>
                  </w:r>
                </w:p>
              </w:tc>
              <w:tc>
                <w:tcPr>
                  <w:tcW w:w="505" w:type="dxa"/>
                  <w:vAlign w:val="center"/>
                </w:tcPr>
                <w:p>
                  <w:pPr>
                    <w:ind w:firstLine="420"/>
                    <w:jc w:val="center"/>
                    <w:rPr>
                      <w:szCs w:val="21"/>
                      <w:u w:val="single"/>
                    </w:rPr>
                  </w:pPr>
                  <w:r>
                    <w:rPr>
                      <w:rFonts w:hint="eastAsia"/>
                      <w:szCs w:val="21"/>
                      <w:u w:val="single"/>
                    </w:rPr>
                    <w:t>31</w:t>
                  </w:r>
                </w:p>
              </w:tc>
              <w:tc>
                <w:tcPr>
                  <w:tcW w:w="558" w:type="dxa"/>
                  <w:vAlign w:val="center"/>
                </w:tcPr>
                <w:p>
                  <w:pPr>
                    <w:ind w:firstLine="420"/>
                    <w:jc w:val="center"/>
                    <w:rPr>
                      <w:szCs w:val="21"/>
                      <w:u w:val="single"/>
                    </w:rPr>
                  </w:pPr>
                  <w:r>
                    <w:rPr>
                      <w:rFonts w:hint="eastAsia"/>
                      <w:szCs w:val="21"/>
                      <w:u w:val="single"/>
                    </w:rPr>
                    <w:t>120</w:t>
                  </w:r>
                </w:p>
              </w:tc>
              <w:tc>
                <w:tcPr>
                  <w:tcW w:w="451" w:type="dxa"/>
                  <w:vAlign w:val="center"/>
                </w:tcPr>
                <w:p>
                  <w:pPr>
                    <w:ind w:firstLine="420"/>
                    <w:jc w:val="center"/>
                    <w:rPr>
                      <w:szCs w:val="21"/>
                      <w:u w:val="single"/>
                    </w:rPr>
                  </w:pPr>
                  <w:r>
                    <w:rPr>
                      <w:rFonts w:hint="eastAsia"/>
                      <w:szCs w:val="21"/>
                      <w:u w:val="single"/>
                    </w:rPr>
                    <w:t>77</w:t>
                  </w:r>
                </w:p>
              </w:tc>
              <w:tc>
                <w:tcPr>
                  <w:tcW w:w="517" w:type="dxa"/>
                  <w:vAlign w:val="center"/>
                </w:tcPr>
                <w:p>
                  <w:pPr>
                    <w:ind w:firstLine="420"/>
                    <w:jc w:val="center"/>
                    <w:rPr>
                      <w:szCs w:val="21"/>
                      <w:u w:val="single"/>
                    </w:rPr>
                  </w:pPr>
                  <w:r>
                    <w:rPr>
                      <w:rFonts w:hint="eastAsia"/>
                      <w:szCs w:val="21"/>
                      <w:u w:val="single"/>
                    </w:rPr>
                    <w:t>66</w:t>
                  </w:r>
                </w:p>
              </w:tc>
              <w:tc>
                <w:tcPr>
                  <w:tcW w:w="734" w:type="dxa"/>
                  <w:vAlign w:val="center"/>
                </w:tcPr>
                <w:p>
                  <w:pPr>
                    <w:ind w:firstLine="420"/>
                    <w:jc w:val="center"/>
                    <w:rPr>
                      <w:szCs w:val="21"/>
                      <w:u w:val="single"/>
                    </w:rPr>
                  </w:pPr>
                  <w:r>
                    <w:rPr>
                      <w:rFonts w:hint="eastAsia"/>
                      <w:szCs w:val="21"/>
                      <w:u w:val="single"/>
                    </w:rPr>
                    <w:t>67</w:t>
                  </w:r>
                </w:p>
              </w:tc>
              <w:tc>
                <w:tcPr>
                  <w:tcW w:w="779" w:type="dxa"/>
                  <w:vAlign w:val="center"/>
                </w:tcPr>
                <w:p>
                  <w:pPr>
                    <w:ind w:firstLine="420"/>
                    <w:jc w:val="center"/>
                    <w:rPr>
                      <w:szCs w:val="21"/>
                      <w:u w:val="single"/>
                    </w:rPr>
                  </w:pPr>
                  <w:r>
                    <w:rPr>
                      <w:rFonts w:hint="eastAsia"/>
                      <w:szCs w:val="21"/>
                      <w:u w:val="single"/>
                    </w:rPr>
                    <w:t>127</w:t>
                  </w:r>
                </w:p>
              </w:tc>
              <w:tc>
                <w:tcPr>
                  <w:tcW w:w="428" w:type="dxa"/>
                  <w:vAlign w:val="center"/>
                </w:tcPr>
                <w:p>
                  <w:pPr>
                    <w:ind w:firstLine="420"/>
                    <w:jc w:val="center"/>
                    <w:rPr>
                      <w:szCs w:val="21"/>
                      <w:u w:val="single"/>
                    </w:rPr>
                  </w:pPr>
                  <w:r>
                    <w:rPr>
                      <w:rFonts w:hint="eastAsia"/>
                      <w:szCs w:val="21"/>
                      <w:u w:val="single"/>
                    </w:rPr>
                    <w:t>现有</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05" w:type="dxa"/>
                  <w:vAlign w:val="center"/>
                </w:tcPr>
                <w:p>
                  <w:pPr>
                    <w:ind w:firstLine="436"/>
                    <w:jc w:val="center"/>
                    <w:rPr>
                      <w:spacing w:val="-11"/>
                      <w:u w:val="single"/>
                    </w:rPr>
                  </w:pPr>
                  <w:r>
                    <w:rPr>
                      <w:rFonts w:hint="eastAsia"/>
                      <w:spacing w:val="-11"/>
                      <w:u w:val="single"/>
                    </w:rPr>
                    <w:t>10</w:t>
                  </w:r>
                </w:p>
              </w:tc>
              <w:tc>
                <w:tcPr>
                  <w:tcW w:w="664" w:type="dxa"/>
                  <w:vMerge w:val="continue"/>
                  <w:vAlign w:val="center"/>
                </w:tcPr>
                <w:p>
                  <w:pPr>
                    <w:jc w:val="center"/>
                    <w:rPr>
                      <w:u w:val="single"/>
                    </w:rPr>
                  </w:pPr>
                </w:p>
              </w:tc>
              <w:tc>
                <w:tcPr>
                  <w:tcW w:w="674" w:type="dxa"/>
                  <w:vAlign w:val="center"/>
                </w:tcPr>
                <w:p>
                  <w:pPr>
                    <w:ind w:firstLine="376"/>
                    <w:jc w:val="center"/>
                    <w:rPr>
                      <w:spacing w:val="-11"/>
                      <w:u w:val="single"/>
                    </w:rPr>
                  </w:pPr>
                  <w:r>
                    <w:rPr>
                      <w:rFonts w:hint="eastAsia"/>
                      <w:spacing w:val="-11"/>
                      <w:u w:val="single"/>
                    </w:rPr>
                    <w:t>滚焊机</w:t>
                  </w:r>
                </w:p>
              </w:tc>
              <w:tc>
                <w:tcPr>
                  <w:tcW w:w="704" w:type="dxa"/>
                  <w:vAlign w:val="center"/>
                </w:tcPr>
                <w:p>
                  <w:pPr>
                    <w:ind w:firstLine="420"/>
                    <w:jc w:val="center"/>
                    <w:rPr>
                      <w:szCs w:val="21"/>
                      <w:u w:val="single"/>
                    </w:rPr>
                  </w:pPr>
                  <w:r>
                    <w:rPr>
                      <w:rFonts w:hint="eastAsia"/>
                      <w:szCs w:val="21"/>
                      <w:u w:val="single"/>
                    </w:rPr>
                    <w:t>70</w:t>
                  </w:r>
                </w:p>
              </w:tc>
              <w:tc>
                <w:tcPr>
                  <w:tcW w:w="811" w:type="dxa"/>
                  <w:vAlign w:val="center"/>
                </w:tcPr>
                <w:p>
                  <w:pPr>
                    <w:ind w:firstLine="420"/>
                    <w:jc w:val="center"/>
                    <w:rPr>
                      <w:szCs w:val="21"/>
                      <w:u w:val="single"/>
                    </w:rPr>
                  </w:pPr>
                  <w:r>
                    <w:rPr>
                      <w:szCs w:val="21"/>
                      <w:u w:val="single"/>
                    </w:rPr>
                    <w:t>隔声、减振</w:t>
                  </w:r>
                </w:p>
              </w:tc>
              <w:tc>
                <w:tcPr>
                  <w:tcW w:w="718" w:type="dxa"/>
                  <w:vAlign w:val="center"/>
                </w:tcPr>
                <w:p>
                  <w:pPr>
                    <w:ind w:firstLine="420"/>
                    <w:jc w:val="center"/>
                    <w:rPr>
                      <w:szCs w:val="21"/>
                      <w:u w:val="single"/>
                    </w:rPr>
                  </w:pPr>
                  <w:r>
                    <w:rPr>
                      <w:rFonts w:hint="eastAsia"/>
                      <w:szCs w:val="21"/>
                      <w:u w:val="single"/>
                    </w:rPr>
                    <w:t>50</w:t>
                  </w:r>
                </w:p>
              </w:tc>
              <w:tc>
                <w:tcPr>
                  <w:tcW w:w="505" w:type="dxa"/>
                  <w:vAlign w:val="center"/>
                </w:tcPr>
                <w:p>
                  <w:pPr>
                    <w:ind w:firstLine="420"/>
                    <w:jc w:val="center"/>
                    <w:rPr>
                      <w:szCs w:val="21"/>
                      <w:u w:val="single"/>
                    </w:rPr>
                  </w:pPr>
                  <w:r>
                    <w:rPr>
                      <w:rFonts w:hint="eastAsia"/>
                      <w:szCs w:val="21"/>
                      <w:u w:val="single"/>
                    </w:rPr>
                    <w:t>44</w:t>
                  </w:r>
                </w:p>
              </w:tc>
              <w:tc>
                <w:tcPr>
                  <w:tcW w:w="558" w:type="dxa"/>
                  <w:vAlign w:val="center"/>
                </w:tcPr>
                <w:p>
                  <w:pPr>
                    <w:ind w:firstLine="420"/>
                    <w:jc w:val="center"/>
                    <w:rPr>
                      <w:szCs w:val="21"/>
                      <w:u w:val="single"/>
                    </w:rPr>
                  </w:pPr>
                  <w:r>
                    <w:rPr>
                      <w:rFonts w:hint="eastAsia"/>
                      <w:szCs w:val="21"/>
                      <w:u w:val="single"/>
                    </w:rPr>
                    <w:t>153</w:t>
                  </w:r>
                </w:p>
              </w:tc>
              <w:tc>
                <w:tcPr>
                  <w:tcW w:w="451" w:type="dxa"/>
                  <w:vAlign w:val="center"/>
                </w:tcPr>
                <w:p>
                  <w:pPr>
                    <w:ind w:firstLine="420"/>
                    <w:jc w:val="center"/>
                    <w:rPr>
                      <w:szCs w:val="21"/>
                      <w:u w:val="single"/>
                    </w:rPr>
                  </w:pPr>
                  <w:r>
                    <w:rPr>
                      <w:rFonts w:hint="eastAsia"/>
                      <w:szCs w:val="21"/>
                      <w:u w:val="single"/>
                    </w:rPr>
                    <w:t>64</w:t>
                  </w:r>
                </w:p>
              </w:tc>
              <w:tc>
                <w:tcPr>
                  <w:tcW w:w="517" w:type="dxa"/>
                  <w:vAlign w:val="center"/>
                </w:tcPr>
                <w:p>
                  <w:pPr>
                    <w:ind w:firstLine="420"/>
                    <w:jc w:val="center"/>
                    <w:rPr>
                      <w:szCs w:val="21"/>
                      <w:u w:val="single"/>
                    </w:rPr>
                  </w:pPr>
                  <w:r>
                    <w:rPr>
                      <w:rFonts w:hint="eastAsia"/>
                      <w:szCs w:val="21"/>
                      <w:u w:val="single"/>
                    </w:rPr>
                    <w:t>33</w:t>
                  </w:r>
                </w:p>
              </w:tc>
              <w:tc>
                <w:tcPr>
                  <w:tcW w:w="734" w:type="dxa"/>
                  <w:vAlign w:val="center"/>
                </w:tcPr>
                <w:p>
                  <w:pPr>
                    <w:ind w:firstLine="420"/>
                    <w:jc w:val="center"/>
                    <w:rPr>
                      <w:szCs w:val="21"/>
                      <w:u w:val="single"/>
                    </w:rPr>
                  </w:pPr>
                  <w:r>
                    <w:rPr>
                      <w:rFonts w:hint="eastAsia"/>
                      <w:szCs w:val="21"/>
                      <w:u w:val="single"/>
                    </w:rPr>
                    <w:t>80</w:t>
                  </w:r>
                </w:p>
              </w:tc>
              <w:tc>
                <w:tcPr>
                  <w:tcW w:w="779" w:type="dxa"/>
                  <w:vAlign w:val="center"/>
                </w:tcPr>
                <w:p>
                  <w:pPr>
                    <w:ind w:firstLine="420"/>
                    <w:jc w:val="center"/>
                    <w:rPr>
                      <w:szCs w:val="21"/>
                      <w:u w:val="single"/>
                    </w:rPr>
                  </w:pPr>
                  <w:r>
                    <w:rPr>
                      <w:rFonts w:hint="eastAsia"/>
                      <w:szCs w:val="21"/>
                      <w:u w:val="single"/>
                    </w:rPr>
                    <w:t>160</w:t>
                  </w:r>
                </w:p>
              </w:tc>
              <w:tc>
                <w:tcPr>
                  <w:tcW w:w="428" w:type="dxa"/>
                  <w:vAlign w:val="center"/>
                </w:tcPr>
                <w:p>
                  <w:pPr>
                    <w:ind w:firstLine="420"/>
                    <w:jc w:val="center"/>
                    <w:rPr>
                      <w:szCs w:val="21"/>
                      <w:u w:val="single"/>
                    </w:rPr>
                  </w:pPr>
                  <w:r>
                    <w:rPr>
                      <w:rFonts w:hint="eastAsia"/>
                      <w:szCs w:val="21"/>
                      <w:u w:val="single"/>
                    </w:rPr>
                    <w:t>现有</w:t>
                  </w:r>
                </w:p>
              </w:tc>
            </w:tr>
          </w:tbl>
          <w:p>
            <w:pPr>
              <w:pStyle w:val="24"/>
              <w:spacing w:beforeLines="50" w:line="360" w:lineRule="auto"/>
              <w:ind w:firstLine="482"/>
              <w:rPr>
                <w:rFonts w:ascii="Times New Roman" w:hAnsi="Times New Roman" w:cs="Times New Roman"/>
                <w:b/>
                <w:color w:val="auto"/>
                <w:sz w:val="24"/>
                <w:szCs w:val="24"/>
              </w:rPr>
            </w:pPr>
            <w:r>
              <w:rPr>
                <w:rFonts w:hint="eastAsia" w:ascii="Times New Roman" w:hAnsi="Times New Roman" w:cs="Times New Roman"/>
                <w:b/>
                <w:color w:val="auto"/>
                <w:sz w:val="24"/>
                <w:szCs w:val="24"/>
              </w:rPr>
              <w:t>（2）达标情况分析</w:t>
            </w:r>
          </w:p>
          <w:p>
            <w:pPr>
              <w:spacing w:line="360" w:lineRule="auto"/>
              <w:ind w:firstLine="480" w:firstLineChars="200"/>
              <w:rPr>
                <w:bCs/>
                <w:sz w:val="24"/>
              </w:rPr>
            </w:pPr>
            <w:r>
              <w:rPr>
                <w:rFonts w:hint="eastAsia"/>
                <w:bCs/>
                <w:sz w:val="24"/>
              </w:rPr>
              <w:t>本次采用《环境影响评价技术导则 声环境》（HJ2.4-2021）附录B中“B.1 工业噪声预测计算模型”进行噪声预测。</w:t>
            </w:r>
          </w:p>
          <w:p>
            <w:pPr>
              <w:spacing w:line="360" w:lineRule="auto"/>
              <w:ind w:firstLine="480" w:firstLineChars="200"/>
              <w:rPr>
                <w:bCs/>
                <w:sz w:val="24"/>
              </w:rPr>
            </w:pPr>
            <w:r>
              <w:rPr>
                <w:rFonts w:hint="eastAsia"/>
                <w:bCs/>
                <w:sz w:val="24"/>
              </w:rPr>
              <w:t>①</w:t>
            </w:r>
            <w:r>
              <w:rPr>
                <w:bCs/>
                <w:sz w:val="24"/>
              </w:rPr>
              <w:t>预测模式</w:t>
            </w:r>
          </w:p>
          <w:p>
            <w:pPr>
              <w:spacing w:line="360" w:lineRule="auto"/>
              <w:ind w:firstLine="480" w:firstLineChars="200"/>
              <w:rPr>
                <w:sz w:val="24"/>
              </w:rPr>
            </w:pPr>
            <w:r>
              <w:rPr>
                <w:rFonts w:hint="eastAsia"/>
                <w:sz w:val="24"/>
              </w:rPr>
              <w:t>A.</w:t>
            </w:r>
            <w:r>
              <w:rPr>
                <w:sz w:val="24"/>
              </w:rPr>
              <w:t>室内源等效室外源计算公式</w:t>
            </w:r>
          </w:p>
          <w:p>
            <w:pPr>
              <w:spacing w:line="360" w:lineRule="auto"/>
              <w:jc w:val="center"/>
              <w:rPr>
                <w:sz w:val="24"/>
              </w:rPr>
            </w:pPr>
            <w:r>
              <w:rPr>
                <w:rFonts w:ascii="Times New Roman" w:hAnsi="Times New Roman" w:eastAsia="宋体" w:cs="Times New Roman"/>
                <w:kern w:val="2"/>
                <w:position w:val="-14"/>
                <w:sz w:val="24"/>
                <w:szCs w:val="24"/>
                <w:lang w:val="en-US" w:eastAsia="zh-CN" w:bidi="ar-SA"/>
              </w:rPr>
              <w:pict>
                <v:shape id="_x0000_i1147" o:spt="75" type="#_x0000_t75" style="height:19.25pt;width:97.95pt;" fillcolor="#FFFFFF" filled="f" o:preferrelative="t" stroked="f" coordsize="21600,21600">
                  <v:path/>
                  <v:fill on="f" color2="#FFFFFF" focussize="0,0"/>
                  <v:stroke on="f"/>
                  <v:imagedata r:id="rId21" gain="65536f" blacklevel="0f" gamma="0" o:title=""/>
                  <o:lock v:ext="edit" position="f" selection="f" grouping="f" rotation="f" cropping="f" text="f" aspectratio="t"/>
                  <w10:wrap type="none"/>
                  <w10:anchorlock/>
                </v:shape>
              </w:pict>
            </w:r>
          </w:p>
          <w:p>
            <w:pPr>
              <w:spacing w:line="356" w:lineRule="auto"/>
              <w:ind w:firstLine="480" w:firstLineChars="200"/>
              <w:rPr>
                <w:sz w:val="24"/>
              </w:rPr>
            </w:pPr>
            <w:r>
              <w:rPr>
                <w:sz w:val="24"/>
              </w:rPr>
              <w:t>式中：L</w:t>
            </w:r>
            <w:r>
              <w:rPr>
                <w:sz w:val="24"/>
                <w:vertAlign w:val="subscript"/>
              </w:rPr>
              <w:t>p1</w:t>
            </w:r>
            <w:r>
              <w:rPr>
                <w:sz w:val="24"/>
              </w:rPr>
              <w:t>—靠近开口处（或窗户）室内某倍频带的声压级或A声级，dB；</w:t>
            </w:r>
          </w:p>
          <w:p>
            <w:pPr>
              <w:spacing w:line="356" w:lineRule="auto"/>
              <w:ind w:firstLine="1200" w:firstLineChars="500"/>
              <w:rPr>
                <w:sz w:val="24"/>
              </w:rPr>
            </w:pPr>
            <w:r>
              <w:rPr>
                <w:sz w:val="24"/>
              </w:rPr>
              <w:t>L</w:t>
            </w:r>
            <w:r>
              <w:rPr>
                <w:sz w:val="24"/>
                <w:vertAlign w:val="subscript"/>
              </w:rPr>
              <w:t>p2</w:t>
            </w:r>
            <w:r>
              <w:rPr>
                <w:sz w:val="24"/>
              </w:rPr>
              <w:t>—靠近开口处（或窗户）室外某倍频带的声压级或A声级，dB；</w:t>
            </w:r>
          </w:p>
          <w:p>
            <w:pPr>
              <w:spacing w:line="356" w:lineRule="auto"/>
              <w:ind w:firstLine="1200" w:firstLineChars="500"/>
              <w:rPr>
                <w:sz w:val="24"/>
              </w:rPr>
            </w:pPr>
            <w:r>
              <w:rPr>
                <w:sz w:val="24"/>
              </w:rPr>
              <w:t>TL—隔墙（或窗户）倍频带或A声级的隔声量，dB。</w:t>
            </w:r>
          </w:p>
          <w:p>
            <w:pPr>
              <w:spacing w:line="356" w:lineRule="auto"/>
              <w:ind w:firstLine="480" w:firstLineChars="200"/>
              <w:rPr>
                <w:sz w:val="24"/>
              </w:rPr>
            </w:pPr>
            <w:r>
              <w:rPr>
                <w:rFonts w:hint="eastAsia"/>
                <w:sz w:val="24"/>
              </w:rPr>
              <w:t>B.</w:t>
            </w:r>
            <w:r>
              <w:rPr>
                <w:sz w:val="24"/>
              </w:rPr>
              <w:t>室外声源计算公式</w:t>
            </w:r>
          </w:p>
          <w:p>
            <w:pPr>
              <w:spacing w:line="356" w:lineRule="auto"/>
              <w:jc w:val="center"/>
              <w:rPr>
                <w:sz w:val="24"/>
              </w:rPr>
            </w:pPr>
            <w:r>
              <w:rPr>
                <w:rFonts w:ascii="Times New Roman" w:hAnsi="Times New Roman" w:eastAsia="宋体" w:cs="Times New Roman"/>
                <w:kern w:val="2"/>
                <w:position w:val="-14"/>
                <w:sz w:val="24"/>
                <w:szCs w:val="24"/>
                <w:lang w:val="en-US" w:eastAsia="zh-CN" w:bidi="ar-SA"/>
              </w:rPr>
              <w:pict>
                <v:shape id="_x0000_i1148" o:spt="75" type="#_x0000_t75" style="height:19.25pt;width:134.8pt;" fillcolor="#FFFFFF" filled="f" o:preferrelative="t" stroked="f" coordsize="21600,21600">
                  <v:path/>
                  <v:fill on="f" color2="#FFFFFF" focussize="0,0"/>
                  <v:stroke on="f"/>
                  <v:imagedata r:id="rId22" gain="65536f" blacklevel="0f" gamma="0" o:title=""/>
                  <o:lock v:ext="edit" position="f" selection="f" grouping="f" rotation="f" cropping="f" text="f" aspectratio="t"/>
                  <w10:wrap type="none"/>
                  <w10:anchorlock/>
                </v:shape>
              </w:pict>
            </w:r>
          </w:p>
          <w:p>
            <w:pPr>
              <w:spacing w:line="356" w:lineRule="auto"/>
              <w:ind w:firstLine="480" w:firstLineChars="200"/>
              <w:rPr>
                <w:sz w:val="24"/>
              </w:rPr>
            </w:pPr>
            <w:r>
              <w:rPr>
                <w:sz w:val="24"/>
              </w:rPr>
              <w:t>式中：L</w:t>
            </w:r>
            <w:r>
              <w:rPr>
                <w:sz w:val="24"/>
                <w:vertAlign w:val="subscript"/>
              </w:rPr>
              <w:t>p</w:t>
            </w:r>
            <w:r>
              <w:rPr>
                <w:sz w:val="24"/>
              </w:rPr>
              <w:t>(r)—预测点处声压级，dB；</w:t>
            </w:r>
          </w:p>
          <w:p>
            <w:pPr>
              <w:spacing w:line="356" w:lineRule="auto"/>
              <w:ind w:firstLine="1200" w:firstLineChars="500"/>
              <w:rPr>
                <w:sz w:val="24"/>
              </w:rPr>
            </w:pPr>
            <w:r>
              <w:rPr>
                <w:sz w:val="24"/>
              </w:rPr>
              <w:t>L</w:t>
            </w:r>
            <w:r>
              <w:rPr>
                <w:sz w:val="24"/>
                <w:vertAlign w:val="subscript"/>
              </w:rPr>
              <w:t>p</w:t>
            </w:r>
            <w:r>
              <w:rPr>
                <w:sz w:val="24"/>
              </w:rPr>
              <w:t>(r</w:t>
            </w:r>
            <w:r>
              <w:rPr>
                <w:sz w:val="24"/>
                <w:vertAlign w:val="subscript"/>
              </w:rPr>
              <w:t>0</w:t>
            </w:r>
            <w:r>
              <w:rPr>
                <w:sz w:val="24"/>
              </w:rPr>
              <w:t>)—参考位置r</w:t>
            </w:r>
            <w:r>
              <w:rPr>
                <w:sz w:val="24"/>
                <w:vertAlign w:val="subscript"/>
              </w:rPr>
              <w:t>0</w:t>
            </w:r>
            <w:r>
              <w:rPr>
                <w:sz w:val="24"/>
              </w:rPr>
              <w:t>处的声压级，dB；</w:t>
            </w:r>
          </w:p>
          <w:p>
            <w:pPr>
              <w:spacing w:line="356" w:lineRule="auto"/>
              <w:ind w:firstLine="1200" w:firstLineChars="500"/>
              <w:rPr>
                <w:sz w:val="24"/>
              </w:rPr>
            </w:pPr>
            <w:r>
              <w:rPr>
                <w:sz w:val="24"/>
              </w:rPr>
              <w:t>r—预测点距声源的距离；</w:t>
            </w:r>
          </w:p>
          <w:p>
            <w:pPr>
              <w:spacing w:line="356" w:lineRule="auto"/>
              <w:ind w:firstLine="1200" w:firstLineChars="500"/>
              <w:rPr>
                <w:sz w:val="24"/>
              </w:rPr>
            </w:pPr>
            <w:r>
              <w:rPr>
                <w:sz w:val="24"/>
              </w:rPr>
              <w:t>r</w:t>
            </w:r>
            <w:r>
              <w:rPr>
                <w:sz w:val="24"/>
                <w:vertAlign w:val="subscript"/>
              </w:rPr>
              <w:t>0</w:t>
            </w:r>
            <w:r>
              <w:rPr>
                <w:sz w:val="24"/>
              </w:rPr>
              <w:t>—参考位置距声源的距离。</w:t>
            </w:r>
          </w:p>
          <w:p>
            <w:pPr>
              <w:spacing w:line="356" w:lineRule="auto"/>
              <w:ind w:firstLine="480" w:firstLineChars="200"/>
              <w:rPr>
                <w:sz w:val="24"/>
              </w:rPr>
            </w:pPr>
            <w:r>
              <w:rPr>
                <w:rFonts w:hint="eastAsia"/>
                <w:sz w:val="24"/>
              </w:rPr>
              <w:t>C.</w:t>
            </w:r>
            <w:r>
              <w:rPr>
                <w:sz w:val="24"/>
              </w:rPr>
              <w:t>由建设项目自身声源在预测点产生的声级</w:t>
            </w:r>
          </w:p>
          <w:p>
            <w:pPr>
              <w:spacing w:line="356" w:lineRule="auto"/>
              <w:jc w:val="center"/>
              <w:rPr>
                <w:sz w:val="24"/>
              </w:rPr>
            </w:pPr>
            <w:r>
              <w:rPr>
                <w:rFonts w:ascii="Times New Roman" w:hAnsi="Times New Roman" w:eastAsia="宋体" w:cs="Times New Roman"/>
                <w:kern w:val="2"/>
                <w:position w:val="-30"/>
                <w:sz w:val="24"/>
                <w:szCs w:val="24"/>
                <w:lang w:val="en-US" w:eastAsia="zh-CN" w:bidi="ar-SA"/>
              </w:rPr>
              <w:pict>
                <v:shape id="_x0000_i1149" o:spt="75" type="#_x0000_t75" style="height:36pt;width:133.1pt;" fillcolor="#FFFFFF" filled="f" o:preferrelative="t" stroked="f" coordsize="21600,21600">
                  <v:path/>
                  <v:fill on="f" color2="#FFFFFF" focussize="0,0"/>
                  <v:stroke on="f"/>
                  <v:imagedata r:id="rId23" gain="65536f" blacklevel="0f" gamma="0" o:title=""/>
                  <o:lock v:ext="edit" position="f" selection="f" grouping="f" rotation="f" cropping="f" text="f" aspectratio="t"/>
                  <w10:wrap type="none"/>
                  <w10:anchorlock/>
                </v:shape>
              </w:pict>
            </w:r>
          </w:p>
          <w:p>
            <w:pPr>
              <w:spacing w:line="356" w:lineRule="auto"/>
              <w:ind w:firstLine="480" w:firstLineChars="200"/>
              <w:rPr>
                <w:sz w:val="24"/>
              </w:rPr>
            </w:pPr>
            <w:r>
              <w:rPr>
                <w:sz w:val="24"/>
              </w:rPr>
              <w:t>式中：L</w:t>
            </w:r>
            <w:r>
              <w:rPr>
                <w:sz w:val="24"/>
                <w:vertAlign w:val="subscript"/>
              </w:rPr>
              <w:t>eqg</w:t>
            </w:r>
            <w:r>
              <w:rPr>
                <w:sz w:val="24"/>
              </w:rPr>
              <w:t>—噪声贡献值，dB；</w:t>
            </w:r>
          </w:p>
          <w:p>
            <w:pPr>
              <w:spacing w:line="356" w:lineRule="auto"/>
              <w:ind w:firstLine="1200" w:firstLineChars="500"/>
              <w:rPr>
                <w:sz w:val="24"/>
              </w:rPr>
            </w:pPr>
            <w:r>
              <w:rPr>
                <w:sz w:val="24"/>
              </w:rPr>
              <w:t>T—预测计算的时间段，s；</w:t>
            </w:r>
          </w:p>
          <w:p>
            <w:pPr>
              <w:spacing w:line="356" w:lineRule="auto"/>
              <w:ind w:firstLine="1200" w:firstLineChars="500"/>
              <w:rPr>
                <w:sz w:val="24"/>
              </w:rPr>
            </w:pPr>
            <w:r>
              <w:rPr>
                <w:sz w:val="24"/>
              </w:rPr>
              <w:t>t</w:t>
            </w:r>
            <w:r>
              <w:rPr>
                <w:sz w:val="24"/>
                <w:vertAlign w:val="subscript"/>
              </w:rPr>
              <w:t>i</w:t>
            </w:r>
            <w:r>
              <w:rPr>
                <w:sz w:val="24"/>
              </w:rPr>
              <w:t>—i声源在T时段内的运行时间，s；</w:t>
            </w:r>
          </w:p>
          <w:p>
            <w:pPr>
              <w:spacing w:line="356" w:lineRule="auto"/>
              <w:ind w:firstLine="1200" w:firstLineChars="500"/>
              <w:rPr>
                <w:sz w:val="24"/>
              </w:rPr>
            </w:pPr>
            <w:r>
              <w:rPr>
                <w:sz w:val="24"/>
              </w:rPr>
              <w:t>L</w:t>
            </w:r>
            <w:r>
              <w:rPr>
                <w:sz w:val="24"/>
                <w:vertAlign w:val="subscript"/>
              </w:rPr>
              <w:t>Ai</w:t>
            </w:r>
            <w:r>
              <w:rPr>
                <w:sz w:val="24"/>
              </w:rPr>
              <w:t>—i声源在预测点产生的等效连续A声级，dB。</w:t>
            </w:r>
          </w:p>
          <w:p>
            <w:pPr>
              <w:spacing w:line="356" w:lineRule="auto"/>
              <w:ind w:firstLine="480" w:firstLineChars="200"/>
              <w:rPr>
                <w:sz w:val="24"/>
              </w:rPr>
            </w:pPr>
            <w:r>
              <w:rPr>
                <w:rFonts w:hint="eastAsia"/>
                <w:sz w:val="24"/>
              </w:rPr>
              <w:t>D.</w:t>
            </w:r>
            <w:r>
              <w:rPr>
                <w:sz w:val="24"/>
              </w:rPr>
              <w:t>多声源在某一点的影响叠加公式</w:t>
            </w:r>
          </w:p>
          <w:p>
            <w:pPr>
              <w:spacing w:line="356" w:lineRule="auto"/>
              <w:jc w:val="center"/>
              <w:rPr>
                <w:sz w:val="24"/>
              </w:rPr>
            </w:pPr>
            <w:r>
              <w:rPr>
                <w:rFonts w:ascii="Times New Roman" w:hAnsi="Times New Roman" w:eastAsia="宋体" w:cs="Times New Roman"/>
                <w:kern w:val="2"/>
                <w:position w:val="-30"/>
                <w:sz w:val="24"/>
                <w:szCs w:val="24"/>
                <w:lang w:val="en-US" w:eastAsia="zh-CN" w:bidi="ar-SA"/>
              </w:rPr>
              <w:pict>
                <v:shape id="_x0000_i1150" o:spt="75" type="#_x0000_t75" style="height:36pt;width:111.35pt;" fillcolor="#FFFFFF" filled="f" o:preferrelative="t" stroked="f" coordsize="21600,21600">
                  <v:path/>
                  <v:fill on="f" color2="#FFFFFF" focussize="0,0"/>
                  <v:stroke on="f"/>
                  <v:imagedata r:id="rId24" gain="65536f" blacklevel="0f" gamma="0" o:title=""/>
                  <o:lock v:ext="edit" position="f" selection="f" grouping="f" rotation="f" cropping="f" text="f" aspectratio="t"/>
                  <w10:wrap type="none"/>
                  <w10:anchorlock/>
                </v:shape>
              </w:pict>
            </w:r>
          </w:p>
          <w:p>
            <w:pPr>
              <w:spacing w:line="356" w:lineRule="auto"/>
              <w:ind w:firstLine="480" w:firstLineChars="200"/>
              <w:rPr>
                <w:sz w:val="24"/>
              </w:rPr>
            </w:pPr>
            <w:r>
              <w:rPr>
                <w:sz w:val="24"/>
              </w:rPr>
              <w:t>式中：</w:t>
            </w:r>
            <w:r>
              <w:rPr>
                <w:rFonts w:hint="eastAsia"/>
                <w:sz w:val="24"/>
              </w:rPr>
              <w:t>L</w:t>
            </w:r>
            <w:r>
              <w:rPr>
                <w:rFonts w:hint="eastAsia"/>
                <w:sz w:val="24"/>
                <w:vertAlign w:val="subscript"/>
              </w:rPr>
              <w:t>P</w:t>
            </w:r>
            <w:r>
              <w:rPr>
                <w:rFonts w:hint="eastAsia"/>
                <w:sz w:val="24"/>
              </w:rPr>
              <w:t>－多个声源在某点的声压级叠加后的总声压级，dB(A)；</w:t>
            </w:r>
          </w:p>
          <w:p>
            <w:pPr>
              <w:spacing w:line="356" w:lineRule="auto"/>
              <w:ind w:firstLine="1200" w:firstLineChars="500"/>
              <w:rPr>
                <w:sz w:val="24"/>
              </w:rPr>
            </w:pPr>
            <w:r>
              <w:rPr>
                <w:rFonts w:hint="eastAsia"/>
                <w:sz w:val="24"/>
              </w:rPr>
              <w:t>L</w:t>
            </w:r>
            <w:r>
              <w:rPr>
                <w:rFonts w:hint="eastAsia"/>
                <w:sz w:val="24"/>
                <w:vertAlign w:val="subscript"/>
              </w:rPr>
              <w:t>Pi</w:t>
            </w:r>
            <w:r>
              <w:rPr>
                <w:rFonts w:hint="eastAsia"/>
                <w:sz w:val="24"/>
              </w:rPr>
              <w:t>－第i个声源在某点的声压级，dB(A)；</w:t>
            </w:r>
          </w:p>
          <w:p>
            <w:pPr>
              <w:spacing w:line="356" w:lineRule="auto"/>
              <w:ind w:firstLine="1200" w:firstLineChars="500"/>
              <w:rPr>
                <w:sz w:val="24"/>
              </w:rPr>
            </w:pPr>
            <w:r>
              <w:rPr>
                <w:rFonts w:hint="eastAsia"/>
                <w:sz w:val="24"/>
              </w:rPr>
              <w:t>n－噪声源个数。</w:t>
            </w:r>
          </w:p>
          <w:p>
            <w:pPr>
              <w:spacing w:line="360" w:lineRule="auto"/>
              <w:ind w:firstLine="480" w:firstLineChars="200"/>
              <w:rPr>
                <w:sz w:val="24"/>
              </w:rPr>
            </w:pPr>
            <w:r>
              <w:rPr>
                <w:rFonts w:hint="eastAsia"/>
                <w:sz w:val="24"/>
              </w:rPr>
              <w:t>②</w:t>
            </w:r>
            <w:r>
              <w:rPr>
                <w:sz w:val="24"/>
              </w:rPr>
              <w:t>预测范围</w:t>
            </w:r>
          </w:p>
          <w:p>
            <w:pPr>
              <w:spacing w:line="360" w:lineRule="auto"/>
              <w:ind w:firstLine="480" w:firstLineChars="200"/>
              <w:rPr>
                <w:sz w:val="24"/>
              </w:rPr>
            </w:pPr>
            <w:r>
              <w:rPr>
                <w:sz w:val="24"/>
              </w:rPr>
              <w:t>噪声评价主要预测</w:t>
            </w:r>
            <w:r>
              <w:rPr>
                <w:rFonts w:hint="eastAsia"/>
                <w:sz w:val="24"/>
              </w:rPr>
              <w:t>厂区</w:t>
            </w:r>
            <w:r>
              <w:rPr>
                <w:sz w:val="24"/>
              </w:rPr>
              <w:t>内的噪声对厂界的影响，并对该影响做出评价。</w:t>
            </w:r>
          </w:p>
          <w:p>
            <w:pPr>
              <w:spacing w:line="360" w:lineRule="auto"/>
              <w:ind w:firstLine="480" w:firstLineChars="200"/>
              <w:rPr>
                <w:sz w:val="24"/>
              </w:rPr>
            </w:pPr>
            <w:r>
              <w:rPr>
                <w:rFonts w:hint="eastAsia"/>
                <w:sz w:val="24"/>
              </w:rPr>
              <w:t>③</w:t>
            </w:r>
            <w:r>
              <w:rPr>
                <w:sz w:val="24"/>
              </w:rPr>
              <w:t>预测参数</w:t>
            </w:r>
          </w:p>
          <w:p>
            <w:pPr>
              <w:spacing w:line="360" w:lineRule="auto"/>
              <w:ind w:firstLine="480" w:firstLineChars="200"/>
              <w:rPr>
                <w:sz w:val="24"/>
              </w:rPr>
            </w:pPr>
            <w:r>
              <w:rPr>
                <w:rFonts w:hint="eastAsia"/>
                <w:bCs/>
                <w:sz w:val="24"/>
              </w:rPr>
              <w:t>本项目为生物质锅炉改造项目，</w:t>
            </w:r>
            <w:r>
              <w:rPr>
                <w:rFonts w:hint="eastAsia"/>
                <w:sz w:val="24"/>
              </w:rPr>
              <w:t>改建后全厂主要噪声源来自</w:t>
            </w:r>
            <w:r>
              <w:rPr>
                <w:rFonts w:hint="eastAsia"/>
                <w:bCs/>
                <w:sz w:val="24"/>
              </w:rPr>
              <w:t>锅炉房的设备、现有搅拌机、悬辊机、滚焊机等生产设备运行产生的噪声</w:t>
            </w:r>
            <w:r>
              <w:rPr>
                <w:rFonts w:hint="eastAsia"/>
                <w:sz w:val="24"/>
              </w:rPr>
              <w:t>，</w:t>
            </w:r>
            <w:r>
              <w:rPr>
                <w:sz w:val="24"/>
              </w:rPr>
              <w:t>预测计算中只考虑主要噪声源及声源至受声点的距离衰减等主要衰减因子。</w:t>
            </w:r>
          </w:p>
          <w:p>
            <w:pPr>
              <w:spacing w:line="360" w:lineRule="auto"/>
              <w:ind w:firstLine="480" w:firstLineChars="200"/>
              <w:rPr>
                <w:sz w:val="24"/>
              </w:rPr>
            </w:pPr>
            <w:r>
              <w:rPr>
                <w:rFonts w:hint="eastAsia"/>
                <w:sz w:val="24"/>
              </w:rPr>
              <w:t>④</w:t>
            </w:r>
            <w:r>
              <w:rPr>
                <w:sz w:val="24"/>
              </w:rPr>
              <w:t>声环境影响评价结论</w:t>
            </w:r>
          </w:p>
          <w:p>
            <w:pPr>
              <w:spacing w:line="360" w:lineRule="auto"/>
              <w:ind w:firstLine="480" w:firstLineChars="200"/>
              <w:rPr>
                <w:sz w:val="24"/>
                <w:u w:val="single"/>
              </w:rPr>
            </w:pPr>
            <w:r>
              <w:rPr>
                <w:rFonts w:hint="eastAsia"/>
                <w:bCs/>
                <w:sz w:val="24"/>
              </w:rPr>
              <w:t>本项目为生物质锅炉改造项目，</w:t>
            </w:r>
            <w:r>
              <w:rPr>
                <w:sz w:val="24"/>
              </w:rPr>
              <w:t>项目新增噪声主要来源于锅炉房内的设备运行产生的噪声。</w:t>
            </w:r>
            <w:r>
              <w:rPr>
                <w:rFonts w:hint="eastAsia"/>
                <w:bCs/>
                <w:sz w:val="24"/>
                <w:u w:val="single"/>
              </w:rPr>
              <w:t>鉴于企业现处于停产状态，现有生物质锅炉已停用，</w:t>
            </w:r>
            <w:r>
              <w:rPr>
                <w:sz w:val="24"/>
                <w:u w:val="single"/>
              </w:rPr>
              <w:t>无法开展现有项目正常生产情况下的厂界噪声监测，停产情况下的厂界噪声监测不能代表现有项目正常运行的厂界噪声影响值，因此本次评价无法以现状厂界噪声影响监测值叠加改建项目新增噪声源对厂界的贡献值进行分析。</w:t>
            </w:r>
          </w:p>
          <w:p>
            <w:pPr>
              <w:spacing w:line="360" w:lineRule="auto"/>
              <w:ind w:firstLine="480" w:firstLineChars="200"/>
              <w:rPr>
                <w:sz w:val="24"/>
                <w:u w:val="single"/>
              </w:rPr>
            </w:pPr>
            <w:r>
              <w:rPr>
                <w:sz w:val="24"/>
                <w:u w:val="single"/>
              </w:rPr>
              <w:t>本次评价以改建后全厂主要噪声源（包含现有项目除</w:t>
            </w:r>
            <w:r>
              <w:rPr>
                <w:rFonts w:hint="eastAsia"/>
                <w:bCs/>
                <w:sz w:val="24"/>
                <w:u w:val="single"/>
              </w:rPr>
              <w:t>生物质锅炉及其配套设施</w:t>
            </w:r>
            <w:r>
              <w:rPr>
                <w:sz w:val="24"/>
                <w:u w:val="single"/>
              </w:rPr>
              <w:t>以外</w:t>
            </w:r>
            <w:r>
              <w:rPr>
                <w:rFonts w:hint="eastAsia"/>
                <w:sz w:val="24"/>
                <w:u w:val="single"/>
              </w:rPr>
              <w:t>的</w:t>
            </w:r>
            <w:r>
              <w:rPr>
                <w:sz w:val="24"/>
                <w:u w:val="single"/>
              </w:rPr>
              <w:t>噪声源、本次改建项目新增</w:t>
            </w:r>
            <w:r>
              <w:rPr>
                <w:rFonts w:hint="eastAsia"/>
                <w:sz w:val="24"/>
                <w:u w:val="single"/>
              </w:rPr>
              <w:t>的</w:t>
            </w:r>
            <w:r>
              <w:rPr>
                <w:sz w:val="24"/>
                <w:u w:val="single"/>
              </w:rPr>
              <w:t>噪声源）作为源强进行预测，以改建后全厂噪声源叠加贡献值作为预测结果评价厂界噪声达标情况。</w:t>
            </w:r>
          </w:p>
          <w:p>
            <w:pPr>
              <w:spacing w:line="360" w:lineRule="auto"/>
              <w:ind w:firstLine="480" w:firstLineChars="200"/>
              <w:rPr>
                <w:sz w:val="24"/>
              </w:rPr>
            </w:pPr>
            <w:r>
              <w:rPr>
                <w:sz w:val="24"/>
              </w:rPr>
              <w:t>预测过程中，根据实际情况，全厂噪声源按室内声源对待，在预测的厂房内噪声源对厂界外影响时，厂房等建筑物的隔声量按照北方一般建筑材料对待，对于20-160Hz的声音，范围为18-27dB（A），在本次预测中，只考虑建筑物的隔声和声级随距离的衰减，故取ΔL为20dB（A）。</w:t>
            </w:r>
          </w:p>
          <w:p>
            <w:pPr>
              <w:spacing w:line="360" w:lineRule="auto"/>
              <w:ind w:firstLine="480" w:firstLineChars="200"/>
              <w:rPr>
                <w:sz w:val="24"/>
                <w:u w:val="single"/>
              </w:rPr>
            </w:pPr>
            <w:r>
              <w:rPr>
                <w:sz w:val="24"/>
                <w:u w:val="single"/>
              </w:rPr>
              <w:t>改建后全厂昼间声环境预测结果详见下表。</w:t>
            </w:r>
          </w:p>
          <w:p>
            <w:pPr>
              <w:pStyle w:val="23"/>
              <w:ind w:left="0" w:firstLine="0"/>
            </w:pPr>
            <w:r>
              <w:t>改建后全厂噪声贡献值结果统计表    单位：dB(A)</w:t>
            </w:r>
          </w:p>
          <w:tbl>
            <w:tblPr>
              <w:tblStyle w:val="19"/>
              <w:tblW w:w="7951"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816"/>
              <w:gridCol w:w="900"/>
              <w:gridCol w:w="1007"/>
              <w:gridCol w:w="1007"/>
              <w:gridCol w:w="1007"/>
              <w:gridCol w:w="1010"/>
              <w:gridCol w:w="1110"/>
              <w:gridCol w:w="1094"/>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Merge w:val="restart"/>
                  <w:vAlign w:val="center"/>
                </w:tcPr>
                <w:p>
                  <w:pPr>
                    <w:autoSpaceDE w:val="0"/>
                    <w:autoSpaceDN w:val="0"/>
                    <w:adjustRightInd w:val="0"/>
                    <w:ind w:firstLine="378"/>
                    <w:jc w:val="center"/>
                    <w:rPr>
                      <w:b/>
                      <w:bCs/>
                      <w:spacing w:val="-11"/>
                      <w:szCs w:val="21"/>
                      <w:u w:val="single"/>
                    </w:rPr>
                  </w:pPr>
                  <w:r>
                    <w:rPr>
                      <w:rFonts w:hint="eastAsia"/>
                      <w:b/>
                      <w:bCs/>
                      <w:spacing w:val="-11"/>
                      <w:szCs w:val="21"/>
                      <w:u w:val="single"/>
                    </w:rPr>
                    <w:t>名称</w:t>
                  </w:r>
                </w:p>
              </w:tc>
              <w:tc>
                <w:tcPr>
                  <w:tcW w:w="900" w:type="dxa"/>
                  <w:vMerge w:val="restart"/>
                  <w:vAlign w:val="center"/>
                </w:tcPr>
                <w:p>
                  <w:pPr>
                    <w:autoSpaceDE w:val="0"/>
                    <w:autoSpaceDN w:val="0"/>
                    <w:adjustRightInd w:val="0"/>
                    <w:ind w:firstLine="378"/>
                    <w:jc w:val="center"/>
                    <w:rPr>
                      <w:b/>
                      <w:bCs/>
                      <w:spacing w:val="-11"/>
                      <w:szCs w:val="21"/>
                      <w:u w:val="single"/>
                    </w:rPr>
                  </w:pPr>
                  <w:r>
                    <w:rPr>
                      <w:rFonts w:hint="eastAsia"/>
                      <w:b/>
                      <w:bCs/>
                      <w:spacing w:val="-11"/>
                      <w:u w:val="single"/>
                    </w:rPr>
                    <w:t>降噪处理后声压级</w:t>
                  </w:r>
                </w:p>
              </w:tc>
              <w:tc>
                <w:tcPr>
                  <w:tcW w:w="6235" w:type="dxa"/>
                  <w:gridSpan w:val="6"/>
                  <w:vAlign w:val="center"/>
                </w:tcPr>
                <w:p>
                  <w:pPr>
                    <w:autoSpaceDE w:val="0"/>
                    <w:autoSpaceDN w:val="0"/>
                    <w:adjustRightInd w:val="0"/>
                    <w:ind w:firstLine="482"/>
                    <w:jc w:val="center"/>
                    <w:rPr>
                      <w:b/>
                      <w:bCs/>
                      <w:szCs w:val="21"/>
                      <w:u w:val="single"/>
                    </w:rPr>
                  </w:pPr>
                  <w:r>
                    <w:rPr>
                      <w:rFonts w:hint="eastAsia"/>
                      <w:b/>
                      <w:bCs/>
                      <w:szCs w:val="21"/>
                      <w:u w:val="single"/>
                    </w:rPr>
                    <w:t>贡献值</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Merge w:val="continue"/>
                  <w:vAlign w:val="center"/>
                </w:tcPr>
                <w:p>
                  <w:pPr>
                    <w:autoSpaceDE w:val="0"/>
                    <w:autoSpaceDN w:val="0"/>
                    <w:adjustRightInd w:val="0"/>
                    <w:ind w:firstLine="482"/>
                    <w:jc w:val="center"/>
                    <w:rPr>
                      <w:b/>
                      <w:bCs/>
                      <w:szCs w:val="21"/>
                      <w:u w:val="single"/>
                    </w:rPr>
                  </w:pPr>
                </w:p>
              </w:tc>
              <w:tc>
                <w:tcPr>
                  <w:tcW w:w="900" w:type="dxa"/>
                  <w:vMerge w:val="continue"/>
                  <w:vAlign w:val="center"/>
                </w:tcPr>
                <w:p>
                  <w:pPr>
                    <w:autoSpaceDE w:val="0"/>
                    <w:autoSpaceDN w:val="0"/>
                    <w:adjustRightInd w:val="0"/>
                    <w:ind w:firstLine="482"/>
                    <w:jc w:val="center"/>
                    <w:rPr>
                      <w:b/>
                      <w:bCs/>
                      <w:szCs w:val="21"/>
                      <w:u w:val="single"/>
                    </w:rPr>
                  </w:pPr>
                </w:p>
              </w:tc>
              <w:tc>
                <w:tcPr>
                  <w:tcW w:w="1007" w:type="dxa"/>
                  <w:vAlign w:val="center"/>
                </w:tcPr>
                <w:p>
                  <w:pPr>
                    <w:autoSpaceDE w:val="0"/>
                    <w:autoSpaceDN w:val="0"/>
                    <w:adjustRightInd w:val="0"/>
                    <w:ind w:firstLine="378"/>
                    <w:jc w:val="center"/>
                    <w:rPr>
                      <w:b/>
                      <w:bCs/>
                      <w:spacing w:val="-11"/>
                      <w:u w:val="single"/>
                    </w:rPr>
                  </w:pPr>
                  <w:r>
                    <w:rPr>
                      <w:b/>
                      <w:bCs/>
                      <w:spacing w:val="-11"/>
                      <w:szCs w:val="21"/>
                      <w:u w:val="single"/>
                    </w:rPr>
                    <w:t>厂界外东侧1m处</w:t>
                  </w:r>
                </w:p>
              </w:tc>
              <w:tc>
                <w:tcPr>
                  <w:tcW w:w="1007" w:type="dxa"/>
                  <w:vAlign w:val="center"/>
                </w:tcPr>
                <w:p>
                  <w:pPr>
                    <w:autoSpaceDE w:val="0"/>
                    <w:autoSpaceDN w:val="0"/>
                    <w:adjustRightInd w:val="0"/>
                    <w:ind w:firstLine="378"/>
                    <w:jc w:val="center"/>
                    <w:rPr>
                      <w:b/>
                      <w:bCs/>
                      <w:spacing w:val="-11"/>
                      <w:u w:val="single"/>
                    </w:rPr>
                  </w:pPr>
                  <w:r>
                    <w:rPr>
                      <w:b/>
                      <w:bCs/>
                      <w:spacing w:val="-11"/>
                      <w:szCs w:val="21"/>
                      <w:u w:val="single"/>
                    </w:rPr>
                    <w:t>厂界外南侧1m处</w:t>
                  </w:r>
                </w:p>
              </w:tc>
              <w:tc>
                <w:tcPr>
                  <w:tcW w:w="1007" w:type="dxa"/>
                  <w:vAlign w:val="center"/>
                </w:tcPr>
                <w:p>
                  <w:pPr>
                    <w:autoSpaceDE w:val="0"/>
                    <w:autoSpaceDN w:val="0"/>
                    <w:adjustRightInd w:val="0"/>
                    <w:ind w:firstLine="378"/>
                    <w:jc w:val="center"/>
                    <w:rPr>
                      <w:b/>
                      <w:bCs/>
                      <w:spacing w:val="-11"/>
                      <w:szCs w:val="21"/>
                      <w:u w:val="single"/>
                    </w:rPr>
                  </w:pPr>
                  <w:r>
                    <w:rPr>
                      <w:b/>
                      <w:bCs/>
                      <w:spacing w:val="-11"/>
                      <w:szCs w:val="21"/>
                      <w:u w:val="single"/>
                    </w:rPr>
                    <w:t>厂界外西侧1m处</w:t>
                  </w:r>
                </w:p>
              </w:tc>
              <w:tc>
                <w:tcPr>
                  <w:tcW w:w="1010" w:type="dxa"/>
                  <w:vAlign w:val="center"/>
                </w:tcPr>
                <w:p>
                  <w:pPr>
                    <w:autoSpaceDE w:val="0"/>
                    <w:autoSpaceDN w:val="0"/>
                    <w:adjustRightInd w:val="0"/>
                    <w:ind w:firstLine="378"/>
                    <w:jc w:val="center"/>
                    <w:rPr>
                      <w:b/>
                      <w:bCs/>
                      <w:spacing w:val="-11"/>
                      <w:szCs w:val="21"/>
                      <w:u w:val="single"/>
                    </w:rPr>
                  </w:pPr>
                  <w:r>
                    <w:rPr>
                      <w:b/>
                      <w:bCs/>
                      <w:spacing w:val="-11"/>
                      <w:szCs w:val="21"/>
                      <w:u w:val="single"/>
                    </w:rPr>
                    <w:t>厂界外北侧1m处</w:t>
                  </w:r>
                </w:p>
              </w:tc>
              <w:tc>
                <w:tcPr>
                  <w:tcW w:w="1110" w:type="dxa"/>
                  <w:vAlign w:val="center"/>
                </w:tcPr>
                <w:p>
                  <w:pPr>
                    <w:ind w:firstLine="378"/>
                    <w:jc w:val="center"/>
                    <w:rPr>
                      <w:b/>
                      <w:bCs/>
                      <w:spacing w:val="-11"/>
                      <w:u w:val="single"/>
                    </w:rPr>
                  </w:pPr>
                  <w:r>
                    <w:rPr>
                      <w:b/>
                      <w:bCs/>
                      <w:spacing w:val="-11"/>
                      <w:szCs w:val="21"/>
                      <w:u w:val="single"/>
                    </w:rPr>
                    <w:t>厂界</w:t>
                  </w:r>
                  <w:r>
                    <w:rPr>
                      <w:rFonts w:hint="eastAsia"/>
                      <w:b/>
                      <w:bCs/>
                      <w:spacing w:val="-11"/>
                      <w:u w:val="single"/>
                    </w:rPr>
                    <w:t>东侧教堂子村</w:t>
                  </w:r>
                </w:p>
              </w:tc>
              <w:tc>
                <w:tcPr>
                  <w:tcW w:w="1094" w:type="dxa"/>
                  <w:vAlign w:val="center"/>
                </w:tcPr>
                <w:p>
                  <w:pPr>
                    <w:ind w:firstLine="378"/>
                    <w:jc w:val="center"/>
                    <w:rPr>
                      <w:b/>
                      <w:bCs/>
                      <w:spacing w:val="-11"/>
                      <w:u w:val="single"/>
                    </w:rPr>
                  </w:pPr>
                  <w:r>
                    <w:rPr>
                      <w:b/>
                      <w:bCs/>
                      <w:spacing w:val="-11"/>
                      <w:szCs w:val="21"/>
                      <w:u w:val="single"/>
                    </w:rPr>
                    <w:t>厂界</w:t>
                  </w:r>
                  <w:r>
                    <w:rPr>
                      <w:rFonts w:hint="eastAsia"/>
                      <w:b/>
                      <w:bCs/>
                      <w:spacing w:val="-11"/>
                      <w:u w:val="single"/>
                    </w:rPr>
                    <w:t>南侧教堂子村</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ind w:firstLine="376"/>
                    <w:jc w:val="center"/>
                    <w:rPr>
                      <w:spacing w:val="-11"/>
                      <w:szCs w:val="21"/>
                      <w:u w:val="single"/>
                    </w:rPr>
                  </w:pPr>
                  <w:r>
                    <w:rPr>
                      <w:rFonts w:hint="eastAsia"/>
                      <w:spacing w:val="-11"/>
                      <w:u w:val="single"/>
                    </w:rPr>
                    <w:t>锅炉</w:t>
                  </w:r>
                </w:p>
              </w:tc>
              <w:tc>
                <w:tcPr>
                  <w:tcW w:w="900" w:type="dxa"/>
                  <w:vAlign w:val="center"/>
                </w:tcPr>
                <w:p>
                  <w:pPr>
                    <w:ind w:firstLine="420"/>
                    <w:jc w:val="center"/>
                    <w:rPr>
                      <w:szCs w:val="21"/>
                      <w:u w:val="single"/>
                    </w:rPr>
                  </w:pPr>
                  <w:r>
                    <w:rPr>
                      <w:rFonts w:hint="eastAsia"/>
                      <w:szCs w:val="21"/>
                      <w:u w:val="single"/>
                    </w:rPr>
                    <w:t>65</w:t>
                  </w:r>
                </w:p>
              </w:tc>
              <w:tc>
                <w:tcPr>
                  <w:tcW w:w="1007" w:type="dxa"/>
                  <w:vAlign w:val="center"/>
                </w:tcPr>
                <w:p>
                  <w:pPr>
                    <w:ind w:firstLine="420"/>
                    <w:jc w:val="center"/>
                    <w:rPr>
                      <w:szCs w:val="21"/>
                      <w:u w:val="single"/>
                    </w:rPr>
                  </w:pPr>
                  <w:r>
                    <w:rPr>
                      <w:rFonts w:hint="eastAsia"/>
                      <w:szCs w:val="21"/>
                      <w:u w:val="single"/>
                    </w:rPr>
                    <w:t>29.58</w:t>
                  </w:r>
                </w:p>
              </w:tc>
              <w:tc>
                <w:tcPr>
                  <w:tcW w:w="1007" w:type="dxa"/>
                  <w:vAlign w:val="center"/>
                </w:tcPr>
                <w:p>
                  <w:pPr>
                    <w:ind w:firstLine="420"/>
                    <w:jc w:val="center"/>
                    <w:rPr>
                      <w:szCs w:val="21"/>
                      <w:u w:val="single"/>
                    </w:rPr>
                  </w:pPr>
                  <w:r>
                    <w:rPr>
                      <w:rFonts w:hint="eastAsia"/>
                      <w:szCs w:val="21"/>
                      <w:u w:val="single"/>
                    </w:rPr>
                    <w:t>22.02</w:t>
                  </w:r>
                </w:p>
              </w:tc>
              <w:tc>
                <w:tcPr>
                  <w:tcW w:w="1007" w:type="dxa"/>
                  <w:vAlign w:val="center"/>
                </w:tcPr>
                <w:p>
                  <w:pPr>
                    <w:ind w:firstLine="420"/>
                    <w:jc w:val="center"/>
                    <w:rPr>
                      <w:szCs w:val="21"/>
                      <w:u w:val="single"/>
                    </w:rPr>
                  </w:pPr>
                  <w:r>
                    <w:rPr>
                      <w:rFonts w:hint="eastAsia"/>
                      <w:szCs w:val="21"/>
                      <w:u w:val="single"/>
                    </w:rPr>
                    <w:t>31.20</w:t>
                  </w:r>
                </w:p>
              </w:tc>
              <w:tc>
                <w:tcPr>
                  <w:tcW w:w="1010" w:type="dxa"/>
                  <w:vAlign w:val="center"/>
                </w:tcPr>
                <w:p>
                  <w:pPr>
                    <w:ind w:firstLine="420"/>
                    <w:jc w:val="center"/>
                    <w:rPr>
                      <w:szCs w:val="21"/>
                      <w:u w:val="single"/>
                    </w:rPr>
                  </w:pPr>
                  <w:r>
                    <w:rPr>
                      <w:rFonts w:hint="eastAsia"/>
                      <w:szCs w:val="21"/>
                      <w:u w:val="single"/>
                    </w:rPr>
                    <w:t>31.94</w:t>
                  </w:r>
                </w:p>
              </w:tc>
              <w:tc>
                <w:tcPr>
                  <w:tcW w:w="1110" w:type="dxa"/>
                  <w:vAlign w:val="center"/>
                </w:tcPr>
                <w:p>
                  <w:pPr>
                    <w:ind w:firstLine="420"/>
                    <w:jc w:val="center"/>
                    <w:rPr>
                      <w:szCs w:val="21"/>
                      <w:u w:val="single"/>
                    </w:rPr>
                  </w:pPr>
                  <w:r>
                    <w:rPr>
                      <w:rFonts w:hint="eastAsia"/>
                      <w:szCs w:val="21"/>
                      <w:u w:val="single"/>
                    </w:rPr>
                    <w:t>25.46</w:t>
                  </w:r>
                </w:p>
              </w:tc>
              <w:tc>
                <w:tcPr>
                  <w:tcW w:w="1094" w:type="dxa"/>
                  <w:vAlign w:val="center"/>
                </w:tcPr>
                <w:p>
                  <w:pPr>
                    <w:ind w:firstLine="420"/>
                    <w:jc w:val="center"/>
                    <w:rPr>
                      <w:szCs w:val="21"/>
                      <w:u w:val="single"/>
                    </w:rPr>
                  </w:pPr>
                  <w:r>
                    <w:rPr>
                      <w:rFonts w:hint="eastAsia"/>
                      <w:szCs w:val="21"/>
                      <w:u w:val="single"/>
                    </w:rPr>
                    <w:t>21.59</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ind w:firstLine="376"/>
                    <w:jc w:val="center"/>
                    <w:rPr>
                      <w:spacing w:val="-11"/>
                      <w:u w:val="single"/>
                    </w:rPr>
                  </w:pPr>
                  <w:r>
                    <w:rPr>
                      <w:rFonts w:hint="eastAsia"/>
                      <w:spacing w:val="-11"/>
                      <w:u w:val="single"/>
                    </w:rPr>
                    <w:t>鼓风机</w:t>
                  </w:r>
                </w:p>
              </w:tc>
              <w:tc>
                <w:tcPr>
                  <w:tcW w:w="900" w:type="dxa"/>
                  <w:vAlign w:val="center"/>
                </w:tcPr>
                <w:p>
                  <w:pPr>
                    <w:ind w:firstLine="420"/>
                    <w:jc w:val="center"/>
                    <w:rPr>
                      <w:szCs w:val="21"/>
                      <w:u w:val="single"/>
                    </w:rPr>
                  </w:pPr>
                  <w:r>
                    <w:rPr>
                      <w:rFonts w:hint="eastAsia"/>
                      <w:szCs w:val="21"/>
                      <w:u w:val="single"/>
                    </w:rPr>
                    <w:t>70</w:t>
                  </w:r>
                </w:p>
              </w:tc>
              <w:tc>
                <w:tcPr>
                  <w:tcW w:w="1007" w:type="dxa"/>
                  <w:vAlign w:val="center"/>
                </w:tcPr>
                <w:p>
                  <w:pPr>
                    <w:ind w:firstLine="420"/>
                    <w:jc w:val="center"/>
                    <w:rPr>
                      <w:szCs w:val="21"/>
                      <w:u w:val="single"/>
                    </w:rPr>
                  </w:pPr>
                  <w:r>
                    <w:rPr>
                      <w:rFonts w:hint="eastAsia"/>
                      <w:szCs w:val="21"/>
                      <w:u w:val="single"/>
                    </w:rPr>
                    <w:t>34.88</w:t>
                  </w:r>
                </w:p>
              </w:tc>
              <w:tc>
                <w:tcPr>
                  <w:tcW w:w="1007" w:type="dxa"/>
                  <w:vAlign w:val="center"/>
                </w:tcPr>
                <w:p>
                  <w:pPr>
                    <w:ind w:firstLine="420"/>
                    <w:jc w:val="center"/>
                    <w:rPr>
                      <w:szCs w:val="21"/>
                      <w:u w:val="single"/>
                    </w:rPr>
                  </w:pPr>
                  <w:r>
                    <w:rPr>
                      <w:rFonts w:hint="eastAsia"/>
                      <w:szCs w:val="21"/>
                      <w:u w:val="single"/>
                    </w:rPr>
                    <w:t>27.02</w:t>
                  </w:r>
                </w:p>
              </w:tc>
              <w:tc>
                <w:tcPr>
                  <w:tcW w:w="1007" w:type="dxa"/>
                  <w:vAlign w:val="center"/>
                </w:tcPr>
                <w:p>
                  <w:pPr>
                    <w:ind w:firstLine="420"/>
                    <w:jc w:val="center"/>
                    <w:rPr>
                      <w:szCs w:val="21"/>
                      <w:u w:val="single"/>
                    </w:rPr>
                  </w:pPr>
                  <w:r>
                    <w:rPr>
                      <w:rFonts w:hint="eastAsia"/>
                      <w:szCs w:val="21"/>
                      <w:u w:val="single"/>
                    </w:rPr>
                    <w:t>35.85</w:t>
                  </w:r>
                </w:p>
              </w:tc>
              <w:tc>
                <w:tcPr>
                  <w:tcW w:w="1010" w:type="dxa"/>
                  <w:vAlign w:val="center"/>
                </w:tcPr>
                <w:p>
                  <w:pPr>
                    <w:ind w:firstLine="420"/>
                    <w:jc w:val="center"/>
                    <w:rPr>
                      <w:szCs w:val="21"/>
                      <w:u w:val="single"/>
                    </w:rPr>
                  </w:pPr>
                  <w:r>
                    <w:rPr>
                      <w:rFonts w:hint="eastAsia"/>
                      <w:szCs w:val="21"/>
                      <w:u w:val="single"/>
                    </w:rPr>
                    <w:t>36.94</w:t>
                  </w:r>
                </w:p>
              </w:tc>
              <w:tc>
                <w:tcPr>
                  <w:tcW w:w="1110" w:type="dxa"/>
                  <w:vAlign w:val="center"/>
                </w:tcPr>
                <w:p>
                  <w:pPr>
                    <w:ind w:firstLine="420"/>
                    <w:jc w:val="center"/>
                    <w:rPr>
                      <w:szCs w:val="21"/>
                      <w:u w:val="single"/>
                    </w:rPr>
                  </w:pPr>
                  <w:r>
                    <w:rPr>
                      <w:rFonts w:hint="eastAsia"/>
                      <w:szCs w:val="21"/>
                      <w:u w:val="single"/>
                    </w:rPr>
                    <w:t>30.63</w:t>
                  </w:r>
                </w:p>
              </w:tc>
              <w:tc>
                <w:tcPr>
                  <w:tcW w:w="1094" w:type="dxa"/>
                  <w:vAlign w:val="center"/>
                </w:tcPr>
                <w:p>
                  <w:pPr>
                    <w:ind w:firstLine="420"/>
                    <w:jc w:val="center"/>
                    <w:rPr>
                      <w:szCs w:val="21"/>
                      <w:u w:val="single"/>
                    </w:rPr>
                  </w:pPr>
                  <w:r>
                    <w:rPr>
                      <w:rFonts w:hint="eastAsia"/>
                      <w:szCs w:val="21"/>
                      <w:u w:val="single"/>
                    </w:rPr>
                    <w:t>26.59</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ind w:firstLine="376"/>
                    <w:jc w:val="center"/>
                    <w:rPr>
                      <w:spacing w:val="-11"/>
                      <w:u w:val="single"/>
                    </w:rPr>
                  </w:pPr>
                  <w:r>
                    <w:rPr>
                      <w:rFonts w:hint="eastAsia"/>
                      <w:spacing w:val="-11"/>
                      <w:u w:val="single"/>
                    </w:rPr>
                    <w:t>引风机</w:t>
                  </w:r>
                </w:p>
              </w:tc>
              <w:tc>
                <w:tcPr>
                  <w:tcW w:w="900" w:type="dxa"/>
                  <w:vAlign w:val="center"/>
                </w:tcPr>
                <w:p>
                  <w:pPr>
                    <w:ind w:firstLine="420"/>
                    <w:jc w:val="center"/>
                    <w:rPr>
                      <w:szCs w:val="21"/>
                      <w:u w:val="single"/>
                    </w:rPr>
                  </w:pPr>
                  <w:r>
                    <w:rPr>
                      <w:rFonts w:hint="eastAsia"/>
                      <w:szCs w:val="21"/>
                      <w:u w:val="single"/>
                    </w:rPr>
                    <w:t>65</w:t>
                  </w:r>
                </w:p>
              </w:tc>
              <w:tc>
                <w:tcPr>
                  <w:tcW w:w="1007" w:type="dxa"/>
                  <w:vAlign w:val="center"/>
                </w:tcPr>
                <w:p>
                  <w:pPr>
                    <w:ind w:firstLine="420"/>
                    <w:jc w:val="center"/>
                    <w:rPr>
                      <w:szCs w:val="21"/>
                      <w:u w:val="single"/>
                    </w:rPr>
                  </w:pPr>
                  <w:r>
                    <w:rPr>
                      <w:rFonts w:hint="eastAsia"/>
                      <w:szCs w:val="21"/>
                      <w:u w:val="single"/>
                    </w:rPr>
                    <w:t>28.88</w:t>
                  </w:r>
                </w:p>
              </w:tc>
              <w:tc>
                <w:tcPr>
                  <w:tcW w:w="1007" w:type="dxa"/>
                  <w:vAlign w:val="center"/>
                </w:tcPr>
                <w:p>
                  <w:pPr>
                    <w:ind w:firstLine="420"/>
                    <w:jc w:val="center"/>
                    <w:rPr>
                      <w:szCs w:val="21"/>
                      <w:u w:val="single"/>
                    </w:rPr>
                  </w:pPr>
                  <w:r>
                    <w:rPr>
                      <w:rFonts w:hint="eastAsia"/>
                      <w:szCs w:val="21"/>
                      <w:u w:val="single"/>
                    </w:rPr>
                    <w:t>22.08</w:t>
                  </w:r>
                </w:p>
              </w:tc>
              <w:tc>
                <w:tcPr>
                  <w:tcW w:w="1007" w:type="dxa"/>
                  <w:vAlign w:val="center"/>
                </w:tcPr>
                <w:p>
                  <w:pPr>
                    <w:ind w:firstLine="420"/>
                    <w:jc w:val="center"/>
                    <w:rPr>
                      <w:szCs w:val="21"/>
                      <w:u w:val="single"/>
                    </w:rPr>
                  </w:pPr>
                  <w:r>
                    <w:rPr>
                      <w:rFonts w:hint="eastAsia"/>
                      <w:szCs w:val="21"/>
                      <w:u w:val="single"/>
                    </w:rPr>
                    <w:t>32.13</w:t>
                  </w:r>
                </w:p>
              </w:tc>
              <w:tc>
                <w:tcPr>
                  <w:tcW w:w="1010" w:type="dxa"/>
                  <w:vAlign w:val="center"/>
                </w:tcPr>
                <w:p>
                  <w:pPr>
                    <w:ind w:firstLine="420"/>
                    <w:jc w:val="center"/>
                    <w:rPr>
                      <w:szCs w:val="21"/>
                      <w:u w:val="single"/>
                    </w:rPr>
                  </w:pPr>
                  <w:r>
                    <w:rPr>
                      <w:rFonts w:hint="eastAsia"/>
                      <w:szCs w:val="21"/>
                      <w:u w:val="single"/>
                    </w:rPr>
                    <w:t>31.74</w:t>
                  </w:r>
                </w:p>
              </w:tc>
              <w:tc>
                <w:tcPr>
                  <w:tcW w:w="1110" w:type="dxa"/>
                  <w:vAlign w:val="center"/>
                </w:tcPr>
                <w:p>
                  <w:pPr>
                    <w:ind w:firstLine="420"/>
                    <w:jc w:val="center"/>
                    <w:rPr>
                      <w:szCs w:val="21"/>
                      <w:u w:val="single"/>
                    </w:rPr>
                  </w:pPr>
                  <w:r>
                    <w:rPr>
                      <w:rFonts w:hint="eastAsia"/>
                      <w:szCs w:val="21"/>
                      <w:u w:val="single"/>
                    </w:rPr>
                    <w:t>25.00</w:t>
                  </w:r>
                </w:p>
              </w:tc>
              <w:tc>
                <w:tcPr>
                  <w:tcW w:w="1094" w:type="dxa"/>
                  <w:vAlign w:val="center"/>
                </w:tcPr>
                <w:p>
                  <w:pPr>
                    <w:ind w:firstLine="420"/>
                    <w:jc w:val="center"/>
                    <w:rPr>
                      <w:szCs w:val="21"/>
                      <w:u w:val="single"/>
                    </w:rPr>
                  </w:pPr>
                  <w:r>
                    <w:rPr>
                      <w:rFonts w:hint="eastAsia"/>
                      <w:szCs w:val="21"/>
                      <w:u w:val="single"/>
                    </w:rPr>
                    <w:t>21.65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jc w:val="center"/>
                    <w:rPr>
                      <w:szCs w:val="21"/>
                      <w:u w:val="single"/>
                    </w:rPr>
                  </w:pPr>
                  <w:r>
                    <w:rPr>
                      <w:rFonts w:hint="eastAsia"/>
                      <w:szCs w:val="21"/>
                      <w:u w:val="single"/>
                    </w:rPr>
                    <w:t>泵类</w:t>
                  </w:r>
                </w:p>
              </w:tc>
              <w:tc>
                <w:tcPr>
                  <w:tcW w:w="900" w:type="dxa"/>
                  <w:vAlign w:val="center"/>
                </w:tcPr>
                <w:p>
                  <w:pPr>
                    <w:ind w:firstLine="420"/>
                    <w:jc w:val="center"/>
                    <w:rPr>
                      <w:szCs w:val="21"/>
                      <w:u w:val="single"/>
                    </w:rPr>
                  </w:pPr>
                  <w:r>
                    <w:rPr>
                      <w:rFonts w:hint="eastAsia"/>
                      <w:szCs w:val="21"/>
                      <w:u w:val="single"/>
                    </w:rPr>
                    <w:t>65</w:t>
                  </w:r>
                </w:p>
              </w:tc>
              <w:tc>
                <w:tcPr>
                  <w:tcW w:w="1007" w:type="dxa"/>
                  <w:vAlign w:val="center"/>
                </w:tcPr>
                <w:p>
                  <w:pPr>
                    <w:ind w:firstLine="420"/>
                    <w:jc w:val="center"/>
                    <w:rPr>
                      <w:szCs w:val="21"/>
                      <w:u w:val="single"/>
                    </w:rPr>
                  </w:pPr>
                  <w:r>
                    <w:rPr>
                      <w:rFonts w:hint="eastAsia"/>
                      <w:szCs w:val="21"/>
                      <w:u w:val="single"/>
                    </w:rPr>
                    <w:t>29.73</w:t>
                  </w:r>
                </w:p>
              </w:tc>
              <w:tc>
                <w:tcPr>
                  <w:tcW w:w="1007" w:type="dxa"/>
                  <w:vAlign w:val="center"/>
                </w:tcPr>
                <w:p>
                  <w:pPr>
                    <w:ind w:firstLine="420"/>
                    <w:jc w:val="center"/>
                    <w:rPr>
                      <w:szCs w:val="21"/>
                      <w:u w:val="single"/>
                    </w:rPr>
                  </w:pPr>
                  <w:r>
                    <w:rPr>
                      <w:rFonts w:hint="eastAsia"/>
                      <w:szCs w:val="21"/>
                      <w:u w:val="single"/>
                    </w:rPr>
                    <w:t>22.02</w:t>
                  </w:r>
                </w:p>
              </w:tc>
              <w:tc>
                <w:tcPr>
                  <w:tcW w:w="1007" w:type="dxa"/>
                  <w:vAlign w:val="center"/>
                </w:tcPr>
                <w:p>
                  <w:pPr>
                    <w:ind w:firstLine="420"/>
                    <w:jc w:val="center"/>
                    <w:rPr>
                      <w:szCs w:val="21"/>
                      <w:u w:val="single"/>
                    </w:rPr>
                  </w:pPr>
                  <w:r>
                    <w:rPr>
                      <w:rFonts w:hint="eastAsia"/>
                      <w:szCs w:val="21"/>
                      <w:u w:val="single"/>
                    </w:rPr>
                    <w:t>31.02</w:t>
                  </w:r>
                </w:p>
              </w:tc>
              <w:tc>
                <w:tcPr>
                  <w:tcW w:w="1010" w:type="dxa"/>
                  <w:vAlign w:val="center"/>
                </w:tcPr>
                <w:p>
                  <w:pPr>
                    <w:ind w:firstLine="420"/>
                    <w:jc w:val="center"/>
                    <w:rPr>
                      <w:szCs w:val="21"/>
                      <w:u w:val="single"/>
                    </w:rPr>
                  </w:pPr>
                  <w:r>
                    <w:rPr>
                      <w:rFonts w:hint="eastAsia"/>
                      <w:szCs w:val="21"/>
                      <w:u w:val="single"/>
                    </w:rPr>
                    <w:t>31.94</w:t>
                  </w:r>
                </w:p>
              </w:tc>
              <w:tc>
                <w:tcPr>
                  <w:tcW w:w="1110" w:type="dxa"/>
                  <w:vAlign w:val="center"/>
                </w:tcPr>
                <w:p>
                  <w:pPr>
                    <w:ind w:firstLine="420"/>
                    <w:jc w:val="center"/>
                    <w:rPr>
                      <w:szCs w:val="21"/>
                      <w:u w:val="single"/>
                    </w:rPr>
                  </w:pPr>
                  <w:r>
                    <w:rPr>
                      <w:rFonts w:hint="eastAsia"/>
                      <w:szCs w:val="21"/>
                      <w:u w:val="single"/>
                    </w:rPr>
                    <w:t>25.54</w:t>
                  </w:r>
                </w:p>
              </w:tc>
              <w:tc>
                <w:tcPr>
                  <w:tcW w:w="1094" w:type="dxa"/>
                  <w:vAlign w:val="center"/>
                </w:tcPr>
                <w:p>
                  <w:pPr>
                    <w:ind w:firstLine="420"/>
                    <w:jc w:val="center"/>
                    <w:rPr>
                      <w:szCs w:val="21"/>
                      <w:u w:val="single"/>
                    </w:rPr>
                  </w:pPr>
                  <w:r>
                    <w:rPr>
                      <w:rFonts w:hint="eastAsia"/>
                      <w:szCs w:val="21"/>
                      <w:u w:val="single"/>
                    </w:rPr>
                    <w:t>21.59</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ind w:firstLine="376"/>
                    <w:jc w:val="center"/>
                    <w:rPr>
                      <w:szCs w:val="21"/>
                      <w:u w:val="single"/>
                    </w:rPr>
                  </w:pPr>
                  <w:r>
                    <w:rPr>
                      <w:rFonts w:hint="eastAsia"/>
                      <w:spacing w:val="-11"/>
                      <w:u w:val="single"/>
                    </w:rPr>
                    <w:t>除尘器</w:t>
                  </w:r>
                </w:p>
              </w:tc>
              <w:tc>
                <w:tcPr>
                  <w:tcW w:w="900" w:type="dxa"/>
                  <w:vAlign w:val="center"/>
                </w:tcPr>
                <w:p>
                  <w:pPr>
                    <w:ind w:firstLine="420"/>
                    <w:jc w:val="center"/>
                    <w:rPr>
                      <w:szCs w:val="21"/>
                      <w:u w:val="single"/>
                    </w:rPr>
                  </w:pPr>
                  <w:r>
                    <w:rPr>
                      <w:rFonts w:hint="eastAsia"/>
                      <w:szCs w:val="21"/>
                      <w:u w:val="single"/>
                    </w:rPr>
                    <w:t>60</w:t>
                  </w:r>
                </w:p>
              </w:tc>
              <w:tc>
                <w:tcPr>
                  <w:tcW w:w="1007" w:type="dxa"/>
                  <w:vAlign w:val="center"/>
                </w:tcPr>
                <w:p>
                  <w:pPr>
                    <w:ind w:firstLine="420"/>
                    <w:jc w:val="center"/>
                    <w:rPr>
                      <w:szCs w:val="21"/>
                      <w:u w:val="single"/>
                    </w:rPr>
                  </w:pPr>
                  <w:r>
                    <w:rPr>
                      <w:rFonts w:hint="eastAsia"/>
                      <w:szCs w:val="21"/>
                      <w:u w:val="single"/>
                    </w:rPr>
                    <w:t>24.01</w:t>
                  </w:r>
                </w:p>
              </w:tc>
              <w:tc>
                <w:tcPr>
                  <w:tcW w:w="1007" w:type="dxa"/>
                  <w:vAlign w:val="center"/>
                </w:tcPr>
                <w:p>
                  <w:pPr>
                    <w:ind w:firstLine="420"/>
                    <w:jc w:val="center"/>
                    <w:rPr>
                      <w:szCs w:val="21"/>
                      <w:u w:val="single"/>
                    </w:rPr>
                  </w:pPr>
                  <w:r>
                    <w:rPr>
                      <w:rFonts w:hint="eastAsia"/>
                      <w:szCs w:val="21"/>
                      <w:u w:val="single"/>
                    </w:rPr>
                    <w:t>17.08</w:t>
                  </w:r>
                </w:p>
              </w:tc>
              <w:tc>
                <w:tcPr>
                  <w:tcW w:w="1007" w:type="dxa"/>
                  <w:vAlign w:val="center"/>
                </w:tcPr>
                <w:p>
                  <w:pPr>
                    <w:ind w:firstLine="420"/>
                    <w:jc w:val="center"/>
                    <w:rPr>
                      <w:szCs w:val="21"/>
                      <w:u w:val="single"/>
                    </w:rPr>
                  </w:pPr>
                  <w:r>
                    <w:rPr>
                      <w:rFonts w:hint="eastAsia"/>
                      <w:szCs w:val="21"/>
                      <w:u w:val="single"/>
                    </w:rPr>
                    <w:t>26.94</w:t>
                  </w:r>
                </w:p>
              </w:tc>
              <w:tc>
                <w:tcPr>
                  <w:tcW w:w="1010" w:type="dxa"/>
                  <w:vAlign w:val="center"/>
                </w:tcPr>
                <w:p>
                  <w:pPr>
                    <w:ind w:firstLine="420"/>
                    <w:jc w:val="center"/>
                    <w:rPr>
                      <w:szCs w:val="21"/>
                      <w:u w:val="single"/>
                    </w:rPr>
                  </w:pPr>
                  <w:r>
                    <w:rPr>
                      <w:rFonts w:hint="eastAsia"/>
                      <w:szCs w:val="21"/>
                      <w:u w:val="single"/>
                    </w:rPr>
                    <w:t>26.74</w:t>
                  </w:r>
                </w:p>
              </w:tc>
              <w:tc>
                <w:tcPr>
                  <w:tcW w:w="1110" w:type="dxa"/>
                  <w:vAlign w:val="center"/>
                </w:tcPr>
                <w:p>
                  <w:pPr>
                    <w:ind w:firstLine="420"/>
                    <w:jc w:val="center"/>
                    <w:rPr>
                      <w:szCs w:val="21"/>
                      <w:u w:val="single"/>
                    </w:rPr>
                  </w:pPr>
                  <w:r>
                    <w:rPr>
                      <w:rFonts w:hint="eastAsia"/>
                      <w:szCs w:val="21"/>
                      <w:u w:val="single"/>
                    </w:rPr>
                    <w:t>20.09</w:t>
                  </w:r>
                </w:p>
              </w:tc>
              <w:tc>
                <w:tcPr>
                  <w:tcW w:w="1094" w:type="dxa"/>
                  <w:vAlign w:val="center"/>
                </w:tcPr>
                <w:p>
                  <w:pPr>
                    <w:ind w:firstLine="420"/>
                    <w:jc w:val="center"/>
                    <w:rPr>
                      <w:szCs w:val="21"/>
                      <w:u w:val="single"/>
                    </w:rPr>
                  </w:pPr>
                  <w:r>
                    <w:rPr>
                      <w:rFonts w:hint="eastAsia"/>
                      <w:szCs w:val="21"/>
                      <w:u w:val="single"/>
                    </w:rPr>
                    <w:t>16.65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ind w:firstLine="376"/>
                    <w:jc w:val="center"/>
                    <w:rPr>
                      <w:spacing w:val="-11"/>
                      <w:u w:val="single"/>
                    </w:rPr>
                  </w:pPr>
                  <w:r>
                    <w:rPr>
                      <w:rFonts w:hint="eastAsia"/>
                      <w:spacing w:val="-11"/>
                      <w:u w:val="single"/>
                    </w:rPr>
                    <w:t>悬辊机</w:t>
                  </w:r>
                </w:p>
              </w:tc>
              <w:tc>
                <w:tcPr>
                  <w:tcW w:w="900" w:type="dxa"/>
                  <w:vAlign w:val="center"/>
                </w:tcPr>
                <w:p>
                  <w:pPr>
                    <w:ind w:firstLine="420"/>
                    <w:jc w:val="center"/>
                    <w:rPr>
                      <w:szCs w:val="21"/>
                      <w:u w:val="single"/>
                    </w:rPr>
                  </w:pPr>
                  <w:r>
                    <w:rPr>
                      <w:rFonts w:hint="eastAsia"/>
                      <w:szCs w:val="21"/>
                      <w:u w:val="single"/>
                    </w:rPr>
                    <w:t>65</w:t>
                  </w:r>
                </w:p>
              </w:tc>
              <w:tc>
                <w:tcPr>
                  <w:tcW w:w="1007" w:type="dxa"/>
                  <w:vAlign w:val="center"/>
                </w:tcPr>
                <w:p>
                  <w:pPr>
                    <w:ind w:firstLine="420"/>
                    <w:jc w:val="center"/>
                    <w:rPr>
                      <w:szCs w:val="21"/>
                      <w:u w:val="single"/>
                    </w:rPr>
                  </w:pPr>
                  <w:r>
                    <w:rPr>
                      <w:rFonts w:hint="eastAsia"/>
                      <w:szCs w:val="21"/>
                      <w:u w:val="single"/>
                    </w:rPr>
                    <w:t>31.94</w:t>
                  </w:r>
                </w:p>
              </w:tc>
              <w:tc>
                <w:tcPr>
                  <w:tcW w:w="1007" w:type="dxa"/>
                  <w:vAlign w:val="center"/>
                </w:tcPr>
                <w:p>
                  <w:pPr>
                    <w:ind w:firstLine="420"/>
                    <w:jc w:val="center"/>
                    <w:rPr>
                      <w:szCs w:val="21"/>
                      <w:u w:val="single"/>
                    </w:rPr>
                  </w:pPr>
                  <w:r>
                    <w:rPr>
                      <w:rFonts w:hint="eastAsia"/>
                      <w:szCs w:val="21"/>
                      <w:u w:val="single"/>
                    </w:rPr>
                    <w:t>25.26</w:t>
                  </w:r>
                </w:p>
              </w:tc>
              <w:tc>
                <w:tcPr>
                  <w:tcW w:w="1007" w:type="dxa"/>
                  <w:vAlign w:val="center"/>
                </w:tcPr>
                <w:p>
                  <w:pPr>
                    <w:ind w:firstLine="420"/>
                    <w:jc w:val="center"/>
                    <w:rPr>
                      <w:szCs w:val="21"/>
                      <w:u w:val="single"/>
                    </w:rPr>
                  </w:pPr>
                  <w:r>
                    <w:rPr>
                      <w:rFonts w:hint="eastAsia"/>
                      <w:szCs w:val="21"/>
                      <w:u w:val="single"/>
                    </w:rPr>
                    <w:t>29.01</w:t>
                  </w:r>
                </w:p>
              </w:tc>
              <w:tc>
                <w:tcPr>
                  <w:tcW w:w="1010" w:type="dxa"/>
                  <w:vAlign w:val="center"/>
                </w:tcPr>
                <w:p>
                  <w:pPr>
                    <w:ind w:firstLine="420"/>
                    <w:jc w:val="center"/>
                    <w:rPr>
                      <w:szCs w:val="21"/>
                      <w:u w:val="single"/>
                    </w:rPr>
                  </w:pPr>
                  <w:r>
                    <w:rPr>
                      <w:rFonts w:hint="eastAsia"/>
                      <w:szCs w:val="21"/>
                      <w:u w:val="single"/>
                    </w:rPr>
                    <w:t>26.01</w:t>
                  </w:r>
                </w:p>
              </w:tc>
              <w:tc>
                <w:tcPr>
                  <w:tcW w:w="1110" w:type="dxa"/>
                  <w:vAlign w:val="center"/>
                </w:tcPr>
                <w:p>
                  <w:pPr>
                    <w:ind w:firstLine="420"/>
                    <w:jc w:val="center"/>
                    <w:rPr>
                      <w:szCs w:val="21"/>
                      <w:u w:val="single"/>
                    </w:rPr>
                  </w:pPr>
                  <w:r>
                    <w:rPr>
                      <w:rFonts w:hint="eastAsia"/>
                      <w:szCs w:val="21"/>
                      <w:u w:val="single"/>
                    </w:rPr>
                    <w:t>26.83</w:t>
                  </w:r>
                </w:p>
              </w:tc>
              <w:tc>
                <w:tcPr>
                  <w:tcW w:w="1094" w:type="dxa"/>
                  <w:vAlign w:val="center"/>
                </w:tcPr>
                <w:p>
                  <w:pPr>
                    <w:ind w:firstLine="420"/>
                    <w:jc w:val="center"/>
                    <w:rPr>
                      <w:szCs w:val="21"/>
                      <w:u w:val="single"/>
                    </w:rPr>
                  </w:pPr>
                  <w:r>
                    <w:rPr>
                      <w:rFonts w:hint="eastAsia"/>
                      <w:szCs w:val="21"/>
                      <w:u w:val="single"/>
                    </w:rPr>
                    <w:t>24.66</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ind w:firstLine="376"/>
                    <w:jc w:val="center"/>
                    <w:rPr>
                      <w:spacing w:val="-11"/>
                      <w:u w:val="single"/>
                    </w:rPr>
                  </w:pPr>
                  <w:r>
                    <w:rPr>
                      <w:rFonts w:hint="eastAsia"/>
                      <w:spacing w:val="-11"/>
                      <w:u w:val="single"/>
                    </w:rPr>
                    <w:t>悬辊机</w:t>
                  </w:r>
                </w:p>
              </w:tc>
              <w:tc>
                <w:tcPr>
                  <w:tcW w:w="900" w:type="dxa"/>
                  <w:vAlign w:val="center"/>
                </w:tcPr>
                <w:p>
                  <w:pPr>
                    <w:ind w:firstLine="420"/>
                    <w:jc w:val="center"/>
                    <w:rPr>
                      <w:szCs w:val="21"/>
                      <w:u w:val="single"/>
                    </w:rPr>
                  </w:pPr>
                  <w:r>
                    <w:rPr>
                      <w:rFonts w:hint="eastAsia"/>
                      <w:szCs w:val="21"/>
                      <w:u w:val="single"/>
                    </w:rPr>
                    <w:t>65</w:t>
                  </w:r>
                </w:p>
              </w:tc>
              <w:tc>
                <w:tcPr>
                  <w:tcW w:w="1007" w:type="dxa"/>
                  <w:vAlign w:val="center"/>
                </w:tcPr>
                <w:p>
                  <w:pPr>
                    <w:ind w:firstLine="420"/>
                    <w:jc w:val="center"/>
                    <w:rPr>
                      <w:szCs w:val="21"/>
                      <w:u w:val="single"/>
                    </w:rPr>
                  </w:pPr>
                  <w:r>
                    <w:rPr>
                      <w:rFonts w:hint="eastAsia"/>
                      <w:szCs w:val="21"/>
                      <w:u w:val="single"/>
                    </w:rPr>
                    <w:t>35.17</w:t>
                  </w:r>
                </w:p>
              </w:tc>
              <w:tc>
                <w:tcPr>
                  <w:tcW w:w="1007" w:type="dxa"/>
                  <w:vAlign w:val="center"/>
                </w:tcPr>
                <w:p>
                  <w:pPr>
                    <w:ind w:firstLine="420"/>
                    <w:jc w:val="center"/>
                    <w:rPr>
                      <w:szCs w:val="21"/>
                      <w:u w:val="single"/>
                    </w:rPr>
                  </w:pPr>
                  <w:r>
                    <w:rPr>
                      <w:rFonts w:hint="eastAsia"/>
                      <w:szCs w:val="21"/>
                      <w:u w:val="single"/>
                    </w:rPr>
                    <w:t>25.26</w:t>
                  </w:r>
                </w:p>
              </w:tc>
              <w:tc>
                <w:tcPr>
                  <w:tcW w:w="1007" w:type="dxa"/>
                  <w:vAlign w:val="center"/>
                </w:tcPr>
                <w:p>
                  <w:pPr>
                    <w:ind w:firstLine="420"/>
                    <w:jc w:val="center"/>
                    <w:rPr>
                      <w:szCs w:val="21"/>
                      <w:u w:val="single"/>
                    </w:rPr>
                  </w:pPr>
                  <w:r>
                    <w:rPr>
                      <w:rFonts w:hint="eastAsia"/>
                      <w:szCs w:val="21"/>
                      <w:u w:val="single"/>
                    </w:rPr>
                    <w:t>27.27</w:t>
                  </w:r>
                </w:p>
              </w:tc>
              <w:tc>
                <w:tcPr>
                  <w:tcW w:w="1010" w:type="dxa"/>
                  <w:vAlign w:val="center"/>
                </w:tcPr>
                <w:p>
                  <w:pPr>
                    <w:ind w:firstLine="420"/>
                    <w:jc w:val="center"/>
                    <w:rPr>
                      <w:szCs w:val="21"/>
                      <w:u w:val="single"/>
                    </w:rPr>
                  </w:pPr>
                  <w:r>
                    <w:rPr>
                      <w:rFonts w:hint="eastAsia"/>
                      <w:szCs w:val="21"/>
                      <w:u w:val="single"/>
                    </w:rPr>
                    <w:t>26.01</w:t>
                  </w:r>
                </w:p>
              </w:tc>
              <w:tc>
                <w:tcPr>
                  <w:tcW w:w="1110" w:type="dxa"/>
                  <w:vAlign w:val="center"/>
                </w:tcPr>
                <w:p>
                  <w:pPr>
                    <w:ind w:firstLine="420"/>
                    <w:jc w:val="center"/>
                    <w:rPr>
                      <w:szCs w:val="21"/>
                      <w:u w:val="single"/>
                    </w:rPr>
                  </w:pPr>
                  <w:r>
                    <w:rPr>
                      <w:rFonts w:hint="eastAsia"/>
                      <w:szCs w:val="21"/>
                      <w:u w:val="single"/>
                    </w:rPr>
                    <w:t>28.48</w:t>
                  </w:r>
                </w:p>
              </w:tc>
              <w:tc>
                <w:tcPr>
                  <w:tcW w:w="1094" w:type="dxa"/>
                  <w:vAlign w:val="center"/>
                </w:tcPr>
                <w:p>
                  <w:pPr>
                    <w:ind w:firstLine="420"/>
                    <w:jc w:val="center"/>
                    <w:rPr>
                      <w:szCs w:val="21"/>
                      <w:u w:val="single"/>
                    </w:rPr>
                  </w:pPr>
                  <w:r>
                    <w:rPr>
                      <w:rFonts w:hint="eastAsia"/>
                      <w:szCs w:val="21"/>
                      <w:u w:val="single"/>
                    </w:rPr>
                    <w:t>24.66</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ind w:firstLine="376"/>
                    <w:jc w:val="center"/>
                    <w:rPr>
                      <w:spacing w:val="-11"/>
                      <w:u w:val="single"/>
                    </w:rPr>
                  </w:pPr>
                  <w:r>
                    <w:rPr>
                      <w:rFonts w:hint="eastAsia"/>
                      <w:spacing w:val="-11"/>
                      <w:u w:val="single"/>
                    </w:rPr>
                    <w:t>搅拌机</w:t>
                  </w:r>
                </w:p>
              </w:tc>
              <w:tc>
                <w:tcPr>
                  <w:tcW w:w="900" w:type="dxa"/>
                  <w:vAlign w:val="center"/>
                </w:tcPr>
                <w:p>
                  <w:pPr>
                    <w:ind w:firstLine="420"/>
                    <w:jc w:val="center"/>
                    <w:rPr>
                      <w:szCs w:val="21"/>
                      <w:u w:val="single"/>
                    </w:rPr>
                  </w:pPr>
                  <w:r>
                    <w:rPr>
                      <w:rFonts w:hint="eastAsia"/>
                      <w:szCs w:val="21"/>
                      <w:u w:val="single"/>
                    </w:rPr>
                    <w:t>75</w:t>
                  </w:r>
                </w:p>
              </w:tc>
              <w:tc>
                <w:tcPr>
                  <w:tcW w:w="1007" w:type="dxa"/>
                  <w:vAlign w:val="center"/>
                </w:tcPr>
                <w:p>
                  <w:pPr>
                    <w:ind w:firstLine="420"/>
                    <w:jc w:val="center"/>
                    <w:rPr>
                      <w:szCs w:val="21"/>
                      <w:u w:val="single"/>
                    </w:rPr>
                  </w:pPr>
                  <w:r>
                    <w:rPr>
                      <w:rFonts w:hint="eastAsia"/>
                      <w:szCs w:val="21"/>
                      <w:u w:val="single"/>
                    </w:rPr>
                    <w:t>41.94</w:t>
                  </w:r>
                </w:p>
              </w:tc>
              <w:tc>
                <w:tcPr>
                  <w:tcW w:w="1007" w:type="dxa"/>
                  <w:vAlign w:val="center"/>
                </w:tcPr>
                <w:p>
                  <w:pPr>
                    <w:ind w:firstLine="420"/>
                    <w:jc w:val="center"/>
                    <w:rPr>
                      <w:szCs w:val="21"/>
                      <w:u w:val="single"/>
                    </w:rPr>
                  </w:pPr>
                  <w:r>
                    <w:rPr>
                      <w:rFonts w:hint="eastAsia"/>
                      <w:szCs w:val="21"/>
                      <w:u w:val="single"/>
                    </w:rPr>
                    <w:t>33.42</w:t>
                  </w:r>
                </w:p>
              </w:tc>
              <w:tc>
                <w:tcPr>
                  <w:tcW w:w="1007" w:type="dxa"/>
                  <w:vAlign w:val="center"/>
                </w:tcPr>
                <w:p>
                  <w:pPr>
                    <w:ind w:firstLine="420"/>
                    <w:jc w:val="center"/>
                    <w:rPr>
                      <w:szCs w:val="21"/>
                      <w:u w:val="single"/>
                    </w:rPr>
                  </w:pPr>
                  <w:r>
                    <w:rPr>
                      <w:rFonts w:hint="eastAsia"/>
                      <w:szCs w:val="21"/>
                      <w:u w:val="single"/>
                    </w:rPr>
                    <w:t>39.01</w:t>
                  </w:r>
                </w:p>
              </w:tc>
              <w:tc>
                <w:tcPr>
                  <w:tcW w:w="1010" w:type="dxa"/>
                  <w:vAlign w:val="center"/>
                </w:tcPr>
                <w:p>
                  <w:pPr>
                    <w:ind w:firstLine="420"/>
                    <w:jc w:val="center"/>
                    <w:rPr>
                      <w:szCs w:val="21"/>
                      <w:u w:val="single"/>
                    </w:rPr>
                  </w:pPr>
                  <w:r>
                    <w:rPr>
                      <w:rFonts w:hint="eastAsia"/>
                      <w:szCs w:val="21"/>
                      <w:u w:val="single"/>
                    </w:rPr>
                    <w:t>38.61</w:t>
                  </w:r>
                </w:p>
              </w:tc>
              <w:tc>
                <w:tcPr>
                  <w:tcW w:w="1110" w:type="dxa"/>
                  <w:vAlign w:val="center"/>
                </w:tcPr>
                <w:p>
                  <w:pPr>
                    <w:ind w:firstLine="420"/>
                    <w:jc w:val="center"/>
                    <w:rPr>
                      <w:szCs w:val="21"/>
                      <w:u w:val="single"/>
                    </w:rPr>
                  </w:pPr>
                  <w:r>
                    <w:rPr>
                      <w:rFonts w:hint="eastAsia"/>
                      <w:szCs w:val="21"/>
                      <w:u w:val="single"/>
                    </w:rPr>
                    <w:t>36.83</w:t>
                  </w:r>
                </w:p>
              </w:tc>
              <w:tc>
                <w:tcPr>
                  <w:tcW w:w="1094" w:type="dxa"/>
                  <w:vAlign w:val="center"/>
                </w:tcPr>
                <w:p>
                  <w:pPr>
                    <w:ind w:firstLine="420"/>
                    <w:jc w:val="center"/>
                    <w:rPr>
                      <w:szCs w:val="21"/>
                      <w:u w:val="single"/>
                    </w:rPr>
                  </w:pPr>
                  <w:r>
                    <w:rPr>
                      <w:rFonts w:hint="eastAsia"/>
                      <w:szCs w:val="21"/>
                      <w:u w:val="single"/>
                    </w:rPr>
                    <w:t>32.92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816" w:type="dxa"/>
                  <w:vAlign w:val="center"/>
                </w:tcPr>
                <w:p>
                  <w:pPr>
                    <w:ind w:firstLine="376"/>
                    <w:jc w:val="center"/>
                    <w:rPr>
                      <w:spacing w:val="-11"/>
                      <w:u w:val="single"/>
                    </w:rPr>
                  </w:pPr>
                  <w:r>
                    <w:rPr>
                      <w:rFonts w:hint="eastAsia"/>
                      <w:spacing w:val="-11"/>
                      <w:u w:val="single"/>
                    </w:rPr>
                    <w:t>搅拌机</w:t>
                  </w:r>
                </w:p>
              </w:tc>
              <w:tc>
                <w:tcPr>
                  <w:tcW w:w="900" w:type="dxa"/>
                  <w:vAlign w:val="center"/>
                </w:tcPr>
                <w:p>
                  <w:pPr>
                    <w:ind w:firstLine="420"/>
                    <w:jc w:val="center"/>
                    <w:rPr>
                      <w:szCs w:val="21"/>
                      <w:u w:val="single"/>
                    </w:rPr>
                  </w:pPr>
                  <w:r>
                    <w:rPr>
                      <w:rFonts w:hint="eastAsia"/>
                      <w:szCs w:val="21"/>
                      <w:u w:val="single"/>
                    </w:rPr>
                    <w:t>75</w:t>
                  </w:r>
                </w:p>
              </w:tc>
              <w:tc>
                <w:tcPr>
                  <w:tcW w:w="1007" w:type="dxa"/>
                  <w:vAlign w:val="center"/>
                </w:tcPr>
                <w:p>
                  <w:pPr>
                    <w:ind w:firstLine="420"/>
                    <w:jc w:val="center"/>
                    <w:rPr>
                      <w:szCs w:val="21"/>
                      <w:u w:val="single"/>
                    </w:rPr>
                  </w:pPr>
                  <w:r>
                    <w:rPr>
                      <w:rFonts w:hint="eastAsia"/>
                      <w:szCs w:val="21"/>
                      <w:u w:val="single"/>
                    </w:rPr>
                    <w:t>45.17</w:t>
                  </w:r>
                </w:p>
              </w:tc>
              <w:tc>
                <w:tcPr>
                  <w:tcW w:w="1007" w:type="dxa"/>
                  <w:vAlign w:val="center"/>
                </w:tcPr>
                <w:p>
                  <w:pPr>
                    <w:ind w:firstLine="420"/>
                    <w:jc w:val="center"/>
                    <w:rPr>
                      <w:szCs w:val="21"/>
                      <w:u w:val="single"/>
                    </w:rPr>
                  </w:pPr>
                  <w:r>
                    <w:rPr>
                      <w:rFonts w:hint="eastAsia"/>
                      <w:szCs w:val="21"/>
                      <w:u w:val="single"/>
                    </w:rPr>
                    <w:t>33.42</w:t>
                  </w:r>
                </w:p>
              </w:tc>
              <w:tc>
                <w:tcPr>
                  <w:tcW w:w="1007" w:type="dxa"/>
                  <w:vAlign w:val="center"/>
                </w:tcPr>
                <w:p>
                  <w:pPr>
                    <w:ind w:firstLine="420"/>
                    <w:jc w:val="center"/>
                    <w:rPr>
                      <w:szCs w:val="21"/>
                      <w:u w:val="single"/>
                    </w:rPr>
                  </w:pPr>
                  <w:r>
                    <w:rPr>
                      <w:rFonts w:hint="eastAsia"/>
                      <w:szCs w:val="21"/>
                      <w:u w:val="single"/>
                    </w:rPr>
                    <w:t>37.27</w:t>
                  </w:r>
                </w:p>
              </w:tc>
              <w:tc>
                <w:tcPr>
                  <w:tcW w:w="1010" w:type="dxa"/>
                  <w:vAlign w:val="center"/>
                </w:tcPr>
                <w:p>
                  <w:pPr>
                    <w:ind w:firstLine="420"/>
                    <w:jc w:val="center"/>
                    <w:rPr>
                      <w:szCs w:val="21"/>
                      <w:u w:val="single"/>
                    </w:rPr>
                  </w:pPr>
                  <w:r>
                    <w:rPr>
                      <w:rFonts w:hint="eastAsia"/>
                      <w:szCs w:val="21"/>
                      <w:u w:val="single"/>
                    </w:rPr>
                    <w:t>38.61</w:t>
                  </w:r>
                </w:p>
              </w:tc>
              <w:tc>
                <w:tcPr>
                  <w:tcW w:w="1110" w:type="dxa"/>
                  <w:vAlign w:val="center"/>
                </w:tcPr>
                <w:p>
                  <w:pPr>
                    <w:ind w:firstLine="420"/>
                    <w:jc w:val="center"/>
                    <w:rPr>
                      <w:szCs w:val="21"/>
                      <w:u w:val="single"/>
                    </w:rPr>
                  </w:pPr>
                  <w:r>
                    <w:rPr>
                      <w:rFonts w:hint="eastAsia"/>
                      <w:szCs w:val="21"/>
                      <w:u w:val="single"/>
                    </w:rPr>
                    <w:t>38.49</w:t>
                  </w:r>
                </w:p>
              </w:tc>
              <w:tc>
                <w:tcPr>
                  <w:tcW w:w="1094" w:type="dxa"/>
                  <w:vAlign w:val="center"/>
                </w:tcPr>
                <w:p>
                  <w:pPr>
                    <w:ind w:firstLine="420"/>
                    <w:jc w:val="center"/>
                    <w:rPr>
                      <w:szCs w:val="21"/>
                      <w:u w:val="single"/>
                    </w:rPr>
                  </w:pPr>
                  <w:r>
                    <w:rPr>
                      <w:rFonts w:hint="eastAsia"/>
                      <w:szCs w:val="21"/>
                      <w:u w:val="single"/>
                    </w:rPr>
                    <w:t>32.92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16" w:type="dxa"/>
                  <w:vAlign w:val="center"/>
                </w:tcPr>
                <w:p>
                  <w:pPr>
                    <w:ind w:firstLine="376"/>
                    <w:jc w:val="center"/>
                    <w:rPr>
                      <w:spacing w:val="-11"/>
                      <w:u w:val="single"/>
                    </w:rPr>
                  </w:pPr>
                  <w:r>
                    <w:rPr>
                      <w:rFonts w:hint="eastAsia"/>
                      <w:spacing w:val="-11"/>
                      <w:u w:val="single"/>
                    </w:rPr>
                    <w:t>滚焊机</w:t>
                  </w:r>
                </w:p>
              </w:tc>
              <w:tc>
                <w:tcPr>
                  <w:tcW w:w="900" w:type="dxa"/>
                  <w:vAlign w:val="center"/>
                </w:tcPr>
                <w:p>
                  <w:pPr>
                    <w:ind w:firstLine="420"/>
                    <w:jc w:val="center"/>
                    <w:rPr>
                      <w:szCs w:val="21"/>
                      <w:u w:val="single"/>
                    </w:rPr>
                  </w:pPr>
                  <w:r>
                    <w:rPr>
                      <w:rFonts w:hint="eastAsia"/>
                      <w:szCs w:val="21"/>
                      <w:u w:val="single"/>
                    </w:rPr>
                    <w:t>50</w:t>
                  </w:r>
                </w:p>
              </w:tc>
              <w:tc>
                <w:tcPr>
                  <w:tcW w:w="1007" w:type="dxa"/>
                  <w:vAlign w:val="center"/>
                </w:tcPr>
                <w:p>
                  <w:pPr>
                    <w:ind w:firstLine="420"/>
                    <w:jc w:val="center"/>
                    <w:rPr>
                      <w:szCs w:val="21"/>
                      <w:u w:val="single"/>
                    </w:rPr>
                  </w:pPr>
                  <w:r>
                    <w:rPr>
                      <w:rFonts w:hint="eastAsia"/>
                      <w:szCs w:val="21"/>
                      <w:u w:val="single"/>
                    </w:rPr>
                    <w:t>17.13</w:t>
                  </w:r>
                </w:p>
              </w:tc>
              <w:tc>
                <w:tcPr>
                  <w:tcW w:w="1007" w:type="dxa"/>
                  <w:vAlign w:val="center"/>
                </w:tcPr>
                <w:p>
                  <w:pPr>
                    <w:ind w:firstLine="420"/>
                    <w:jc w:val="center"/>
                    <w:rPr>
                      <w:szCs w:val="21"/>
                      <w:u w:val="single"/>
                    </w:rPr>
                  </w:pPr>
                  <w:r>
                    <w:rPr>
                      <w:rFonts w:hint="eastAsia"/>
                      <w:szCs w:val="21"/>
                      <w:u w:val="single"/>
                    </w:rPr>
                    <w:t>6.31</w:t>
                  </w:r>
                </w:p>
              </w:tc>
              <w:tc>
                <w:tcPr>
                  <w:tcW w:w="1007" w:type="dxa"/>
                  <w:vAlign w:val="center"/>
                </w:tcPr>
                <w:p>
                  <w:pPr>
                    <w:ind w:firstLine="420"/>
                    <w:jc w:val="center"/>
                    <w:rPr>
                      <w:szCs w:val="21"/>
                      <w:u w:val="single"/>
                    </w:rPr>
                  </w:pPr>
                  <w:r>
                    <w:rPr>
                      <w:rFonts w:hint="eastAsia"/>
                      <w:szCs w:val="21"/>
                      <w:u w:val="single"/>
                    </w:rPr>
                    <w:t>13.88</w:t>
                  </w:r>
                </w:p>
              </w:tc>
              <w:tc>
                <w:tcPr>
                  <w:tcW w:w="1010" w:type="dxa"/>
                  <w:vAlign w:val="center"/>
                </w:tcPr>
                <w:p>
                  <w:pPr>
                    <w:ind w:firstLine="420"/>
                    <w:jc w:val="center"/>
                    <w:rPr>
                      <w:szCs w:val="21"/>
                      <w:u w:val="single"/>
                    </w:rPr>
                  </w:pPr>
                  <w:r>
                    <w:rPr>
                      <w:rFonts w:hint="eastAsia"/>
                      <w:szCs w:val="21"/>
                      <w:u w:val="single"/>
                    </w:rPr>
                    <w:t>19.63</w:t>
                  </w:r>
                </w:p>
              </w:tc>
              <w:tc>
                <w:tcPr>
                  <w:tcW w:w="1110" w:type="dxa"/>
                  <w:vAlign w:val="center"/>
                </w:tcPr>
                <w:p>
                  <w:pPr>
                    <w:ind w:firstLine="420"/>
                    <w:jc w:val="center"/>
                    <w:rPr>
                      <w:szCs w:val="21"/>
                      <w:u w:val="single"/>
                    </w:rPr>
                  </w:pPr>
                  <w:r>
                    <w:rPr>
                      <w:rFonts w:hint="eastAsia"/>
                      <w:szCs w:val="21"/>
                      <w:u w:val="single"/>
                    </w:rPr>
                    <w:t>11.94</w:t>
                  </w:r>
                </w:p>
              </w:tc>
              <w:tc>
                <w:tcPr>
                  <w:tcW w:w="1094" w:type="dxa"/>
                  <w:vAlign w:val="center"/>
                </w:tcPr>
                <w:p>
                  <w:pPr>
                    <w:ind w:firstLine="420"/>
                    <w:jc w:val="center"/>
                    <w:rPr>
                      <w:szCs w:val="21"/>
                      <w:u w:val="single"/>
                    </w:rPr>
                  </w:pPr>
                  <w:r>
                    <w:rPr>
                      <w:rFonts w:hint="eastAsia"/>
                      <w:szCs w:val="21"/>
                      <w:u w:val="single"/>
                    </w:rPr>
                    <w:t>5.92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716" w:type="dxa"/>
                  <w:gridSpan w:val="2"/>
                  <w:vAlign w:val="center"/>
                </w:tcPr>
                <w:p>
                  <w:pPr>
                    <w:ind w:firstLine="420"/>
                    <w:jc w:val="center"/>
                    <w:rPr>
                      <w:szCs w:val="21"/>
                      <w:u w:val="single"/>
                    </w:rPr>
                  </w:pPr>
                  <w:r>
                    <w:rPr>
                      <w:rFonts w:hint="eastAsia"/>
                      <w:szCs w:val="21"/>
                      <w:u w:val="single"/>
                    </w:rPr>
                    <w:t>叠加后贡献值</w:t>
                  </w:r>
                </w:p>
              </w:tc>
              <w:tc>
                <w:tcPr>
                  <w:tcW w:w="1007" w:type="dxa"/>
                  <w:vAlign w:val="center"/>
                </w:tcPr>
                <w:p>
                  <w:pPr>
                    <w:ind w:firstLine="420"/>
                    <w:jc w:val="center"/>
                    <w:rPr>
                      <w:szCs w:val="21"/>
                      <w:u w:val="single"/>
                    </w:rPr>
                  </w:pPr>
                  <w:r>
                    <w:rPr>
                      <w:rFonts w:hint="eastAsia"/>
                      <w:szCs w:val="21"/>
                      <w:u w:val="single"/>
                    </w:rPr>
                    <w:t>47.73</w:t>
                  </w:r>
                </w:p>
              </w:tc>
              <w:tc>
                <w:tcPr>
                  <w:tcW w:w="1007" w:type="dxa"/>
                  <w:vAlign w:val="center"/>
                </w:tcPr>
                <w:p>
                  <w:pPr>
                    <w:ind w:firstLine="420"/>
                    <w:jc w:val="center"/>
                    <w:rPr>
                      <w:szCs w:val="21"/>
                      <w:u w:val="single"/>
                    </w:rPr>
                  </w:pPr>
                  <w:r>
                    <w:rPr>
                      <w:rFonts w:hint="eastAsia"/>
                      <w:szCs w:val="21"/>
                      <w:u w:val="single"/>
                    </w:rPr>
                    <w:t>37.85</w:t>
                  </w:r>
                </w:p>
              </w:tc>
              <w:tc>
                <w:tcPr>
                  <w:tcW w:w="1007" w:type="dxa"/>
                  <w:vAlign w:val="center"/>
                </w:tcPr>
                <w:p>
                  <w:pPr>
                    <w:ind w:firstLine="420"/>
                    <w:jc w:val="center"/>
                    <w:rPr>
                      <w:szCs w:val="21"/>
                      <w:u w:val="single"/>
                    </w:rPr>
                  </w:pPr>
                  <w:r>
                    <w:rPr>
                      <w:rFonts w:hint="eastAsia"/>
                      <w:szCs w:val="21"/>
                      <w:u w:val="single"/>
                    </w:rPr>
                    <w:t>43.65</w:t>
                  </w:r>
                </w:p>
              </w:tc>
              <w:tc>
                <w:tcPr>
                  <w:tcW w:w="1010" w:type="dxa"/>
                  <w:vAlign w:val="center"/>
                </w:tcPr>
                <w:p>
                  <w:pPr>
                    <w:ind w:firstLine="420"/>
                    <w:jc w:val="center"/>
                    <w:rPr>
                      <w:szCs w:val="21"/>
                      <w:u w:val="single"/>
                    </w:rPr>
                  </w:pPr>
                  <w:r>
                    <w:rPr>
                      <w:rFonts w:hint="eastAsia"/>
                      <w:szCs w:val="21"/>
                      <w:u w:val="single"/>
                    </w:rPr>
                    <w:t>44.06</w:t>
                  </w:r>
                </w:p>
              </w:tc>
              <w:tc>
                <w:tcPr>
                  <w:tcW w:w="1110" w:type="dxa"/>
                  <w:vAlign w:val="center"/>
                </w:tcPr>
                <w:p>
                  <w:pPr>
                    <w:ind w:firstLine="420"/>
                    <w:jc w:val="center"/>
                    <w:rPr>
                      <w:szCs w:val="21"/>
                      <w:u w:val="single"/>
                    </w:rPr>
                  </w:pPr>
                  <w:r>
                    <w:rPr>
                      <w:rFonts w:hint="eastAsia"/>
                      <w:szCs w:val="21"/>
                      <w:u w:val="single"/>
                    </w:rPr>
                    <w:t>41.86</w:t>
                  </w:r>
                </w:p>
              </w:tc>
              <w:tc>
                <w:tcPr>
                  <w:tcW w:w="1094" w:type="dxa"/>
                  <w:vAlign w:val="center"/>
                </w:tcPr>
                <w:p>
                  <w:pPr>
                    <w:ind w:firstLine="420"/>
                    <w:jc w:val="center"/>
                    <w:rPr>
                      <w:szCs w:val="21"/>
                      <w:u w:val="single"/>
                    </w:rPr>
                  </w:pPr>
                  <w:r>
                    <w:rPr>
                      <w:rFonts w:hint="eastAsia"/>
                      <w:szCs w:val="21"/>
                      <w:u w:val="single"/>
                    </w:rPr>
                    <w:t>37.36</w:t>
                  </w:r>
                </w:p>
              </w:tc>
            </w:tr>
          </w:tbl>
          <w:p>
            <w:pPr>
              <w:pStyle w:val="23"/>
              <w:numPr>
                <w:ilvl w:val="0"/>
                <w:numId w:val="0"/>
              </w:numPr>
              <w:ind w:firstLine="422" w:firstLineChars="200"/>
              <w:jc w:val="both"/>
            </w:pPr>
            <w:r>
              <w:rPr>
                <w:rFonts w:hint="eastAsia"/>
              </w:rPr>
              <w:t>注：由于现有项目已停产，无法开展正常工况下的厂界噪声现状监测，本次预测以改建后全厂主要噪声源贡献值作为达标评价依据。</w:t>
            </w:r>
          </w:p>
          <w:p>
            <w:pPr>
              <w:pStyle w:val="23"/>
              <w:spacing w:beforeLines="50"/>
              <w:ind w:left="0" w:firstLine="0"/>
            </w:pPr>
            <w:r>
              <w:t xml:space="preserve">改建后全厂噪声预测结果统计表  </w:t>
            </w:r>
            <w:r>
              <w:rPr>
                <w:rFonts w:hint="eastAsia"/>
              </w:rPr>
              <w:t xml:space="preserve">  </w:t>
            </w:r>
            <w:r>
              <w:t>单位：dB(A)</w:t>
            </w:r>
          </w:p>
          <w:tbl>
            <w:tblPr>
              <w:tblStyle w:val="19"/>
              <w:tblW w:w="7951"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2071"/>
              <w:gridCol w:w="949"/>
              <w:gridCol w:w="951"/>
              <w:gridCol w:w="951"/>
              <w:gridCol w:w="951"/>
              <w:gridCol w:w="2078"/>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071" w:type="dxa"/>
                  <w:vAlign w:val="center"/>
                </w:tcPr>
                <w:p>
                  <w:pPr>
                    <w:autoSpaceDE w:val="0"/>
                    <w:autoSpaceDN w:val="0"/>
                    <w:adjustRightInd w:val="0"/>
                    <w:ind w:firstLine="482"/>
                    <w:jc w:val="center"/>
                    <w:rPr>
                      <w:b/>
                      <w:bCs/>
                      <w:szCs w:val="21"/>
                      <w:u w:val="single"/>
                    </w:rPr>
                  </w:pPr>
                  <w:r>
                    <w:rPr>
                      <w:b/>
                      <w:bCs/>
                      <w:szCs w:val="21"/>
                      <w:u w:val="single"/>
                    </w:rPr>
                    <w:t>点位</w:t>
                  </w:r>
                </w:p>
              </w:tc>
              <w:tc>
                <w:tcPr>
                  <w:tcW w:w="949" w:type="dxa"/>
                  <w:vAlign w:val="center"/>
                </w:tcPr>
                <w:p>
                  <w:pPr>
                    <w:autoSpaceDE w:val="0"/>
                    <w:autoSpaceDN w:val="0"/>
                    <w:adjustRightInd w:val="0"/>
                    <w:ind w:firstLine="482"/>
                    <w:jc w:val="center"/>
                    <w:rPr>
                      <w:b/>
                      <w:bCs/>
                      <w:szCs w:val="21"/>
                      <w:u w:val="single"/>
                    </w:rPr>
                  </w:pPr>
                  <w:r>
                    <w:rPr>
                      <w:b/>
                      <w:bCs/>
                      <w:szCs w:val="21"/>
                      <w:u w:val="single"/>
                    </w:rPr>
                    <w:t>时间段</w:t>
                  </w:r>
                </w:p>
              </w:tc>
              <w:tc>
                <w:tcPr>
                  <w:tcW w:w="951" w:type="dxa"/>
                  <w:vAlign w:val="center"/>
                </w:tcPr>
                <w:p>
                  <w:pPr>
                    <w:autoSpaceDE w:val="0"/>
                    <w:autoSpaceDN w:val="0"/>
                    <w:adjustRightInd w:val="0"/>
                    <w:ind w:firstLine="482"/>
                    <w:jc w:val="center"/>
                    <w:rPr>
                      <w:b/>
                      <w:bCs/>
                      <w:szCs w:val="21"/>
                      <w:u w:val="single"/>
                    </w:rPr>
                  </w:pPr>
                  <w:r>
                    <w:rPr>
                      <w:b/>
                      <w:bCs/>
                      <w:szCs w:val="21"/>
                      <w:u w:val="single"/>
                    </w:rPr>
                    <w:t>现状值</w:t>
                  </w:r>
                </w:p>
              </w:tc>
              <w:tc>
                <w:tcPr>
                  <w:tcW w:w="951" w:type="dxa"/>
                  <w:vAlign w:val="center"/>
                </w:tcPr>
                <w:p>
                  <w:pPr>
                    <w:autoSpaceDE w:val="0"/>
                    <w:autoSpaceDN w:val="0"/>
                    <w:adjustRightInd w:val="0"/>
                    <w:ind w:firstLine="458"/>
                    <w:jc w:val="center"/>
                    <w:rPr>
                      <w:b/>
                      <w:bCs/>
                      <w:szCs w:val="21"/>
                      <w:u w:val="single"/>
                    </w:rPr>
                  </w:pPr>
                  <w:r>
                    <w:rPr>
                      <w:rFonts w:hint="eastAsia"/>
                      <w:b/>
                      <w:bCs/>
                      <w:spacing w:val="-6"/>
                      <w:szCs w:val="21"/>
                      <w:u w:val="single"/>
                    </w:rPr>
                    <w:t>叠加</w:t>
                  </w:r>
                  <w:r>
                    <w:rPr>
                      <w:b/>
                      <w:bCs/>
                      <w:szCs w:val="21"/>
                      <w:u w:val="single"/>
                    </w:rPr>
                    <w:t>贡献值</w:t>
                  </w:r>
                </w:p>
              </w:tc>
              <w:tc>
                <w:tcPr>
                  <w:tcW w:w="951" w:type="dxa"/>
                  <w:vAlign w:val="center"/>
                </w:tcPr>
                <w:p>
                  <w:pPr>
                    <w:autoSpaceDE w:val="0"/>
                    <w:autoSpaceDN w:val="0"/>
                    <w:adjustRightInd w:val="0"/>
                    <w:ind w:firstLine="482"/>
                    <w:jc w:val="center"/>
                    <w:rPr>
                      <w:b/>
                      <w:bCs/>
                      <w:szCs w:val="21"/>
                      <w:u w:val="single"/>
                    </w:rPr>
                  </w:pPr>
                  <w:r>
                    <w:rPr>
                      <w:b/>
                      <w:bCs/>
                      <w:szCs w:val="21"/>
                      <w:u w:val="single"/>
                    </w:rPr>
                    <w:t>预测值</w:t>
                  </w:r>
                </w:p>
              </w:tc>
              <w:tc>
                <w:tcPr>
                  <w:tcW w:w="2078" w:type="dxa"/>
                  <w:vAlign w:val="center"/>
                </w:tcPr>
                <w:p>
                  <w:pPr>
                    <w:autoSpaceDE w:val="0"/>
                    <w:autoSpaceDN w:val="0"/>
                    <w:adjustRightInd w:val="0"/>
                    <w:ind w:firstLine="482"/>
                    <w:jc w:val="center"/>
                    <w:rPr>
                      <w:b/>
                      <w:bCs/>
                      <w:szCs w:val="21"/>
                      <w:u w:val="single"/>
                    </w:rPr>
                  </w:pPr>
                  <w:r>
                    <w:rPr>
                      <w:b/>
                      <w:bCs/>
                      <w:szCs w:val="21"/>
                      <w:u w:val="single"/>
                    </w:rPr>
                    <w:t>执行标准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071" w:type="dxa"/>
                  <w:vMerge w:val="restart"/>
                  <w:vAlign w:val="center"/>
                </w:tcPr>
                <w:p>
                  <w:pPr>
                    <w:autoSpaceDE w:val="0"/>
                    <w:autoSpaceDN w:val="0"/>
                    <w:adjustRightInd w:val="0"/>
                    <w:jc w:val="center"/>
                    <w:rPr>
                      <w:szCs w:val="21"/>
                      <w:u w:val="single"/>
                    </w:rPr>
                  </w:pPr>
                  <w:r>
                    <w:rPr>
                      <w:szCs w:val="21"/>
                      <w:u w:val="single"/>
                    </w:rPr>
                    <w:t>厂界外东侧5m处教堂子村</w:t>
                  </w:r>
                </w:p>
              </w:tc>
              <w:tc>
                <w:tcPr>
                  <w:tcW w:w="949" w:type="dxa"/>
                  <w:vAlign w:val="center"/>
                </w:tcPr>
                <w:p>
                  <w:pPr>
                    <w:autoSpaceDE w:val="0"/>
                    <w:autoSpaceDN w:val="0"/>
                    <w:adjustRightInd w:val="0"/>
                    <w:jc w:val="center"/>
                    <w:rPr>
                      <w:szCs w:val="21"/>
                      <w:u w:val="single"/>
                    </w:rPr>
                  </w:pPr>
                  <w:r>
                    <w:rPr>
                      <w:szCs w:val="21"/>
                      <w:u w:val="single"/>
                    </w:rPr>
                    <w:t>昼间</w:t>
                  </w:r>
                </w:p>
              </w:tc>
              <w:tc>
                <w:tcPr>
                  <w:tcW w:w="951" w:type="dxa"/>
                  <w:vAlign w:val="center"/>
                </w:tcPr>
                <w:p>
                  <w:pPr>
                    <w:ind w:firstLine="420"/>
                    <w:jc w:val="center"/>
                    <w:rPr>
                      <w:szCs w:val="21"/>
                      <w:u w:val="single"/>
                    </w:rPr>
                  </w:pPr>
                  <w:r>
                    <w:rPr>
                      <w:rFonts w:hint="eastAsia"/>
                      <w:szCs w:val="21"/>
                      <w:u w:val="single"/>
                    </w:rPr>
                    <w:t>46</w:t>
                  </w:r>
                </w:p>
              </w:tc>
              <w:tc>
                <w:tcPr>
                  <w:tcW w:w="951" w:type="dxa"/>
                  <w:vMerge w:val="restart"/>
                  <w:vAlign w:val="center"/>
                </w:tcPr>
                <w:p>
                  <w:pPr>
                    <w:autoSpaceDE w:val="0"/>
                    <w:autoSpaceDN w:val="0"/>
                    <w:adjustRightInd w:val="0"/>
                    <w:jc w:val="center"/>
                    <w:rPr>
                      <w:szCs w:val="21"/>
                      <w:u w:val="single"/>
                    </w:rPr>
                  </w:pPr>
                  <w:r>
                    <w:rPr>
                      <w:rFonts w:hint="eastAsia"/>
                      <w:szCs w:val="21"/>
                      <w:u w:val="single"/>
                    </w:rPr>
                    <w:t>41.86</w:t>
                  </w:r>
                </w:p>
              </w:tc>
              <w:tc>
                <w:tcPr>
                  <w:tcW w:w="951" w:type="dxa"/>
                  <w:vAlign w:val="center"/>
                </w:tcPr>
                <w:p>
                  <w:pPr>
                    <w:autoSpaceDE w:val="0"/>
                    <w:autoSpaceDN w:val="0"/>
                    <w:adjustRightInd w:val="0"/>
                    <w:ind w:firstLine="420"/>
                    <w:jc w:val="center"/>
                    <w:rPr>
                      <w:szCs w:val="21"/>
                      <w:u w:val="single"/>
                    </w:rPr>
                  </w:pPr>
                  <w:r>
                    <w:rPr>
                      <w:rFonts w:hint="eastAsia"/>
                      <w:szCs w:val="21"/>
                      <w:u w:val="single"/>
                    </w:rPr>
                    <w:t>47.42</w:t>
                  </w:r>
                </w:p>
              </w:tc>
              <w:tc>
                <w:tcPr>
                  <w:tcW w:w="2078" w:type="dxa"/>
                  <w:vMerge w:val="restart"/>
                  <w:vAlign w:val="center"/>
                </w:tcPr>
                <w:p>
                  <w:pPr>
                    <w:autoSpaceDE w:val="0"/>
                    <w:autoSpaceDN w:val="0"/>
                    <w:adjustRightInd w:val="0"/>
                    <w:ind w:firstLine="456"/>
                    <w:jc w:val="center"/>
                    <w:rPr>
                      <w:spacing w:val="-6"/>
                      <w:szCs w:val="21"/>
                      <w:u w:val="single"/>
                    </w:rPr>
                  </w:pPr>
                  <w:r>
                    <w:rPr>
                      <w:spacing w:val="-6"/>
                      <w:szCs w:val="21"/>
                      <w:u w:val="single"/>
                    </w:rPr>
                    <w:t>GB3096-2008《声环境质量标准》中2类区标准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071" w:type="dxa"/>
                  <w:vMerge w:val="continue"/>
                  <w:vAlign w:val="center"/>
                </w:tcPr>
                <w:p>
                  <w:pPr>
                    <w:autoSpaceDE w:val="0"/>
                    <w:autoSpaceDN w:val="0"/>
                    <w:adjustRightInd w:val="0"/>
                    <w:jc w:val="center"/>
                    <w:rPr>
                      <w:szCs w:val="21"/>
                      <w:u w:val="single"/>
                    </w:rPr>
                  </w:pPr>
                </w:p>
              </w:tc>
              <w:tc>
                <w:tcPr>
                  <w:tcW w:w="949" w:type="dxa"/>
                  <w:vAlign w:val="center"/>
                </w:tcPr>
                <w:p>
                  <w:pPr>
                    <w:autoSpaceDE w:val="0"/>
                    <w:autoSpaceDN w:val="0"/>
                    <w:adjustRightInd w:val="0"/>
                    <w:jc w:val="center"/>
                    <w:rPr>
                      <w:szCs w:val="21"/>
                      <w:u w:val="single"/>
                    </w:rPr>
                  </w:pPr>
                  <w:r>
                    <w:rPr>
                      <w:rFonts w:hint="eastAsia"/>
                      <w:szCs w:val="21"/>
                      <w:u w:val="single"/>
                    </w:rPr>
                    <w:t>夜间</w:t>
                  </w:r>
                </w:p>
              </w:tc>
              <w:tc>
                <w:tcPr>
                  <w:tcW w:w="951" w:type="dxa"/>
                  <w:vAlign w:val="center"/>
                </w:tcPr>
                <w:p>
                  <w:pPr>
                    <w:ind w:firstLine="420"/>
                    <w:jc w:val="center"/>
                    <w:rPr>
                      <w:szCs w:val="21"/>
                      <w:u w:val="single"/>
                    </w:rPr>
                  </w:pPr>
                  <w:r>
                    <w:rPr>
                      <w:rFonts w:hint="eastAsia"/>
                      <w:szCs w:val="21"/>
                      <w:u w:val="single"/>
                    </w:rPr>
                    <w:t>38</w:t>
                  </w:r>
                </w:p>
              </w:tc>
              <w:tc>
                <w:tcPr>
                  <w:tcW w:w="951" w:type="dxa"/>
                  <w:vMerge w:val="continue"/>
                  <w:vAlign w:val="center"/>
                </w:tcPr>
                <w:p>
                  <w:pPr>
                    <w:autoSpaceDE w:val="0"/>
                    <w:autoSpaceDN w:val="0"/>
                    <w:adjustRightInd w:val="0"/>
                    <w:jc w:val="center"/>
                    <w:rPr>
                      <w:szCs w:val="21"/>
                      <w:u w:val="single"/>
                    </w:rPr>
                  </w:pPr>
                </w:p>
              </w:tc>
              <w:tc>
                <w:tcPr>
                  <w:tcW w:w="951" w:type="dxa"/>
                  <w:vAlign w:val="center"/>
                </w:tcPr>
                <w:p>
                  <w:pPr>
                    <w:autoSpaceDE w:val="0"/>
                    <w:autoSpaceDN w:val="0"/>
                    <w:adjustRightInd w:val="0"/>
                    <w:ind w:firstLine="420"/>
                    <w:jc w:val="center"/>
                    <w:rPr>
                      <w:szCs w:val="21"/>
                      <w:u w:val="single"/>
                    </w:rPr>
                  </w:pPr>
                  <w:r>
                    <w:rPr>
                      <w:rFonts w:hint="eastAsia"/>
                      <w:szCs w:val="21"/>
                      <w:u w:val="single"/>
                    </w:rPr>
                    <w:t>43.36</w:t>
                  </w:r>
                </w:p>
              </w:tc>
              <w:tc>
                <w:tcPr>
                  <w:tcW w:w="2078" w:type="dxa"/>
                  <w:vMerge w:val="continue"/>
                  <w:vAlign w:val="center"/>
                </w:tcPr>
                <w:p>
                  <w:pPr>
                    <w:autoSpaceDE w:val="0"/>
                    <w:autoSpaceDN w:val="0"/>
                    <w:adjustRightInd w:val="0"/>
                    <w:ind w:firstLine="456"/>
                    <w:jc w:val="center"/>
                    <w:rPr>
                      <w:spacing w:val="-6"/>
                      <w:szCs w:val="21"/>
                      <w:u w:val="singl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071" w:type="dxa"/>
                  <w:vMerge w:val="restart"/>
                  <w:vAlign w:val="center"/>
                </w:tcPr>
                <w:p>
                  <w:pPr>
                    <w:autoSpaceDE w:val="0"/>
                    <w:autoSpaceDN w:val="0"/>
                    <w:adjustRightInd w:val="0"/>
                    <w:jc w:val="center"/>
                    <w:rPr>
                      <w:szCs w:val="21"/>
                      <w:u w:val="single"/>
                    </w:rPr>
                  </w:pPr>
                  <w:r>
                    <w:rPr>
                      <w:szCs w:val="21"/>
                      <w:u w:val="single"/>
                    </w:rPr>
                    <w:t>厂界外</w:t>
                  </w:r>
                  <w:r>
                    <w:rPr>
                      <w:rFonts w:hint="eastAsia"/>
                      <w:szCs w:val="21"/>
                      <w:u w:val="single"/>
                    </w:rPr>
                    <w:t>南</w:t>
                  </w:r>
                  <w:r>
                    <w:rPr>
                      <w:szCs w:val="21"/>
                      <w:u w:val="single"/>
                    </w:rPr>
                    <w:t>侧5m处教堂子村</w:t>
                  </w:r>
                </w:p>
              </w:tc>
              <w:tc>
                <w:tcPr>
                  <w:tcW w:w="949" w:type="dxa"/>
                  <w:vAlign w:val="center"/>
                </w:tcPr>
                <w:p>
                  <w:pPr>
                    <w:autoSpaceDE w:val="0"/>
                    <w:autoSpaceDN w:val="0"/>
                    <w:adjustRightInd w:val="0"/>
                    <w:jc w:val="center"/>
                    <w:rPr>
                      <w:szCs w:val="21"/>
                      <w:u w:val="single"/>
                    </w:rPr>
                  </w:pPr>
                  <w:r>
                    <w:rPr>
                      <w:szCs w:val="21"/>
                      <w:u w:val="single"/>
                    </w:rPr>
                    <w:t>昼间</w:t>
                  </w:r>
                </w:p>
              </w:tc>
              <w:tc>
                <w:tcPr>
                  <w:tcW w:w="951" w:type="dxa"/>
                  <w:vAlign w:val="center"/>
                </w:tcPr>
                <w:p>
                  <w:pPr>
                    <w:ind w:firstLine="420"/>
                    <w:jc w:val="center"/>
                    <w:rPr>
                      <w:szCs w:val="21"/>
                      <w:u w:val="single"/>
                    </w:rPr>
                  </w:pPr>
                  <w:r>
                    <w:rPr>
                      <w:rFonts w:hint="eastAsia"/>
                      <w:szCs w:val="21"/>
                      <w:u w:val="single"/>
                    </w:rPr>
                    <w:t>47</w:t>
                  </w:r>
                </w:p>
              </w:tc>
              <w:tc>
                <w:tcPr>
                  <w:tcW w:w="951" w:type="dxa"/>
                  <w:vMerge w:val="restart"/>
                  <w:vAlign w:val="center"/>
                </w:tcPr>
                <w:p>
                  <w:pPr>
                    <w:autoSpaceDE w:val="0"/>
                    <w:autoSpaceDN w:val="0"/>
                    <w:adjustRightInd w:val="0"/>
                    <w:jc w:val="center"/>
                    <w:rPr>
                      <w:szCs w:val="21"/>
                      <w:u w:val="single"/>
                    </w:rPr>
                  </w:pPr>
                  <w:r>
                    <w:rPr>
                      <w:rFonts w:hint="eastAsia"/>
                      <w:szCs w:val="21"/>
                      <w:u w:val="single"/>
                    </w:rPr>
                    <w:t>37.36</w:t>
                  </w:r>
                </w:p>
              </w:tc>
              <w:tc>
                <w:tcPr>
                  <w:tcW w:w="951" w:type="dxa"/>
                  <w:vAlign w:val="center"/>
                </w:tcPr>
                <w:p>
                  <w:pPr>
                    <w:autoSpaceDE w:val="0"/>
                    <w:autoSpaceDN w:val="0"/>
                    <w:adjustRightInd w:val="0"/>
                    <w:ind w:firstLine="420"/>
                    <w:jc w:val="center"/>
                    <w:rPr>
                      <w:szCs w:val="21"/>
                      <w:u w:val="single"/>
                    </w:rPr>
                  </w:pPr>
                  <w:r>
                    <w:rPr>
                      <w:rFonts w:hint="eastAsia"/>
                      <w:szCs w:val="21"/>
                      <w:u w:val="single"/>
                    </w:rPr>
                    <w:t>47.45</w:t>
                  </w:r>
                </w:p>
              </w:tc>
              <w:tc>
                <w:tcPr>
                  <w:tcW w:w="2078" w:type="dxa"/>
                  <w:vMerge w:val="continue"/>
                  <w:vAlign w:val="center"/>
                </w:tcPr>
                <w:p>
                  <w:pPr>
                    <w:autoSpaceDE w:val="0"/>
                    <w:autoSpaceDN w:val="0"/>
                    <w:adjustRightInd w:val="0"/>
                    <w:ind w:firstLine="456"/>
                    <w:jc w:val="center"/>
                    <w:rPr>
                      <w:spacing w:val="-6"/>
                      <w:szCs w:val="21"/>
                      <w:u w:val="singl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071" w:type="dxa"/>
                  <w:vMerge w:val="continue"/>
                  <w:vAlign w:val="center"/>
                </w:tcPr>
                <w:p>
                  <w:pPr>
                    <w:autoSpaceDE w:val="0"/>
                    <w:autoSpaceDN w:val="0"/>
                    <w:adjustRightInd w:val="0"/>
                    <w:jc w:val="center"/>
                    <w:rPr>
                      <w:szCs w:val="21"/>
                      <w:u w:val="single"/>
                    </w:rPr>
                  </w:pPr>
                </w:p>
              </w:tc>
              <w:tc>
                <w:tcPr>
                  <w:tcW w:w="949" w:type="dxa"/>
                  <w:vAlign w:val="center"/>
                </w:tcPr>
                <w:p>
                  <w:pPr>
                    <w:autoSpaceDE w:val="0"/>
                    <w:autoSpaceDN w:val="0"/>
                    <w:adjustRightInd w:val="0"/>
                    <w:jc w:val="center"/>
                    <w:rPr>
                      <w:szCs w:val="21"/>
                      <w:u w:val="single"/>
                    </w:rPr>
                  </w:pPr>
                  <w:r>
                    <w:rPr>
                      <w:rFonts w:hint="eastAsia"/>
                      <w:szCs w:val="21"/>
                      <w:u w:val="single"/>
                    </w:rPr>
                    <w:t>夜间</w:t>
                  </w:r>
                </w:p>
              </w:tc>
              <w:tc>
                <w:tcPr>
                  <w:tcW w:w="951" w:type="dxa"/>
                  <w:vAlign w:val="center"/>
                </w:tcPr>
                <w:p>
                  <w:pPr>
                    <w:ind w:firstLine="420"/>
                    <w:jc w:val="center"/>
                    <w:rPr>
                      <w:szCs w:val="21"/>
                      <w:u w:val="single"/>
                    </w:rPr>
                  </w:pPr>
                  <w:r>
                    <w:rPr>
                      <w:rFonts w:hint="eastAsia"/>
                      <w:szCs w:val="21"/>
                      <w:u w:val="single"/>
                    </w:rPr>
                    <w:t>39</w:t>
                  </w:r>
                </w:p>
              </w:tc>
              <w:tc>
                <w:tcPr>
                  <w:tcW w:w="951" w:type="dxa"/>
                  <w:vMerge w:val="continue"/>
                  <w:vAlign w:val="center"/>
                </w:tcPr>
                <w:p>
                  <w:pPr>
                    <w:autoSpaceDE w:val="0"/>
                    <w:autoSpaceDN w:val="0"/>
                    <w:adjustRightInd w:val="0"/>
                    <w:jc w:val="center"/>
                    <w:rPr>
                      <w:szCs w:val="21"/>
                      <w:u w:val="single"/>
                    </w:rPr>
                  </w:pPr>
                </w:p>
              </w:tc>
              <w:tc>
                <w:tcPr>
                  <w:tcW w:w="951" w:type="dxa"/>
                  <w:vAlign w:val="center"/>
                </w:tcPr>
                <w:p>
                  <w:pPr>
                    <w:autoSpaceDE w:val="0"/>
                    <w:autoSpaceDN w:val="0"/>
                    <w:adjustRightInd w:val="0"/>
                    <w:ind w:firstLine="420"/>
                    <w:jc w:val="center"/>
                    <w:rPr>
                      <w:szCs w:val="21"/>
                      <w:u w:val="single"/>
                    </w:rPr>
                  </w:pPr>
                  <w:r>
                    <w:rPr>
                      <w:rFonts w:hint="eastAsia"/>
                      <w:szCs w:val="21"/>
                      <w:u w:val="single"/>
                    </w:rPr>
                    <w:t>41.27</w:t>
                  </w:r>
                </w:p>
              </w:tc>
              <w:tc>
                <w:tcPr>
                  <w:tcW w:w="2078" w:type="dxa"/>
                  <w:vMerge w:val="continue"/>
                  <w:vAlign w:val="center"/>
                </w:tcPr>
                <w:p>
                  <w:pPr>
                    <w:autoSpaceDE w:val="0"/>
                    <w:autoSpaceDN w:val="0"/>
                    <w:adjustRightInd w:val="0"/>
                    <w:ind w:firstLine="456"/>
                    <w:jc w:val="center"/>
                    <w:rPr>
                      <w:spacing w:val="-6"/>
                      <w:szCs w:val="21"/>
                      <w:u w:val="single"/>
                    </w:rPr>
                  </w:pPr>
                </w:p>
              </w:tc>
            </w:tr>
          </w:tbl>
          <w:p>
            <w:pPr>
              <w:ind w:firstLine="422" w:firstLineChars="200"/>
              <w:rPr>
                <w:b/>
                <w:bCs/>
                <w:szCs w:val="21"/>
                <w:u w:val="single"/>
              </w:rPr>
            </w:pPr>
            <w:r>
              <w:rPr>
                <w:rFonts w:hint="eastAsia"/>
                <w:b/>
                <w:bCs/>
                <w:u w:val="single"/>
              </w:rPr>
              <w:t>注：由于现有项目已停产，本次评价在评价范围内各环境敏感目标处开展了声环境现状监测。监测期间企业处于停产状态，现有噪声源已停止运行，因此各敏感目标处的监测值即为不含本项目声源影响的背景噪声值。</w:t>
            </w:r>
          </w:p>
          <w:p>
            <w:pPr>
              <w:spacing w:beforeLines="50" w:line="360" w:lineRule="auto"/>
              <w:ind w:firstLine="480" w:firstLineChars="200"/>
              <w:rPr>
                <w:sz w:val="24"/>
                <w:u w:val="single"/>
              </w:rPr>
            </w:pPr>
            <w:r>
              <w:rPr>
                <w:sz w:val="24"/>
                <w:u w:val="single"/>
              </w:rPr>
              <w:t>经预测结果可知，本项目设备噪声经基础减振、隔声内墙，进行密闭及距离衰减后，项目厂界</w:t>
            </w:r>
            <w:r>
              <w:rPr>
                <w:rFonts w:hint="eastAsia"/>
                <w:sz w:val="24"/>
                <w:u w:val="single"/>
              </w:rPr>
              <w:t>四周</w:t>
            </w:r>
            <w:r>
              <w:rPr>
                <w:sz w:val="24"/>
                <w:u w:val="single"/>
              </w:rPr>
              <w:t>噪声排放满足《工业企业厂界环境噪声排放标准》（GB12348-2008）中</w:t>
            </w:r>
            <w:r>
              <w:rPr>
                <w:rFonts w:hint="eastAsia"/>
                <w:sz w:val="24"/>
                <w:u w:val="single"/>
              </w:rPr>
              <w:t>2类</w:t>
            </w:r>
            <w:r>
              <w:rPr>
                <w:sz w:val="24"/>
                <w:u w:val="single"/>
              </w:rPr>
              <w:t>标准要求，项目周围敏感点满足《声环境质量标准》（GB3096-2008）中2类区标准要求，对周围声环境影响较小。</w:t>
            </w:r>
          </w:p>
          <w:p>
            <w:pPr>
              <w:spacing w:line="360" w:lineRule="auto"/>
              <w:ind w:firstLine="482" w:firstLineChars="200"/>
              <w:rPr>
                <w:b/>
                <w:bCs/>
                <w:sz w:val="24"/>
                <w:u w:val="single"/>
              </w:rPr>
            </w:pPr>
            <w:r>
              <w:rPr>
                <w:b/>
                <w:bCs/>
                <w:sz w:val="24"/>
                <w:u w:val="single"/>
              </w:rPr>
              <w:t>（3）运营期噪声污染防治措施</w:t>
            </w:r>
          </w:p>
          <w:p>
            <w:pPr>
              <w:spacing w:line="360" w:lineRule="auto"/>
              <w:ind w:firstLine="480" w:firstLineChars="200"/>
              <w:rPr>
                <w:sz w:val="24"/>
                <w:u w:val="single"/>
              </w:rPr>
            </w:pPr>
            <w:r>
              <w:rPr>
                <w:sz w:val="24"/>
                <w:u w:val="single"/>
              </w:rPr>
              <w:t>本项目主要噪声源来自</w:t>
            </w:r>
            <w:r>
              <w:rPr>
                <w:rFonts w:hint="eastAsia"/>
                <w:bCs/>
                <w:sz w:val="24"/>
                <w:u w:val="single"/>
              </w:rPr>
              <w:t>锅炉房的设备</w:t>
            </w:r>
            <w:r>
              <w:rPr>
                <w:sz w:val="24"/>
                <w:u w:val="single"/>
              </w:rPr>
              <w:t>产生的噪声，根据类比资料分析，其声压级</w:t>
            </w:r>
            <w:r>
              <w:rPr>
                <w:rFonts w:hint="eastAsia"/>
                <w:bCs/>
                <w:sz w:val="24"/>
                <w:u w:val="single"/>
              </w:rPr>
              <w:t>约为80~</w:t>
            </w:r>
            <w:r>
              <w:rPr>
                <w:rFonts w:hint="eastAsia"/>
                <w:sz w:val="24"/>
                <w:u w:val="single"/>
              </w:rPr>
              <w:t>90</w:t>
            </w:r>
            <w:r>
              <w:rPr>
                <w:sz w:val="24"/>
                <w:u w:val="single"/>
              </w:rPr>
              <w:t>dB(A)，为最大限度减少其噪声对环境的影响，应采取的噪声污染防治措施为：</w:t>
            </w:r>
          </w:p>
          <w:p>
            <w:pPr>
              <w:spacing w:line="360" w:lineRule="auto"/>
              <w:ind w:firstLine="480" w:firstLineChars="200"/>
              <w:rPr>
                <w:sz w:val="24"/>
                <w:u w:val="single"/>
              </w:rPr>
            </w:pPr>
            <w:r>
              <w:rPr>
                <w:sz w:val="24"/>
                <w:u w:val="single"/>
              </w:rPr>
              <w:t>①选购低噪声的先进设备，从源头上控制高噪声的产生。</w:t>
            </w:r>
          </w:p>
          <w:p>
            <w:pPr>
              <w:spacing w:line="360" w:lineRule="auto"/>
              <w:ind w:firstLine="480" w:firstLineChars="200"/>
              <w:rPr>
                <w:sz w:val="24"/>
                <w:u w:val="single"/>
              </w:rPr>
            </w:pPr>
            <w:r>
              <w:rPr>
                <w:sz w:val="24"/>
                <w:u w:val="single"/>
              </w:rPr>
              <w:t>②对发声设备采用独立基础，</w:t>
            </w:r>
            <w:r>
              <w:rPr>
                <w:rFonts w:hint="eastAsia"/>
                <w:sz w:val="24"/>
                <w:u w:val="single"/>
              </w:rPr>
              <w:t>锅炉房</w:t>
            </w:r>
            <w:r>
              <w:rPr>
                <w:sz w:val="24"/>
                <w:u w:val="single"/>
              </w:rPr>
              <w:t>墙壁及顶棚采用吸声材料，设隔声门，并加设防震设施，此项措施可降低噪声20dB（A）以上，从而减轻了发声设备对厂界环境的影响。</w:t>
            </w:r>
          </w:p>
          <w:p>
            <w:pPr>
              <w:spacing w:line="360" w:lineRule="auto"/>
              <w:ind w:firstLine="480" w:firstLineChars="200"/>
              <w:rPr>
                <w:sz w:val="24"/>
                <w:u w:val="single"/>
              </w:rPr>
            </w:pPr>
            <w:r>
              <w:rPr>
                <w:sz w:val="24"/>
                <w:u w:val="single"/>
              </w:rPr>
              <w:t>③加强对高噪声设备的管理和维护。随着使用年限的增加，有些设备噪声可能有所增加，故应在有关环保人员的统一管理下，定期检查、监测，发现噪声超标要及时治理并增加相关操作岗位工人的个体防护。玻璃窗等如发现破碎应及时修补，减少噪声透射。</w:t>
            </w:r>
          </w:p>
          <w:p>
            <w:pPr>
              <w:spacing w:line="360" w:lineRule="auto"/>
              <w:ind w:firstLine="480" w:firstLineChars="200"/>
              <w:rPr>
                <w:sz w:val="24"/>
                <w:u w:val="single"/>
              </w:rPr>
            </w:pPr>
            <w:r>
              <w:rPr>
                <w:sz w:val="24"/>
                <w:u w:val="single"/>
              </w:rPr>
              <w:t>④做好厂房周围及厂界附近的植树绿化工作，种植杨树等以形成隔音树带，既达到了美化环境的目的，又增加一道隔声屏障。</w:t>
            </w:r>
          </w:p>
          <w:p>
            <w:pPr>
              <w:spacing w:line="360" w:lineRule="auto"/>
              <w:ind w:firstLine="480" w:firstLineChars="200"/>
              <w:rPr>
                <w:sz w:val="24"/>
                <w:u w:val="single"/>
              </w:rPr>
            </w:pPr>
            <w:r>
              <w:rPr>
                <w:sz w:val="24"/>
                <w:u w:val="single"/>
              </w:rPr>
              <w:t>⑤严格控制运输车辆在厂区内的车速，厂区内车速应小于20km/h，并严禁鸣笛。</w:t>
            </w:r>
          </w:p>
          <w:p>
            <w:pPr>
              <w:spacing w:line="360" w:lineRule="auto"/>
              <w:ind w:firstLine="480" w:firstLineChars="200"/>
              <w:rPr>
                <w:sz w:val="24"/>
                <w:u w:val="single"/>
              </w:rPr>
            </w:pPr>
            <w:r>
              <w:rPr>
                <w:rFonts w:hint="eastAsia"/>
                <w:sz w:val="24"/>
                <w:u w:val="single"/>
              </w:rPr>
              <w:t>⑥项目在运输过程中，途经环境敏感点，应降低车速并禁止鸣笛，减少运输过程中产生的噪声对周围环境敏感点的影响。</w:t>
            </w:r>
          </w:p>
          <w:p>
            <w:pPr>
              <w:spacing w:line="360" w:lineRule="auto"/>
              <w:ind w:firstLine="480" w:firstLineChars="200"/>
              <w:rPr>
                <w:sz w:val="24"/>
                <w:u w:val="single"/>
              </w:rPr>
            </w:pPr>
            <w:r>
              <w:rPr>
                <w:rFonts w:hint="eastAsia"/>
                <w:sz w:val="24"/>
                <w:u w:val="single"/>
              </w:rPr>
              <w:t>⑦项目距离东侧、南侧居民区较近，夜间运输装卸等作业对其影响较大，应合理安排夜间运输装卸等作业时间，夜间</w:t>
            </w:r>
            <w:bookmarkStart w:id="4" w:name="_GoBack"/>
            <w:bookmarkEnd w:id="4"/>
            <w:r>
              <w:rPr>
                <w:rFonts w:hint="eastAsia"/>
                <w:sz w:val="24"/>
                <w:u w:val="single"/>
              </w:rPr>
              <w:t>22：00至第二天6：00尽量避免进行运输装卸等作业，如需夜间进行运输装卸等作业，应与周边住户沟通，并避开其休息时间进行，夜间运输车辆禁止鸣笛。</w:t>
            </w:r>
          </w:p>
          <w:p>
            <w:pPr>
              <w:spacing w:line="360" w:lineRule="auto"/>
              <w:ind w:firstLine="480" w:firstLineChars="200"/>
              <w:rPr>
                <w:sz w:val="24"/>
              </w:rPr>
            </w:pPr>
            <w:r>
              <w:rPr>
                <w:sz w:val="24"/>
              </w:rPr>
              <w:t>采取上述方式处理后，项目厂界</w:t>
            </w:r>
            <w:r>
              <w:rPr>
                <w:rFonts w:hint="eastAsia"/>
                <w:sz w:val="24"/>
              </w:rPr>
              <w:t>四周</w:t>
            </w:r>
            <w:r>
              <w:rPr>
                <w:sz w:val="24"/>
              </w:rPr>
              <w:t>噪声排放满足《工业企业厂界环境噪声排放标准》（GB12348-2008）中</w:t>
            </w:r>
            <w:r>
              <w:rPr>
                <w:rFonts w:hint="eastAsia"/>
                <w:sz w:val="24"/>
              </w:rPr>
              <w:t>2类</w:t>
            </w:r>
            <w:r>
              <w:rPr>
                <w:sz w:val="24"/>
              </w:rPr>
              <w:t>标准要求，周围敏感点满足《声环境质量标准》（GB3096-2008）中2类区标准要求，对周围声环境影响较小。</w:t>
            </w:r>
          </w:p>
          <w:p>
            <w:pPr>
              <w:pStyle w:val="24"/>
              <w:spacing w:line="360" w:lineRule="auto"/>
              <w:ind w:firstLine="482"/>
              <w:rPr>
                <w:rFonts w:ascii="Times New Roman" w:hAnsi="Times New Roman" w:cs="Times New Roman"/>
                <w:bCs/>
                <w:color w:val="auto"/>
                <w:sz w:val="24"/>
                <w:szCs w:val="24"/>
              </w:rPr>
            </w:pPr>
            <w:r>
              <w:rPr>
                <w:rFonts w:hint="eastAsia" w:ascii="Times New Roman" w:hAnsi="Times New Roman" w:cs="Times New Roman"/>
                <w:b/>
                <w:color w:val="auto"/>
                <w:sz w:val="24"/>
                <w:szCs w:val="24"/>
              </w:rPr>
              <w:t>（4）噪声环境监测计划</w:t>
            </w:r>
          </w:p>
          <w:p>
            <w:pPr>
              <w:pStyle w:val="24"/>
              <w:spacing w:line="360" w:lineRule="auto"/>
              <w:ind w:firstLine="480"/>
              <w:rPr>
                <w:rFonts w:ascii="Times New Roman" w:hAnsi="Times New Roman" w:cs="Times New Roman"/>
                <w:b/>
                <w:color w:val="auto"/>
                <w:sz w:val="24"/>
                <w:szCs w:val="24"/>
                <w:u w:val="single"/>
              </w:rPr>
            </w:pPr>
            <w:r>
              <w:rPr>
                <w:rFonts w:hint="eastAsia" w:ascii="Times New Roman" w:hAnsi="Times New Roman" w:cs="Times New Roman"/>
                <w:color w:val="auto"/>
                <w:sz w:val="24"/>
                <w:szCs w:val="24"/>
                <w:u w:val="single"/>
              </w:rPr>
              <w:t>按照《排污单位自行监测技术指南 总则》（HJ 819-2017）及《排污单位自行监测技术指南 火力发电及锅炉》（HJ820-2017）等相关要求，</w:t>
            </w:r>
            <w:r>
              <w:rPr>
                <w:rFonts w:hint="eastAsia" w:ascii="Times New Roman" w:hAnsi="Times New Roman" w:cs="Times New Roman"/>
                <w:bCs/>
                <w:color w:val="auto"/>
                <w:sz w:val="24"/>
                <w:szCs w:val="24"/>
                <w:u w:val="single"/>
              </w:rPr>
              <w:t>项目噪声监测计划详见下表。</w:t>
            </w:r>
          </w:p>
          <w:p>
            <w:pPr>
              <w:pStyle w:val="23"/>
              <w:ind w:left="0" w:firstLine="0"/>
              <w:rPr>
                <w:u w:val="none"/>
              </w:rPr>
            </w:pPr>
            <w:r>
              <w:rPr>
                <w:rFonts w:hint="eastAsia"/>
                <w:u w:val="none"/>
              </w:rPr>
              <w:t>噪声污染源监测计划表</w:t>
            </w:r>
          </w:p>
          <w:tbl>
            <w:tblPr>
              <w:tblStyle w:val="19"/>
              <w:tblW w:w="7951"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816"/>
              <w:gridCol w:w="3034"/>
              <w:gridCol w:w="2118"/>
              <w:gridCol w:w="198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Align w:val="center"/>
                </w:tcPr>
                <w:p>
                  <w:pPr>
                    <w:ind w:firstLine="438"/>
                    <w:jc w:val="center"/>
                    <w:rPr>
                      <w:b/>
                      <w:bCs/>
                      <w:spacing w:val="-11"/>
                    </w:rPr>
                  </w:pPr>
                  <w:r>
                    <w:rPr>
                      <w:rFonts w:hint="eastAsia"/>
                      <w:b/>
                      <w:bCs/>
                      <w:spacing w:val="-11"/>
                    </w:rPr>
                    <w:t>项目</w:t>
                  </w:r>
                </w:p>
              </w:tc>
              <w:tc>
                <w:tcPr>
                  <w:tcW w:w="3034" w:type="dxa"/>
                  <w:vAlign w:val="center"/>
                </w:tcPr>
                <w:p>
                  <w:pPr>
                    <w:ind w:firstLine="458"/>
                    <w:jc w:val="center"/>
                    <w:rPr>
                      <w:b/>
                      <w:bCs/>
                      <w:spacing w:val="-6"/>
                    </w:rPr>
                  </w:pPr>
                  <w:r>
                    <w:rPr>
                      <w:rFonts w:hint="eastAsia"/>
                      <w:b/>
                      <w:bCs/>
                      <w:spacing w:val="-6"/>
                    </w:rPr>
                    <w:t>监测点位</w:t>
                  </w:r>
                </w:p>
              </w:tc>
              <w:tc>
                <w:tcPr>
                  <w:tcW w:w="2118" w:type="dxa"/>
                  <w:vAlign w:val="center"/>
                </w:tcPr>
                <w:p>
                  <w:pPr>
                    <w:ind w:firstLine="458"/>
                    <w:jc w:val="center"/>
                    <w:rPr>
                      <w:b/>
                      <w:bCs/>
                      <w:spacing w:val="-6"/>
                    </w:rPr>
                  </w:pPr>
                  <w:r>
                    <w:rPr>
                      <w:rFonts w:hint="eastAsia"/>
                      <w:b/>
                      <w:bCs/>
                      <w:spacing w:val="-6"/>
                    </w:rPr>
                    <w:t>监测因子</w:t>
                  </w:r>
                </w:p>
              </w:tc>
              <w:tc>
                <w:tcPr>
                  <w:tcW w:w="1983" w:type="dxa"/>
                  <w:vAlign w:val="center"/>
                </w:tcPr>
                <w:p>
                  <w:pPr>
                    <w:ind w:firstLine="438"/>
                    <w:jc w:val="center"/>
                    <w:rPr>
                      <w:b/>
                      <w:bCs/>
                      <w:spacing w:val="-11"/>
                    </w:rPr>
                  </w:pPr>
                  <w:r>
                    <w:rPr>
                      <w:rFonts w:hint="eastAsia"/>
                      <w:b/>
                      <w:bCs/>
                      <w:spacing w:val="-11"/>
                    </w:rPr>
                    <w:t>监测频次</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Merge w:val="restart"/>
                  <w:vAlign w:val="center"/>
                </w:tcPr>
                <w:p>
                  <w:pPr>
                    <w:ind w:firstLine="436"/>
                    <w:jc w:val="center"/>
                    <w:rPr>
                      <w:spacing w:val="-11"/>
                    </w:rPr>
                  </w:pPr>
                  <w:r>
                    <w:rPr>
                      <w:rFonts w:hint="eastAsia"/>
                      <w:spacing w:val="-11"/>
                    </w:rPr>
                    <w:t>噪声</w:t>
                  </w:r>
                </w:p>
              </w:tc>
              <w:tc>
                <w:tcPr>
                  <w:tcW w:w="3034" w:type="dxa"/>
                  <w:vAlign w:val="center"/>
                </w:tcPr>
                <w:p>
                  <w:pPr>
                    <w:jc w:val="center"/>
                  </w:pPr>
                  <w:r>
                    <w:rPr>
                      <w:rFonts w:hint="eastAsia"/>
                    </w:rPr>
                    <w:t>厂界四周</w:t>
                  </w:r>
                </w:p>
              </w:tc>
              <w:tc>
                <w:tcPr>
                  <w:tcW w:w="2118" w:type="dxa"/>
                  <w:vAlign w:val="center"/>
                </w:tcPr>
                <w:p>
                  <w:pPr>
                    <w:jc w:val="center"/>
                    <w:rPr>
                      <w:szCs w:val="21"/>
                    </w:rPr>
                  </w:pPr>
                  <w:r>
                    <w:rPr>
                      <w:szCs w:val="21"/>
                    </w:rPr>
                    <w:t>等效连续A声级</w:t>
                  </w:r>
                </w:p>
              </w:tc>
              <w:tc>
                <w:tcPr>
                  <w:tcW w:w="1983" w:type="dxa"/>
                  <w:vAlign w:val="center"/>
                </w:tcPr>
                <w:p>
                  <w:pPr>
                    <w:ind w:firstLine="436"/>
                    <w:jc w:val="center"/>
                    <w:rPr>
                      <w:szCs w:val="21"/>
                    </w:rPr>
                  </w:pPr>
                  <w:r>
                    <w:rPr>
                      <w:rFonts w:hint="eastAsia"/>
                      <w:spacing w:val="-11"/>
                    </w:rPr>
                    <w:t>1次/</w:t>
                  </w:r>
                  <w:r>
                    <w:rPr>
                      <w:szCs w:val="21"/>
                    </w:rPr>
                    <w:t>季度</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16" w:type="dxa"/>
                  <w:vMerge w:val="continue"/>
                  <w:vAlign w:val="center"/>
                </w:tcPr>
                <w:p>
                  <w:pPr>
                    <w:ind w:firstLine="436"/>
                    <w:jc w:val="center"/>
                    <w:rPr>
                      <w:spacing w:val="-11"/>
                    </w:rPr>
                  </w:pPr>
                </w:p>
              </w:tc>
              <w:tc>
                <w:tcPr>
                  <w:tcW w:w="3034" w:type="dxa"/>
                  <w:vAlign w:val="center"/>
                </w:tcPr>
                <w:p>
                  <w:pPr>
                    <w:jc w:val="center"/>
                  </w:pPr>
                  <w:r>
                    <w:rPr>
                      <w:rFonts w:hint="eastAsia"/>
                    </w:rPr>
                    <w:t>东侧、南侧最近敏感点</w:t>
                  </w:r>
                </w:p>
              </w:tc>
              <w:tc>
                <w:tcPr>
                  <w:tcW w:w="2118" w:type="dxa"/>
                  <w:vAlign w:val="center"/>
                </w:tcPr>
                <w:p>
                  <w:pPr>
                    <w:jc w:val="center"/>
                    <w:rPr>
                      <w:szCs w:val="21"/>
                    </w:rPr>
                  </w:pPr>
                  <w:r>
                    <w:rPr>
                      <w:szCs w:val="21"/>
                    </w:rPr>
                    <w:t>等效连续A声级</w:t>
                  </w:r>
                </w:p>
              </w:tc>
              <w:tc>
                <w:tcPr>
                  <w:tcW w:w="1983" w:type="dxa"/>
                  <w:vAlign w:val="center"/>
                </w:tcPr>
                <w:p>
                  <w:pPr>
                    <w:ind w:firstLine="436"/>
                    <w:jc w:val="center"/>
                    <w:rPr>
                      <w:spacing w:val="-11"/>
                    </w:rPr>
                  </w:pPr>
                  <w:r>
                    <w:rPr>
                      <w:rFonts w:hint="eastAsia"/>
                      <w:spacing w:val="-11"/>
                    </w:rPr>
                    <w:t>1次/</w:t>
                  </w:r>
                  <w:r>
                    <w:rPr>
                      <w:szCs w:val="21"/>
                    </w:rPr>
                    <w:t>季度</w:t>
                  </w:r>
                </w:p>
              </w:tc>
            </w:tr>
          </w:tbl>
          <w:p>
            <w:pPr>
              <w:pStyle w:val="24"/>
              <w:spacing w:beforeLines="50" w:line="360" w:lineRule="auto"/>
              <w:ind w:firstLine="482"/>
              <w:rPr>
                <w:rFonts w:ascii="Times New Roman" w:hAnsi="Times New Roman" w:cs="Times New Roman"/>
                <w:b/>
                <w:color w:val="auto"/>
                <w:sz w:val="24"/>
                <w:szCs w:val="24"/>
              </w:rPr>
            </w:pPr>
            <w:r>
              <w:rPr>
                <w:rFonts w:hint="eastAsia" w:ascii="Times New Roman" w:hAnsi="Times New Roman" w:cs="Times New Roman"/>
                <w:b/>
                <w:color w:val="auto"/>
                <w:sz w:val="24"/>
                <w:szCs w:val="24"/>
              </w:rPr>
              <w:t>4、固体废物</w:t>
            </w:r>
          </w:p>
          <w:p>
            <w:pPr>
              <w:spacing w:line="360" w:lineRule="auto"/>
              <w:ind w:firstLine="480" w:firstLineChars="200"/>
              <w:rPr>
                <w:sz w:val="24"/>
              </w:rPr>
            </w:pPr>
            <w:r>
              <w:rPr>
                <w:sz w:val="24"/>
              </w:rPr>
              <w:t>（1）固体废物产生及处置情况</w:t>
            </w:r>
          </w:p>
          <w:p>
            <w:pPr>
              <w:pStyle w:val="24"/>
              <w:spacing w:line="360" w:lineRule="auto"/>
              <w:ind w:firstLine="480"/>
              <w:rPr>
                <w:rFonts w:ascii="Times New Roman" w:hAnsi="Times New Roman" w:cs="Times New Roman"/>
                <w:color w:val="auto"/>
                <w:sz w:val="24"/>
                <w:szCs w:val="24"/>
              </w:rPr>
            </w:pPr>
            <w:r>
              <w:rPr>
                <w:rFonts w:hint="eastAsia" w:ascii="Times New Roman" w:hAnsi="Times New Roman" w:cs="Times New Roman"/>
                <w:color w:val="auto"/>
                <w:sz w:val="24"/>
                <w:szCs w:val="24"/>
              </w:rPr>
              <w:t>项目不新增员工，员工由企业内部进行调配，无新增生活垃圾产生，现有生活垃圾交由环卫部门统一处理。项目固体废物主要为锅炉灰渣、除尘器收集的粉尘、废布袋及废离子交换树脂。</w:t>
            </w:r>
          </w:p>
          <w:p>
            <w:pPr>
              <w:pStyle w:val="24"/>
              <w:spacing w:line="360" w:lineRule="auto"/>
              <w:ind w:firstLine="480"/>
              <w:rPr>
                <w:rFonts w:ascii="Times New Roman" w:hAnsi="Times New Roman" w:cs="Times New Roman"/>
                <w:color w:val="auto"/>
                <w:sz w:val="24"/>
                <w:szCs w:val="24"/>
              </w:rPr>
            </w:pPr>
            <w:r>
              <w:rPr>
                <w:rFonts w:hint="eastAsia" w:ascii="Times New Roman" w:hAnsi="Times New Roman" w:cs="Times New Roman"/>
                <w:color w:val="auto"/>
                <w:sz w:val="24"/>
                <w:szCs w:val="24"/>
              </w:rPr>
              <w:t>①锅炉灰渣</w:t>
            </w:r>
          </w:p>
          <w:p>
            <w:pPr>
              <w:pStyle w:val="24"/>
              <w:spacing w:line="360" w:lineRule="auto"/>
              <w:ind w:firstLine="480"/>
              <w:rPr>
                <w:rFonts w:ascii="Times New Roman" w:hAnsi="Times New Roman" w:cs="Times New Roman"/>
                <w:color w:val="auto"/>
                <w:sz w:val="24"/>
                <w:szCs w:val="24"/>
              </w:rPr>
            </w:pPr>
            <w:r>
              <w:rPr>
                <w:rFonts w:hint="eastAsia" w:ascii="Times New Roman" w:hAnsi="Times New Roman" w:cs="Times New Roman"/>
                <w:color w:val="auto"/>
                <w:sz w:val="24"/>
                <w:szCs w:val="24"/>
              </w:rPr>
              <w:t>根据《污染源源强核算技术指南 锅炉》（HJ991-2018）中锅炉灰渣计算公式：</w:t>
            </w:r>
          </w:p>
          <w:p>
            <w:pPr>
              <w:pStyle w:val="24"/>
              <w:spacing w:line="360" w:lineRule="auto"/>
              <w:ind w:firstLine="0" w:firstLineChars="0"/>
              <w:jc w:val="center"/>
              <w:rPr>
                <w:rFonts w:ascii="Times New Roman" w:hAnsi="Times New Roman" w:cs="Times New Roman"/>
                <w:color w:val="auto"/>
                <w:sz w:val="24"/>
                <w:szCs w:val="24"/>
              </w:rPr>
            </w:pPr>
            <w:r>
              <w:rPr>
                <w:rFonts w:ascii="Times New Roman" w:hAnsi="Times New Roman" w:eastAsia="宋体" w:cs="Times New Roman"/>
                <w:color w:val="auto"/>
                <w:kern w:val="2"/>
                <w:position w:val="-32"/>
                <w:sz w:val="24"/>
                <w:szCs w:val="24"/>
                <w:lang w:val="en-US" w:eastAsia="zh-CN" w:bidi="ar-SA"/>
              </w:rPr>
              <w:pict>
                <v:shape id="_x0000_i1151" o:spt="75" type="#_x0000_t75" style="height:37.65pt;width:151.55pt;" fillcolor="#FFFFFF" filled="f" o:preferrelative="t" stroked="f" coordsize="21600,21600">
                  <v:path/>
                  <v:fill on="f" color2="#FFFFFF" focussize="0,0"/>
                  <v:stroke on="f"/>
                  <v:imagedata r:id="rId25" gain="65536f" blacklevel="0f" gamma="0" o:title=""/>
                  <o:lock v:ext="edit" position="f" selection="f" grouping="f" rotation="f" cropping="f" text="f" aspectratio="t"/>
                  <w10:wrap type="none"/>
                  <w10:anchorlock/>
                </v:shape>
              </w:pict>
            </w:r>
          </w:p>
          <w:p>
            <w:pPr>
              <w:pStyle w:val="24"/>
              <w:spacing w:line="360" w:lineRule="auto"/>
              <w:ind w:firstLine="480"/>
              <w:rPr>
                <w:rFonts w:ascii="Times New Roman" w:hAnsi="Times New Roman" w:cs="Times New Roman"/>
                <w:color w:val="auto"/>
                <w:sz w:val="24"/>
                <w:szCs w:val="24"/>
              </w:rPr>
            </w:pPr>
            <w:r>
              <w:rPr>
                <w:rFonts w:ascii="Times New Roman" w:hAnsi="Times New Roman" w:cs="Times New Roman"/>
                <w:color w:val="auto"/>
                <w:sz w:val="24"/>
                <w:szCs w:val="24"/>
              </w:rPr>
              <w:t>式中：E</w:t>
            </w:r>
            <w:r>
              <w:rPr>
                <w:rFonts w:ascii="Times New Roman" w:hAnsi="Times New Roman" w:cs="Times New Roman"/>
                <w:color w:val="auto"/>
                <w:sz w:val="24"/>
                <w:szCs w:val="24"/>
                <w:vertAlign w:val="subscript"/>
              </w:rPr>
              <w:t>h</w:t>
            </w:r>
            <w:r>
              <w:rPr>
                <w:rFonts w:ascii="Times New Roman" w:hAnsi="Times New Roman" w:cs="Times New Roman"/>
                <w:color w:val="auto"/>
                <w:sz w:val="24"/>
                <w:szCs w:val="24"/>
              </w:rPr>
              <w:t>——核算时段内灰渣产生量，t；</w:t>
            </w:r>
          </w:p>
          <w:p>
            <w:pPr>
              <w:pStyle w:val="24"/>
              <w:spacing w:line="360" w:lineRule="auto"/>
              <w:ind w:firstLine="1200" w:firstLineChars="500"/>
              <w:rPr>
                <w:rFonts w:ascii="Times New Roman" w:hAnsi="Times New Roman" w:cs="Times New Roman"/>
                <w:color w:val="auto"/>
                <w:sz w:val="24"/>
                <w:szCs w:val="24"/>
              </w:rPr>
            </w:pPr>
            <w:r>
              <w:rPr>
                <w:rFonts w:ascii="Times New Roman" w:hAnsi="Times New Roman" w:cs="Times New Roman"/>
                <w:color w:val="auto"/>
                <w:sz w:val="24"/>
                <w:szCs w:val="24"/>
              </w:rPr>
              <w:t>R——核算时段内锅炉燃料耗量，t，本项目取</w:t>
            </w:r>
            <w:r>
              <w:rPr>
                <w:rFonts w:hint="eastAsia" w:ascii="Times New Roman" w:hAnsi="Times New Roman" w:cs="Times New Roman"/>
                <w:color w:val="auto"/>
                <w:sz w:val="24"/>
                <w:szCs w:val="24"/>
              </w:rPr>
              <w:t>300</w:t>
            </w:r>
            <w:r>
              <w:rPr>
                <w:rFonts w:ascii="Times New Roman" w:hAnsi="Times New Roman" w:cs="Times New Roman"/>
                <w:color w:val="auto"/>
                <w:sz w:val="24"/>
                <w:szCs w:val="24"/>
              </w:rPr>
              <w:t>；</w:t>
            </w:r>
          </w:p>
          <w:p>
            <w:pPr>
              <w:pStyle w:val="24"/>
              <w:spacing w:line="360" w:lineRule="auto"/>
              <w:ind w:firstLine="1200" w:firstLineChars="500"/>
              <w:rPr>
                <w:rFonts w:ascii="Times New Roman" w:hAnsi="Times New Roman" w:cs="Times New Roman"/>
                <w:color w:val="auto"/>
                <w:sz w:val="24"/>
                <w:szCs w:val="24"/>
              </w:rPr>
            </w:pPr>
            <w:r>
              <w:rPr>
                <w:rFonts w:ascii="Times New Roman" w:hAnsi="Times New Roman" w:cs="Times New Roman"/>
                <w:color w:val="auto"/>
                <w:sz w:val="24"/>
                <w:szCs w:val="24"/>
              </w:rPr>
              <w:t>A</w:t>
            </w:r>
            <w:r>
              <w:rPr>
                <w:rFonts w:ascii="Times New Roman" w:hAnsi="Times New Roman" w:cs="Times New Roman"/>
                <w:color w:val="auto"/>
                <w:sz w:val="24"/>
                <w:szCs w:val="24"/>
                <w:vertAlign w:val="subscript"/>
              </w:rPr>
              <w:t>ar</w:t>
            </w:r>
            <w:r>
              <w:rPr>
                <w:rFonts w:ascii="Times New Roman" w:hAnsi="Times New Roman" w:cs="Times New Roman"/>
                <w:color w:val="auto"/>
                <w:sz w:val="24"/>
                <w:szCs w:val="24"/>
              </w:rPr>
              <w:t>——收到基灰分的质量分数，%，A</w:t>
            </w:r>
            <w:r>
              <w:rPr>
                <w:rFonts w:ascii="Times New Roman" w:hAnsi="Times New Roman" w:cs="Times New Roman"/>
                <w:color w:val="auto"/>
                <w:sz w:val="24"/>
                <w:szCs w:val="24"/>
                <w:vertAlign w:val="subscript"/>
              </w:rPr>
              <w:t>ar</w:t>
            </w:r>
            <w:r>
              <w:rPr>
                <w:rFonts w:ascii="Times New Roman" w:hAnsi="Times New Roman" w:cs="Times New Roman"/>
                <w:color w:val="auto"/>
                <w:sz w:val="24"/>
                <w:szCs w:val="24"/>
              </w:rPr>
              <w:t>=A</w:t>
            </w:r>
            <w:r>
              <w:rPr>
                <w:rFonts w:ascii="Times New Roman" w:hAnsi="Times New Roman" w:cs="Times New Roman"/>
                <w:color w:val="auto"/>
                <w:sz w:val="24"/>
                <w:szCs w:val="24"/>
                <w:vertAlign w:val="subscript"/>
              </w:rPr>
              <w:t>d</w:t>
            </w:r>
            <w:r>
              <w:rPr>
                <w:rFonts w:ascii="Times New Roman" w:hAnsi="Times New Roman" w:cs="Times New Roman"/>
                <w:color w:val="auto"/>
                <w:sz w:val="24"/>
                <w:szCs w:val="24"/>
              </w:rPr>
              <w:t>×（100-M</w:t>
            </w:r>
            <w:r>
              <w:rPr>
                <w:rFonts w:ascii="Times New Roman" w:hAnsi="Times New Roman" w:cs="Times New Roman"/>
                <w:color w:val="auto"/>
                <w:sz w:val="24"/>
                <w:szCs w:val="24"/>
                <w:vertAlign w:val="subscript"/>
              </w:rPr>
              <w:t>t</w:t>
            </w:r>
            <w:r>
              <w:rPr>
                <w:rFonts w:ascii="Times New Roman" w:hAnsi="Times New Roman" w:cs="Times New Roman"/>
                <w:color w:val="auto"/>
                <w:sz w:val="24"/>
                <w:szCs w:val="24"/>
              </w:rPr>
              <w:t>）/100，A</w:t>
            </w:r>
            <w:r>
              <w:rPr>
                <w:rFonts w:ascii="Times New Roman" w:hAnsi="Times New Roman" w:cs="Times New Roman"/>
                <w:color w:val="auto"/>
                <w:sz w:val="24"/>
                <w:szCs w:val="24"/>
                <w:vertAlign w:val="subscript"/>
              </w:rPr>
              <w:t>d</w:t>
            </w:r>
            <w:r>
              <w:rPr>
                <w:rFonts w:ascii="Times New Roman" w:hAnsi="Times New Roman" w:cs="Times New Roman"/>
                <w:color w:val="auto"/>
                <w:sz w:val="24"/>
                <w:szCs w:val="24"/>
              </w:rPr>
              <w:t>=1.</w:t>
            </w:r>
            <w:r>
              <w:rPr>
                <w:rFonts w:hint="eastAsia" w:cs="Times New Roman"/>
                <w:color w:val="auto"/>
                <w:sz w:val="24"/>
                <w:szCs w:val="24"/>
              </w:rPr>
              <w:t>39</w:t>
            </w:r>
            <w:r>
              <w:rPr>
                <w:rFonts w:ascii="Times New Roman" w:hAnsi="Times New Roman" w:cs="Times New Roman"/>
                <w:color w:val="auto"/>
                <w:sz w:val="24"/>
                <w:szCs w:val="24"/>
              </w:rPr>
              <w:t>，M</w:t>
            </w:r>
            <w:r>
              <w:rPr>
                <w:rFonts w:ascii="Times New Roman" w:hAnsi="Times New Roman" w:cs="Times New Roman"/>
                <w:color w:val="auto"/>
                <w:sz w:val="24"/>
                <w:szCs w:val="24"/>
                <w:vertAlign w:val="subscript"/>
              </w:rPr>
              <w:t>t</w:t>
            </w:r>
            <w:r>
              <w:rPr>
                <w:rFonts w:ascii="Times New Roman" w:hAnsi="Times New Roman" w:cs="Times New Roman"/>
                <w:color w:val="auto"/>
                <w:sz w:val="24"/>
                <w:szCs w:val="24"/>
              </w:rPr>
              <w:t>=6.</w:t>
            </w:r>
            <w:r>
              <w:rPr>
                <w:rFonts w:hint="eastAsia" w:cs="Times New Roman"/>
                <w:color w:val="auto"/>
                <w:sz w:val="24"/>
                <w:szCs w:val="24"/>
              </w:rPr>
              <w:t>4</w:t>
            </w:r>
            <w:r>
              <w:rPr>
                <w:rFonts w:ascii="Times New Roman" w:hAnsi="Times New Roman" w:cs="Times New Roman"/>
                <w:color w:val="auto"/>
                <w:sz w:val="24"/>
                <w:szCs w:val="24"/>
              </w:rPr>
              <w:t>，则A</w:t>
            </w:r>
            <w:r>
              <w:rPr>
                <w:rFonts w:ascii="Times New Roman" w:hAnsi="Times New Roman" w:cs="Times New Roman"/>
                <w:color w:val="auto"/>
                <w:sz w:val="24"/>
                <w:szCs w:val="24"/>
                <w:vertAlign w:val="subscript"/>
              </w:rPr>
              <w:t>ar</w:t>
            </w:r>
            <w:r>
              <w:rPr>
                <w:rFonts w:ascii="Times New Roman" w:hAnsi="Times New Roman" w:cs="Times New Roman"/>
                <w:color w:val="auto"/>
                <w:sz w:val="24"/>
                <w:szCs w:val="24"/>
              </w:rPr>
              <w:t>=1.3</w:t>
            </w:r>
            <w:r>
              <w:rPr>
                <w:rFonts w:hint="eastAsia" w:cs="Times New Roman"/>
                <w:color w:val="auto"/>
                <w:sz w:val="24"/>
                <w:szCs w:val="24"/>
              </w:rPr>
              <w:t>0</w:t>
            </w:r>
            <w:r>
              <w:rPr>
                <w:rFonts w:ascii="Times New Roman" w:hAnsi="Times New Roman" w:cs="Times New Roman"/>
                <w:color w:val="auto"/>
                <w:sz w:val="24"/>
                <w:szCs w:val="24"/>
              </w:rPr>
              <w:t>；</w:t>
            </w:r>
          </w:p>
          <w:p>
            <w:pPr>
              <w:pStyle w:val="24"/>
              <w:spacing w:line="360" w:lineRule="auto"/>
              <w:ind w:firstLine="1200" w:firstLineChars="500"/>
              <w:rPr>
                <w:rFonts w:ascii="Times New Roman" w:hAnsi="Times New Roman" w:cs="Times New Roman"/>
                <w:color w:val="auto"/>
                <w:sz w:val="24"/>
                <w:szCs w:val="24"/>
              </w:rPr>
            </w:pPr>
            <w:r>
              <w:rPr>
                <w:rFonts w:ascii="Times New Roman" w:hAnsi="Times New Roman" w:cs="Times New Roman"/>
                <w:color w:val="auto"/>
                <w:sz w:val="24"/>
                <w:szCs w:val="24"/>
              </w:rPr>
              <w:t>q</w:t>
            </w:r>
            <w:r>
              <w:rPr>
                <w:rFonts w:ascii="Times New Roman" w:hAnsi="Times New Roman" w:cs="Times New Roman"/>
                <w:color w:val="auto"/>
                <w:sz w:val="24"/>
                <w:szCs w:val="24"/>
                <w:vertAlign w:val="subscript"/>
              </w:rPr>
              <w:t>4</w:t>
            </w:r>
            <w:r>
              <w:rPr>
                <w:rFonts w:ascii="Times New Roman" w:hAnsi="Times New Roman" w:cs="Times New Roman"/>
                <w:color w:val="auto"/>
                <w:sz w:val="24"/>
                <w:szCs w:val="24"/>
              </w:rPr>
              <w:t>——锅炉机械不完全燃烧热损失，%，根据《污染源源强核算技术指南 锅炉》（HJ991-2018）附录B中表B.1及《排污许可证申请与核发技术规范 锅炉》（HJ953-2018）中表11，本项目取10；</w:t>
            </w:r>
          </w:p>
          <w:p>
            <w:pPr>
              <w:pStyle w:val="24"/>
              <w:spacing w:line="360" w:lineRule="auto"/>
              <w:ind w:firstLine="1200" w:firstLineChars="500"/>
              <w:rPr>
                <w:rFonts w:ascii="Times New Roman" w:hAnsi="Times New Roman" w:cs="Times New Roman"/>
                <w:color w:val="auto"/>
                <w:sz w:val="24"/>
                <w:szCs w:val="24"/>
              </w:rPr>
            </w:pPr>
            <w:r>
              <w:rPr>
                <w:rFonts w:ascii="Times New Roman" w:hAnsi="Times New Roman" w:cs="Times New Roman"/>
                <w:color w:val="auto"/>
                <w:sz w:val="24"/>
                <w:szCs w:val="24"/>
              </w:rPr>
              <w:t>Q</w:t>
            </w:r>
            <w:r>
              <w:rPr>
                <w:rFonts w:ascii="Times New Roman" w:hAnsi="Times New Roman" w:cs="Times New Roman"/>
                <w:color w:val="auto"/>
                <w:sz w:val="24"/>
                <w:szCs w:val="24"/>
                <w:vertAlign w:val="subscript"/>
              </w:rPr>
              <w:t>net,ar</w:t>
            </w:r>
            <w:r>
              <w:rPr>
                <w:rFonts w:ascii="Times New Roman" w:hAnsi="Times New Roman" w:cs="Times New Roman"/>
                <w:color w:val="auto"/>
                <w:sz w:val="24"/>
                <w:szCs w:val="24"/>
              </w:rPr>
              <w:t>——收到基低位发热量，kJ/kg，本项目取17590。</w:t>
            </w:r>
          </w:p>
          <w:p>
            <w:pPr>
              <w:pStyle w:val="24"/>
              <w:spacing w:line="360" w:lineRule="auto"/>
              <w:ind w:firstLine="480"/>
              <w:rPr>
                <w:rFonts w:ascii="Times New Roman" w:hAnsi="Times New Roman" w:cs="Times New Roman"/>
                <w:color w:val="auto"/>
                <w:sz w:val="24"/>
                <w:szCs w:val="24"/>
                <w:u w:val="single"/>
              </w:rPr>
            </w:pPr>
            <w:r>
              <w:rPr>
                <w:rFonts w:ascii="Times New Roman" w:hAnsi="Times New Roman" w:cs="Times New Roman"/>
                <w:color w:val="auto"/>
                <w:sz w:val="24"/>
                <w:szCs w:val="24"/>
                <w:u w:val="single"/>
              </w:rPr>
              <w:t>经计算，本项目锅炉灰渣产生量约为19.48t/a，属于一般工业固体废物，</w:t>
            </w:r>
            <w:r>
              <w:rPr>
                <w:rFonts w:ascii="Times New Roman" w:hAnsi="Times New Roman" w:cs="Times New Roman"/>
                <w:color w:val="auto"/>
                <w:sz w:val="24"/>
                <w:u w:val="single"/>
              </w:rPr>
              <w:t>根据《固体废物分类与代码目录（2024年）》，</w:t>
            </w:r>
            <w:r>
              <w:rPr>
                <w:rFonts w:ascii="Times New Roman" w:hAnsi="Times New Roman" w:cs="Times New Roman"/>
                <w:color w:val="auto"/>
                <w:sz w:val="24"/>
                <w:szCs w:val="24"/>
                <w:u w:val="single"/>
              </w:rPr>
              <w:t>锅炉灰渣</w:t>
            </w:r>
            <w:r>
              <w:rPr>
                <w:rFonts w:ascii="Times New Roman" w:hAnsi="Times New Roman" w:cs="Times New Roman"/>
                <w:color w:val="auto"/>
                <w:sz w:val="24"/>
                <w:u w:val="single"/>
              </w:rPr>
              <w:t>属SW03炉渣，废物代码900-099-S03，</w:t>
            </w:r>
            <w:r>
              <w:rPr>
                <w:rFonts w:hint="eastAsia" w:ascii="Times New Roman" w:hAnsi="Times New Roman" w:cs="Times New Roman"/>
                <w:color w:val="auto"/>
                <w:sz w:val="24"/>
                <w:szCs w:val="24"/>
                <w:u w:val="single"/>
              </w:rPr>
              <w:t>收集后暂存于锅炉房内指定区域，密闭袋装暂存，</w:t>
            </w:r>
            <w:r>
              <w:rPr>
                <w:rFonts w:ascii="Times New Roman" w:hAnsi="Times New Roman" w:cs="Times New Roman"/>
                <w:color w:val="auto"/>
                <w:sz w:val="24"/>
                <w:szCs w:val="24"/>
                <w:u w:val="single"/>
              </w:rPr>
              <w:t>外售用作农肥。</w:t>
            </w:r>
          </w:p>
          <w:p>
            <w:pPr>
              <w:pStyle w:val="24"/>
              <w:spacing w:line="360" w:lineRule="auto"/>
              <w:ind w:firstLine="480"/>
              <w:rPr>
                <w:rFonts w:ascii="Times New Roman" w:hAnsi="Times New Roman" w:cs="Times New Roman"/>
                <w:color w:val="auto"/>
                <w:sz w:val="24"/>
                <w:szCs w:val="24"/>
              </w:rPr>
            </w:pPr>
            <w:r>
              <w:rPr>
                <w:rFonts w:hint="eastAsia" w:ascii="Times New Roman" w:hAnsi="Times New Roman" w:cs="Times New Roman"/>
                <w:color w:val="auto"/>
                <w:sz w:val="24"/>
                <w:szCs w:val="24"/>
              </w:rPr>
              <w:t>生物质灰渣中含有丰富的氮、磷、钾等营养元素，可以为作物提供养分，促进植物生长。同时，灰渣中的有机物质可以改善土壤结构，增加土壤保水性和保肥性，提高土壤肥力。通过将生物质灰渣施肥，可以减少实现资源的有效利用，减少废弃物排放，处理方式合理可行。运输过程中以密闭袋装形式外运，可最大限度减少运输过程对环境的影响。</w:t>
            </w:r>
          </w:p>
          <w:p>
            <w:pPr>
              <w:pStyle w:val="24"/>
              <w:spacing w:line="360" w:lineRule="auto"/>
              <w:ind w:firstLine="480"/>
              <w:rPr>
                <w:rFonts w:ascii="Times New Roman" w:hAnsi="Times New Roman" w:cs="Times New Roman"/>
                <w:color w:val="auto"/>
                <w:sz w:val="24"/>
                <w:szCs w:val="24"/>
                <w:u w:val="single"/>
              </w:rPr>
            </w:pPr>
            <w:r>
              <w:rPr>
                <w:rFonts w:ascii="Times New Roman" w:hAnsi="Times New Roman" w:cs="Times New Roman"/>
                <w:color w:val="auto"/>
                <w:sz w:val="24"/>
                <w:szCs w:val="24"/>
                <w:u w:val="single"/>
              </w:rPr>
              <w:t>②除尘器收集的粉尘</w:t>
            </w:r>
          </w:p>
          <w:p>
            <w:pPr>
              <w:pStyle w:val="24"/>
              <w:spacing w:line="360" w:lineRule="auto"/>
              <w:ind w:firstLine="480"/>
              <w:rPr>
                <w:rFonts w:ascii="Times New Roman" w:hAnsi="Times New Roman" w:cs="Times New Roman"/>
                <w:color w:val="auto"/>
                <w:sz w:val="24"/>
                <w:szCs w:val="24"/>
                <w:u w:val="single"/>
              </w:rPr>
            </w:pPr>
            <w:r>
              <w:rPr>
                <w:rFonts w:ascii="Times New Roman" w:hAnsi="Times New Roman" w:cs="Times New Roman"/>
                <w:color w:val="auto"/>
                <w:sz w:val="24"/>
                <w:szCs w:val="24"/>
                <w:u w:val="single"/>
              </w:rPr>
              <w:t>项目锅炉烟气中颗粒物产生量为2.216t/a，除尘器的除尘率99%，则除尘器收集的粉尘的产生量约为2.194t/a，属于一般工业固体废物，</w:t>
            </w:r>
            <w:r>
              <w:rPr>
                <w:rFonts w:ascii="Times New Roman" w:hAnsi="Times New Roman" w:cs="Times New Roman"/>
                <w:color w:val="auto"/>
                <w:sz w:val="24"/>
                <w:u w:val="single"/>
              </w:rPr>
              <w:t>根据《固体废物分类与代码目录（2024年）》，除尘器收集的粉尘属SW59其他工业固体废物，废物代码900-099-S59，</w:t>
            </w:r>
            <w:r>
              <w:rPr>
                <w:rFonts w:hint="eastAsia" w:ascii="Times New Roman" w:hAnsi="Times New Roman" w:cs="Times New Roman"/>
                <w:color w:val="auto"/>
                <w:sz w:val="24"/>
                <w:szCs w:val="24"/>
                <w:u w:val="single"/>
              </w:rPr>
              <w:t>收集后暂存于锅炉房内指定区域，密闭袋装暂存，</w:t>
            </w:r>
            <w:r>
              <w:rPr>
                <w:rFonts w:ascii="Times New Roman" w:hAnsi="Times New Roman" w:cs="Times New Roman"/>
                <w:color w:val="auto"/>
                <w:sz w:val="24"/>
                <w:szCs w:val="24"/>
                <w:u w:val="single"/>
              </w:rPr>
              <w:t>外售用作农肥。</w:t>
            </w:r>
          </w:p>
          <w:p>
            <w:pPr>
              <w:pStyle w:val="24"/>
              <w:spacing w:line="360" w:lineRule="auto"/>
              <w:ind w:firstLine="480"/>
              <w:rPr>
                <w:rFonts w:ascii="Times New Roman" w:hAnsi="Times New Roman" w:cs="Times New Roman"/>
                <w:color w:val="auto"/>
                <w:sz w:val="24"/>
                <w:szCs w:val="24"/>
                <w:u w:val="single"/>
              </w:rPr>
            </w:pPr>
            <w:r>
              <w:rPr>
                <w:rFonts w:ascii="Times New Roman" w:hAnsi="Times New Roman" w:cs="Times New Roman"/>
                <w:color w:val="auto"/>
                <w:sz w:val="24"/>
                <w:szCs w:val="24"/>
                <w:u w:val="single"/>
              </w:rPr>
              <w:t>③废离子交换树脂</w:t>
            </w:r>
          </w:p>
          <w:p>
            <w:pPr>
              <w:pStyle w:val="24"/>
              <w:spacing w:line="360" w:lineRule="auto"/>
              <w:ind w:firstLine="480"/>
              <w:rPr>
                <w:rFonts w:ascii="Times New Roman" w:hAnsi="Times New Roman" w:cs="Times New Roman"/>
                <w:color w:val="auto"/>
                <w:sz w:val="24"/>
                <w:szCs w:val="24"/>
                <w:u w:val="single"/>
              </w:rPr>
            </w:pPr>
            <w:r>
              <w:rPr>
                <w:rFonts w:ascii="Times New Roman" w:hAnsi="Times New Roman" w:cs="Times New Roman"/>
                <w:color w:val="auto"/>
                <w:sz w:val="24"/>
                <w:szCs w:val="24"/>
                <w:u w:val="single"/>
              </w:rPr>
              <w:t>项目锅炉软水制备过程中产生废离子交换树脂，废离子交换树脂每年更换一次，产生量约为0.2t/a，</w:t>
            </w:r>
            <w:r>
              <w:rPr>
                <w:rFonts w:ascii="Times New Roman" w:hAnsi="Times New Roman" w:cs="Times New Roman"/>
                <w:color w:val="auto"/>
                <w:sz w:val="24"/>
                <w:u w:val="single"/>
              </w:rPr>
              <w:t>属于一般工业固体废物，根据《固体废物分类与代码目录（2024年）》，废离子交换树脂属SW59其他工业固体废物，废物代码900-008-S59，</w:t>
            </w:r>
            <w:r>
              <w:rPr>
                <w:rFonts w:ascii="Times New Roman" w:hAnsi="Times New Roman" w:cs="Times New Roman"/>
                <w:color w:val="auto"/>
                <w:sz w:val="24"/>
                <w:szCs w:val="24"/>
                <w:u w:val="single"/>
              </w:rPr>
              <w:t>由厂家定期负责回收更换。</w:t>
            </w:r>
          </w:p>
          <w:p>
            <w:pPr>
              <w:pStyle w:val="24"/>
              <w:spacing w:line="360" w:lineRule="auto"/>
              <w:ind w:firstLine="480"/>
              <w:rPr>
                <w:rFonts w:ascii="Times New Roman" w:hAnsi="Times New Roman" w:cs="Times New Roman"/>
                <w:color w:val="auto"/>
                <w:sz w:val="24"/>
                <w:szCs w:val="24"/>
                <w:u w:val="single"/>
              </w:rPr>
            </w:pPr>
            <w:r>
              <w:rPr>
                <w:rFonts w:ascii="Times New Roman" w:hAnsi="Times New Roman" w:cs="Times New Roman"/>
                <w:color w:val="auto"/>
                <w:sz w:val="24"/>
                <w:szCs w:val="24"/>
                <w:u w:val="single"/>
              </w:rPr>
              <w:t>④废布袋</w:t>
            </w:r>
          </w:p>
          <w:p>
            <w:pPr>
              <w:pStyle w:val="24"/>
              <w:spacing w:line="360" w:lineRule="auto"/>
              <w:ind w:firstLine="480"/>
              <w:rPr>
                <w:rFonts w:ascii="Times New Roman" w:hAnsi="Times New Roman" w:cs="Times New Roman"/>
                <w:color w:val="auto"/>
                <w:sz w:val="24"/>
                <w:szCs w:val="24"/>
                <w:u w:val="single"/>
              </w:rPr>
            </w:pPr>
            <w:r>
              <w:rPr>
                <w:rFonts w:ascii="Times New Roman" w:hAnsi="Times New Roman" w:cs="Times New Roman"/>
                <w:color w:val="auto"/>
                <w:sz w:val="24"/>
                <w:szCs w:val="24"/>
                <w:u w:val="single"/>
              </w:rPr>
              <w:t>为确保除尘效率，需定期更换除尘器内布袋，废布袋产生量约0.1t/a，</w:t>
            </w:r>
            <w:r>
              <w:rPr>
                <w:rFonts w:ascii="Times New Roman" w:hAnsi="Times New Roman" w:cs="Times New Roman"/>
                <w:color w:val="auto"/>
                <w:sz w:val="24"/>
                <w:u w:val="single"/>
              </w:rPr>
              <w:t>属于一般工业固体废物，根据《固体废物分类与代码目录（2024年）》，</w:t>
            </w:r>
            <w:r>
              <w:rPr>
                <w:rFonts w:ascii="Times New Roman" w:hAnsi="Times New Roman" w:cs="Times New Roman"/>
                <w:color w:val="auto"/>
                <w:sz w:val="24"/>
                <w:szCs w:val="24"/>
                <w:u w:val="single"/>
              </w:rPr>
              <w:t>废布袋</w:t>
            </w:r>
            <w:r>
              <w:rPr>
                <w:rFonts w:ascii="Times New Roman" w:hAnsi="Times New Roman" w:cs="Times New Roman"/>
                <w:color w:val="auto"/>
                <w:sz w:val="24"/>
                <w:u w:val="single"/>
              </w:rPr>
              <w:t>属SW59其他工业固体废物，废物代码900-008-S59，</w:t>
            </w:r>
            <w:r>
              <w:rPr>
                <w:rFonts w:ascii="Times New Roman" w:hAnsi="Times New Roman" w:cs="Times New Roman"/>
                <w:color w:val="auto"/>
                <w:sz w:val="24"/>
                <w:szCs w:val="24"/>
                <w:u w:val="single"/>
              </w:rPr>
              <w:t>由厂</w:t>
            </w:r>
            <w:r>
              <w:rPr>
                <w:rFonts w:hint="eastAsia" w:ascii="Times New Roman" w:hAnsi="Times New Roman" w:cs="Times New Roman"/>
                <w:color w:val="auto"/>
                <w:sz w:val="24"/>
                <w:szCs w:val="24"/>
                <w:u w:val="single"/>
              </w:rPr>
              <w:t>家回收。</w:t>
            </w:r>
          </w:p>
          <w:p>
            <w:pPr>
              <w:pStyle w:val="24"/>
              <w:spacing w:line="360" w:lineRule="auto"/>
              <w:ind w:firstLine="480"/>
              <w:rPr>
                <w:rFonts w:ascii="Times New Roman" w:hAnsi="Times New Roman" w:cs="Times New Roman"/>
                <w:color w:val="auto"/>
                <w:sz w:val="24"/>
                <w:szCs w:val="24"/>
              </w:rPr>
            </w:pPr>
            <w:r>
              <w:rPr>
                <w:rFonts w:hint="eastAsia" w:ascii="Times New Roman" w:hAnsi="Times New Roman" w:cs="Times New Roman"/>
                <w:color w:val="auto"/>
                <w:sz w:val="24"/>
                <w:szCs w:val="24"/>
              </w:rPr>
              <w:t>经采取以上处理措施后，项目固废不会产生二次污染，对环境影响较小。</w:t>
            </w:r>
          </w:p>
          <w:p>
            <w:pPr>
              <w:pStyle w:val="24"/>
              <w:spacing w:line="360" w:lineRule="auto"/>
              <w:ind w:firstLine="480"/>
              <w:rPr>
                <w:rFonts w:ascii="Times New Roman" w:hAnsi="Times New Roman" w:cs="Times New Roman"/>
                <w:color w:val="auto"/>
                <w:sz w:val="24"/>
                <w:szCs w:val="24"/>
              </w:rPr>
            </w:pPr>
            <w:r>
              <w:rPr>
                <w:rFonts w:hint="eastAsia" w:ascii="Times New Roman" w:hAnsi="Times New Roman" w:cs="Times New Roman"/>
                <w:color w:val="auto"/>
                <w:sz w:val="24"/>
                <w:szCs w:val="24"/>
              </w:rPr>
              <w:t>（2）环境管理要求</w:t>
            </w:r>
          </w:p>
          <w:p>
            <w:pPr>
              <w:pStyle w:val="24"/>
              <w:spacing w:line="360" w:lineRule="auto"/>
              <w:ind w:firstLine="480"/>
              <w:rPr>
                <w:rFonts w:ascii="Times New Roman" w:hAnsi="Times New Roman" w:cs="Times New Roman"/>
                <w:color w:val="auto"/>
                <w:sz w:val="24"/>
                <w:szCs w:val="24"/>
                <w:u w:val="single"/>
              </w:rPr>
            </w:pPr>
            <w:r>
              <w:rPr>
                <w:rFonts w:hint="eastAsia" w:ascii="Times New Roman" w:hAnsi="Times New Roman" w:cs="Times New Roman"/>
                <w:color w:val="auto"/>
                <w:sz w:val="24"/>
                <w:szCs w:val="24"/>
                <w:u w:val="single"/>
              </w:rPr>
              <w:t>项目一般工业固体废物贮存场所应按照《一般工业固体废物贮存和填埋污染控制标准》（GB18599-2020）中一般工业固体废物贮存场的相关要求进行建设及运行，建设要求如下：</w:t>
            </w:r>
          </w:p>
          <w:p>
            <w:pPr>
              <w:pStyle w:val="24"/>
              <w:spacing w:line="360" w:lineRule="auto"/>
              <w:ind w:firstLine="480"/>
              <w:rPr>
                <w:rFonts w:ascii="Times New Roman" w:hAnsi="Times New Roman" w:cs="Times New Roman"/>
                <w:color w:val="auto"/>
                <w:sz w:val="24"/>
                <w:szCs w:val="24"/>
                <w:u w:val="single"/>
              </w:rPr>
            </w:pPr>
            <w:r>
              <w:rPr>
                <w:rFonts w:hint="eastAsia" w:ascii="Times New Roman" w:hAnsi="Times New Roman" w:cs="Times New Roman"/>
                <w:color w:val="auto"/>
                <w:sz w:val="24"/>
                <w:szCs w:val="24"/>
                <w:u w:val="single"/>
              </w:rPr>
              <w:t>①项目一般工业固体废物贮存场的地面应进行硬化处理，需要设置满足防风、防雨、防渗等要求的设施。</w:t>
            </w:r>
          </w:p>
          <w:p>
            <w:pPr>
              <w:pStyle w:val="24"/>
              <w:spacing w:line="360" w:lineRule="auto"/>
              <w:ind w:firstLine="480"/>
              <w:rPr>
                <w:rFonts w:ascii="Times New Roman" w:hAnsi="Times New Roman" w:cs="Times New Roman"/>
                <w:color w:val="auto"/>
                <w:sz w:val="24"/>
                <w:szCs w:val="24"/>
                <w:u w:val="single"/>
              </w:rPr>
            </w:pPr>
            <w:r>
              <w:rPr>
                <w:rFonts w:hint="eastAsia" w:ascii="Times New Roman" w:hAnsi="Times New Roman" w:cs="Times New Roman"/>
                <w:color w:val="auto"/>
                <w:sz w:val="24"/>
                <w:szCs w:val="24"/>
                <w:u w:val="single"/>
              </w:rPr>
              <w:t>②不相容的一般工业固体废物应设置不同的分区进行贮存作业。</w:t>
            </w:r>
          </w:p>
          <w:p>
            <w:pPr>
              <w:pStyle w:val="24"/>
              <w:spacing w:line="360" w:lineRule="auto"/>
              <w:ind w:firstLine="480"/>
              <w:rPr>
                <w:rFonts w:ascii="Times New Roman" w:hAnsi="Times New Roman" w:cs="Times New Roman"/>
                <w:color w:val="auto"/>
                <w:sz w:val="24"/>
                <w:szCs w:val="24"/>
                <w:u w:val="single"/>
              </w:rPr>
            </w:pPr>
            <w:r>
              <w:rPr>
                <w:rFonts w:hint="eastAsia" w:ascii="Times New Roman" w:hAnsi="Times New Roman" w:cs="Times New Roman"/>
                <w:color w:val="auto"/>
                <w:sz w:val="24"/>
                <w:szCs w:val="24"/>
                <w:u w:val="single"/>
              </w:rPr>
              <w:t>③不得露天堆放，防止雨水进入产生二次污染。</w:t>
            </w:r>
          </w:p>
          <w:p>
            <w:pPr>
              <w:pStyle w:val="24"/>
              <w:spacing w:line="360" w:lineRule="auto"/>
              <w:ind w:firstLine="480"/>
              <w:rPr>
                <w:rFonts w:ascii="Times New Roman" w:hAnsi="Times New Roman" w:cs="Times New Roman"/>
                <w:color w:val="auto"/>
                <w:sz w:val="24"/>
                <w:szCs w:val="24"/>
                <w:u w:val="single"/>
              </w:rPr>
            </w:pPr>
            <w:r>
              <w:rPr>
                <w:rFonts w:hint="eastAsia" w:ascii="Times New Roman" w:hAnsi="Times New Roman" w:cs="Times New Roman"/>
                <w:color w:val="auto"/>
                <w:sz w:val="24"/>
                <w:szCs w:val="24"/>
                <w:u w:val="single"/>
              </w:rPr>
              <w:t>④贮存场应制定运行计划，运行管理人员应定期参加企业的岗位培训。</w:t>
            </w:r>
          </w:p>
          <w:p>
            <w:pPr>
              <w:pStyle w:val="24"/>
              <w:spacing w:line="360" w:lineRule="auto"/>
              <w:ind w:firstLine="480"/>
              <w:rPr>
                <w:rFonts w:ascii="Times New Roman" w:hAnsi="Times New Roman" w:cs="Times New Roman"/>
                <w:color w:val="auto"/>
                <w:sz w:val="24"/>
                <w:szCs w:val="24"/>
                <w:u w:val="single"/>
              </w:rPr>
            </w:pPr>
            <w:r>
              <w:rPr>
                <w:rFonts w:hint="eastAsia" w:ascii="Times New Roman" w:hAnsi="Times New Roman" w:cs="Times New Roman"/>
                <w:color w:val="auto"/>
                <w:sz w:val="24"/>
                <w:szCs w:val="24"/>
                <w:u w:val="single"/>
              </w:rPr>
              <w:t>⑤贮存场运行企业应建立档案管理制度，并按照国家档案管理等法律法规进行整理与归档，永久保存。</w:t>
            </w:r>
          </w:p>
          <w:p>
            <w:pPr>
              <w:pStyle w:val="24"/>
              <w:spacing w:line="360" w:lineRule="auto"/>
              <w:ind w:firstLine="480"/>
              <w:rPr>
                <w:rFonts w:ascii="Times New Roman" w:hAnsi="Times New Roman" w:cs="Times New Roman"/>
                <w:color w:val="auto"/>
                <w:sz w:val="24"/>
                <w:szCs w:val="24"/>
                <w:u w:val="single"/>
              </w:rPr>
            </w:pPr>
            <w:r>
              <w:rPr>
                <w:rFonts w:hint="eastAsia" w:ascii="Times New Roman" w:hAnsi="Times New Roman" w:cs="Times New Roman"/>
                <w:color w:val="auto"/>
                <w:sz w:val="24"/>
                <w:szCs w:val="24"/>
                <w:u w:val="single"/>
              </w:rPr>
              <w:t>⑥贮存场的环境保护图形标志应符合GB 15562.2的规定，并应定期检查和维护。</w:t>
            </w:r>
          </w:p>
          <w:p>
            <w:pPr>
              <w:pStyle w:val="24"/>
              <w:spacing w:line="360" w:lineRule="auto"/>
              <w:ind w:firstLine="480"/>
              <w:rPr>
                <w:rFonts w:ascii="Times New Roman" w:hAnsi="Times New Roman" w:cs="Times New Roman"/>
                <w:color w:val="auto"/>
                <w:sz w:val="24"/>
                <w:szCs w:val="24"/>
              </w:rPr>
            </w:pPr>
            <w:r>
              <w:rPr>
                <w:rFonts w:hint="eastAsia" w:ascii="Times New Roman" w:hAnsi="Times New Roman" w:cs="Times New Roman"/>
                <w:color w:val="auto"/>
                <w:sz w:val="24"/>
                <w:szCs w:val="24"/>
              </w:rPr>
              <w:t>综上，项目固体废物得到合理地处理与处置，不会产生二次污染，对周围居民无不良影响。</w:t>
            </w:r>
          </w:p>
          <w:p>
            <w:pPr>
              <w:pStyle w:val="24"/>
              <w:spacing w:line="360" w:lineRule="auto"/>
              <w:ind w:firstLine="482"/>
              <w:rPr>
                <w:rFonts w:ascii="Times New Roman" w:hAnsi="Times New Roman" w:cs="Times New Roman"/>
                <w:b/>
                <w:color w:val="auto"/>
                <w:sz w:val="24"/>
                <w:szCs w:val="24"/>
              </w:rPr>
            </w:pPr>
            <w:r>
              <w:rPr>
                <w:rFonts w:hint="eastAsia" w:ascii="Times New Roman" w:hAnsi="Times New Roman" w:cs="Times New Roman"/>
                <w:b/>
                <w:color w:val="auto"/>
                <w:sz w:val="24"/>
                <w:szCs w:val="24"/>
              </w:rPr>
              <w:t>5、环境风险</w:t>
            </w:r>
          </w:p>
          <w:p>
            <w:pPr>
              <w:spacing w:line="360" w:lineRule="auto"/>
              <w:ind w:firstLine="480" w:firstLineChars="200"/>
              <w:rPr>
                <w:bCs/>
                <w:sz w:val="24"/>
              </w:rPr>
            </w:pPr>
            <w:r>
              <w:rPr>
                <w:rFonts w:hint="eastAsia"/>
                <w:bCs/>
                <w:sz w:val="24"/>
              </w:rPr>
              <w:t>（1）环境风险调查</w:t>
            </w:r>
          </w:p>
          <w:p>
            <w:pPr>
              <w:spacing w:line="360" w:lineRule="auto"/>
              <w:ind w:firstLine="480" w:firstLineChars="200"/>
              <w:rPr>
                <w:bCs/>
                <w:sz w:val="24"/>
              </w:rPr>
            </w:pPr>
            <w:r>
              <w:rPr>
                <w:rFonts w:hint="eastAsia"/>
                <w:bCs/>
                <w:sz w:val="24"/>
              </w:rPr>
              <w:t>根据《建设项目环境风险评价技术导则》（HJ169-2018），本项目将整个厂区作为一个功能单元，并按照风险物质的实际存在量和临界量，确定风险物质的Q值，当存在多种危险物质时，按下式进行计算物质总量与其临界量比值Q：</w:t>
            </w:r>
          </w:p>
          <w:p>
            <w:pPr>
              <w:spacing w:line="360" w:lineRule="auto"/>
              <w:jc w:val="center"/>
              <w:rPr>
                <w:kern w:val="24"/>
                <w:sz w:val="24"/>
              </w:rPr>
            </w:pPr>
            <w:r>
              <w:rPr>
                <w:kern w:val="24"/>
                <w:sz w:val="24"/>
              </w:rPr>
              <w:t>Q=q</w:t>
            </w:r>
            <w:r>
              <w:rPr>
                <w:kern w:val="24"/>
                <w:sz w:val="24"/>
                <w:vertAlign w:val="subscript"/>
              </w:rPr>
              <w:t>1</w:t>
            </w:r>
            <w:r>
              <w:rPr>
                <w:kern w:val="24"/>
                <w:sz w:val="24"/>
              </w:rPr>
              <w:t>/Q</w:t>
            </w:r>
            <w:r>
              <w:rPr>
                <w:kern w:val="24"/>
                <w:sz w:val="24"/>
                <w:vertAlign w:val="subscript"/>
              </w:rPr>
              <w:t>1</w:t>
            </w:r>
            <w:r>
              <w:rPr>
                <w:kern w:val="24"/>
                <w:sz w:val="24"/>
              </w:rPr>
              <w:t>+q</w:t>
            </w:r>
            <w:r>
              <w:rPr>
                <w:kern w:val="24"/>
                <w:sz w:val="24"/>
                <w:vertAlign w:val="subscript"/>
              </w:rPr>
              <w:t>2</w:t>
            </w:r>
            <w:r>
              <w:rPr>
                <w:kern w:val="24"/>
                <w:sz w:val="24"/>
              </w:rPr>
              <w:t>/Q</w:t>
            </w:r>
            <w:r>
              <w:rPr>
                <w:kern w:val="24"/>
                <w:sz w:val="24"/>
                <w:vertAlign w:val="subscript"/>
              </w:rPr>
              <w:t>2</w:t>
            </w:r>
            <w:r>
              <w:rPr>
                <w:kern w:val="24"/>
                <w:sz w:val="24"/>
              </w:rPr>
              <w:t>+…+q</w:t>
            </w:r>
            <w:r>
              <w:rPr>
                <w:kern w:val="24"/>
                <w:sz w:val="24"/>
                <w:vertAlign w:val="subscript"/>
              </w:rPr>
              <w:t>n</w:t>
            </w:r>
            <w:r>
              <w:rPr>
                <w:kern w:val="24"/>
                <w:sz w:val="24"/>
              </w:rPr>
              <w:t>/Q</w:t>
            </w:r>
            <w:r>
              <w:rPr>
                <w:kern w:val="24"/>
                <w:sz w:val="24"/>
                <w:vertAlign w:val="subscript"/>
              </w:rPr>
              <w:t>n</w:t>
            </w:r>
          </w:p>
          <w:p>
            <w:pPr>
              <w:spacing w:line="360" w:lineRule="auto"/>
              <w:ind w:firstLine="480" w:firstLineChars="200"/>
              <w:rPr>
                <w:kern w:val="24"/>
                <w:sz w:val="24"/>
              </w:rPr>
            </w:pPr>
            <w:r>
              <w:rPr>
                <w:kern w:val="24"/>
                <w:sz w:val="24"/>
              </w:rPr>
              <w:t>式中</w:t>
            </w:r>
            <w:r>
              <w:rPr>
                <w:rFonts w:hint="eastAsia"/>
                <w:kern w:val="24"/>
                <w:sz w:val="24"/>
              </w:rPr>
              <w:t>：</w:t>
            </w:r>
            <w:r>
              <w:rPr>
                <w:kern w:val="24"/>
                <w:sz w:val="24"/>
              </w:rPr>
              <w:t>q</w:t>
            </w:r>
            <w:r>
              <w:rPr>
                <w:kern w:val="24"/>
                <w:sz w:val="24"/>
                <w:vertAlign w:val="subscript"/>
              </w:rPr>
              <w:t>1</w:t>
            </w:r>
            <w:r>
              <w:rPr>
                <w:kern w:val="24"/>
                <w:sz w:val="24"/>
              </w:rPr>
              <w:t>、q</w:t>
            </w:r>
            <w:r>
              <w:rPr>
                <w:kern w:val="24"/>
                <w:sz w:val="24"/>
                <w:vertAlign w:val="subscript"/>
              </w:rPr>
              <w:t>2</w:t>
            </w:r>
            <w:r>
              <w:rPr>
                <w:kern w:val="24"/>
                <w:sz w:val="24"/>
              </w:rPr>
              <w:t>、…q</w:t>
            </w:r>
            <w:r>
              <w:rPr>
                <w:kern w:val="24"/>
                <w:sz w:val="24"/>
                <w:vertAlign w:val="subscript"/>
              </w:rPr>
              <w:t>n</w:t>
            </w:r>
            <w:r>
              <w:rPr>
                <w:kern w:val="24"/>
                <w:sz w:val="24"/>
              </w:rPr>
              <w:t>—每种危险物质的最大存在量，t；</w:t>
            </w:r>
          </w:p>
          <w:p>
            <w:pPr>
              <w:spacing w:line="360" w:lineRule="auto"/>
              <w:ind w:firstLine="1200" w:firstLineChars="500"/>
              <w:rPr>
                <w:kern w:val="24"/>
                <w:sz w:val="24"/>
              </w:rPr>
            </w:pPr>
            <w:r>
              <w:rPr>
                <w:kern w:val="24"/>
                <w:sz w:val="24"/>
              </w:rPr>
              <w:t>Q</w:t>
            </w:r>
            <w:r>
              <w:rPr>
                <w:kern w:val="24"/>
                <w:sz w:val="24"/>
                <w:vertAlign w:val="subscript"/>
              </w:rPr>
              <w:t>1</w:t>
            </w:r>
            <w:r>
              <w:rPr>
                <w:kern w:val="24"/>
                <w:sz w:val="24"/>
              </w:rPr>
              <w:t>、Q</w:t>
            </w:r>
            <w:r>
              <w:rPr>
                <w:kern w:val="24"/>
                <w:sz w:val="24"/>
                <w:vertAlign w:val="subscript"/>
              </w:rPr>
              <w:t>2</w:t>
            </w:r>
            <w:r>
              <w:rPr>
                <w:kern w:val="24"/>
                <w:sz w:val="24"/>
              </w:rPr>
              <w:t>、…Q</w:t>
            </w:r>
            <w:r>
              <w:rPr>
                <w:kern w:val="24"/>
                <w:sz w:val="24"/>
                <w:vertAlign w:val="subscript"/>
              </w:rPr>
              <w:t>n</w:t>
            </w:r>
            <w:r>
              <w:rPr>
                <w:kern w:val="24"/>
                <w:sz w:val="24"/>
              </w:rPr>
              <w:t>—每种危险物质的临界值，t；</w:t>
            </w:r>
          </w:p>
          <w:p>
            <w:pPr>
              <w:spacing w:line="360" w:lineRule="auto"/>
              <w:ind w:firstLine="480" w:firstLineChars="200"/>
              <w:rPr>
                <w:kern w:val="24"/>
                <w:sz w:val="24"/>
              </w:rPr>
            </w:pPr>
            <w:r>
              <w:rPr>
                <w:kern w:val="24"/>
                <w:sz w:val="24"/>
              </w:rPr>
              <w:t>当Q</w:t>
            </w:r>
            <w:r>
              <w:rPr>
                <w:rFonts w:hint="eastAsia"/>
                <w:kern w:val="24"/>
                <w:sz w:val="24"/>
              </w:rPr>
              <w:t>&lt;</w:t>
            </w:r>
            <w:r>
              <w:rPr>
                <w:kern w:val="24"/>
                <w:sz w:val="24"/>
              </w:rPr>
              <w:t>1时，该项目环境风险潜势为Ⅰ。</w:t>
            </w:r>
          </w:p>
          <w:p>
            <w:pPr>
              <w:spacing w:line="360" w:lineRule="auto"/>
              <w:ind w:firstLine="480" w:firstLineChars="200"/>
              <w:rPr>
                <w:kern w:val="24"/>
                <w:sz w:val="24"/>
              </w:rPr>
            </w:pPr>
            <w:r>
              <w:rPr>
                <w:kern w:val="24"/>
                <w:sz w:val="24"/>
              </w:rPr>
              <w:t>当Q≥1时，将Q值划分为：(1)1≤Q＜10；(2)10≤Q＜100；(3)Q≥100；</w:t>
            </w:r>
          </w:p>
          <w:p>
            <w:pPr>
              <w:pStyle w:val="24"/>
              <w:spacing w:line="360" w:lineRule="auto"/>
              <w:ind w:firstLine="480"/>
              <w:rPr>
                <w:rFonts w:ascii="Times New Roman" w:hAnsi="Times New Roman" w:cs="Times New Roman"/>
                <w:color w:val="auto"/>
                <w:sz w:val="24"/>
                <w:szCs w:val="24"/>
              </w:rPr>
            </w:pPr>
            <w:r>
              <w:rPr>
                <w:rFonts w:ascii="Times New Roman" w:hAnsi="Times New Roman" w:cs="Times New Roman"/>
                <w:color w:val="auto"/>
                <w:sz w:val="24"/>
                <w:szCs w:val="24"/>
              </w:rPr>
              <w:t>本项目Q=0</w:t>
            </w:r>
            <w:r>
              <w:rPr>
                <w:rFonts w:hint="eastAsia" w:ascii="Times New Roman" w:hAnsi="Times New Roman" w:cs="Times New Roman"/>
                <w:color w:val="auto"/>
                <w:sz w:val="24"/>
                <w:szCs w:val="24"/>
              </w:rPr>
              <w:t>&lt;</w:t>
            </w:r>
            <w:r>
              <w:rPr>
                <w:rFonts w:ascii="Times New Roman" w:hAnsi="Times New Roman" w:cs="Times New Roman"/>
                <w:color w:val="auto"/>
                <w:sz w:val="24"/>
                <w:szCs w:val="24"/>
              </w:rPr>
              <w:t>1，故本项目环境风险潜势为Ⅰ，不设置评价范围，仅进行简要分析，提出防范、减缓和应急措施。</w:t>
            </w:r>
          </w:p>
          <w:p>
            <w:pPr>
              <w:pStyle w:val="24"/>
              <w:spacing w:line="360" w:lineRule="auto"/>
              <w:ind w:firstLine="480"/>
              <w:rPr>
                <w:rFonts w:ascii="Times New Roman" w:hAnsi="Times New Roman" w:cs="Times New Roman"/>
                <w:color w:val="auto"/>
                <w:sz w:val="24"/>
                <w:szCs w:val="24"/>
              </w:rPr>
            </w:pPr>
            <w:r>
              <w:rPr>
                <w:rFonts w:hint="eastAsia" w:ascii="Times New Roman" w:hAnsi="Times New Roman" w:cs="Times New Roman"/>
                <w:color w:val="auto"/>
                <w:sz w:val="24"/>
                <w:szCs w:val="24"/>
              </w:rPr>
              <w:t>（2）环境风险识别</w:t>
            </w:r>
          </w:p>
          <w:p>
            <w:pPr>
              <w:adjustRightInd w:val="0"/>
              <w:snapToGrid w:val="0"/>
              <w:spacing w:line="360" w:lineRule="auto"/>
              <w:ind w:firstLine="480" w:firstLineChars="200"/>
              <w:rPr>
                <w:sz w:val="24"/>
              </w:rPr>
            </w:pPr>
            <w:r>
              <w:rPr>
                <w:bCs/>
                <w:sz w:val="24"/>
              </w:rPr>
              <w:t>根据《建设项目环境风险评价技术导则》（HJ169-2018）和《危险化学品重大危险源辨识》（GB18218-2018）的规定，本项目不存在重大危险源。项目存在的主要环境风险因素为生物质燃料使用、存储过程中，管理不严容易造成火灾事故。主要原因包括：生物质燃料具有可燃性，遇明火燃烧，无自熄性，且燃烧速度较快，存储过程管理不严容易发生火灾。</w:t>
            </w:r>
          </w:p>
          <w:p>
            <w:pPr>
              <w:pStyle w:val="24"/>
              <w:spacing w:line="360" w:lineRule="auto"/>
              <w:ind w:firstLine="480"/>
              <w:rPr>
                <w:rFonts w:ascii="Times New Roman" w:hAnsi="Times New Roman" w:cs="Times New Roman"/>
                <w:color w:val="auto"/>
                <w:sz w:val="24"/>
                <w:szCs w:val="24"/>
              </w:rPr>
            </w:pPr>
            <w:r>
              <w:rPr>
                <w:rFonts w:hint="eastAsia" w:ascii="Times New Roman" w:hAnsi="Times New Roman" w:cs="Times New Roman"/>
                <w:color w:val="auto"/>
                <w:sz w:val="24"/>
                <w:szCs w:val="24"/>
              </w:rPr>
              <w:t>（3）环境风险分析</w:t>
            </w:r>
          </w:p>
          <w:p>
            <w:pPr>
              <w:pStyle w:val="24"/>
              <w:spacing w:line="360" w:lineRule="auto"/>
              <w:ind w:firstLine="480"/>
              <w:rPr>
                <w:rFonts w:ascii="Times New Roman" w:hAnsi="Times New Roman" w:cs="Times New Roman"/>
                <w:color w:val="auto"/>
                <w:sz w:val="24"/>
                <w:szCs w:val="24"/>
              </w:rPr>
            </w:pPr>
            <w:r>
              <w:rPr>
                <w:rFonts w:ascii="Times New Roman" w:hAnsi="Times New Roman" w:cs="Times New Roman"/>
                <w:color w:val="auto"/>
                <w:sz w:val="24"/>
                <w:szCs w:val="24"/>
              </w:rPr>
              <w:t>①大气环境风险分析</w:t>
            </w:r>
          </w:p>
          <w:p>
            <w:pPr>
              <w:pStyle w:val="24"/>
              <w:spacing w:line="360" w:lineRule="auto"/>
              <w:ind w:firstLine="480"/>
              <w:rPr>
                <w:rFonts w:ascii="Times New Roman" w:hAnsi="Times New Roman" w:cs="Times New Roman"/>
                <w:color w:val="auto"/>
                <w:sz w:val="24"/>
                <w:szCs w:val="24"/>
              </w:rPr>
            </w:pPr>
            <w:r>
              <w:rPr>
                <w:rFonts w:ascii="Times New Roman" w:hAnsi="Times New Roman" w:cs="Times New Roman"/>
                <w:color w:val="auto"/>
                <w:sz w:val="24"/>
                <w:szCs w:val="24"/>
              </w:rPr>
              <w:t>本项目可能对大气环境造成影响为生物质存储不当，遇明火引发火灾事故以及废气环保设施开停车事故导致生产过程中产生的废气未经处理直接排放，污染外环境。企业拟采取以下措施：</w:t>
            </w:r>
          </w:p>
          <w:p>
            <w:pPr>
              <w:pStyle w:val="24"/>
              <w:spacing w:line="360" w:lineRule="auto"/>
              <w:ind w:firstLine="480"/>
              <w:rPr>
                <w:rFonts w:ascii="Times New Roman" w:hAnsi="Times New Roman" w:cs="Times New Roman"/>
                <w:color w:val="auto"/>
                <w:sz w:val="24"/>
                <w:szCs w:val="24"/>
              </w:rPr>
            </w:pPr>
            <w:r>
              <w:rPr>
                <w:rFonts w:ascii="Times New Roman" w:hAnsi="Times New Roman" w:cs="Times New Roman"/>
                <w:color w:val="auto"/>
                <w:sz w:val="24"/>
                <w:szCs w:val="24"/>
              </w:rPr>
              <w:t>A.制定设备检修计划，定期对除尘器进行检修；</w:t>
            </w:r>
          </w:p>
          <w:p>
            <w:pPr>
              <w:pStyle w:val="24"/>
              <w:spacing w:line="360" w:lineRule="auto"/>
              <w:ind w:firstLine="480"/>
              <w:rPr>
                <w:rFonts w:ascii="Times New Roman" w:hAnsi="Times New Roman" w:cs="Times New Roman"/>
                <w:color w:val="auto"/>
                <w:sz w:val="24"/>
                <w:szCs w:val="24"/>
              </w:rPr>
            </w:pPr>
            <w:r>
              <w:rPr>
                <w:rFonts w:ascii="Times New Roman" w:hAnsi="Times New Roman" w:cs="Times New Roman"/>
                <w:color w:val="auto"/>
                <w:sz w:val="24"/>
                <w:szCs w:val="24"/>
              </w:rPr>
              <w:t>B.建立定时巡检制度，发现问题及时处理；</w:t>
            </w:r>
          </w:p>
          <w:p>
            <w:pPr>
              <w:pStyle w:val="24"/>
              <w:spacing w:line="360" w:lineRule="auto"/>
              <w:ind w:firstLine="480"/>
              <w:rPr>
                <w:rFonts w:ascii="Times New Roman" w:hAnsi="Times New Roman" w:cs="Times New Roman"/>
                <w:color w:val="auto"/>
                <w:sz w:val="24"/>
                <w:szCs w:val="24"/>
              </w:rPr>
            </w:pPr>
            <w:r>
              <w:rPr>
                <w:rFonts w:ascii="Times New Roman" w:hAnsi="Times New Roman" w:cs="Times New Roman"/>
                <w:color w:val="auto"/>
                <w:sz w:val="24"/>
                <w:szCs w:val="24"/>
              </w:rPr>
              <w:t>C.发生事故后应及时与有关部门联系。</w:t>
            </w:r>
          </w:p>
          <w:p>
            <w:pPr>
              <w:pStyle w:val="24"/>
              <w:spacing w:line="360" w:lineRule="auto"/>
              <w:ind w:firstLine="480"/>
              <w:rPr>
                <w:rFonts w:ascii="Times New Roman" w:hAnsi="Times New Roman" w:cs="Times New Roman"/>
                <w:color w:val="auto"/>
                <w:sz w:val="24"/>
                <w:szCs w:val="24"/>
              </w:rPr>
            </w:pPr>
            <w:r>
              <w:rPr>
                <w:rFonts w:ascii="Times New Roman" w:hAnsi="Times New Roman" w:cs="Times New Roman"/>
                <w:color w:val="auto"/>
                <w:sz w:val="24"/>
                <w:szCs w:val="24"/>
              </w:rPr>
              <w:t>②地表水环境风险分析</w:t>
            </w:r>
          </w:p>
          <w:p>
            <w:pPr>
              <w:pStyle w:val="24"/>
              <w:spacing w:line="360" w:lineRule="auto"/>
              <w:ind w:firstLine="480"/>
              <w:rPr>
                <w:rFonts w:ascii="Times New Roman" w:hAnsi="Times New Roman" w:cs="Times New Roman"/>
                <w:color w:val="auto"/>
                <w:sz w:val="24"/>
                <w:szCs w:val="24"/>
              </w:rPr>
            </w:pPr>
            <w:r>
              <w:rPr>
                <w:rFonts w:ascii="Times New Roman" w:hAnsi="Times New Roman" w:cs="Times New Roman"/>
                <w:color w:val="auto"/>
                <w:sz w:val="24"/>
                <w:szCs w:val="24"/>
              </w:rPr>
              <w:t>本项目不新增员工，员工均由企业内部进行调配，故无新增生活污水产生。本项目废水主要为</w:t>
            </w:r>
            <w:r>
              <w:rPr>
                <w:rFonts w:hint="eastAsia" w:cs="Times New Roman"/>
                <w:bCs/>
                <w:color w:val="auto"/>
                <w:sz w:val="24"/>
                <w:szCs w:val="24"/>
              </w:rPr>
              <w:t>锅炉排污水、软化处理废水及蒸汽冷凝水，用于浇渣降尘或回用于生产，不外排</w:t>
            </w:r>
            <w:r>
              <w:rPr>
                <w:rFonts w:ascii="Times New Roman" w:hAnsi="Times New Roman" w:cs="Times New Roman"/>
                <w:color w:val="auto"/>
                <w:sz w:val="24"/>
                <w:szCs w:val="24"/>
              </w:rPr>
              <w:t>，对地表水影响较小。</w:t>
            </w:r>
          </w:p>
          <w:p>
            <w:pPr>
              <w:pStyle w:val="24"/>
              <w:spacing w:line="360" w:lineRule="auto"/>
              <w:ind w:firstLine="480"/>
              <w:rPr>
                <w:rFonts w:ascii="Times New Roman" w:hAnsi="Times New Roman" w:cs="Times New Roman"/>
                <w:color w:val="auto"/>
                <w:sz w:val="24"/>
                <w:szCs w:val="24"/>
              </w:rPr>
            </w:pPr>
            <w:r>
              <w:rPr>
                <w:rFonts w:hint="eastAsia" w:ascii="Times New Roman" w:hAnsi="Times New Roman" w:cs="Times New Roman"/>
                <w:color w:val="auto"/>
                <w:sz w:val="24"/>
                <w:szCs w:val="24"/>
              </w:rPr>
              <w:t>（4）</w:t>
            </w:r>
            <w:r>
              <w:rPr>
                <w:rFonts w:ascii="Times New Roman" w:hAnsi="Times New Roman" w:cs="Times New Roman"/>
                <w:color w:val="auto"/>
                <w:sz w:val="24"/>
                <w:szCs w:val="24"/>
              </w:rPr>
              <w:t>环境风险防范措施</w:t>
            </w:r>
          </w:p>
          <w:p>
            <w:pPr>
              <w:pStyle w:val="24"/>
              <w:spacing w:line="360" w:lineRule="auto"/>
              <w:ind w:firstLine="480"/>
              <w:rPr>
                <w:rFonts w:ascii="Times New Roman" w:hAnsi="Times New Roman" w:cs="Times New Roman"/>
                <w:color w:val="auto"/>
                <w:sz w:val="24"/>
                <w:szCs w:val="24"/>
              </w:rPr>
            </w:pPr>
            <w:r>
              <w:rPr>
                <w:rFonts w:ascii="Times New Roman" w:hAnsi="Times New Roman" w:cs="Times New Roman"/>
                <w:color w:val="auto"/>
                <w:sz w:val="24"/>
                <w:szCs w:val="24"/>
              </w:rPr>
              <w:t>①管理措施</w:t>
            </w:r>
          </w:p>
          <w:p>
            <w:pPr>
              <w:pStyle w:val="24"/>
              <w:spacing w:line="360" w:lineRule="auto"/>
              <w:ind w:firstLine="480"/>
              <w:rPr>
                <w:rFonts w:ascii="Times New Roman" w:hAnsi="Times New Roman" w:cs="Times New Roman"/>
                <w:color w:val="auto"/>
                <w:sz w:val="24"/>
                <w:szCs w:val="24"/>
              </w:rPr>
            </w:pPr>
            <w:r>
              <w:rPr>
                <w:rFonts w:ascii="Times New Roman" w:hAnsi="Times New Roman" w:cs="Times New Roman"/>
                <w:color w:val="auto"/>
                <w:sz w:val="24"/>
                <w:szCs w:val="24"/>
              </w:rPr>
              <w:t>A.制订安全、防火制度，各岗位操作规范，环境管理巡查制度等，严格落实各项防火、用电安全和环境风险防范措施，加强对职工的安全教育，向项目区职工传授消防灭火知识等。</w:t>
            </w:r>
          </w:p>
          <w:p>
            <w:pPr>
              <w:pStyle w:val="24"/>
              <w:spacing w:line="360" w:lineRule="auto"/>
              <w:ind w:firstLine="480"/>
              <w:rPr>
                <w:rFonts w:ascii="Times New Roman" w:hAnsi="Times New Roman" w:cs="Times New Roman"/>
                <w:color w:val="auto"/>
                <w:sz w:val="24"/>
                <w:szCs w:val="24"/>
              </w:rPr>
            </w:pPr>
            <w:r>
              <w:rPr>
                <w:rFonts w:ascii="Times New Roman" w:hAnsi="Times New Roman" w:cs="Times New Roman"/>
                <w:color w:val="auto"/>
                <w:sz w:val="24"/>
                <w:szCs w:val="24"/>
              </w:rPr>
              <w:t>B.严格人员管理</w:t>
            </w:r>
          </w:p>
          <w:p>
            <w:pPr>
              <w:pStyle w:val="24"/>
              <w:spacing w:line="360" w:lineRule="auto"/>
              <w:ind w:firstLine="480"/>
              <w:rPr>
                <w:rFonts w:ascii="Times New Roman" w:hAnsi="Times New Roman" w:cs="Times New Roman"/>
                <w:color w:val="auto"/>
                <w:sz w:val="24"/>
                <w:szCs w:val="24"/>
              </w:rPr>
            </w:pPr>
            <w:r>
              <w:rPr>
                <w:rFonts w:ascii="Times New Roman" w:hAnsi="Times New Roman" w:cs="Times New Roman"/>
                <w:color w:val="auto"/>
                <w:sz w:val="24"/>
                <w:szCs w:val="24"/>
              </w:rPr>
              <w:t>人为因素往往是事故发生的主要原因，因此严格管理，做好人的工作是预防事故发生的重要环节。主要内容包括：加强项目区职工的风险意识和环境意识教育，增强安全、环境意识。提高人的责任心和主动性；强化管理人员岗位责任制，严格各项操作规程和奖惩制度，对操作人员进行系统的岗位培训，使每个操作人员都能够熟悉工作岗位责任及操作规程；设置专职或兼职环保监督管理员，负责本项目区的安全和环保问题，对事故易发部位、地点必须经常检查，杜绝事故隐患，发现问题及时处置并立即向有关部门报告。</w:t>
            </w:r>
          </w:p>
          <w:p>
            <w:pPr>
              <w:pStyle w:val="24"/>
              <w:spacing w:line="360" w:lineRule="auto"/>
              <w:ind w:firstLine="480"/>
              <w:rPr>
                <w:rFonts w:ascii="Times New Roman" w:hAnsi="Times New Roman" w:cs="Times New Roman"/>
                <w:color w:val="auto"/>
                <w:sz w:val="24"/>
                <w:szCs w:val="24"/>
              </w:rPr>
            </w:pPr>
            <w:r>
              <w:rPr>
                <w:rFonts w:ascii="Times New Roman" w:hAnsi="Times New Roman" w:cs="Times New Roman"/>
                <w:color w:val="auto"/>
                <w:sz w:val="24"/>
                <w:szCs w:val="24"/>
              </w:rPr>
              <w:t>C.完善安全措施</w:t>
            </w:r>
          </w:p>
          <w:p>
            <w:pPr>
              <w:pStyle w:val="24"/>
              <w:spacing w:line="360" w:lineRule="auto"/>
              <w:ind w:firstLine="480"/>
              <w:rPr>
                <w:rFonts w:ascii="Times New Roman" w:hAnsi="Times New Roman" w:cs="Times New Roman"/>
                <w:color w:val="auto"/>
                <w:sz w:val="24"/>
                <w:szCs w:val="24"/>
              </w:rPr>
            </w:pPr>
            <w:r>
              <w:rPr>
                <w:rFonts w:ascii="Times New Roman" w:hAnsi="Times New Roman" w:cs="Times New Roman"/>
                <w:color w:val="auto"/>
                <w:sz w:val="24"/>
                <w:szCs w:val="24"/>
              </w:rPr>
              <w:t>完善的安全措施是保障安全营运的重要组成部分，对项目区实行全员、全过程、全方位的安全管理，制定安全管理规章和安全管理措施。</w:t>
            </w:r>
          </w:p>
          <w:p>
            <w:pPr>
              <w:pStyle w:val="24"/>
              <w:spacing w:line="360" w:lineRule="auto"/>
              <w:ind w:firstLine="480"/>
              <w:rPr>
                <w:rFonts w:ascii="Times New Roman" w:hAnsi="Times New Roman" w:cs="Times New Roman"/>
                <w:color w:val="auto"/>
                <w:sz w:val="24"/>
                <w:szCs w:val="24"/>
              </w:rPr>
            </w:pPr>
            <w:r>
              <w:rPr>
                <w:rFonts w:ascii="Times New Roman" w:hAnsi="Times New Roman" w:cs="Times New Roman"/>
                <w:color w:val="auto"/>
                <w:sz w:val="24"/>
                <w:szCs w:val="24"/>
              </w:rPr>
              <w:t>②技术措施</w:t>
            </w:r>
          </w:p>
          <w:p>
            <w:pPr>
              <w:pStyle w:val="24"/>
              <w:spacing w:line="360" w:lineRule="auto"/>
              <w:ind w:firstLine="480"/>
              <w:rPr>
                <w:rFonts w:ascii="Times New Roman" w:hAnsi="Times New Roman" w:cs="Times New Roman"/>
                <w:color w:val="auto"/>
                <w:sz w:val="24"/>
                <w:szCs w:val="24"/>
              </w:rPr>
            </w:pPr>
            <w:r>
              <w:rPr>
                <w:rFonts w:ascii="Times New Roman" w:hAnsi="Times New Roman" w:cs="Times New Roman"/>
                <w:color w:val="auto"/>
                <w:sz w:val="24"/>
                <w:szCs w:val="24"/>
              </w:rPr>
              <w:t>A.工艺技术安全措施：选择合适的设备和管道密封型材质，避免事故发生；工程等级要严格执行国家及行业标准，严格执行相关标准，满足防火防渗要求；选择质量好的阀门和管件，保证长周期安全运行。</w:t>
            </w:r>
          </w:p>
          <w:p>
            <w:pPr>
              <w:pStyle w:val="24"/>
              <w:spacing w:line="360" w:lineRule="auto"/>
              <w:ind w:firstLine="480"/>
              <w:rPr>
                <w:rFonts w:ascii="Times New Roman" w:hAnsi="Times New Roman" w:cs="Times New Roman"/>
                <w:color w:val="auto"/>
                <w:sz w:val="24"/>
                <w:szCs w:val="24"/>
              </w:rPr>
            </w:pPr>
            <w:r>
              <w:rPr>
                <w:rFonts w:ascii="Times New Roman" w:hAnsi="Times New Roman" w:cs="Times New Roman"/>
                <w:color w:val="auto"/>
                <w:sz w:val="24"/>
                <w:szCs w:val="24"/>
              </w:rPr>
              <w:t>B.项目区内的各类电气设备均选用相应防火等级的产品。电缆敷设及配电间的设计均考虑防火要求，项目区内的所有电气设备均选用防火型，设计防雷、防静电措施，配置相应防火等级的电气设备和灯具，仪表选用质量安全型。</w:t>
            </w:r>
          </w:p>
          <w:p>
            <w:pPr>
              <w:pStyle w:val="24"/>
              <w:spacing w:line="360" w:lineRule="auto"/>
              <w:ind w:firstLine="480"/>
              <w:rPr>
                <w:rFonts w:ascii="Times New Roman" w:hAnsi="Times New Roman" w:cs="Times New Roman"/>
                <w:color w:val="auto"/>
                <w:sz w:val="24"/>
                <w:szCs w:val="24"/>
              </w:rPr>
            </w:pPr>
            <w:r>
              <w:rPr>
                <w:rFonts w:ascii="Times New Roman" w:hAnsi="Times New Roman" w:cs="Times New Roman"/>
                <w:color w:val="auto"/>
                <w:sz w:val="24"/>
                <w:szCs w:val="24"/>
              </w:rPr>
              <w:t>C.项目区各装置按防火规范和火灾自动报警系统设计规范要求，设置一套火灾自动报警系统。一旦有发现火险危险情况，及时发出报警信号，操作人员应高度注意，采取适时补救措施。</w:t>
            </w:r>
          </w:p>
          <w:p>
            <w:pPr>
              <w:pStyle w:val="24"/>
              <w:spacing w:line="360" w:lineRule="auto"/>
              <w:ind w:firstLine="480"/>
              <w:rPr>
                <w:rFonts w:ascii="Times New Roman" w:hAnsi="Times New Roman" w:cs="Times New Roman"/>
                <w:color w:val="auto"/>
                <w:sz w:val="24"/>
                <w:szCs w:val="24"/>
              </w:rPr>
            </w:pPr>
            <w:r>
              <w:rPr>
                <w:rFonts w:ascii="Times New Roman" w:hAnsi="Times New Roman" w:cs="Times New Roman"/>
                <w:color w:val="auto"/>
                <w:sz w:val="24"/>
                <w:szCs w:val="24"/>
              </w:rPr>
              <w:t>③环境风险应急措施</w:t>
            </w:r>
          </w:p>
          <w:p>
            <w:pPr>
              <w:pStyle w:val="24"/>
              <w:spacing w:line="360" w:lineRule="auto"/>
              <w:ind w:firstLine="480"/>
              <w:rPr>
                <w:rFonts w:ascii="Times New Roman" w:hAnsi="Times New Roman" w:cs="Times New Roman"/>
                <w:color w:val="auto"/>
                <w:sz w:val="24"/>
                <w:szCs w:val="24"/>
              </w:rPr>
            </w:pPr>
            <w:r>
              <w:rPr>
                <w:rFonts w:ascii="Times New Roman" w:hAnsi="Times New Roman" w:cs="Times New Roman"/>
                <w:color w:val="auto"/>
                <w:sz w:val="24"/>
                <w:szCs w:val="24"/>
              </w:rPr>
              <w:t>企业应当按照安全监督管理部门和消防部门要求，配有良好的消防器材，项目要按要求规范落实经营场所和设备设施的防泄漏、火灾和爆炸等安全风险控制措施，制定相应的环境风险事故应急制度和防范措施，对有关人员进行风险事故应急防范措施培训和演练合格后上岗。</w:t>
            </w:r>
          </w:p>
          <w:p>
            <w:pPr>
              <w:pStyle w:val="24"/>
              <w:spacing w:line="360" w:lineRule="auto"/>
              <w:ind w:firstLine="480"/>
              <w:rPr>
                <w:rFonts w:ascii="Times New Roman" w:hAnsi="Times New Roman" w:cs="Times New Roman"/>
                <w:color w:val="auto"/>
                <w:sz w:val="24"/>
                <w:szCs w:val="24"/>
              </w:rPr>
            </w:pPr>
            <w:r>
              <w:rPr>
                <w:rFonts w:ascii="Times New Roman" w:hAnsi="Times New Roman" w:cs="Times New Roman"/>
                <w:color w:val="auto"/>
                <w:sz w:val="24"/>
                <w:szCs w:val="24"/>
              </w:rPr>
              <w:t>（</w:t>
            </w:r>
            <w:r>
              <w:rPr>
                <w:rFonts w:hint="eastAsia" w:ascii="Times New Roman" w:hAnsi="Times New Roman" w:cs="Times New Roman"/>
                <w:color w:val="auto"/>
                <w:sz w:val="24"/>
                <w:szCs w:val="24"/>
              </w:rPr>
              <w:t>5</w:t>
            </w:r>
            <w:r>
              <w:rPr>
                <w:rFonts w:ascii="Times New Roman" w:hAnsi="Times New Roman" w:cs="Times New Roman"/>
                <w:color w:val="auto"/>
                <w:sz w:val="24"/>
                <w:szCs w:val="24"/>
              </w:rPr>
              <w:t>）环境风险评价结论</w:t>
            </w:r>
          </w:p>
          <w:p>
            <w:pPr>
              <w:pStyle w:val="24"/>
              <w:spacing w:line="360" w:lineRule="auto"/>
              <w:ind w:firstLine="480"/>
              <w:rPr>
                <w:rFonts w:ascii="Times New Roman" w:hAnsi="Times New Roman" w:cs="Times New Roman"/>
                <w:color w:val="auto"/>
                <w:sz w:val="24"/>
                <w:szCs w:val="24"/>
              </w:rPr>
            </w:pPr>
            <w:r>
              <w:rPr>
                <w:rFonts w:ascii="Times New Roman" w:hAnsi="Times New Roman" w:cs="Times New Roman"/>
                <w:color w:val="auto"/>
                <w:sz w:val="24"/>
                <w:szCs w:val="24"/>
              </w:rPr>
              <w:t>项目建设单位要严格按照国家有关规范标准的要求进行监控和管理，认真落实本次环评提出的对策措施，在采取以上风险防范措施后，环境风险事故对周围环境的影响可以接受。</w:t>
            </w:r>
          </w:p>
          <w:p>
            <w:pPr>
              <w:pStyle w:val="24"/>
              <w:spacing w:line="360" w:lineRule="auto"/>
              <w:ind w:firstLine="482"/>
              <w:rPr>
                <w:rFonts w:ascii="Times New Roman" w:hAnsi="Times New Roman" w:cs="Times New Roman"/>
                <w:b/>
                <w:color w:val="auto"/>
                <w:sz w:val="24"/>
                <w:szCs w:val="24"/>
              </w:rPr>
            </w:pPr>
            <w:r>
              <w:rPr>
                <w:rFonts w:hint="eastAsia" w:ascii="Times New Roman" w:hAnsi="Times New Roman" w:cs="Times New Roman"/>
                <w:b/>
                <w:color w:val="auto"/>
                <w:sz w:val="24"/>
                <w:szCs w:val="24"/>
              </w:rPr>
              <w:t>6、排污许可管理</w:t>
            </w:r>
          </w:p>
          <w:p>
            <w:pPr>
              <w:adjustRightInd w:val="0"/>
              <w:snapToGrid w:val="0"/>
              <w:spacing w:line="360" w:lineRule="auto"/>
              <w:ind w:firstLine="480" w:firstLineChars="200"/>
              <w:rPr>
                <w:kern w:val="0"/>
                <w:sz w:val="24"/>
              </w:rPr>
            </w:pPr>
            <w:r>
              <w:rPr>
                <w:kern w:val="0"/>
                <w:sz w:val="24"/>
              </w:rPr>
              <w:t>根据《关于强化建设项目环评事中事后监管的实施意见》（环评</w:t>
            </w:r>
            <w:r>
              <w:rPr>
                <w:rFonts w:hint="eastAsia"/>
                <w:kern w:val="0"/>
                <w:sz w:val="24"/>
              </w:rPr>
              <w:t>[</w:t>
            </w:r>
            <w:r>
              <w:rPr>
                <w:kern w:val="0"/>
                <w:sz w:val="24"/>
              </w:rPr>
              <w:t>2018</w:t>
            </w:r>
            <w:r>
              <w:rPr>
                <w:rFonts w:hint="eastAsia"/>
                <w:kern w:val="0"/>
                <w:sz w:val="24"/>
              </w:rPr>
              <w:t>]</w:t>
            </w:r>
            <w:r>
              <w:rPr>
                <w:kern w:val="0"/>
                <w:sz w:val="24"/>
              </w:rPr>
              <w:t>11号）、《排污许可管理管理条例》（中华人民共和国国务院令第736号）和《固定污染源排污许可分类管理名录（2019年版）》（生态环境部部令第11号）等要求，</w:t>
            </w:r>
            <w:r>
              <w:rPr>
                <w:rFonts w:hint="eastAsia"/>
                <w:kern w:val="0"/>
                <w:sz w:val="24"/>
              </w:rPr>
              <w:t>“</w:t>
            </w:r>
            <w:r>
              <w:rPr>
                <w:kern w:val="0"/>
                <w:sz w:val="24"/>
              </w:rPr>
              <w:t>在名录规定的时限后建成的排污单位，应当在启动生产设施或者在实际排污之前申请排污许可证</w:t>
            </w:r>
            <w:r>
              <w:rPr>
                <w:rFonts w:hint="eastAsia"/>
                <w:kern w:val="0"/>
                <w:sz w:val="24"/>
              </w:rPr>
              <w:t>”</w:t>
            </w:r>
            <w:r>
              <w:rPr>
                <w:kern w:val="0"/>
                <w:sz w:val="24"/>
              </w:rPr>
              <w:t>。</w:t>
            </w:r>
          </w:p>
          <w:p>
            <w:pPr>
              <w:adjustRightInd w:val="0"/>
              <w:snapToGrid w:val="0"/>
              <w:spacing w:line="360" w:lineRule="auto"/>
              <w:ind w:firstLine="480" w:firstLineChars="200"/>
              <w:rPr>
                <w:kern w:val="0"/>
                <w:sz w:val="24"/>
                <w:u w:val="single"/>
              </w:rPr>
            </w:pPr>
            <w:r>
              <w:rPr>
                <w:rFonts w:hint="eastAsia"/>
                <w:kern w:val="0"/>
                <w:sz w:val="24"/>
                <w:u w:val="single"/>
              </w:rPr>
              <w:t>企业主行业为水泥制品制造，根据</w:t>
            </w:r>
            <w:r>
              <w:rPr>
                <w:kern w:val="0"/>
                <w:sz w:val="24"/>
                <w:u w:val="single"/>
              </w:rPr>
              <w:t>《固定污染源排污许可分类管理名录（2019版）》中的</w:t>
            </w:r>
            <w:r>
              <w:rPr>
                <w:rFonts w:hint="eastAsia"/>
                <w:kern w:val="0"/>
                <w:sz w:val="24"/>
                <w:u w:val="single"/>
              </w:rPr>
              <w:t>“二十五、非金属矿物制品业30</w:t>
            </w:r>
            <w:r>
              <w:rPr>
                <w:kern w:val="0"/>
                <w:sz w:val="24"/>
                <w:u w:val="single"/>
              </w:rPr>
              <w:t>—</w:t>
            </w:r>
            <w:r>
              <w:rPr>
                <w:rFonts w:hint="eastAsia"/>
                <w:kern w:val="0"/>
                <w:sz w:val="24"/>
                <w:u w:val="single"/>
              </w:rPr>
              <w:t>63.水泥、石灰和石膏制造301，石膏、水泥制品及类似制品制造302</w:t>
            </w:r>
            <w:r>
              <w:rPr>
                <w:kern w:val="0"/>
                <w:sz w:val="24"/>
                <w:u w:val="single"/>
              </w:rPr>
              <w:t>—</w:t>
            </w:r>
            <w:r>
              <w:rPr>
                <w:rFonts w:hint="eastAsia"/>
                <w:kern w:val="0"/>
                <w:sz w:val="24"/>
                <w:u w:val="single"/>
              </w:rPr>
              <w:t>水泥制品制造3021”</w:t>
            </w:r>
            <w:r>
              <w:rPr>
                <w:kern w:val="0"/>
                <w:sz w:val="24"/>
                <w:u w:val="single"/>
              </w:rPr>
              <w:t>，</w:t>
            </w:r>
            <w:r>
              <w:rPr>
                <w:rFonts w:hint="eastAsia"/>
                <w:kern w:val="0"/>
                <w:sz w:val="24"/>
                <w:u w:val="single"/>
              </w:rPr>
              <w:t>属于登记管理。</w:t>
            </w:r>
          </w:p>
          <w:p>
            <w:pPr>
              <w:adjustRightInd w:val="0"/>
              <w:snapToGrid w:val="0"/>
              <w:spacing w:line="360" w:lineRule="auto"/>
              <w:ind w:firstLine="480" w:firstLineChars="200"/>
              <w:rPr>
                <w:kern w:val="0"/>
                <w:sz w:val="24"/>
                <w:u w:val="single"/>
              </w:rPr>
            </w:pPr>
            <w:r>
              <w:rPr>
                <w:kern w:val="0"/>
                <w:sz w:val="24"/>
                <w:u w:val="single"/>
              </w:rPr>
              <w:t>本项目属于《固定污染源排污许可分类管理名录（2019版）》中的</w:t>
            </w:r>
            <w:r>
              <w:rPr>
                <w:rFonts w:hint="eastAsia"/>
                <w:kern w:val="0"/>
                <w:sz w:val="24"/>
                <w:u w:val="single"/>
              </w:rPr>
              <w:t>“</w:t>
            </w:r>
            <w:r>
              <w:rPr>
                <w:kern w:val="0"/>
                <w:sz w:val="24"/>
                <w:u w:val="single"/>
              </w:rPr>
              <w:t>五十一、通用工序—</w:t>
            </w:r>
            <w:r>
              <w:rPr>
                <w:rFonts w:hint="eastAsia"/>
                <w:kern w:val="0"/>
                <w:sz w:val="24"/>
                <w:u w:val="single"/>
              </w:rPr>
              <w:t>109.锅炉</w:t>
            </w:r>
            <w:r>
              <w:rPr>
                <w:kern w:val="0"/>
                <w:sz w:val="24"/>
                <w:u w:val="single"/>
              </w:rPr>
              <w:t>—除纳入重点排污单位名录的，单台且合计出力20吨/小时（14兆瓦）以下的锅炉（不含电热锅炉）</w:t>
            </w:r>
            <w:r>
              <w:rPr>
                <w:rFonts w:hint="eastAsia"/>
                <w:kern w:val="0"/>
                <w:sz w:val="24"/>
                <w:u w:val="single"/>
              </w:rPr>
              <w:t>”</w:t>
            </w:r>
            <w:r>
              <w:rPr>
                <w:kern w:val="0"/>
                <w:sz w:val="24"/>
                <w:u w:val="single"/>
              </w:rPr>
              <w:t>，应执行登记管理。待本项目建成后开始排污前</w:t>
            </w:r>
            <w:r>
              <w:rPr>
                <w:rFonts w:hint="eastAsia"/>
                <w:kern w:val="0"/>
                <w:sz w:val="24"/>
                <w:u w:val="single"/>
              </w:rPr>
              <w:t>，</w:t>
            </w:r>
            <w:r>
              <w:rPr>
                <w:kern w:val="0"/>
                <w:sz w:val="24"/>
                <w:u w:val="single"/>
              </w:rPr>
              <w:t>企业应及时办理排污许可</w:t>
            </w:r>
            <w:r>
              <w:rPr>
                <w:rFonts w:hint="eastAsia"/>
                <w:kern w:val="0"/>
                <w:sz w:val="24"/>
                <w:u w:val="single"/>
              </w:rPr>
              <w:t>变更</w:t>
            </w:r>
            <w:r>
              <w:rPr>
                <w:kern w:val="0"/>
                <w:sz w:val="24"/>
                <w:u w:val="single"/>
              </w:rPr>
              <w:t>相关工作。</w:t>
            </w:r>
          </w:p>
          <w:p>
            <w:pPr>
              <w:pStyle w:val="24"/>
              <w:spacing w:line="360" w:lineRule="auto"/>
              <w:ind w:firstLine="482"/>
              <w:rPr>
                <w:rFonts w:ascii="Times New Roman" w:hAnsi="Times New Roman" w:cs="Times New Roman"/>
                <w:b/>
                <w:color w:val="auto"/>
                <w:sz w:val="24"/>
                <w:szCs w:val="24"/>
              </w:rPr>
            </w:pPr>
            <w:r>
              <w:rPr>
                <w:rFonts w:hint="eastAsia" w:ascii="Times New Roman" w:hAnsi="Times New Roman" w:cs="Times New Roman"/>
                <w:b/>
                <w:color w:val="auto"/>
                <w:sz w:val="24"/>
                <w:szCs w:val="24"/>
              </w:rPr>
              <w:t>7、环境保护“三同时”验收情况</w:t>
            </w:r>
          </w:p>
          <w:p>
            <w:pPr>
              <w:pStyle w:val="24"/>
              <w:spacing w:line="360" w:lineRule="auto"/>
              <w:ind w:firstLine="480"/>
              <w:rPr>
                <w:rFonts w:ascii="Times New Roman" w:hAnsi="Times New Roman" w:cs="Times New Roman"/>
                <w:color w:val="auto"/>
                <w:sz w:val="24"/>
                <w:szCs w:val="24"/>
                <w:u w:val="single"/>
              </w:rPr>
            </w:pPr>
            <w:r>
              <w:rPr>
                <w:rFonts w:ascii="Times New Roman" w:hAnsi="Times New Roman" w:cs="Times New Roman"/>
                <w:color w:val="auto"/>
                <w:sz w:val="24"/>
                <w:szCs w:val="24"/>
                <w:u w:val="single"/>
              </w:rPr>
              <w:t>本项目</w:t>
            </w:r>
            <w:r>
              <w:rPr>
                <w:rFonts w:hint="eastAsia" w:ascii="Times New Roman" w:hAnsi="Times New Roman" w:cs="Times New Roman"/>
                <w:color w:val="auto"/>
                <w:sz w:val="24"/>
                <w:szCs w:val="24"/>
                <w:u w:val="single"/>
              </w:rPr>
              <w:t>环保投资估算及</w:t>
            </w:r>
            <w:r>
              <w:rPr>
                <w:rFonts w:ascii="Times New Roman" w:hAnsi="Times New Roman" w:cs="Times New Roman"/>
                <w:color w:val="auto"/>
                <w:sz w:val="24"/>
                <w:szCs w:val="24"/>
                <w:u w:val="single"/>
              </w:rPr>
              <w:t>“三同时”</w:t>
            </w:r>
            <w:r>
              <w:rPr>
                <w:rFonts w:hint="eastAsia" w:ascii="Times New Roman" w:hAnsi="Times New Roman" w:cs="Times New Roman"/>
                <w:color w:val="auto"/>
                <w:sz w:val="24"/>
                <w:szCs w:val="24"/>
                <w:u w:val="single"/>
              </w:rPr>
              <w:t>验收</w:t>
            </w:r>
            <w:r>
              <w:rPr>
                <w:rFonts w:ascii="Times New Roman" w:hAnsi="Times New Roman" w:cs="Times New Roman"/>
                <w:color w:val="auto"/>
                <w:sz w:val="24"/>
                <w:szCs w:val="24"/>
                <w:u w:val="single"/>
              </w:rPr>
              <w:t>内容见</w:t>
            </w:r>
            <w:r>
              <w:rPr>
                <w:rFonts w:hint="eastAsia" w:ascii="Times New Roman" w:hAnsi="Times New Roman" w:cs="Times New Roman"/>
                <w:color w:val="auto"/>
                <w:sz w:val="24"/>
                <w:szCs w:val="24"/>
                <w:u w:val="single"/>
              </w:rPr>
              <w:t>下表</w:t>
            </w:r>
            <w:r>
              <w:rPr>
                <w:rFonts w:ascii="Times New Roman" w:hAnsi="Times New Roman" w:cs="Times New Roman"/>
                <w:color w:val="auto"/>
                <w:sz w:val="24"/>
                <w:szCs w:val="24"/>
                <w:u w:val="single"/>
              </w:rPr>
              <w:t>。</w:t>
            </w:r>
          </w:p>
          <w:p>
            <w:pPr>
              <w:pStyle w:val="24"/>
              <w:spacing w:line="360" w:lineRule="auto"/>
              <w:ind w:firstLine="480"/>
              <w:rPr>
                <w:rFonts w:ascii="Times New Roman" w:hAnsi="Times New Roman" w:cs="Times New Roman"/>
                <w:color w:val="auto"/>
                <w:sz w:val="24"/>
                <w:szCs w:val="24"/>
                <w:u w:val="single"/>
              </w:rPr>
            </w:pPr>
          </w:p>
          <w:p>
            <w:pPr>
              <w:pStyle w:val="24"/>
              <w:spacing w:line="360" w:lineRule="auto"/>
              <w:ind w:firstLine="480"/>
              <w:rPr>
                <w:rFonts w:ascii="Times New Roman" w:hAnsi="Times New Roman" w:cs="Times New Roman"/>
                <w:color w:val="auto"/>
                <w:sz w:val="24"/>
                <w:szCs w:val="24"/>
                <w:u w:val="single"/>
              </w:rPr>
            </w:pPr>
          </w:p>
          <w:p>
            <w:pPr>
              <w:pStyle w:val="24"/>
              <w:spacing w:line="360" w:lineRule="auto"/>
              <w:ind w:firstLine="480"/>
              <w:rPr>
                <w:rFonts w:ascii="Times New Roman" w:hAnsi="Times New Roman" w:cs="Times New Roman"/>
                <w:color w:val="auto"/>
                <w:sz w:val="24"/>
                <w:szCs w:val="24"/>
                <w:u w:val="single"/>
              </w:rPr>
            </w:pPr>
          </w:p>
          <w:p>
            <w:pPr>
              <w:pStyle w:val="23"/>
              <w:spacing w:beforeLines="50"/>
              <w:ind w:left="0" w:firstLine="0"/>
            </w:pPr>
            <w:r>
              <w:t>本项目</w:t>
            </w:r>
            <w:r>
              <w:rPr>
                <w:rFonts w:hint="eastAsia"/>
              </w:rPr>
              <w:t>环保投资估算及</w:t>
            </w:r>
            <w:r>
              <w:t>“三同时”</w:t>
            </w:r>
            <w:r>
              <w:rPr>
                <w:rFonts w:hint="eastAsia"/>
              </w:rPr>
              <w:t>验收</w:t>
            </w:r>
            <w:r>
              <w:t>一览表</w:t>
            </w:r>
          </w:p>
          <w:tbl>
            <w:tblPr>
              <w:tblStyle w:val="19"/>
              <w:tblW w:w="7951"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677"/>
              <w:gridCol w:w="1749"/>
              <w:gridCol w:w="2012"/>
              <w:gridCol w:w="1064"/>
              <w:gridCol w:w="2449"/>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426" w:type="dxa"/>
                  <w:gridSpan w:val="2"/>
                  <w:vAlign w:val="center"/>
                </w:tcPr>
                <w:p>
                  <w:pPr>
                    <w:ind w:firstLine="482"/>
                    <w:jc w:val="center"/>
                    <w:rPr>
                      <w:b/>
                      <w:bCs/>
                      <w:szCs w:val="21"/>
                      <w:u w:val="single"/>
                    </w:rPr>
                  </w:pPr>
                  <w:r>
                    <w:rPr>
                      <w:b/>
                      <w:bCs/>
                      <w:szCs w:val="21"/>
                      <w:u w:val="single"/>
                    </w:rPr>
                    <w:t>项目</w:t>
                  </w:r>
                </w:p>
              </w:tc>
              <w:tc>
                <w:tcPr>
                  <w:tcW w:w="2012" w:type="dxa"/>
                  <w:vAlign w:val="center"/>
                </w:tcPr>
                <w:p>
                  <w:pPr>
                    <w:ind w:firstLine="482"/>
                    <w:jc w:val="center"/>
                    <w:rPr>
                      <w:b/>
                      <w:bCs/>
                      <w:szCs w:val="21"/>
                      <w:u w:val="single"/>
                    </w:rPr>
                  </w:pPr>
                  <w:r>
                    <w:rPr>
                      <w:b/>
                      <w:bCs/>
                      <w:szCs w:val="21"/>
                      <w:u w:val="single"/>
                    </w:rPr>
                    <w:t>环保措施</w:t>
                  </w:r>
                </w:p>
              </w:tc>
              <w:tc>
                <w:tcPr>
                  <w:tcW w:w="1064" w:type="dxa"/>
                  <w:vAlign w:val="center"/>
                </w:tcPr>
                <w:p>
                  <w:pPr>
                    <w:ind w:firstLine="482"/>
                    <w:jc w:val="center"/>
                    <w:rPr>
                      <w:b/>
                      <w:bCs/>
                      <w:szCs w:val="21"/>
                      <w:u w:val="single"/>
                    </w:rPr>
                  </w:pPr>
                  <w:r>
                    <w:rPr>
                      <w:rFonts w:hint="eastAsia"/>
                      <w:b/>
                      <w:bCs/>
                      <w:szCs w:val="21"/>
                      <w:u w:val="single"/>
                    </w:rPr>
                    <w:t>投资</w:t>
                  </w:r>
                </w:p>
                <w:p>
                  <w:pPr>
                    <w:ind w:firstLine="482"/>
                    <w:jc w:val="center"/>
                    <w:rPr>
                      <w:b/>
                      <w:bCs/>
                      <w:szCs w:val="21"/>
                      <w:u w:val="single"/>
                    </w:rPr>
                  </w:pPr>
                  <w:r>
                    <w:rPr>
                      <w:rFonts w:hint="eastAsia"/>
                      <w:b/>
                      <w:bCs/>
                      <w:szCs w:val="21"/>
                      <w:u w:val="single"/>
                    </w:rPr>
                    <w:t>（万元）</w:t>
                  </w:r>
                </w:p>
              </w:tc>
              <w:tc>
                <w:tcPr>
                  <w:tcW w:w="2449" w:type="dxa"/>
                  <w:vAlign w:val="center"/>
                </w:tcPr>
                <w:p>
                  <w:pPr>
                    <w:ind w:firstLine="482"/>
                    <w:jc w:val="center"/>
                    <w:rPr>
                      <w:b/>
                      <w:bCs/>
                      <w:szCs w:val="21"/>
                      <w:u w:val="single"/>
                    </w:rPr>
                  </w:pPr>
                  <w:r>
                    <w:rPr>
                      <w:b/>
                      <w:bCs/>
                      <w:szCs w:val="21"/>
                      <w:u w:val="single"/>
                    </w:rPr>
                    <w:t>验收标准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77" w:type="dxa"/>
                  <w:vAlign w:val="center"/>
                </w:tcPr>
                <w:p>
                  <w:pPr>
                    <w:jc w:val="center"/>
                    <w:rPr>
                      <w:szCs w:val="21"/>
                      <w:u w:val="single"/>
                    </w:rPr>
                  </w:pPr>
                  <w:r>
                    <w:rPr>
                      <w:szCs w:val="21"/>
                      <w:u w:val="single"/>
                    </w:rPr>
                    <w:t>废气</w:t>
                  </w:r>
                </w:p>
              </w:tc>
              <w:tc>
                <w:tcPr>
                  <w:tcW w:w="1749" w:type="dxa"/>
                  <w:vAlign w:val="center"/>
                </w:tcPr>
                <w:p>
                  <w:pPr>
                    <w:jc w:val="center"/>
                    <w:rPr>
                      <w:szCs w:val="21"/>
                      <w:u w:val="single"/>
                    </w:rPr>
                  </w:pPr>
                  <w:r>
                    <w:rPr>
                      <w:szCs w:val="21"/>
                      <w:u w:val="single"/>
                    </w:rPr>
                    <w:t>锅炉烟气</w:t>
                  </w:r>
                </w:p>
              </w:tc>
              <w:tc>
                <w:tcPr>
                  <w:tcW w:w="2012" w:type="dxa"/>
                  <w:vAlign w:val="center"/>
                </w:tcPr>
                <w:p>
                  <w:pPr>
                    <w:pStyle w:val="17"/>
                    <w:widowControl w:val="0"/>
                    <w:autoSpaceDE w:val="0"/>
                    <w:autoSpaceDN w:val="0"/>
                    <w:adjustRightInd w:val="0"/>
                    <w:snapToGrid w:val="0"/>
                    <w:spacing w:before="120" w:beforeAutospacing="0" w:after="0" w:afterAutospacing="0"/>
                    <w:ind w:firstLine="420"/>
                    <w:jc w:val="center"/>
                    <w:rPr>
                      <w:rFonts w:ascii="Times New Roman" w:hAnsi="Times New Roman"/>
                      <w:sz w:val="21"/>
                      <w:szCs w:val="21"/>
                      <w:u w:val="single"/>
                    </w:rPr>
                  </w:pPr>
                  <w:r>
                    <w:rPr>
                      <w:rFonts w:hint="eastAsia" w:ascii="Times New Roman" w:hAnsi="Times New Roman"/>
                      <w:sz w:val="21"/>
                      <w:szCs w:val="21"/>
                      <w:u w:val="single"/>
                    </w:rPr>
                    <w:t>低氮燃烧+陶瓷多管+布袋除尘器+30</w:t>
                  </w:r>
                  <w:r>
                    <w:rPr>
                      <w:rFonts w:ascii="Times New Roman" w:hAnsi="Times New Roman"/>
                      <w:sz w:val="21"/>
                      <w:szCs w:val="21"/>
                      <w:u w:val="single"/>
                    </w:rPr>
                    <w:t>m高排气筒</w:t>
                  </w:r>
                </w:p>
              </w:tc>
              <w:tc>
                <w:tcPr>
                  <w:tcW w:w="1064" w:type="dxa"/>
                  <w:vAlign w:val="center"/>
                </w:tcPr>
                <w:p>
                  <w:pPr>
                    <w:pStyle w:val="17"/>
                    <w:widowControl w:val="0"/>
                    <w:autoSpaceDE w:val="0"/>
                    <w:autoSpaceDN w:val="0"/>
                    <w:adjustRightInd w:val="0"/>
                    <w:snapToGrid w:val="0"/>
                    <w:spacing w:before="120" w:beforeAutospacing="0" w:after="0" w:afterAutospacing="0"/>
                    <w:ind w:firstLine="420"/>
                    <w:jc w:val="center"/>
                    <w:rPr>
                      <w:rFonts w:ascii="Times New Roman" w:hAnsi="Times New Roman"/>
                      <w:sz w:val="21"/>
                      <w:szCs w:val="21"/>
                      <w:u w:val="single"/>
                    </w:rPr>
                  </w:pPr>
                  <w:r>
                    <w:rPr>
                      <w:rFonts w:hint="eastAsia" w:ascii="Times New Roman" w:hAnsi="Times New Roman"/>
                      <w:sz w:val="21"/>
                      <w:szCs w:val="21"/>
                      <w:u w:val="single"/>
                    </w:rPr>
                    <w:t>7</w:t>
                  </w:r>
                </w:p>
              </w:tc>
              <w:tc>
                <w:tcPr>
                  <w:tcW w:w="2449" w:type="dxa"/>
                  <w:vAlign w:val="center"/>
                </w:tcPr>
                <w:p>
                  <w:pPr>
                    <w:jc w:val="center"/>
                    <w:rPr>
                      <w:szCs w:val="21"/>
                      <w:u w:val="single"/>
                    </w:rPr>
                  </w:pPr>
                  <w:r>
                    <w:rPr>
                      <w:szCs w:val="21"/>
                      <w:u w:val="single"/>
                    </w:rPr>
                    <w:t>GB13271-2014《锅炉大气污染物排放标准》表</w:t>
                  </w:r>
                  <w:r>
                    <w:rPr>
                      <w:rFonts w:hint="eastAsia"/>
                      <w:szCs w:val="21"/>
                      <w:u w:val="single"/>
                    </w:rPr>
                    <w:t>2</w:t>
                  </w:r>
                  <w:r>
                    <w:rPr>
                      <w:szCs w:val="21"/>
                      <w:u w:val="single"/>
                    </w:rPr>
                    <w:t>中</w:t>
                  </w:r>
                  <w:r>
                    <w:rPr>
                      <w:rFonts w:hint="eastAsia"/>
                      <w:szCs w:val="21"/>
                      <w:u w:val="single"/>
                    </w:rPr>
                    <w:t>相关</w:t>
                  </w:r>
                  <w:r>
                    <w:rPr>
                      <w:szCs w:val="21"/>
                      <w:u w:val="single"/>
                    </w:rPr>
                    <w:t>排放限值要求</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77" w:type="dxa"/>
                  <w:vAlign w:val="center"/>
                </w:tcPr>
                <w:p>
                  <w:pPr>
                    <w:jc w:val="center"/>
                    <w:rPr>
                      <w:szCs w:val="21"/>
                      <w:u w:val="single"/>
                    </w:rPr>
                  </w:pPr>
                  <w:r>
                    <w:rPr>
                      <w:rFonts w:hint="eastAsia"/>
                      <w:szCs w:val="21"/>
                      <w:u w:val="single"/>
                    </w:rPr>
                    <w:t>废水</w:t>
                  </w:r>
                </w:p>
              </w:tc>
              <w:tc>
                <w:tcPr>
                  <w:tcW w:w="1749" w:type="dxa"/>
                  <w:vAlign w:val="center"/>
                </w:tcPr>
                <w:p>
                  <w:pPr>
                    <w:jc w:val="center"/>
                    <w:rPr>
                      <w:szCs w:val="21"/>
                      <w:u w:val="single"/>
                    </w:rPr>
                  </w:pPr>
                  <w:r>
                    <w:rPr>
                      <w:szCs w:val="21"/>
                      <w:u w:val="single"/>
                    </w:rPr>
                    <w:t>锅炉排污水</w:t>
                  </w:r>
                  <w:r>
                    <w:rPr>
                      <w:rFonts w:hint="eastAsia"/>
                      <w:szCs w:val="21"/>
                      <w:u w:val="single"/>
                    </w:rPr>
                    <w:t>、</w:t>
                  </w:r>
                  <w:r>
                    <w:rPr>
                      <w:szCs w:val="21"/>
                      <w:u w:val="single"/>
                    </w:rPr>
                    <w:t>软化处理废水</w:t>
                  </w:r>
                  <w:r>
                    <w:rPr>
                      <w:rFonts w:hint="eastAsia"/>
                      <w:szCs w:val="21"/>
                      <w:u w:val="single"/>
                    </w:rPr>
                    <w:t>及蒸汽冷凝水</w:t>
                  </w:r>
                </w:p>
              </w:tc>
              <w:tc>
                <w:tcPr>
                  <w:tcW w:w="2012" w:type="dxa"/>
                  <w:vAlign w:val="center"/>
                </w:tcPr>
                <w:p>
                  <w:pPr>
                    <w:jc w:val="center"/>
                    <w:rPr>
                      <w:szCs w:val="21"/>
                      <w:u w:val="single"/>
                    </w:rPr>
                  </w:pPr>
                  <w:r>
                    <w:rPr>
                      <w:szCs w:val="21"/>
                      <w:u w:val="single"/>
                    </w:rPr>
                    <w:t>用于浇渣降尘或回用于生产</w:t>
                  </w:r>
                </w:p>
              </w:tc>
              <w:tc>
                <w:tcPr>
                  <w:tcW w:w="1064" w:type="dxa"/>
                  <w:vAlign w:val="center"/>
                </w:tcPr>
                <w:p>
                  <w:pPr>
                    <w:jc w:val="center"/>
                    <w:rPr>
                      <w:szCs w:val="21"/>
                      <w:u w:val="single"/>
                    </w:rPr>
                  </w:pPr>
                  <w:r>
                    <w:rPr>
                      <w:rFonts w:hint="eastAsia"/>
                      <w:szCs w:val="21"/>
                      <w:u w:val="single"/>
                    </w:rPr>
                    <w:t>/</w:t>
                  </w:r>
                </w:p>
              </w:tc>
              <w:tc>
                <w:tcPr>
                  <w:tcW w:w="2449" w:type="dxa"/>
                  <w:vAlign w:val="center"/>
                </w:tcPr>
                <w:p>
                  <w:pPr>
                    <w:jc w:val="center"/>
                    <w:rPr>
                      <w:szCs w:val="21"/>
                      <w:u w:val="single"/>
                    </w:rPr>
                  </w:pPr>
                  <w:r>
                    <w:rPr>
                      <w:rFonts w:hint="eastAsia"/>
                      <w:szCs w:val="21"/>
                      <w:u w:val="single"/>
                    </w:rPr>
                    <w:t>不外排</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77" w:type="dxa"/>
                  <w:vAlign w:val="center"/>
                </w:tcPr>
                <w:p>
                  <w:pPr>
                    <w:jc w:val="center"/>
                    <w:rPr>
                      <w:szCs w:val="21"/>
                      <w:u w:val="single"/>
                    </w:rPr>
                  </w:pPr>
                  <w:r>
                    <w:rPr>
                      <w:szCs w:val="21"/>
                      <w:u w:val="single"/>
                    </w:rPr>
                    <w:t>噪声</w:t>
                  </w:r>
                </w:p>
              </w:tc>
              <w:tc>
                <w:tcPr>
                  <w:tcW w:w="1749" w:type="dxa"/>
                  <w:vAlign w:val="center"/>
                </w:tcPr>
                <w:p>
                  <w:pPr>
                    <w:jc w:val="center"/>
                    <w:rPr>
                      <w:szCs w:val="21"/>
                      <w:u w:val="single"/>
                    </w:rPr>
                  </w:pPr>
                  <w:r>
                    <w:rPr>
                      <w:szCs w:val="21"/>
                      <w:u w:val="single"/>
                    </w:rPr>
                    <w:t>设备噪声</w:t>
                  </w:r>
                </w:p>
              </w:tc>
              <w:tc>
                <w:tcPr>
                  <w:tcW w:w="2012" w:type="dxa"/>
                  <w:vAlign w:val="center"/>
                </w:tcPr>
                <w:p>
                  <w:pPr>
                    <w:jc w:val="center"/>
                    <w:rPr>
                      <w:szCs w:val="21"/>
                      <w:u w:val="single"/>
                    </w:rPr>
                  </w:pPr>
                  <w:r>
                    <w:rPr>
                      <w:szCs w:val="21"/>
                      <w:u w:val="single"/>
                    </w:rPr>
                    <w:t>选购低噪音设备，设隔离操作间，墙壁安装吸声材料，设备底部加减振垫</w:t>
                  </w:r>
                </w:p>
              </w:tc>
              <w:tc>
                <w:tcPr>
                  <w:tcW w:w="1064" w:type="dxa"/>
                  <w:vAlign w:val="center"/>
                </w:tcPr>
                <w:p>
                  <w:pPr>
                    <w:jc w:val="center"/>
                    <w:rPr>
                      <w:szCs w:val="21"/>
                      <w:u w:val="single"/>
                    </w:rPr>
                  </w:pPr>
                  <w:r>
                    <w:rPr>
                      <w:rFonts w:hint="eastAsia"/>
                      <w:szCs w:val="21"/>
                      <w:u w:val="single"/>
                    </w:rPr>
                    <w:t>1</w:t>
                  </w:r>
                </w:p>
              </w:tc>
              <w:tc>
                <w:tcPr>
                  <w:tcW w:w="2449" w:type="dxa"/>
                  <w:vAlign w:val="center"/>
                </w:tcPr>
                <w:p>
                  <w:pPr>
                    <w:jc w:val="center"/>
                    <w:rPr>
                      <w:szCs w:val="21"/>
                      <w:u w:val="single"/>
                    </w:rPr>
                  </w:pPr>
                  <w:r>
                    <w:rPr>
                      <w:szCs w:val="21"/>
                      <w:u w:val="single"/>
                    </w:rPr>
                    <w:t>GB12348-2008《工业企业厂界环境噪声排放标准》中</w:t>
                  </w:r>
                  <w:r>
                    <w:rPr>
                      <w:rFonts w:hint="eastAsia"/>
                      <w:szCs w:val="21"/>
                      <w:u w:val="single"/>
                    </w:rPr>
                    <w:t>2类</w:t>
                  </w:r>
                  <w:r>
                    <w:rPr>
                      <w:szCs w:val="21"/>
                      <w:u w:val="single"/>
                    </w:rPr>
                    <w:t>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77" w:type="dxa"/>
                  <w:vMerge w:val="restart"/>
                  <w:vAlign w:val="center"/>
                </w:tcPr>
                <w:p>
                  <w:pPr>
                    <w:jc w:val="center"/>
                    <w:rPr>
                      <w:szCs w:val="21"/>
                      <w:u w:val="single"/>
                    </w:rPr>
                  </w:pPr>
                  <w:r>
                    <w:rPr>
                      <w:rFonts w:hint="eastAsia"/>
                      <w:szCs w:val="21"/>
                      <w:u w:val="single"/>
                    </w:rPr>
                    <w:t>固体废物</w:t>
                  </w:r>
                </w:p>
              </w:tc>
              <w:tc>
                <w:tcPr>
                  <w:tcW w:w="1749" w:type="dxa"/>
                  <w:vAlign w:val="center"/>
                </w:tcPr>
                <w:p>
                  <w:pPr>
                    <w:jc w:val="center"/>
                    <w:rPr>
                      <w:szCs w:val="21"/>
                      <w:u w:val="single"/>
                    </w:rPr>
                  </w:pPr>
                  <w:r>
                    <w:rPr>
                      <w:szCs w:val="21"/>
                      <w:u w:val="single"/>
                    </w:rPr>
                    <w:t>除尘器收集的粉尘</w:t>
                  </w:r>
                </w:p>
              </w:tc>
              <w:tc>
                <w:tcPr>
                  <w:tcW w:w="2012" w:type="dxa"/>
                  <w:vAlign w:val="center"/>
                </w:tcPr>
                <w:p>
                  <w:pPr>
                    <w:jc w:val="center"/>
                    <w:rPr>
                      <w:szCs w:val="21"/>
                      <w:u w:val="single"/>
                    </w:rPr>
                  </w:pPr>
                  <w:r>
                    <w:rPr>
                      <w:rFonts w:hint="eastAsia"/>
                      <w:szCs w:val="21"/>
                      <w:u w:val="single"/>
                    </w:rPr>
                    <w:t>密闭袋装收集，</w:t>
                  </w:r>
                  <w:r>
                    <w:rPr>
                      <w:szCs w:val="21"/>
                      <w:u w:val="single"/>
                    </w:rPr>
                    <w:t>外售用作农肥</w:t>
                  </w:r>
                </w:p>
              </w:tc>
              <w:tc>
                <w:tcPr>
                  <w:tcW w:w="1064" w:type="dxa"/>
                  <w:vAlign w:val="center"/>
                </w:tcPr>
                <w:p>
                  <w:pPr>
                    <w:jc w:val="center"/>
                    <w:rPr>
                      <w:szCs w:val="21"/>
                      <w:u w:val="single"/>
                    </w:rPr>
                  </w:pPr>
                  <w:r>
                    <w:rPr>
                      <w:rFonts w:hint="eastAsia"/>
                      <w:szCs w:val="21"/>
                      <w:u w:val="single"/>
                    </w:rPr>
                    <w:t>/</w:t>
                  </w:r>
                </w:p>
              </w:tc>
              <w:tc>
                <w:tcPr>
                  <w:tcW w:w="2449" w:type="dxa"/>
                  <w:vMerge w:val="restart"/>
                  <w:vAlign w:val="center"/>
                </w:tcPr>
                <w:p>
                  <w:pPr>
                    <w:jc w:val="center"/>
                    <w:rPr>
                      <w:szCs w:val="21"/>
                      <w:u w:val="single"/>
                    </w:rPr>
                  </w:pPr>
                  <w:r>
                    <w:rPr>
                      <w:rFonts w:hint="eastAsia"/>
                      <w:szCs w:val="21"/>
                      <w:u w:val="single"/>
                    </w:rPr>
                    <w:t>不产生二次污染</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77" w:type="dxa"/>
                  <w:vMerge w:val="continue"/>
                  <w:vAlign w:val="center"/>
                </w:tcPr>
                <w:p>
                  <w:pPr>
                    <w:jc w:val="center"/>
                    <w:rPr>
                      <w:szCs w:val="21"/>
                      <w:u w:val="single"/>
                    </w:rPr>
                  </w:pPr>
                </w:p>
              </w:tc>
              <w:tc>
                <w:tcPr>
                  <w:tcW w:w="1749" w:type="dxa"/>
                  <w:vAlign w:val="center"/>
                </w:tcPr>
                <w:p>
                  <w:pPr>
                    <w:jc w:val="center"/>
                    <w:rPr>
                      <w:szCs w:val="21"/>
                      <w:u w:val="single"/>
                    </w:rPr>
                  </w:pPr>
                  <w:r>
                    <w:rPr>
                      <w:szCs w:val="21"/>
                      <w:u w:val="single"/>
                    </w:rPr>
                    <w:t>锅炉灰渣</w:t>
                  </w:r>
                </w:p>
              </w:tc>
              <w:tc>
                <w:tcPr>
                  <w:tcW w:w="2012" w:type="dxa"/>
                  <w:vAlign w:val="center"/>
                </w:tcPr>
                <w:p>
                  <w:pPr>
                    <w:jc w:val="center"/>
                    <w:rPr>
                      <w:szCs w:val="21"/>
                      <w:u w:val="single"/>
                    </w:rPr>
                  </w:pPr>
                  <w:r>
                    <w:rPr>
                      <w:rFonts w:hint="eastAsia"/>
                      <w:szCs w:val="21"/>
                      <w:u w:val="single"/>
                    </w:rPr>
                    <w:t>密闭袋装收集，</w:t>
                  </w:r>
                  <w:r>
                    <w:rPr>
                      <w:szCs w:val="21"/>
                      <w:u w:val="single"/>
                    </w:rPr>
                    <w:t>外售用作农肥</w:t>
                  </w:r>
                </w:p>
              </w:tc>
              <w:tc>
                <w:tcPr>
                  <w:tcW w:w="1064" w:type="dxa"/>
                  <w:vAlign w:val="center"/>
                </w:tcPr>
                <w:p>
                  <w:pPr>
                    <w:jc w:val="center"/>
                    <w:rPr>
                      <w:szCs w:val="21"/>
                      <w:u w:val="single"/>
                    </w:rPr>
                  </w:pPr>
                  <w:r>
                    <w:rPr>
                      <w:rFonts w:hint="eastAsia"/>
                      <w:szCs w:val="21"/>
                      <w:u w:val="single"/>
                    </w:rPr>
                    <w:t>/</w:t>
                  </w:r>
                </w:p>
              </w:tc>
              <w:tc>
                <w:tcPr>
                  <w:tcW w:w="2449" w:type="dxa"/>
                  <w:vMerge w:val="continue"/>
                  <w:vAlign w:val="center"/>
                </w:tcPr>
                <w:p>
                  <w:pPr>
                    <w:jc w:val="center"/>
                    <w:rPr>
                      <w:szCs w:val="21"/>
                      <w:u w:val="singl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77" w:type="dxa"/>
                  <w:vMerge w:val="continue"/>
                  <w:vAlign w:val="center"/>
                </w:tcPr>
                <w:p>
                  <w:pPr>
                    <w:jc w:val="center"/>
                    <w:rPr>
                      <w:szCs w:val="21"/>
                      <w:u w:val="single"/>
                    </w:rPr>
                  </w:pPr>
                </w:p>
              </w:tc>
              <w:tc>
                <w:tcPr>
                  <w:tcW w:w="1749" w:type="dxa"/>
                  <w:vAlign w:val="center"/>
                </w:tcPr>
                <w:p>
                  <w:pPr>
                    <w:jc w:val="center"/>
                    <w:rPr>
                      <w:szCs w:val="21"/>
                      <w:u w:val="single"/>
                    </w:rPr>
                  </w:pPr>
                  <w:r>
                    <w:rPr>
                      <w:szCs w:val="21"/>
                      <w:u w:val="single"/>
                    </w:rPr>
                    <w:t>废离子交换树脂</w:t>
                  </w:r>
                </w:p>
              </w:tc>
              <w:tc>
                <w:tcPr>
                  <w:tcW w:w="2012" w:type="dxa"/>
                  <w:vAlign w:val="center"/>
                </w:tcPr>
                <w:p>
                  <w:pPr>
                    <w:jc w:val="center"/>
                    <w:rPr>
                      <w:szCs w:val="21"/>
                      <w:u w:val="single"/>
                    </w:rPr>
                  </w:pPr>
                  <w:r>
                    <w:rPr>
                      <w:szCs w:val="21"/>
                      <w:u w:val="single"/>
                    </w:rPr>
                    <w:t>由厂家回收</w:t>
                  </w:r>
                </w:p>
              </w:tc>
              <w:tc>
                <w:tcPr>
                  <w:tcW w:w="1064" w:type="dxa"/>
                  <w:vAlign w:val="center"/>
                </w:tcPr>
                <w:p>
                  <w:pPr>
                    <w:jc w:val="center"/>
                    <w:rPr>
                      <w:szCs w:val="21"/>
                      <w:u w:val="single"/>
                    </w:rPr>
                  </w:pPr>
                  <w:r>
                    <w:rPr>
                      <w:rFonts w:hint="eastAsia"/>
                      <w:szCs w:val="21"/>
                      <w:u w:val="single"/>
                    </w:rPr>
                    <w:t>/</w:t>
                  </w:r>
                </w:p>
              </w:tc>
              <w:tc>
                <w:tcPr>
                  <w:tcW w:w="2449" w:type="dxa"/>
                  <w:vMerge w:val="continue"/>
                  <w:vAlign w:val="center"/>
                </w:tcPr>
                <w:p>
                  <w:pPr>
                    <w:jc w:val="center"/>
                    <w:rPr>
                      <w:szCs w:val="21"/>
                      <w:u w:val="singl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77" w:type="dxa"/>
                  <w:vMerge w:val="continue"/>
                  <w:vAlign w:val="center"/>
                </w:tcPr>
                <w:p>
                  <w:pPr>
                    <w:jc w:val="center"/>
                    <w:rPr>
                      <w:szCs w:val="21"/>
                      <w:u w:val="single"/>
                    </w:rPr>
                  </w:pPr>
                </w:p>
              </w:tc>
              <w:tc>
                <w:tcPr>
                  <w:tcW w:w="1749" w:type="dxa"/>
                  <w:vAlign w:val="center"/>
                </w:tcPr>
                <w:p>
                  <w:pPr>
                    <w:jc w:val="center"/>
                    <w:rPr>
                      <w:szCs w:val="21"/>
                      <w:u w:val="single"/>
                    </w:rPr>
                  </w:pPr>
                  <w:r>
                    <w:rPr>
                      <w:szCs w:val="21"/>
                      <w:u w:val="single"/>
                    </w:rPr>
                    <w:t>废布袋</w:t>
                  </w:r>
                </w:p>
              </w:tc>
              <w:tc>
                <w:tcPr>
                  <w:tcW w:w="2012" w:type="dxa"/>
                  <w:vAlign w:val="center"/>
                </w:tcPr>
                <w:p>
                  <w:pPr>
                    <w:jc w:val="center"/>
                    <w:rPr>
                      <w:szCs w:val="21"/>
                      <w:u w:val="single"/>
                    </w:rPr>
                  </w:pPr>
                  <w:r>
                    <w:rPr>
                      <w:szCs w:val="21"/>
                      <w:u w:val="single"/>
                    </w:rPr>
                    <w:t>由厂家回收</w:t>
                  </w:r>
                </w:p>
              </w:tc>
              <w:tc>
                <w:tcPr>
                  <w:tcW w:w="1064" w:type="dxa"/>
                  <w:vAlign w:val="center"/>
                </w:tcPr>
                <w:p>
                  <w:pPr>
                    <w:jc w:val="center"/>
                    <w:rPr>
                      <w:szCs w:val="21"/>
                      <w:u w:val="single"/>
                    </w:rPr>
                  </w:pPr>
                  <w:r>
                    <w:rPr>
                      <w:rFonts w:hint="eastAsia"/>
                      <w:szCs w:val="21"/>
                      <w:u w:val="single"/>
                    </w:rPr>
                    <w:t>/</w:t>
                  </w:r>
                </w:p>
              </w:tc>
              <w:tc>
                <w:tcPr>
                  <w:tcW w:w="2449" w:type="dxa"/>
                  <w:vMerge w:val="continue"/>
                  <w:vAlign w:val="center"/>
                </w:tcPr>
                <w:p>
                  <w:pPr>
                    <w:jc w:val="center"/>
                    <w:rPr>
                      <w:szCs w:val="21"/>
                      <w:u w:val="singl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438" w:type="dxa"/>
                  <w:gridSpan w:val="3"/>
                  <w:vAlign w:val="center"/>
                </w:tcPr>
                <w:p>
                  <w:pPr>
                    <w:jc w:val="center"/>
                    <w:rPr>
                      <w:szCs w:val="21"/>
                      <w:u w:val="single"/>
                    </w:rPr>
                  </w:pPr>
                  <w:r>
                    <w:rPr>
                      <w:rFonts w:hint="eastAsia"/>
                      <w:szCs w:val="21"/>
                      <w:u w:val="single"/>
                    </w:rPr>
                    <w:t>合计</w:t>
                  </w:r>
                </w:p>
              </w:tc>
              <w:tc>
                <w:tcPr>
                  <w:tcW w:w="1064" w:type="dxa"/>
                  <w:vAlign w:val="center"/>
                </w:tcPr>
                <w:p>
                  <w:pPr>
                    <w:jc w:val="center"/>
                    <w:rPr>
                      <w:szCs w:val="21"/>
                      <w:u w:val="single"/>
                    </w:rPr>
                  </w:pPr>
                  <w:r>
                    <w:rPr>
                      <w:rFonts w:hint="eastAsia"/>
                      <w:szCs w:val="21"/>
                      <w:u w:val="single"/>
                    </w:rPr>
                    <w:t>8</w:t>
                  </w:r>
                </w:p>
              </w:tc>
              <w:tc>
                <w:tcPr>
                  <w:tcW w:w="2449" w:type="dxa"/>
                  <w:vAlign w:val="center"/>
                </w:tcPr>
                <w:p>
                  <w:pPr>
                    <w:jc w:val="center"/>
                    <w:rPr>
                      <w:szCs w:val="21"/>
                      <w:u w:val="single"/>
                    </w:rPr>
                  </w:pPr>
                  <w:r>
                    <w:rPr>
                      <w:rFonts w:hint="eastAsia"/>
                      <w:szCs w:val="21"/>
                      <w:u w:val="single"/>
                    </w:rPr>
                    <w:t>/</w:t>
                  </w:r>
                </w:p>
              </w:tc>
            </w:tr>
          </w:tbl>
          <w:p>
            <w:pPr>
              <w:adjustRightInd w:val="0"/>
              <w:snapToGrid w:val="0"/>
              <w:ind w:firstLine="440"/>
              <w:rPr>
                <w:rFonts w:ascii="宋体" w:hAnsi="宋体" w:cs="宋体"/>
                <w:bCs/>
                <w:spacing w:val="-10"/>
                <w:szCs w:val="21"/>
                <w:u w:val="single"/>
              </w:rPr>
            </w:pPr>
          </w:p>
          <w:p>
            <w:pPr>
              <w:adjustRightInd w:val="0"/>
              <w:snapToGrid w:val="0"/>
              <w:ind w:firstLine="440"/>
              <w:rPr>
                <w:rFonts w:ascii="宋体" w:hAnsi="宋体" w:cs="宋体"/>
                <w:bCs/>
                <w:spacing w:val="-10"/>
                <w:szCs w:val="21"/>
              </w:rPr>
            </w:pPr>
          </w:p>
          <w:p>
            <w:pPr>
              <w:adjustRightInd w:val="0"/>
              <w:snapToGrid w:val="0"/>
              <w:ind w:firstLine="440"/>
              <w:rPr>
                <w:rFonts w:ascii="宋体" w:hAnsi="宋体" w:cs="宋体"/>
                <w:bCs/>
                <w:spacing w:val="-10"/>
                <w:szCs w:val="21"/>
              </w:rPr>
            </w:pPr>
          </w:p>
          <w:p>
            <w:pPr>
              <w:adjustRightInd w:val="0"/>
              <w:snapToGrid w:val="0"/>
              <w:ind w:firstLine="440"/>
              <w:rPr>
                <w:rFonts w:ascii="宋体" w:hAnsi="宋体" w:cs="宋体"/>
                <w:bCs/>
                <w:spacing w:val="-10"/>
                <w:szCs w:val="21"/>
              </w:rPr>
            </w:pPr>
          </w:p>
          <w:p>
            <w:pPr>
              <w:adjustRightInd w:val="0"/>
              <w:snapToGrid w:val="0"/>
              <w:ind w:firstLine="440"/>
              <w:rPr>
                <w:rFonts w:ascii="宋体" w:hAnsi="宋体" w:cs="宋体"/>
                <w:bCs/>
                <w:spacing w:val="-10"/>
                <w:szCs w:val="21"/>
              </w:rPr>
            </w:pPr>
          </w:p>
          <w:p>
            <w:pPr>
              <w:adjustRightInd w:val="0"/>
              <w:snapToGrid w:val="0"/>
              <w:ind w:firstLine="440"/>
              <w:rPr>
                <w:rFonts w:ascii="宋体" w:hAnsi="宋体" w:cs="宋体"/>
                <w:bCs/>
                <w:spacing w:val="-10"/>
                <w:szCs w:val="21"/>
              </w:rPr>
            </w:pPr>
          </w:p>
          <w:p>
            <w:pPr>
              <w:adjustRightInd w:val="0"/>
              <w:snapToGrid w:val="0"/>
              <w:ind w:firstLine="440"/>
              <w:rPr>
                <w:rFonts w:ascii="宋体" w:hAnsi="宋体" w:cs="宋体"/>
                <w:bCs/>
                <w:spacing w:val="-10"/>
                <w:szCs w:val="21"/>
              </w:rPr>
            </w:pPr>
          </w:p>
          <w:p>
            <w:pPr>
              <w:adjustRightInd w:val="0"/>
              <w:snapToGrid w:val="0"/>
              <w:ind w:firstLine="440"/>
              <w:rPr>
                <w:rFonts w:ascii="宋体" w:hAnsi="宋体" w:cs="宋体"/>
                <w:bCs/>
                <w:spacing w:val="-10"/>
                <w:szCs w:val="21"/>
              </w:rPr>
            </w:pPr>
          </w:p>
          <w:p>
            <w:pPr>
              <w:adjustRightInd w:val="0"/>
              <w:snapToGrid w:val="0"/>
              <w:ind w:firstLine="440"/>
              <w:rPr>
                <w:rFonts w:ascii="宋体" w:hAnsi="宋体" w:cs="宋体"/>
                <w:bCs/>
                <w:spacing w:val="-10"/>
                <w:szCs w:val="21"/>
              </w:rPr>
            </w:pPr>
          </w:p>
          <w:p>
            <w:pPr>
              <w:adjustRightInd w:val="0"/>
              <w:snapToGrid w:val="0"/>
              <w:ind w:firstLine="440"/>
              <w:rPr>
                <w:rFonts w:ascii="宋体" w:hAnsi="宋体" w:cs="宋体"/>
                <w:bCs/>
                <w:spacing w:val="-10"/>
                <w:szCs w:val="21"/>
              </w:rPr>
            </w:pPr>
          </w:p>
          <w:p>
            <w:pPr>
              <w:adjustRightInd w:val="0"/>
              <w:snapToGrid w:val="0"/>
              <w:ind w:firstLine="440"/>
              <w:rPr>
                <w:rFonts w:ascii="宋体" w:hAnsi="宋体" w:cs="宋体"/>
                <w:bCs/>
                <w:spacing w:val="-10"/>
                <w:szCs w:val="21"/>
              </w:rPr>
            </w:pPr>
          </w:p>
          <w:p>
            <w:pPr>
              <w:adjustRightInd w:val="0"/>
              <w:snapToGrid w:val="0"/>
              <w:ind w:firstLine="440"/>
              <w:rPr>
                <w:rFonts w:ascii="宋体" w:hAnsi="宋体" w:cs="宋体"/>
                <w:bCs/>
                <w:spacing w:val="-10"/>
                <w:szCs w:val="21"/>
              </w:rPr>
            </w:pPr>
          </w:p>
          <w:p>
            <w:pPr>
              <w:adjustRightInd w:val="0"/>
              <w:snapToGrid w:val="0"/>
              <w:ind w:firstLine="440"/>
              <w:rPr>
                <w:rFonts w:ascii="宋体" w:hAnsi="宋体" w:cs="宋体"/>
                <w:bCs/>
                <w:spacing w:val="-10"/>
                <w:szCs w:val="21"/>
              </w:rPr>
            </w:pPr>
          </w:p>
          <w:p>
            <w:pPr>
              <w:adjustRightInd w:val="0"/>
              <w:snapToGrid w:val="0"/>
              <w:ind w:firstLine="440"/>
              <w:rPr>
                <w:rFonts w:ascii="宋体" w:hAnsi="宋体" w:cs="宋体"/>
                <w:bCs/>
                <w:spacing w:val="-10"/>
                <w:szCs w:val="21"/>
              </w:rPr>
            </w:pPr>
          </w:p>
          <w:p>
            <w:pPr>
              <w:adjustRightInd w:val="0"/>
              <w:snapToGrid w:val="0"/>
              <w:ind w:firstLine="440"/>
              <w:rPr>
                <w:rFonts w:ascii="宋体" w:hAnsi="宋体" w:cs="宋体"/>
                <w:bCs/>
                <w:spacing w:val="-10"/>
                <w:szCs w:val="21"/>
              </w:rPr>
            </w:pPr>
          </w:p>
          <w:p>
            <w:pPr>
              <w:adjustRightInd w:val="0"/>
              <w:snapToGrid w:val="0"/>
              <w:ind w:firstLine="440"/>
              <w:rPr>
                <w:rFonts w:ascii="宋体" w:hAnsi="宋体" w:cs="宋体"/>
                <w:bCs/>
                <w:spacing w:val="-10"/>
                <w:szCs w:val="21"/>
              </w:rPr>
            </w:pPr>
          </w:p>
          <w:p>
            <w:pPr>
              <w:adjustRightInd w:val="0"/>
              <w:snapToGrid w:val="0"/>
              <w:ind w:firstLine="440"/>
              <w:rPr>
                <w:rFonts w:ascii="宋体" w:hAnsi="宋体" w:cs="宋体"/>
                <w:bCs/>
                <w:spacing w:val="-10"/>
                <w:szCs w:val="21"/>
              </w:rPr>
            </w:pPr>
          </w:p>
          <w:p>
            <w:pPr>
              <w:adjustRightInd w:val="0"/>
              <w:snapToGrid w:val="0"/>
              <w:ind w:firstLine="440"/>
              <w:rPr>
                <w:rFonts w:ascii="宋体" w:hAnsi="宋体" w:cs="宋体"/>
                <w:bCs/>
                <w:spacing w:val="-10"/>
                <w:szCs w:val="21"/>
              </w:rPr>
            </w:pPr>
          </w:p>
          <w:p>
            <w:pPr>
              <w:adjustRightInd w:val="0"/>
              <w:snapToGrid w:val="0"/>
              <w:ind w:firstLine="440"/>
              <w:rPr>
                <w:rFonts w:ascii="宋体" w:hAnsi="宋体" w:cs="宋体"/>
                <w:bCs/>
                <w:spacing w:val="-10"/>
                <w:szCs w:val="21"/>
              </w:rPr>
            </w:pPr>
          </w:p>
          <w:p>
            <w:pPr>
              <w:adjustRightInd w:val="0"/>
              <w:snapToGrid w:val="0"/>
              <w:ind w:firstLine="440"/>
              <w:rPr>
                <w:rFonts w:ascii="宋体" w:hAnsi="宋体" w:cs="宋体"/>
                <w:bCs/>
                <w:spacing w:val="-10"/>
                <w:szCs w:val="21"/>
              </w:rPr>
            </w:pPr>
          </w:p>
          <w:p>
            <w:pPr>
              <w:adjustRightInd w:val="0"/>
              <w:snapToGrid w:val="0"/>
              <w:ind w:firstLine="440"/>
              <w:rPr>
                <w:rFonts w:ascii="宋体" w:hAnsi="宋体" w:cs="宋体"/>
                <w:bCs/>
                <w:spacing w:val="-10"/>
                <w:szCs w:val="21"/>
              </w:rPr>
            </w:pPr>
          </w:p>
          <w:p>
            <w:pPr>
              <w:adjustRightInd w:val="0"/>
              <w:snapToGrid w:val="0"/>
              <w:ind w:firstLine="440"/>
              <w:rPr>
                <w:rFonts w:ascii="宋体" w:hAnsi="宋体" w:cs="宋体"/>
                <w:bCs/>
                <w:spacing w:val="-10"/>
                <w:szCs w:val="21"/>
              </w:rPr>
            </w:pPr>
          </w:p>
          <w:p>
            <w:pPr>
              <w:adjustRightInd w:val="0"/>
              <w:snapToGrid w:val="0"/>
              <w:ind w:firstLine="440"/>
              <w:rPr>
                <w:rFonts w:ascii="宋体" w:hAnsi="宋体" w:cs="宋体"/>
                <w:bCs/>
                <w:spacing w:val="-10"/>
                <w:szCs w:val="21"/>
              </w:rPr>
            </w:pPr>
          </w:p>
          <w:p>
            <w:pPr>
              <w:adjustRightInd w:val="0"/>
              <w:snapToGrid w:val="0"/>
              <w:ind w:firstLine="440"/>
              <w:rPr>
                <w:rFonts w:ascii="宋体" w:hAnsi="宋体" w:cs="宋体"/>
                <w:bCs/>
                <w:spacing w:val="-10"/>
                <w:szCs w:val="21"/>
              </w:rPr>
            </w:pPr>
          </w:p>
          <w:p>
            <w:pPr>
              <w:adjustRightInd w:val="0"/>
              <w:snapToGrid w:val="0"/>
              <w:ind w:firstLine="440"/>
              <w:rPr>
                <w:rFonts w:ascii="宋体" w:hAnsi="宋体" w:cs="宋体"/>
                <w:bCs/>
                <w:spacing w:val="-10"/>
                <w:szCs w:val="21"/>
              </w:rPr>
            </w:pPr>
          </w:p>
        </w:tc>
      </w:tr>
    </w:tbl>
    <w:p>
      <w:pPr>
        <w:adjustRightInd w:val="0"/>
        <w:snapToGrid w:val="0"/>
        <w:spacing w:line="360" w:lineRule="auto"/>
        <w:ind w:firstLine="562"/>
        <w:rPr>
          <w:rFonts w:ascii="宋体" w:cs="宋体"/>
          <w:b/>
          <w:kern w:val="0"/>
          <w:sz w:val="28"/>
          <w:szCs w:val="28"/>
        </w:rPr>
        <w:sectPr>
          <w:pgSz w:w="11907" w:h="16840"/>
          <w:pgMar w:top="1701" w:right="1531" w:bottom="2127" w:left="1531" w:header="851" w:footer="851" w:gutter="0"/>
          <w:cols w:space="720" w:num="1"/>
          <w:docGrid w:linePitch="312" w:charSpace="0"/>
        </w:sectPr>
      </w:pPr>
    </w:p>
    <w:p>
      <w:pPr>
        <w:pStyle w:val="17"/>
        <w:spacing w:before="120"/>
        <w:ind w:firstLine="600"/>
        <w:jc w:val="center"/>
        <w:outlineLvl w:val="0"/>
        <w:rPr>
          <w:rFonts w:ascii="黑体" w:hAnsi="黑体" w:eastAsia="黑体"/>
          <w:snapToGrid w:val="0"/>
          <w:sz w:val="30"/>
          <w:szCs w:val="30"/>
        </w:rPr>
      </w:pPr>
      <w:r>
        <w:rPr>
          <w:rFonts w:hint="eastAsia" w:ascii="黑体" w:hAnsi="黑体" w:eastAsia="黑体"/>
          <w:snapToGrid w:val="0"/>
          <w:sz w:val="30"/>
          <w:szCs w:val="30"/>
        </w:rPr>
        <w:t>五、</w:t>
      </w:r>
      <w:bookmarkStart w:id="3" w:name="_Hlk54167917"/>
      <w:r>
        <w:rPr>
          <w:rFonts w:hint="eastAsia" w:ascii="黑体" w:hAnsi="黑体" w:eastAsia="黑体"/>
          <w:snapToGrid w:val="0"/>
          <w:sz w:val="30"/>
          <w:szCs w:val="30"/>
        </w:rPr>
        <w:t>环境保护措施监督检查清单</w:t>
      </w:r>
      <w:bookmarkEnd w:id="3"/>
    </w:p>
    <w:tbl>
      <w:tblPr>
        <w:tblStyle w:val="19"/>
        <w:tblW w:w="880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31"/>
        <w:gridCol w:w="1710"/>
        <w:gridCol w:w="1257"/>
        <w:gridCol w:w="2206"/>
        <w:gridCol w:w="1896"/>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731" w:type="dxa"/>
            <w:tcBorders>
              <w:tl2br w:val="single" w:color="auto" w:sz="4" w:space="0"/>
            </w:tcBorders>
            <w:vAlign w:val="top"/>
          </w:tcPr>
          <w:p>
            <w:pPr>
              <w:adjustRightInd w:val="0"/>
              <w:snapToGrid w:val="0"/>
              <w:ind w:firstLine="480"/>
              <w:rPr>
                <w:rFonts w:ascii="宋体" w:hAnsi="宋体" w:cs="宋体"/>
                <w:sz w:val="24"/>
              </w:rPr>
            </w:pPr>
            <w:r>
              <w:rPr>
                <w:rFonts w:hint="eastAsia" w:ascii="宋体" w:hAnsi="宋体" w:cs="宋体"/>
                <w:sz w:val="24"/>
              </w:rPr>
              <w:t>内容</w:t>
            </w:r>
          </w:p>
          <w:p>
            <w:pPr>
              <w:adjustRightInd w:val="0"/>
              <w:snapToGrid w:val="0"/>
              <w:rPr>
                <w:rFonts w:ascii="宋体" w:hAnsi="宋体" w:cs="宋体"/>
                <w:sz w:val="24"/>
              </w:rPr>
            </w:pPr>
          </w:p>
          <w:p>
            <w:pPr>
              <w:adjustRightInd w:val="0"/>
              <w:snapToGrid w:val="0"/>
              <w:rPr>
                <w:rFonts w:ascii="宋体" w:hAnsi="宋体" w:cs="宋体"/>
                <w:sz w:val="24"/>
              </w:rPr>
            </w:pPr>
            <w:r>
              <w:rPr>
                <w:rFonts w:hint="eastAsia" w:ascii="宋体" w:hAnsi="宋体" w:cs="宋体"/>
                <w:sz w:val="24"/>
              </w:rPr>
              <w:t>要素</w:t>
            </w:r>
          </w:p>
        </w:tc>
        <w:tc>
          <w:tcPr>
            <w:tcW w:w="1710" w:type="dxa"/>
            <w:vAlign w:val="center"/>
          </w:tcPr>
          <w:p>
            <w:pPr>
              <w:adjustRightInd w:val="0"/>
              <w:snapToGrid w:val="0"/>
              <w:jc w:val="center"/>
              <w:rPr>
                <w:rFonts w:ascii="宋体" w:hAnsi="宋体" w:cs="宋体"/>
                <w:sz w:val="24"/>
              </w:rPr>
            </w:pPr>
            <w:r>
              <w:rPr>
                <w:rFonts w:hint="eastAsia" w:ascii="宋体" w:hAnsi="宋体" w:cs="宋体"/>
                <w:sz w:val="24"/>
              </w:rPr>
              <w:t>排放口(编号、名称)/污染源</w:t>
            </w:r>
          </w:p>
        </w:tc>
        <w:tc>
          <w:tcPr>
            <w:tcW w:w="1257" w:type="dxa"/>
            <w:vAlign w:val="center"/>
          </w:tcPr>
          <w:p>
            <w:pPr>
              <w:adjustRightInd w:val="0"/>
              <w:snapToGrid w:val="0"/>
              <w:jc w:val="center"/>
              <w:rPr>
                <w:rFonts w:ascii="宋体" w:hAnsi="宋体" w:cs="宋体"/>
                <w:sz w:val="24"/>
              </w:rPr>
            </w:pPr>
            <w:r>
              <w:rPr>
                <w:rFonts w:hint="eastAsia" w:ascii="宋体" w:hAnsi="宋体" w:cs="宋体"/>
                <w:sz w:val="24"/>
              </w:rPr>
              <w:t>污染物项目</w:t>
            </w:r>
          </w:p>
        </w:tc>
        <w:tc>
          <w:tcPr>
            <w:tcW w:w="2206" w:type="dxa"/>
            <w:vAlign w:val="center"/>
          </w:tcPr>
          <w:p>
            <w:pPr>
              <w:adjustRightInd w:val="0"/>
              <w:snapToGrid w:val="0"/>
              <w:jc w:val="center"/>
              <w:rPr>
                <w:rFonts w:ascii="宋体" w:hAnsi="宋体" w:cs="宋体"/>
                <w:sz w:val="24"/>
              </w:rPr>
            </w:pPr>
            <w:r>
              <w:rPr>
                <w:rFonts w:hint="eastAsia" w:ascii="宋体" w:hAnsi="宋体" w:cs="宋体"/>
                <w:sz w:val="24"/>
              </w:rPr>
              <w:t>环境保护措施</w:t>
            </w:r>
          </w:p>
        </w:tc>
        <w:tc>
          <w:tcPr>
            <w:tcW w:w="1896" w:type="dxa"/>
            <w:vAlign w:val="center"/>
          </w:tcPr>
          <w:p>
            <w:pPr>
              <w:adjustRightInd w:val="0"/>
              <w:snapToGrid w:val="0"/>
              <w:jc w:val="center"/>
              <w:rPr>
                <w:rFonts w:ascii="宋体" w:hAnsi="宋体" w:cs="宋体"/>
                <w:sz w:val="24"/>
              </w:rPr>
            </w:pPr>
            <w:r>
              <w:rPr>
                <w:rFonts w:hint="eastAsia" w:ascii="宋体" w:hAnsi="宋体" w:cs="宋体"/>
                <w:sz w:val="24"/>
              </w:rPr>
              <w:t>执行标准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1731" w:type="dxa"/>
            <w:vAlign w:val="center"/>
          </w:tcPr>
          <w:p>
            <w:pPr>
              <w:adjustRightInd w:val="0"/>
              <w:snapToGrid w:val="0"/>
              <w:jc w:val="center"/>
              <w:rPr>
                <w:rFonts w:ascii="宋体" w:hAnsi="宋体" w:cs="宋体"/>
                <w:sz w:val="24"/>
                <w:u w:val="single"/>
              </w:rPr>
            </w:pPr>
            <w:r>
              <w:rPr>
                <w:rFonts w:hint="eastAsia" w:ascii="宋体" w:hAnsi="宋体" w:cs="宋体"/>
                <w:sz w:val="24"/>
                <w:u w:val="single"/>
              </w:rPr>
              <w:t>大气环境</w:t>
            </w:r>
          </w:p>
        </w:tc>
        <w:tc>
          <w:tcPr>
            <w:tcW w:w="1710" w:type="dxa"/>
            <w:vAlign w:val="center"/>
          </w:tcPr>
          <w:p>
            <w:pPr>
              <w:adjustRightInd w:val="0"/>
              <w:snapToGrid w:val="0"/>
              <w:jc w:val="center"/>
              <w:rPr>
                <w:sz w:val="24"/>
                <w:u w:val="single"/>
              </w:rPr>
            </w:pPr>
            <w:r>
              <w:rPr>
                <w:sz w:val="24"/>
                <w:u w:val="single"/>
              </w:rPr>
              <w:t>DA001锅炉烟气排气筒/锅炉烟气</w:t>
            </w:r>
          </w:p>
        </w:tc>
        <w:tc>
          <w:tcPr>
            <w:tcW w:w="1257" w:type="dxa"/>
            <w:vAlign w:val="center"/>
          </w:tcPr>
          <w:p>
            <w:pPr>
              <w:jc w:val="center"/>
              <w:rPr>
                <w:sz w:val="24"/>
                <w:u w:val="single"/>
              </w:rPr>
            </w:pPr>
            <w:r>
              <w:rPr>
                <w:sz w:val="24"/>
                <w:u w:val="single"/>
              </w:rPr>
              <w:t>SO</w:t>
            </w:r>
            <w:r>
              <w:rPr>
                <w:sz w:val="24"/>
                <w:u w:val="single"/>
                <w:vertAlign w:val="subscript"/>
              </w:rPr>
              <w:t>2</w:t>
            </w:r>
          </w:p>
          <w:p>
            <w:pPr>
              <w:jc w:val="center"/>
              <w:rPr>
                <w:sz w:val="24"/>
                <w:u w:val="single"/>
                <w:vertAlign w:val="subscript"/>
              </w:rPr>
            </w:pPr>
            <w:r>
              <w:rPr>
                <w:sz w:val="24"/>
                <w:u w:val="single"/>
              </w:rPr>
              <w:t>NO</w:t>
            </w:r>
            <w:r>
              <w:rPr>
                <w:sz w:val="24"/>
                <w:u w:val="single"/>
                <w:vertAlign w:val="subscript"/>
              </w:rPr>
              <w:t>X</w:t>
            </w:r>
          </w:p>
          <w:p>
            <w:pPr>
              <w:jc w:val="center"/>
              <w:rPr>
                <w:sz w:val="24"/>
                <w:u w:val="single"/>
              </w:rPr>
            </w:pPr>
            <w:r>
              <w:rPr>
                <w:sz w:val="24"/>
                <w:u w:val="single"/>
              </w:rPr>
              <w:t>颗粒物</w:t>
            </w:r>
          </w:p>
        </w:tc>
        <w:tc>
          <w:tcPr>
            <w:tcW w:w="2206" w:type="dxa"/>
            <w:vAlign w:val="center"/>
          </w:tcPr>
          <w:p>
            <w:pPr>
              <w:adjustRightInd w:val="0"/>
              <w:snapToGrid w:val="0"/>
              <w:jc w:val="center"/>
              <w:rPr>
                <w:rFonts w:ascii="宋体" w:hAnsi="宋体" w:cs="宋体"/>
                <w:sz w:val="24"/>
                <w:u w:val="single"/>
              </w:rPr>
            </w:pPr>
            <w:r>
              <w:rPr>
                <w:rFonts w:hint="eastAsia"/>
                <w:sz w:val="24"/>
                <w:u w:val="single"/>
              </w:rPr>
              <w:t>低氮燃烧+陶瓷多管+布袋除尘器+30m高排气筒</w:t>
            </w:r>
          </w:p>
        </w:tc>
        <w:tc>
          <w:tcPr>
            <w:tcW w:w="1896" w:type="dxa"/>
            <w:vAlign w:val="center"/>
          </w:tcPr>
          <w:p>
            <w:pPr>
              <w:adjustRightInd w:val="0"/>
              <w:snapToGrid w:val="0"/>
              <w:jc w:val="center"/>
              <w:rPr>
                <w:rFonts w:ascii="宋体" w:hAnsi="宋体" w:cs="宋体"/>
                <w:sz w:val="24"/>
                <w:u w:val="single"/>
              </w:rPr>
            </w:pPr>
            <w:r>
              <w:rPr>
                <w:rFonts w:hint="eastAsia"/>
                <w:sz w:val="24"/>
                <w:u w:val="single"/>
              </w:rPr>
              <w:t>GB13271-2014《锅炉大气污染物排放标准》表2中相关排放限值要求</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731" w:type="dxa"/>
            <w:vAlign w:val="center"/>
          </w:tcPr>
          <w:p>
            <w:pPr>
              <w:adjustRightInd w:val="0"/>
              <w:snapToGrid w:val="0"/>
              <w:jc w:val="center"/>
              <w:rPr>
                <w:rFonts w:ascii="宋体" w:hAnsi="宋体" w:cs="宋体"/>
                <w:sz w:val="24"/>
                <w:u w:val="single"/>
              </w:rPr>
            </w:pPr>
            <w:r>
              <w:rPr>
                <w:rFonts w:hint="eastAsia" w:ascii="宋体" w:hAnsi="宋体" w:cs="宋体"/>
                <w:sz w:val="24"/>
                <w:u w:val="single"/>
              </w:rPr>
              <w:t>地表水环境</w:t>
            </w:r>
          </w:p>
        </w:tc>
        <w:tc>
          <w:tcPr>
            <w:tcW w:w="1710" w:type="dxa"/>
            <w:vAlign w:val="center"/>
          </w:tcPr>
          <w:p>
            <w:pPr>
              <w:adjustRightInd w:val="0"/>
              <w:snapToGrid w:val="0"/>
              <w:jc w:val="center"/>
              <w:rPr>
                <w:rFonts w:ascii="宋体" w:hAnsi="宋体" w:cs="宋体"/>
                <w:sz w:val="24"/>
                <w:u w:val="single"/>
              </w:rPr>
            </w:pPr>
            <w:r>
              <w:rPr>
                <w:rFonts w:hint="eastAsia" w:ascii="宋体" w:hAnsi="宋体" w:cs="宋体"/>
                <w:sz w:val="24"/>
                <w:u w:val="single"/>
              </w:rPr>
              <w:t>锅炉排污水</w:t>
            </w:r>
            <w:r>
              <w:rPr>
                <w:rFonts w:hint="eastAsia"/>
                <w:sz w:val="24"/>
                <w:u w:val="single"/>
              </w:rPr>
              <w:t>、软化处理废水及蒸汽冷凝水</w:t>
            </w:r>
          </w:p>
        </w:tc>
        <w:tc>
          <w:tcPr>
            <w:tcW w:w="1257" w:type="dxa"/>
            <w:vAlign w:val="center"/>
          </w:tcPr>
          <w:p>
            <w:pPr>
              <w:ind w:firstLine="456"/>
              <w:jc w:val="center"/>
              <w:rPr>
                <w:spacing w:val="-6"/>
                <w:sz w:val="24"/>
                <w:u w:val="single"/>
              </w:rPr>
            </w:pPr>
            <w:r>
              <w:rPr>
                <w:spacing w:val="-6"/>
                <w:sz w:val="24"/>
                <w:u w:val="single"/>
              </w:rPr>
              <w:t>COD</w:t>
            </w:r>
          </w:p>
          <w:p>
            <w:pPr>
              <w:ind w:firstLine="456"/>
              <w:jc w:val="center"/>
              <w:rPr>
                <w:spacing w:val="-6"/>
                <w:sz w:val="24"/>
                <w:u w:val="single"/>
              </w:rPr>
            </w:pPr>
            <w:r>
              <w:rPr>
                <w:spacing w:val="-6"/>
                <w:sz w:val="24"/>
                <w:u w:val="single"/>
              </w:rPr>
              <w:t>SS</w:t>
            </w:r>
          </w:p>
        </w:tc>
        <w:tc>
          <w:tcPr>
            <w:tcW w:w="2206" w:type="dxa"/>
            <w:vAlign w:val="center"/>
          </w:tcPr>
          <w:p>
            <w:pPr>
              <w:adjustRightInd w:val="0"/>
              <w:snapToGrid w:val="0"/>
              <w:jc w:val="center"/>
              <w:rPr>
                <w:sz w:val="24"/>
                <w:u w:val="single"/>
              </w:rPr>
            </w:pPr>
            <w:r>
              <w:rPr>
                <w:rFonts w:hint="eastAsia"/>
                <w:sz w:val="24"/>
                <w:u w:val="single"/>
              </w:rPr>
              <w:t>用于浇渣降尘或回用于生产</w:t>
            </w:r>
          </w:p>
        </w:tc>
        <w:tc>
          <w:tcPr>
            <w:tcW w:w="1896" w:type="dxa"/>
            <w:vAlign w:val="center"/>
          </w:tcPr>
          <w:p>
            <w:pPr>
              <w:adjustRightInd w:val="0"/>
              <w:snapToGrid w:val="0"/>
              <w:jc w:val="center"/>
              <w:rPr>
                <w:sz w:val="24"/>
                <w:u w:val="single"/>
              </w:rPr>
            </w:pPr>
            <w:r>
              <w:rPr>
                <w:rFonts w:hint="eastAsia"/>
                <w:sz w:val="24"/>
                <w:u w:val="single"/>
              </w:rPr>
              <w:t>不外排</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1" w:hRule="atLeast"/>
          <w:jc w:val="center"/>
        </w:trPr>
        <w:tc>
          <w:tcPr>
            <w:tcW w:w="1731" w:type="dxa"/>
            <w:vAlign w:val="center"/>
          </w:tcPr>
          <w:p>
            <w:pPr>
              <w:adjustRightInd w:val="0"/>
              <w:snapToGrid w:val="0"/>
              <w:jc w:val="center"/>
              <w:rPr>
                <w:rFonts w:ascii="宋体" w:hAnsi="宋体" w:cs="宋体"/>
                <w:sz w:val="24"/>
                <w:u w:val="single"/>
              </w:rPr>
            </w:pPr>
            <w:r>
              <w:rPr>
                <w:rFonts w:hint="eastAsia" w:ascii="宋体" w:hAnsi="宋体" w:cs="宋体"/>
                <w:sz w:val="24"/>
                <w:u w:val="single"/>
              </w:rPr>
              <w:t>声环境</w:t>
            </w:r>
          </w:p>
        </w:tc>
        <w:tc>
          <w:tcPr>
            <w:tcW w:w="1710" w:type="dxa"/>
            <w:vAlign w:val="center"/>
          </w:tcPr>
          <w:p>
            <w:pPr>
              <w:adjustRightInd w:val="0"/>
              <w:snapToGrid w:val="0"/>
              <w:jc w:val="center"/>
              <w:rPr>
                <w:sz w:val="24"/>
                <w:u w:val="single"/>
              </w:rPr>
            </w:pPr>
            <w:r>
              <w:rPr>
                <w:rFonts w:hint="eastAsia"/>
                <w:sz w:val="24"/>
                <w:u w:val="single"/>
              </w:rPr>
              <w:t>设备运行</w:t>
            </w:r>
          </w:p>
        </w:tc>
        <w:tc>
          <w:tcPr>
            <w:tcW w:w="1257" w:type="dxa"/>
            <w:vAlign w:val="center"/>
          </w:tcPr>
          <w:p>
            <w:pPr>
              <w:adjustRightInd w:val="0"/>
              <w:snapToGrid w:val="0"/>
              <w:jc w:val="center"/>
              <w:rPr>
                <w:sz w:val="24"/>
                <w:u w:val="single"/>
              </w:rPr>
            </w:pPr>
            <w:r>
              <w:rPr>
                <w:rFonts w:hint="eastAsia"/>
                <w:sz w:val="24"/>
                <w:u w:val="single"/>
              </w:rPr>
              <w:t>噪声</w:t>
            </w:r>
          </w:p>
        </w:tc>
        <w:tc>
          <w:tcPr>
            <w:tcW w:w="2206" w:type="dxa"/>
            <w:vAlign w:val="center"/>
          </w:tcPr>
          <w:p>
            <w:pPr>
              <w:adjustRightInd w:val="0"/>
              <w:snapToGrid w:val="0"/>
              <w:jc w:val="center"/>
              <w:rPr>
                <w:sz w:val="24"/>
                <w:u w:val="single"/>
              </w:rPr>
            </w:pPr>
            <w:r>
              <w:rPr>
                <w:sz w:val="24"/>
                <w:u w:val="single"/>
              </w:rPr>
              <w:t>选购低噪音设备，墙壁安装吸声材料，设备底部加减振垫</w:t>
            </w:r>
            <w:r>
              <w:rPr>
                <w:rFonts w:hint="eastAsia"/>
                <w:sz w:val="24"/>
                <w:u w:val="single"/>
              </w:rPr>
              <w:t>等</w:t>
            </w:r>
          </w:p>
        </w:tc>
        <w:tc>
          <w:tcPr>
            <w:tcW w:w="1896" w:type="dxa"/>
            <w:vAlign w:val="center"/>
          </w:tcPr>
          <w:p>
            <w:pPr>
              <w:adjustRightInd w:val="0"/>
              <w:snapToGrid w:val="0"/>
              <w:jc w:val="center"/>
              <w:rPr>
                <w:sz w:val="24"/>
                <w:u w:val="single"/>
              </w:rPr>
            </w:pPr>
            <w:r>
              <w:rPr>
                <w:sz w:val="24"/>
                <w:u w:val="single"/>
              </w:rPr>
              <w:t>GB12348-2008《工业企业厂界环境噪声排放标准》</w:t>
            </w:r>
            <w:r>
              <w:rPr>
                <w:rFonts w:hint="eastAsia"/>
                <w:sz w:val="24"/>
                <w:u w:val="single"/>
              </w:rPr>
              <w:t>2类</w:t>
            </w:r>
            <w:r>
              <w:rPr>
                <w:sz w:val="24"/>
                <w:u w:val="single"/>
              </w:rPr>
              <w:t>标准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31" w:type="dxa"/>
            <w:vAlign w:val="center"/>
          </w:tcPr>
          <w:p>
            <w:pPr>
              <w:adjustRightInd w:val="0"/>
              <w:snapToGrid w:val="0"/>
              <w:jc w:val="center"/>
              <w:rPr>
                <w:rFonts w:ascii="宋体" w:hAnsi="宋体" w:cs="宋体"/>
                <w:sz w:val="24"/>
                <w:u w:val="single"/>
              </w:rPr>
            </w:pPr>
            <w:r>
              <w:rPr>
                <w:rFonts w:hint="eastAsia" w:ascii="宋体" w:hAnsi="宋体" w:cs="宋体"/>
                <w:sz w:val="24"/>
                <w:u w:val="single"/>
              </w:rPr>
              <w:t>电磁辐射</w:t>
            </w:r>
          </w:p>
        </w:tc>
        <w:tc>
          <w:tcPr>
            <w:tcW w:w="1710" w:type="dxa"/>
            <w:vAlign w:val="center"/>
          </w:tcPr>
          <w:p>
            <w:pPr>
              <w:adjustRightInd w:val="0"/>
              <w:snapToGrid w:val="0"/>
              <w:jc w:val="center"/>
              <w:rPr>
                <w:sz w:val="24"/>
                <w:u w:val="single"/>
              </w:rPr>
            </w:pPr>
            <w:r>
              <w:rPr>
                <w:rFonts w:hint="eastAsia"/>
                <w:sz w:val="24"/>
                <w:u w:val="single"/>
              </w:rPr>
              <w:t>/</w:t>
            </w:r>
          </w:p>
        </w:tc>
        <w:tc>
          <w:tcPr>
            <w:tcW w:w="1257" w:type="dxa"/>
            <w:vAlign w:val="center"/>
          </w:tcPr>
          <w:p>
            <w:pPr>
              <w:adjustRightInd w:val="0"/>
              <w:snapToGrid w:val="0"/>
              <w:jc w:val="center"/>
              <w:rPr>
                <w:sz w:val="24"/>
                <w:u w:val="single"/>
              </w:rPr>
            </w:pPr>
            <w:r>
              <w:rPr>
                <w:rFonts w:hint="eastAsia"/>
                <w:sz w:val="24"/>
                <w:u w:val="single"/>
              </w:rPr>
              <w:t>/</w:t>
            </w:r>
          </w:p>
        </w:tc>
        <w:tc>
          <w:tcPr>
            <w:tcW w:w="2206" w:type="dxa"/>
            <w:vAlign w:val="center"/>
          </w:tcPr>
          <w:p>
            <w:pPr>
              <w:adjustRightInd w:val="0"/>
              <w:snapToGrid w:val="0"/>
              <w:jc w:val="center"/>
              <w:rPr>
                <w:sz w:val="24"/>
                <w:u w:val="single"/>
              </w:rPr>
            </w:pPr>
            <w:r>
              <w:rPr>
                <w:rFonts w:hint="eastAsia"/>
                <w:sz w:val="24"/>
                <w:u w:val="single"/>
              </w:rPr>
              <w:t>/</w:t>
            </w:r>
          </w:p>
        </w:tc>
        <w:tc>
          <w:tcPr>
            <w:tcW w:w="1896" w:type="dxa"/>
            <w:vAlign w:val="center"/>
          </w:tcPr>
          <w:p>
            <w:pPr>
              <w:adjustRightInd w:val="0"/>
              <w:snapToGrid w:val="0"/>
              <w:jc w:val="center"/>
              <w:rPr>
                <w:sz w:val="24"/>
                <w:u w:val="single"/>
              </w:rPr>
            </w:pPr>
            <w:r>
              <w:rPr>
                <w:rFonts w:hint="eastAsia"/>
                <w:sz w:val="24"/>
                <w:u w:val="single"/>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731" w:type="dxa"/>
            <w:vAlign w:val="center"/>
          </w:tcPr>
          <w:p>
            <w:pPr>
              <w:adjustRightInd w:val="0"/>
              <w:snapToGrid w:val="0"/>
              <w:jc w:val="center"/>
              <w:rPr>
                <w:rFonts w:ascii="宋体" w:hAnsi="宋体" w:cs="宋体"/>
                <w:sz w:val="24"/>
                <w:u w:val="single"/>
              </w:rPr>
            </w:pPr>
            <w:r>
              <w:rPr>
                <w:rFonts w:hint="eastAsia" w:ascii="宋体" w:hAnsi="宋体" w:cs="宋体"/>
                <w:sz w:val="24"/>
                <w:u w:val="single"/>
              </w:rPr>
              <w:t>固体废物</w:t>
            </w:r>
          </w:p>
        </w:tc>
        <w:tc>
          <w:tcPr>
            <w:tcW w:w="7069" w:type="dxa"/>
            <w:gridSpan w:val="4"/>
            <w:vAlign w:val="center"/>
          </w:tcPr>
          <w:p>
            <w:pPr>
              <w:adjustRightInd w:val="0"/>
              <w:snapToGrid w:val="0"/>
              <w:jc w:val="center"/>
              <w:rPr>
                <w:rFonts w:ascii="宋体" w:hAnsi="宋体" w:cs="宋体"/>
                <w:sz w:val="24"/>
                <w:u w:val="single"/>
              </w:rPr>
            </w:pPr>
            <w:r>
              <w:rPr>
                <w:rFonts w:hint="eastAsia" w:ascii="宋体" w:hAnsi="宋体" w:cs="宋体"/>
                <w:sz w:val="24"/>
                <w:u w:val="single"/>
              </w:rPr>
              <w:t>项目不新增员工，无新增生活垃圾产生，现有生活垃圾交由环卫部门统一处理；项目除尘器收集的粉尘、锅炉灰渣密闭袋装收集暂存，外售用作农肥；废离子交换树脂、废布袋由厂家回收</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731" w:type="dxa"/>
            <w:vAlign w:val="center"/>
          </w:tcPr>
          <w:p>
            <w:pPr>
              <w:adjustRightInd w:val="0"/>
              <w:snapToGrid w:val="0"/>
              <w:jc w:val="center"/>
              <w:rPr>
                <w:rFonts w:ascii="宋体" w:hAnsi="宋体" w:cs="宋体"/>
                <w:sz w:val="24"/>
                <w:u w:val="single"/>
              </w:rPr>
            </w:pPr>
            <w:r>
              <w:rPr>
                <w:rFonts w:hint="eastAsia" w:ascii="宋体" w:hAnsi="宋体" w:cs="宋体"/>
                <w:sz w:val="24"/>
                <w:u w:val="single"/>
              </w:rPr>
              <w:t>土壤及地下水污染防治措施</w:t>
            </w:r>
          </w:p>
        </w:tc>
        <w:tc>
          <w:tcPr>
            <w:tcW w:w="7069" w:type="dxa"/>
            <w:gridSpan w:val="4"/>
            <w:vAlign w:val="center"/>
          </w:tcPr>
          <w:p>
            <w:pPr>
              <w:adjustRightInd w:val="0"/>
              <w:snapToGrid w:val="0"/>
              <w:jc w:val="center"/>
              <w:rPr>
                <w:rFonts w:ascii="宋体" w:hAnsi="宋体" w:cs="宋体"/>
                <w:sz w:val="24"/>
                <w:u w:val="single"/>
              </w:rPr>
            </w:pPr>
            <w:r>
              <w:rPr>
                <w:rFonts w:hint="eastAsia" w:ascii="宋体" w:hAnsi="宋体" w:cs="宋体"/>
                <w:sz w:val="24"/>
                <w:u w:val="single"/>
              </w:rPr>
              <w:t>地面进行硬化、防渗处理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31" w:type="dxa"/>
            <w:vAlign w:val="center"/>
          </w:tcPr>
          <w:p>
            <w:pPr>
              <w:adjustRightInd w:val="0"/>
              <w:snapToGrid w:val="0"/>
              <w:jc w:val="center"/>
              <w:rPr>
                <w:rFonts w:ascii="宋体" w:hAnsi="宋体" w:cs="宋体"/>
                <w:sz w:val="24"/>
                <w:u w:val="single"/>
              </w:rPr>
            </w:pPr>
            <w:r>
              <w:rPr>
                <w:rFonts w:hint="eastAsia" w:ascii="宋体" w:hAnsi="宋体" w:cs="宋体"/>
                <w:sz w:val="24"/>
                <w:u w:val="single"/>
              </w:rPr>
              <w:t>生态保护措施</w:t>
            </w:r>
          </w:p>
        </w:tc>
        <w:tc>
          <w:tcPr>
            <w:tcW w:w="7069" w:type="dxa"/>
            <w:gridSpan w:val="4"/>
            <w:vAlign w:val="center"/>
          </w:tcPr>
          <w:p>
            <w:pPr>
              <w:adjustRightInd w:val="0"/>
              <w:snapToGrid w:val="0"/>
              <w:jc w:val="center"/>
              <w:rPr>
                <w:rFonts w:ascii="宋体" w:hAnsi="宋体" w:cs="宋体"/>
                <w:sz w:val="24"/>
                <w:u w:val="single"/>
              </w:rPr>
            </w:pPr>
            <w:r>
              <w:rPr>
                <w:rFonts w:hint="eastAsia" w:ascii="宋体" w:hAnsi="宋体" w:cs="宋体"/>
                <w:sz w:val="24"/>
                <w:u w:val="single"/>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731" w:type="dxa"/>
            <w:vAlign w:val="center"/>
          </w:tcPr>
          <w:p>
            <w:pPr>
              <w:adjustRightInd w:val="0"/>
              <w:snapToGrid w:val="0"/>
              <w:ind w:firstLine="448"/>
              <w:jc w:val="center"/>
              <w:rPr>
                <w:rFonts w:ascii="宋体" w:hAnsi="宋体" w:cs="宋体"/>
                <w:spacing w:val="-8"/>
                <w:sz w:val="24"/>
                <w:u w:val="single"/>
              </w:rPr>
            </w:pPr>
            <w:r>
              <w:rPr>
                <w:rFonts w:hint="eastAsia" w:ascii="宋体" w:hAnsi="宋体" w:cs="宋体"/>
                <w:spacing w:val="-8"/>
                <w:sz w:val="24"/>
                <w:u w:val="single"/>
              </w:rPr>
              <w:t>环境风险</w:t>
            </w:r>
          </w:p>
          <w:p>
            <w:pPr>
              <w:adjustRightInd w:val="0"/>
              <w:snapToGrid w:val="0"/>
              <w:ind w:firstLine="448"/>
              <w:jc w:val="center"/>
              <w:rPr>
                <w:rFonts w:ascii="宋体" w:hAnsi="宋体" w:cs="宋体"/>
                <w:spacing w:val="-8"/>
                <w:sz w:val="24"/>
                <w:u w:val="single"/>
              </w:rPr>
            </w:pPr>
            <w:r>
              <w:rPr>
                <w:rFonts w:hint="eastAsia" w:ascii="宋体" w:hAnsi="宋体" w:cs="宋体"/>
                <w:spacing w:val="-8"/>
                <w:sz w:val="24"/>
                <w:u w:val="single"/>
              </w:rPr>
              <w:t>防范措施</w:t>
            </w:r>
          </w:p>
        </w:tc>
        <w:tc>
          <w:tcPr>
            <w:tcW w:w="7069" w:type="dxa"/>
            <w:gridSpan w:val="4"/>
            <w:vAlign w:val="center"/>
          </w:tcPr>
          <w:p>
            <w:pPr>
              <w:adjustRightInd w:val="0"/>
              <w:snapToGrid w:val="0"/>
              <w:rPr>
                <w:sz w:val="24"/>
                <w:u w:val="single"/>
              </w:rPr>
            </w:pPr>
            <w:r>
              <w:rPr>
                <w:rFonts w:ascii="宋体" w:hAnsi="宋体" w:cs="宋体"/>
                <w:sz w:val="24"/>
                <w:u w:val="single"/>
              </w:rPr>
              <w:t>制定严格的管理制度，禁止明火，并设置专人进行管理。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2" w:hRule="atLeast"/>
          <w:jc w:val="center"/>
        </w:trPr>
        <w:tc>
          <w:tcPr>
            <w:tcW w:w="1731" w:type="dxa"/>
            <w:vAlign w:val="center"/>
          </w:tcPr>
          <w:p>
            <w:pPr>
              <w:adjustRightInd w:val="0"/>
              <w:snapToGrid w:val="0"/>
              <w:ind w:firstLine="448"/>
              <w:jc w:val="center"/>
              <w:rPr>
                <w:rFonts w:ascii="宋体" w:hAnsi="宋体" w:cs="宋体"/>
                <w:spacing w:val="-8"/>
                <w:sz w:val="24"/>
                <w:u w:val="single"/>
              </w:rPr>
            </w:pPr>
            <w:r>
              <w:rPr>
                <w:rFonts w:hint="eastAsia" w:ascii="宋体" w:hAnsi="宋体" w:cs="宋体"/>
                <w:spacing w:val="-8"/>
                <w:sz w:val="24"/>
                <w:u w:val="single"/>
              </w:rPr>
              <w:t>其他环境</w:t>
            </w:r>
          </w:p>
          <w:p>
            <w:pPr>
              <w:adjustRightInd w:val="0"/>
              <w:snapToGrid w:val="0"/>
              <w:ind w:firstLine="448"/>
              <w:jc w:val="center"/>
              <w:rPr>
                <w:rFonts w:ascii="宋体" w:hAnsi="宋体" w:cs="宋体"/>
                <w:spacing w:val="-8"/>
                <w:sz w:val="24"/>
                <w:u w:val="single"/>
              </w:rPr>
            </w:pPr>
            <w:r>
              <w:rPr>
                <w:rFonts w:hint="eastAsia" w:ascii="宋体" w:hAnsi="宋体" w:cs="宋体"/>
                <w:spacing w:val="-8"/>
                <w:sz w:val="24"/>
                <w:u w:val="single"/>
              </w:rPr>
              <w:t>管理要求</w:t>
            </w:r>
          </w:p>
        </w:tc>
        <w:tc>
          <w:tcPr>
            <w:tcW w:w="7069" w:type="dxa"/>
            <w:gridSpan w:val="4"/>
            <w:vAlign w:val="center"/>
          </w:tcPr>
          <w:p>
            <w:pPr>
              <w:adjustRightInd w:val="0"/>
              <w:snapToGrid w:val="0"/>
              <w:rPr>
                <w:sz w:val="24"/>
                <w:u w:val="single"/>
              </w:rPr>
            </w:pPr>
            <w:r>
              <w:rPr>
                <w:sz w:val="24"/>
                <w:u w:val="single"/>
              </w:rPr>
              <w:t>1、在工程“三废”及噪声排放点，设置明显标志，标志的设置应执行《环境保护图形标志排放口》（15562.1-1995）、《环境保护图形标志固体废物贮存（处置）场》（15562.2-1995）等有关规定，并按污染源监测计划实施定期监测；</w:t>
            </w:r>
          </w:p>
          <w:p>
            <w:pPr>
              <w:adjustRightInd w:val="0"/>
              <w:snapToGrid w:val="0"/>
              <w:rPr>
                <w:sz w:val="24"/>
                <w:u w:val="single"/>
              </w:rPr>
            </w:pPr>
            <w:r>
              <w:rPr>
                <w:sz w:val="24"/>
                <w:u w:val="single"/>
              </w:rPr>
              <w:t>2、锅炉的烟道或烟囱符合采样部位要设置永久采样孔，并设置采样监测平台以方便采样；</w:t>
            </w:r>
          </w:p>
          <w:p>
            <w:pPr>
              <w:adjustRightInd w:val="0"/>
              <w:snapToGrid w:val="0"/>
              <w:rPr>
                <w:sz w:val="24"/>
                <w:u w:val="single"/>
              </w:rPr>
            </w:pPr>
            <w:r>
              <w:rPr>
                <w:sz w:val="24"/>
                <w:u w:val="single"/>
              </w:rPr>
              <w:t>3、项目环保工程需与主体工程同时施工、同时建设、同时投产使用；</w:t>
            </w:r>
          </w:p>
          <w:p>
            <w:pPr>
              <w:adjustRightInd w:val="0"/>
              <w:snapToGrid w:val="0"/>
              <w:rPr>
                <w:sz w:val="24"/>
                <w:u w:val="single"/>
              </w:rPr>
            </w:pPr>
            <w:r>
              <w:rPr>
                <w:sz w:val="24"/>
                <w:u w:val="single"/>
              </w:rPr>
              <w:t>4、根据《中华人民共和国环境保护法》及相关规定，为切实做好企业环保工作，结合本企业实际情况，制定管理制度。</w:t>
            </w:r>
          </w:p>
        </w:tc>
      </w:tr>
    </w:tbl>
    <w:p>
      <w:pPr>
        <w:pStyle w:val="17"/>
        <w:spacing w:before="120"/>
        <w:jc w:val="center"/>
        <w:outlineLvl w:val="0"/>
        <w:rPr>
          <w:rFonts w:ascii="黑体" w:hAnsi="黑体" w:eastAsia="黑体"/>
          <w:snapToGrid w:val="0"/>
          <w:sz w:val="30"/>
          <w:szCs w:val="30"/>
        </w:rPr>
      </w:pPr>
      <w:r>
        <w:rPr>
          <w:snapToGrid w:val="0"/>
        </w:rPr>
        <w:br w:type="page"/>
      </w:r>
      <w:r>
        <w:rPr>
          <w:rFonts w:hint="eastAsia" w:ascii="黑体" w:hAnsi="黑体" w:eastAsia="黑体"/>
          <w:snapToGrid w:val="0"/>
          <w:sz w:val="30"/>
          <w:szCs w:val="30"/>
        </w:rPr>
        <w:t>六、结论</w:t>
      </w:r>
    </w:p>
    <w:tbl>
      <w:tblPr>
        <w:tblStyle w:val="19"/>
        <w:tblW w:w="8865"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865"/>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991" w:hRule="atLeast"/>
          <w:jc w:val="center"/>
        </w:trPr>
        <w:tc>
          <w:tcPr>
            <w:tcW w:w="8865" w:type="dxa"/>
            <w:vAlign w:val="center"/>
          </w:tcPr>
          <w:p>
            <w:pPr>
              <w:spacing w:line="360" w:lineRule="auto"/>
              <w:ind w:firstLine="480" w:firstLineChars="200"/>
            </w:pPr>
            <w:r>
              <w:rPr>
                <w:rFonts w:hint="eastAsia" w:ascii="宋体" w:cs="宋体"/>
                <w:sz w:val="24"/>
              </w:rPr>
              <w:t>综上所述，本项目符合国家法律法规及地方相关产业政策，项目选址合理，采用的各项环保设施合理、可靠、有效，可确保污染物稳定达标排放；项目污染物的排放量符合控制要求，处理达标后的各项污染物对周围环境的影响较小，不会改变当地的环境功能区划。在严格落实本报告表提出的各项污染防治措施的前提下，建设项目在所在地建设是可行的。</w:t>
            </w:r>
          </w:p>
        </w:tc>
      </w:tr>
    </w:tbl>
    <w:p>
      <w:pPr>
        <w:rPr>
          <w:rFonts w:ascii="宋体"/>
        </w:rPr>
        <w:sectPr>
          <w:pgSz w:w="11906" w:h="16838"/>
          <w:pgMar w:top="1701" w:right="1531" w:bottom="1701" w:left="1531" w:header="851" w:footer="851" w:gutter="0"/>
          <w:cols w:space="720" w:num="1"/>
          <w:docGrid w:linePitch="312" w:charSpace="0"/>
        </w:sectPr>
      </w:pPr>
    </w:p>
    <w:p>
      <w:pPr>
        <w:pStyle w:val="17"/>
        <w:adjustRightInd w:val="0"/>
        <w:snapToGrid w:val="0"/>
        <w:spacing w:before="120" w:beforeAutospacing="0" w:afterLines="50" w:afterAutospacing="0"/>
        <w:ind w:firstLine="640"/>
        <w:outlineLvl w:val="0"/>
        <w:rPr>
          <w:rFonts w:ascii="黑体" w:hAnsi="黑体" w:eastAsia="黑体"/>
          <w:snapToGrid w:val="0"/>
          <w:sz w:val="32"/>
          <w:szCs w:val="32"/>
        </w:rPr>
      </w:pPr>
      <w:r>
        <w:rPr>
          <w:rFonts w:hint="eastAsia" w:ascii="黑体" w:hAnsi="黑体" w:eastAsia="黑体"/>
          <w:snapToGrid w:val="0"/>
          <w:sz w:val="32"/>
          <w:szCs w:val="32"/>
        </w:rPr>
        <w:t>附表</w:t>
      </w:r>
    </w:p>
    <w:p>
      <w:pPr>
        <w:pStyle w:val="17"/>
        <w:adjustRightInd w:val="0"/>
        <w:snapToGrid w:val="0"/>
        <w:spacing w:before="120" w:beforeAutospacing="0" w:afterLines="50" w:afterAutospacing="0"/>
        <w:ind w:firstLine="760"/>
        <w:jc w:val="center"/>
        <w:outlineLvl w:val="0"/>
        <w:rPr>
          <w:rFonts w:ascii="方正小标宋_GBK" w:hAnsi="黑体" w:eastAsia="方正小标宋_GBK"/>
          <w:snapToGrid w:val="0"/>
          <w:sz w:val="38"/>
          <w:szCs w:val="38"/>
        </w:rPr>
      </w:pPr>
      <w:r>
        <w:rPr>
          <w:rFonts w:hint="eastAsia" w:ascii="方正小标宋_GBK" w:hAnsi="黑体" w:eastAsia="方正小标宋_GBK"/>
          <w:snapToGrid w:val="0"/>
          <w:sz w:val="38"/>
          <w:szCs w:val="38"/>
        </w:rPr>
        <w:t>建设项目污染物排放量汇总表</w:t>
      </w:r>
    </w:p>
    <w:tbl>
      <w:tblPr>
        <w:tblStyle w:val="19"/>
        <w:tblW w:w="13788"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2204"/>
        <w:gridCol w:w="1556"/>
        <w:gridCol w:w="1083"/>
        <w:gridCol w:w="1483"/>
        <w:gridCol w:w="1550"/>
        <w:gridCol w:w="1667"/>
        <w:gridCol w:w="1811"/>
        <w:gridCol w:w="1206"/>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1228" w:type="dxa"/>
            <w:tcBorders>
              <w:tl2br w:val="single" w:color="auto" w:sz="4" w:space="0"/>
            </w:tcBorders>
            <w:tcMar>
              <w:left w:w="28" w:type="dxa"/>
              <w:right w:w="28" w:type="dxa"/>
            </w:tcMar>
            <w:vAlign w:val="center"/>
          </w:tcPr>
          <w:p>
            <w:pPr>
              <w:pStyle w:val="26"/>
              <w:spacing w:beforeLines="0" w:line="240" w:lineRule="auto"/>
              <w:ind w:firstLine="456"/>
              <w:jc w:val="right"/>
              <w:rPr>
                <w:rFonts w:ascii="黑体" w:hAnsi="黑体" w:eastAsia="黑体" w:cs="宋体"/>
                <w:snapToGrid w:val="0"/>
                <w:color w:val="auto"/>
                <w:spacing w:val="-6"/>
                <w:kern w:val="21"/>
                <w:sz w:val="24"/>
                <w:szCs w:val="24"/>
              </w:rPr>
            </w:pPr>
            <w:r>
              <w:rPr>
                <w:rFonts w:hint="eastAsia" w:ascii="黑体" w:hAnsi="黑体" w:eastAsia="黑体" w:cs="宋体"/>
                <w:snapToGrid w:val="0"/>
                <w:color w:val="auto"/>
                <w:spacing w:val="-6"/>
                <w:kern w:val="21"/>
                <w:sz w:val="24"/>
                <w:szCs w:val="24"/>
              </w:rPr>
              <w:t>项目</w:t>
            </w:r>
          </w:p>
          <w:p>
            <w:pPr>
              <w:pStyle w:val="26"/>
              <w:spacing w:beforeLines="0" w:line="240" w:lineRule="auto"/>
              <w:ind w:firstLine="456"/>
              <w:jc w:val="left"/>
              <w:rPr>
                <w:rFonts w:ascii="黑体" w:hAnsi="黑体" w:eastAsia="黑体" w:cs="宋体"/>
                <w:snapToGrid w:val="0"/>
                <w:color w:val="auto"/>
                <w:spacing w:val="-6"/>
                <w:kern w:val="21"/>
                <w:sz w:val="24"/>
                <w:szCs w:val="24"/>
              </w:rPr>
            </w:pPr>
            <w:r>
              <w:rPr>
                <w:rFonts w:hint="eastAsia" w:ascii="黑体" w:hAnsi="黑体" w:eastAsia="黑体" w:cs="宋体"/>
                <w:snapToGrid w:val="0"/>
                <w:color w:val="auto"/>
                <w:spacing w:val="-6"/>
                <w:kern w:val="21"/>
                <w:sz w:val="24"/>
                <w:szCs w:val="24"/>
              </w:rPr>
              <w:t>分类</w:t>
            </w:r>
          </w:p>
        </w:tc>
        <w:tc>
          <w:tcPr>
            <w:tcW w:w="2204" w:type="dxa"/>
            <w:tcMar>
              <w:left w:w="28" w:type="dxa"/>
              <w:right w:w="28" w:type="dxa"/>
            </w:tcMar>
            <w:vAlign w:val="center"/>
          </w:tcPr>
          <w:p>
            <w:pPr>
              <w:pStyle w:val="26"/>
              <w:spacing w:beforeLines="0" w:line="240" w:lineRule="auto"/>
              <w:ind w:firstLine="456"/>
              <w:rPr>
                <w:rFonts w:ascii="黑体" w:hAnsi="黑体" w:eastAsia="黑体" w:cs="宋体"/>
                <w:snapToGrid w:val="0"/>
                <w:color w:val="auto"/>
                <w:spacing w:val="-6"/>
                <w:kern w:val="21"/>
                <w:sz w:val="24"/>
                <w:szCs w:val="24"/>
              </w:rPr>
            </w:pPr>
            <w:r>
              <w:rPr>
                <w:rFonts w:hint="eastAsia" w:ascii="黑体" w:hAnsi="黑体" w:eastAsia="黑体" w:cs="宋体"/>
                <w:snapToGrid w:val="0"/>
                <w:color w:val="auto"/>
                <w:spacing w:val="-6"/>
                <w:kern w:val="21"/>
                <w:sz w:val="24"/>
                <w:szCs w:val="24"/>
              </w:rPr>
              <w:t>污染物名称</w:t>
            </w:r>
          </w:p>
        </w:tc>
        <w:tc>
          <w:tcPr>
            <w:tcW w:w="1556" w:type="dxa"/>
            <w:tcMar>
              <w:left w:w="28" w:type="dxa"/>
              <w:right w:w="28" w:type="dxa"/>
            </w:tcMar>
            <w:vAlign w:val="center"/>
          </w:tcPr>
          <w:p>
            <w:pPr>
              <w:pStyle w:val="26"/>
              <w:spacing w:beforeLines="0" w:line="240" w:lineRule="auto"/>
              <w:ind w:firstLine="456"/>
              <w:rPr>
                <w:rFonts w:ascii="黑体" w:hAnsi="黑体" w:eastAsia="黑体"/>
                <w:snapToGrid w:val="0"/>
                <w:color w:val="auto"/>
                <w:spacing w:val="-6"/>
                <w:kern w:val="21"/>
                <w:sz w:val="24"/>
                <w:szCs w:val="24"/>
              </w:rPr>
            </w:pPr>
            <w:r>
              <w:rPr>
                <w:rFonts w:ascii="黑体" w:hAnsi="黑体" w:eastAsia="黑体"/>
                <w:snapToGrid w:val="0"/>
                <w:color w:val="auto"/>
                <w:spacing w:val="-6"/>
                <w:kern w:val="21"/>
                <w:sz w:val="24"/>
                <w:szCs w:val="24"/>
              </w:rPr>
              <w:t>现有工程排放量（固</w:t>
            </w:r>
            <w:r>
              <w:rPr>
                <w:rFonts w:hint="eastAsia" w:ascii="黑体" w:hAnsi="黑体" w:eastAsia="黑体"/>
                <w:snapToGrid w:val="0"/>
                <w:color w:val="auto"/>
                <w:spacing w:val="-6"/>
                <w:kern w:val="21"/>
                <w:sz w:val="24"/>
                <w:szCs w:val="24"/>
              </w:rPr>
              <w:t>体</w:t>
            </w:r>
            <w:r>
              <w:rPr>
                <w:rFonts w:ascii="黑体" w:hAnsi="黑体" w:eastAsia="黑体"/>
                <w:snapToGrid w:val="0"/>
                <w:color w:val="auto"/>
                <w:spacing w:val="-6"/>
                <w:kern w:val="21"/>
                <w:sz w:val="24"/>
                <w:szCs w:val="24"/>
              </w:rPr>
              <w:t>废</w:t>
            </w:r>
            <w:r>
              <w:rPr>
                <w:rFonts w:hint="eastAsia" w:ascii="黑体" w:hAnsi="黑体" w:eastAsia="黑体"/>
                <w:snapToGrid w:val="0"/>
                <w:color w:val="auto"/>
                <w:spacing w:val="-6"/>
                <w:kern w:val="21"/>
                <w:sz w:val="24"/>
                <w:szCs w:val="24"/>
              </w:rPr>
              <w:t>物</w:t>
            </w:r>
            <w:r>
              <w:rPr>
                <w:rFonts w:ascii="黑体" w:hAnsi="黑体" w:eastAsia="黑体"/>
                <w:snapToGrid w:val="0"/>
                <w:color w:val="auto"/>
                <w:spacing w:val="-6"/>
                <w:kern w:val="21"/>
                <w:sz w:val="24"/>
                <w:szCs w:val="24"/>
              </w:rPr>
              <w:t>产生量）</w:t>
            </w:r>
            <w:r>
              <w:rPr>
                <w:rFonts w:ascii="黑体" w:hAnsi="黑体" w:eastAsia="黑体"/>
                <w:snapToGrid w:val="0"/>
                <w:color w:val="auto"/>
                <w:spacing w:val="-6"/>
                <w:kern w:val="21"/>
                <w:sz w:val="24"/>
                <w:szCs w:val="24"/>
              </w:rPr>
              <w:fldChar w:fldCharType="begin"/>
            </w:r>
            <w:r>
              <w:rPr>
                <w:rFonts w:ascii="黑体" w:hAnsi="黑体" w:eastAsia="黑体"/>
                <w:snapToGrid w:val="0"/>
                <w:color w:val="auto"/>
                <w:spacing w:val="-6"/>
                <w:kern w:val="21"/>
                <w:sz w:val="24"/>
                <w:szCs w:val="24"/>
              </w:rPr>
              <w:instrText xml:space="preserve"> = 1 \* GB3 \* MERGEFORMAT </w:instrText>
            </w:r>
            <w:r>
              <w:rPr>
                <w:rFonts w:ascii="黑体" w:hAnsi="黑体" w:eastAsia="黑体"/>
                <w:snapToGrid w:val="0"/>
                <w:color w:val="auto"/>
                <w:spacing w:val="-6"/>
                <w:kern w:val="21"/>
                <w:sz w:val="24"/>
                <w:szCs w:val="24"/>
              </w:rPr>
              <w:fldChar w:fldCharType="separate"/>
            </w:r>
            <w:r>
              <w:rPr>
                <w:rFonts w:hint="eastAsia" w:ascii="黑体" w:hAnsi="黑体" w:eastAsia="黑体" w:cs="宋体"/>
                <w:color w:val="auto"/>
                <w:kern w:val="2"/>
                <w:sz w:val="24"/>
                <w:szCs w:val="24"/>
              </w:rPr>
              <w:t>①</w:t>
            </w:r>
            <w:r>
              <w:rPr>
                <w:rFonts w:ascii="黑体" w:hAnsi="黑体" w:eastAsia="黑体"/>
                <w:snapToGrid w:val="0"/>
                <w:color w:val="auto"/>
                <w:spacing w:val="-6"/>
                <w:kern w:val="21"/>
                <w:sz w:val="24"/>
                <w:szCs w:val="24"/>
              </w:rPr>
              <w:fldChar w:fldCharType="end"/>
            </w:r>
          </w:p>
        </w:tc>
        <w:tc>
          <w:tcPr>
            <w:tcW w:w="1083" w:type="dxa"/>
            <w:tcMar>
              <w:left w:w="28" w:type="dxa"/>
              <w:right w:w="28" w:type="dxa"/>
            </w:tcMar>
            <w:vAlign w:val="center"/>
          </w:tcPr>
          <w:p>
            <w:pPr>
              <w:pStyle w:val="26"/>
              <w:spacing w:beforeLines="0" w:line="240" w:lineRule="auto"/>
              <w:ind w:firstLine="456"/>
              <w:rPr>
                <w:rFonts w:ascii="黑体" w:hAnsi="黑体" w:eastAsia="黑体"/>
                <w:snapToGrid w:val="0"/>
                <w:color w:val="auto"/>
                <w:spacing w:val="-6"/>
                <w:kern w:val="21"/>
                <w:sz w:val="24"/>
                <w:szCs w:val="24"/>
              </w:rPr>
            </w:pPr>
            <w:r>
              <w:rPr>
                <w:rFonts w:ascii="黑体" w:hAnsi="黑体" w:eastAsia="黑体"/>
                <w:snapToGrid w:val="0"/>
                <w:color w:val="auto"/>
                <w:spacing w:val="-6"/>
                <w:kern w:val="21"/>
                <w:sz w:val="24"/>
                <w:szCs w:val="24"/>
              </w:rPr>
              <w:t>现有工程</w:t>
            </w:r>
          </w:p>
          <w:p>
            <w:pPr>
              <w:pStyle w:val="26"/>
              <w:spacing w:beforeLines="0" w:line="240" w:lineRule="auto"/>
              <w:ind w:firstLine="456"/>
              <w:rPr>
                <w:rFonts w:ascii="黑体" w:hAnsi="黑体" w:eastAsia="黑体"/>
                <w:snapToGrid w:val="0"/>
                <w:color w:val="auto"/>
                <w:spacing w:val="-6"/>
                <w:kern w:val="21"/>
                <w:sz w:val="24"/>
                <w:szCs w:val="24"/>
              </w:rPr>
            </w:pPr>
            <w:r>
              <w:rPr>
                <w:rFonts w:ascii="黑体" w:hAnsi="黑体" w:eastAsia="黑体"/>
                <w:snapToGrid w:val="0"/>
                <w:color w:val="auto"/>
                <w:spacing w:val="-6"/>
                <w:kern w:val="21"/>
                <w:sz w:val="24"/>
                <w:szCs w:val="24"/>
              </w:rPr>
              <w:t>许可排放量</w:t>
            </w:r>
            <w:r>
              <w:rPr>
                <w:rFonts w:ascii="黑体" w:hAnsi="黑体" w:eastAsia="黑体"/>
                <w:snapToGrid w:val="0"/>
                <w:color w:val="auto"/>
                <w:spacing w:val="-6"/>
                <w:kern w:val="21"/>
                <w:sz w:val="24"/>
                <w:szCs w:val="24"/>
              </w:rPr>
              <w:fldChar w:fldCharType="begin"/>
            </w:r>
            <w:r>
              <w:rPr>
                <w:rFonts w:ascii="黑体" w:hAnsi="黑体" w:eastAsia="黑体"/>
                <w:snapToGrid w:val="0"/>
                <w:color w:val="auto"/>
                <w:spacing w:val="-6"/>
                <w:kern w:val="21"/>
                <w:sz w:val="24"/>
                <w:szCs w:val="24"/>
              </w:rPr>
              <w:instrText xml:space="preserve"> = 2 \* GB3 \* MERGEFORMAT </w:instrText>
            </w:r>
            <w:r>
              <w:rPr>
                <w:rFonts w:ascii="黑体" w:hAnsi="黑体" w:eastAsia="黑体"/>
                <w:snapToGrid w:val="0"/>
                <w:color w:val="auto"/>
                <w:spacing w:val="-6"/>
                <w:kern w:val="21"/>
                <w:sz w:val="24"/>
                <w:szCs w:val="24"/>
              </w:rPr>
              <w:fldChar w:fldCharType="separate"/>
            </w:r>
            <w:r>
              <w:rPr>
                <w:rFonts w:hint="eastAsia" w:ascii="黑体" w:hAnsi="黑体" w:eastAsia="黑体" w:cs="宋体"/>
                <w:snapToGrid w:val="0"/>
                <w:color w:val="auto"/>
                <w:spacing w:val="-6"/>
                <w:kern w:val="21"/>
                <w:sz w:val="24"/>
                <w:szCs w:val="24"/>
              </w:rPr>
              <w:t>②</w:t>
            </w:r>
            <w:r>
              <w:rPr>
                <w:rFonts w:ascii="黑体" w:hAnsi="黑体" w:eastAsia="黑体"/>
                <w:snapToGrid w:val="0"/>
                <w:color w:val="auto"/>
                <w:spacing w:val="-6"/>
                <w:kern w:val="21"/>
                <w:sz w:val="24"/>
                <w:szCs w:val="24"/>
              </w:rPr>
              <w:fldChar w:fldCharType="end"/>
            </w:r>
          </w:p>
        </w:tc>
        <w:tc>
          <w:tcPr>
            <w:tcW w:w="1483" w:type="dxa"/>
            <w:tcMar>
              <w:left w:w="28" w:type="dxa"/>
              <w:right w:w="28" w:type="dxa"/>
            </w:tcMar>
            <w:vAlign w:val="center"/>
          </w:tcPr>
          <w:p>
            <w:pPr>
              <w:pStyle w:val="26"/>
              <w:spacing w:beforeLines="0" w:line="240" w:lineRule="auto"/>
              <w:ind w:firstLine="436"/>
              <w:rPr>
                <w:rFonts w:ascii="黑体" w:hAnsi="黑体" w:eastAsia="黑体"/>
                <w:snapToGrid w:val="0"/>
                <w:color w:val="auto"/>
                <w:spacing w:val="-11"/>
                <w:kern w:val="21"/>
                <w:sz w:val="24"/>
                <w:szCs w:val="24"/>
              </w:rPr>
            </w:pPr>
            <w:r>
              <w:rPr>
                <w:rFonts w:ascii="黑体" w:hAnsi="黑体" w:eastAsia="黑体"/>
                <w:snapToGrid w:val="0"/>
                <w:color w:val="auto"/>
                <w:spacing w:val="-11"/>
                <w:kern w:val="21"/>
                <w:sz w:val="24"/>
                <w:szCs w:val="24"/>
              </w:rPr>
              <w:t>在建工程排放量（固</w:t>
            </w:r>
            <w:r>
              <w:rPr>
                <w:rFonts w:hint="eastAsia" w:ascii="黑体" w:hAnsi="黑体" w:eastAsia="黑体"/>
                <w:snapToGrid w:val="0"/>
                <w:color w:val="auto"/>
                <w:spacing w:val="-11"/>
                <w:kern w:val="21"/>
                <w:sz w:val="24"/>
                <w:szCs w:val="24"/>
              </w:rPr>
              <w:t>体</w:t>
            </w:r>
            <w:r>
              <w:rPr>
                <w:rFonts w:ascii="黑体" w:hAnsi="黑体" w:eastAsia="黑体"/>
                <w:snapToGrid w:val="0"/>
                <w:color w:val="auto"/>
                <w:spacing w:val="-11"/>
                <w:kern w:val="21"/>
                <w:sz w:val="24"/>
                <w:szCs w:val="24"/>
              </w:rPr>
              <w:t>废</w:t>
            </w:r>
            <w:r>
              <w:rPr>
                <w:rFonts w:hint="eastAsia" w:ascii="黑体" w:hAnsi="黑体" w:eastAsia="黑体"/>
                <w:snapToGrid w:val="0"/>
                <w:color w:val="auto"/>
                <w:spacing w:val="-11"/>
                <w:kern w:val="21"/>
                <w:sz w:val="24"/>
                <w:szCs w:val="24"/>
              </w:rPr>
              <w:t>物</w:t>
            </w:r>
            <w:r>
              <w:rPr>
                <w:rFonts w:ascii="黑体" w:hAnsi="黑体" w:eastAsia="黑体"/>
                <w:snapToGrid w:val="0"/>
                <w:color w:val="auto"/>
                <w:spacing w:val="-11"/>
                <w:kern w:val="21"/>
                <w:sz w:val="24"/>
                <w:szCs w:val="24"/>
              </w:rPr>
              <w:t>产生量）</w:t>
            </w:r>
            <w:r>
              <w:rPr>
                <w:rFonts w:ascii="黑体" w:hAnsi="黑体" w:eastAsia="黑体"/>
                <w:snapToGrid w:val="0"/>
                <w:color w:val="auto"/>
                <w:spacing w:val="-11"/>
                <w:kern w:val="21"/>
                <w:sz w:val="24"/>
                <w:szCs w:val="24"/>
              </w:rPr>
              <w:fldChar w:fldCharType="begin"/>
            </w:r>
            <w:r>
              <w:rPr>
                <w:rFonts w:ascii="黑体" w:hAnsi="黑体" w:eastAsia="黑体"/>
                <w:snapToGrid w:val="0"/>
                <w:color w:val="auto"/>
                <w:spacing w:val="-11"/>
                <w:kern w:val="21"/>
                <w:sz w:val="24"/>
                <w:szCs w:val="24"/>
              </w:rPr>
              <w:instrText xml:space="preserve"> = 3 \* GB3 \* MERGEFORMAT </w:instrText>
            </w:r>
            <w:r>
              <w:rPr>
                <w:rFonts w:ascii="黑体" w:hAnsi="黑体" w:eastAsia="黑体"/>
                <w:snapToGrid w:val="0"/>
                <w:color w:val="auto"/>
                <w:spacing w:val="-11"/>
                <w:kern w:val="21"/>
                <w:sz w:val="24"/>
                <w:szCs w:val="24"/>
              </w:rPr>
              <w:fldChar w:fldCharType="separate"/>
            </w:r>
            <w:r>
              <w:rPr>
                <w:rFonts w:hint="eastAsia" w:ascii="黑体" w:hAnsi="黑体" w:eastAsia="黑体" w:cs="宋体"/>
                <w:color w:val="auto"/>
                <w:spacing w:val="-11"/>
                <w:kern w:val="2"/>
                <w:sz w:val="24"/>
                <w:szCs w:val="24"/>
              </w:rPr>
              <w:t>③</w:t>
            </w:r>
            <w:r>
              <w:rPr>
                <w:rFonts w:ascii="黑体" w:hAnsi="黑体" w:eastAsia="黑体"/>
                <w:snapToGrid w:val="0"/>
                <w:color w:val="auto"/>
                <w:spacing w:val="-11"/>
                <w:kern w:val="21"/>
                <w:sz w:val="24"/>
                <w:szCs w:val="24"/>
              </w:rPr>
              <w:fldChar w:fldCharType="end"/>
            </w:r>
          </w:p>
        </w:tc>
        <w:tc>
          <w:tcPr>
            <w:tcW w:w="1550" w:type="dxa"/>
            <w:tcMar>
              <w:left w:w="28" w:type="dxa"/>
              <w:right w:w="28" w:type="dxa"/>
            </w:tcMar>
            <w:vAlign w:val="center"/>
          </w:tcPr>
          <w:p>
            <w:pPr>
              <w:pStyle w:val="26"/>
              <w:spacing w:beforeLines="0" w:line="240" w:lineRule="auto"/>
              <w:ind w:firstLine="436"/>
              <w:rPr>
                <w:rFonts w:ascii="黑体" w:hAnsi="黑体" w:eastAsia="黑体"/>
                <w:snapToGrid w:val="0"/>
                <w:color w:val="auto"/>
                <w:spacing w:val="-11"/>
                <w:kern w:val="21"/>
                <w:sz w:val="24"/>
                <w:szCs w:val="24"/>
              </w:rPr>
            </w:pPr>
            <w:r>
              <w:rPr>
                <w:rFonts w:ascii="黑体" w:hAnsi="黑体" w:eastAsia="黑体"/>
                <w:snapToGrid w:val="0"/>
                <w:color w:val="auto"/>
                <w:spacing w:val="-11"/>
                <w:kern w:val="21"/>
                <w:sz w:val="24"/>
                <w:szCs w:val="24"/>
              </w:rPr>
              <w:t>本项目排放量（固</w:t>
            </w:r>
            <w:r>
              <w:rPr>
                <w:rFonts w:hint="eastAsia" w:ascii="黑体" w:hAnsi="黑体" w:eastAsia="黑体"/>
                <w:snapToGrid w:val="0"/>
                <w:color w:val="auto"/>
                <w:spacing w:val="-11"/>
                <w:kern w:val="21"/>
                <w:sz w:val="24"/>
                <w:szCs w:val="24"/>
              </w:rPr>
              <w:t>体</w:t>
            </w:r>
            <w:r>
              <w:rPr>
                <w:rFonts w:ascii="黑体" w:hAnsi="黑体" w:eastAsia="黑体"/>
                <w:snapToGrid w:val="0"/>
                <w:color w:val="auto"/>
                <w:spacing w:val="-11"/>
                <w:kern w:val="21"/>
                <w:sz w:val="24"/>
                <w:szCs w:val="24"/>
              </w:rPr>
              <w:t>废</w:t>
            </w:r>
            <w:r>
              <w:rPr>
                <w:rFonts w:hint="eastAsia" w:ascii="黑体" w:hAnsi="黑体" w:eastAsia="黑体"/>
                <w:snapToGrid w:val="0"/>
                <w:color w:val="auto"/>
                <w:spacing w:val="-11"/>
                <w:kern w:val="21"/>
                <w:sz w:val="24"/>
                <w:szCs w:val="24"/>
              </w:rPr>
              <w:t>物</w:t>
            </w:r>
            <w:r>
              <w:rPr>
                <w:rFonts w:ascii="黑体" w:hAnsi="黑体" w:eastAsia="黑体"/>
                <w:snapToGrid w:val="0"/>
                <w:color w:val="auto"/>
                <w:spacing w:val="-11"/>
                <w:kern w:val="21"/>
                <w:sz w:val="24"/>
                <w:szCs w:val="24"/>
              </w:rPr>
              <w:t>产生量）</w:t>
            </w:r>
            <w:r>
              <w:rPr>
                <w:rFonts w:ascii="黑体" w:hAnsi="黑体" w:eastAsia="黑体"/>
                <w:snapToGrid w:val="0"/>
                <w:color w:val="auto"/>
                <w:spacing w:val="-11"/>
                <w:kern w:val="21"/>
                <w:sz w:val="24"/>
                <w:szCs w:val="24"/>
              </w:rPr>
              <w:fldChar w:fldCharType="begin"/>
            </w:r>
            <w:r>
              <w:rPr>
                <w:rFonts w:ascii="黑体" w:hAnsi="黑体" w:eastAsia="黑体"/>
                <w:snapToGrid w:val="0"/>
                <w:color w:val="auto"/>
                <w:spacing w:val="-11"/>
                <w:kern w:val="21"/>
                <w:sz w:val="24"/>
                <w:szCs w:val="24"/>
              </w:rPr>
              <w:instrText xml:space="preserve"> = 4 \* GB3 \* MERGEFORMAT </w:instrText>
            </w:r>
            <w:r>
              <w:rPr>
                <w:rFonts w:ascii="黑体" w:hAnsi="黑体" w:eastAsia="黑体"/>
                <w:snapToGrid w:val="0"/>
                <w:color w:val="auto"/>
                <w:spacing w:val="-11"/>
                <w:kern w:val="21"/>
                <w:sz w:val="24"/>
                <w:szCs w:val="24"/>
              </w:rPr>
              <w:fldChar w:fldCharType="separate"/>
            </w:r>
            <w:r>
              <w:rPr>
                <w:rFonts w:hint="eastAsia" w:ascii="黑体" w:hAnsi="黑体" w:eastAsia="黑体" w:cs="宋体"/>
                <w:color w:val="auto"/>
                <w:spacing w:val="-11"/>
                <w:kern w:val="2"/>
                <w:sz w:val="24"/>
                <w:szCs w:val="24"/>
              </w:rPr>
              <w:t>④</w:t>
            </w:r>
            <w:r>
              <w:rPr>
                <w:rFonts w:ascii="黑体" w:hAnsi="黑体" w:eastAsia="黑体"/>
                <w:snapToGrid w:val="0"/>
                <w:color w:val="auto"/>
                <w:spacing w:val="-11"/>
                <w:kern w:val="21"/>
                <w:sz w:val="24"/>
                <w:szCs w:val="24"/>
              </w:rPr>
              <w:fldChar w:fldCharType="end"/>
            </w:r>
          </w:p>
        </w:tc>
        <w:tc>
          <w:tcPr>
            <w:tcW w:w="1667" w:type="dxa"/>
            <w:tcMar>
              <w:left w:w="28" w:type="dxa"/>
              <w:right w:w="28" w:type="dxa"/>
            </w:tcMar>
            <w:vAlign w:val="center"/>
          </w:tcPr>
          <w:p>
            <w:pPr>
              <w:pStyle w:val="26"/>
              <w:spacing w:beforeLines="0" w:line="240" w:lineRule="auto"/>
              <w:ind w:firstLine="436"/>
              <w:rPr>
                <w:rFonts w:ascii="黑体" w:hAnsi="黑体" w:eastAsia="黑体"/>
                <w:snapToGrid w:val="0"/>
                <w:color w:val="auto"/>
                <w:spacing w:val="-11"/>
                <w:kern w:val="21"/>
                <w:sz w:val="24"/>
                <w:szCs w:val="24"/>
              </w:rPr>
            </w:pPr>
            <w:r>
              <w:rPr>
                <w:rFonts w:ascii="黑体" w:hAnsi="黑体" w:eastAsia="黑体"/>
                <w:snapToGrid w:val="0"/>
                <w:color w:val="auto"/>
                <w:spacing w:val="-11"/>
                <w:kern w:val="21"/>
                <w:sz w:val="24"/>
                <w:szCs w:val="24"/>
              </w:rPr>
              <w:t>以新带老削减量（新建项目不填）</w:t>
            </w:r>
            <w:r>
              <w:rPr>
                <w:rFonts w:ascii="黑体" w:hAnsi="黑体" w:eastAsia="黑体"/>
                <w:snapToGrid w:val="0"/>
                <w:color w:val="auto"/>
                <w:spacing w:val="-11"/>
                <w:kern w:val="21"/>
                <w:sz w:val="24"/>
                <w:szCs w:val="24"/>
              </w:rPr>
              <w:fldChar w:fldCharType="begin"/>
            </w:r>
            <w:r>
              <w:rPr>
                <w:rFonts w:ascii="黑体" w:hAnsi="黑体" w:eastAsia="黑体"/>
                <w:snapToGrid w:val="0"/>
                <w:color w:val="auto"/>
                <w:spacing w:val="-11"/>
                <w:kern w:val="21"/>
                <w:sz w:val="24"/>
                <w:szCs w:val="24"/>
              </w:rPr>
              <w:instrText xml:space="preserve"> = 5 \* GB3 \* MERGEFORMAT </w:instrText>
            </w:r>
            <w:r>
              <w:rPr>
                <w:rFonts w:ascii="黑体" w:hAnsi="黑体" w:eastAsia="黑体"/>
                <w:snapToGrid w:val="0"/>
                <w:color w:val="auto"/>
                <w:spacing w:val="-11"/>
                <w:kern w:val="21"/>
                <w:sz w:val="24"/>
                <w:szCs w:val="24"/>
              </w:rPr>
              <w:fldChar w:fldCharType="separate"/>
            </w:r>
            <w:r>
              <w:rPr>
                <w:rFonts w:hint="eastAsia" w:ascii="黑体" w:hAnsi="黑体" w:eastAsia="黑体" w:cs="宋体"/>
                <w:color w:val="auto"/>
                <w:spacing w:val="-11"/>
                <w:kern w:val="2"/>
                <w:sz w:val="24"/>
                <w:szCs w:val="24"/>
              </w:rPr>
              <w:t>⑤</w:t>
            </w:r>
            <w:r>
              <w:rPr>
                <w:rFonts w:ascii="黑体" w:hAnsi="黑体" w:eastAsia="黑体"/>
                <w:snapToGrid w:val="0"/>
                <w:color w:val="auto"/>
                <w:spacing w:val="-11"/>
                <w:kern w:val="21"/>
                <w:sz w:val="24"/>
                <w:szCs w:val="24"/>
              </w:rPr>
              <w:fldChar w:fldCharType="end"/>
            </w:r>
          </w:p>
        </w:tc>
        <w:tc>
          <w:tcPr>
            <w:tcW w:w="1811" w:type="dxa"/>
            <w:tcMar>
              <w:left w:w="28" w:type="dxa"/>
              <w:right w:w="28" w:type="dxa"/>
            </w:tcMar>
            <w:vAlign w:val="center"/>
          </w:tcPr>
          <w:p>
            <w:pPr>
              <w:pStyle w:val="26"/>
              <w:spacing w:beforeLines="0" w:line="240" w:lineRule="auto"/>
              <w:ind w:firstLine="436"/>
              <w:rPr>
                <w:rFonts w:ascii="黑体" w:hAnsi="黑体" w:eastAsia="黑体"/>
                <w:snapToGrid w:val="0"/>
                <w:color w:val="auto"/>
                <w:spacing w:val="-11"/>
                <w:kern w:val="21"/>
                <w:sz w:val="24"/>
                <w:szCs w:val="24"/>
              </w:rPr>
            </w:pPr>
            <w:r>
              <w:rPr>
                <w:rFonts w:ascii="黑体" w:hAnsi="黑体" w:eastAsia="黑体"/>
                <w:snapToGrid w:val="0"/>
                <w:color w:val="auto"/>
                <w:spacing w:val="-11"/>
                <w:kern w:val="21"/>
                <w:sz w:val="24"/>
                <w:szCs w:val="24"/>
              </w:rPr>
              <w:t>本项目建成后</w:t>
            </w:r>
          </w:p>
          <w:p>
            <w:pPr>
              <w:pStyle w:val="26"/>
              <w:spacing w:beforeLines="0" w:line="240" w:lineRule="auto"/>
              <w:ind w:firstLine="436"/>
              <w:rPr>
                <w:rFonts w:ascii="黑体" w:hAnsi="黑体" w:eastAsia="黑体"/>
                <w:snapToGrid w:val="0"/>
                <w:color w:val="auto"/>
                <w:spacing w:val="-11"/>
                <w:kern w:val="21"/>
                <w:sz w:val="24"/>
                <w:szCs w:val="24"/>
              </w:rPr>
            </w:pPr>
            <w:r>
              <w:rPr>
                <w:rFonts w:hint="eastAsia" w:ascii="黑体" w:hAnsi="黑体" w:eastAsia="黑体"/>
                <w:snapToGrid w:val="0"/>
                <w:color w:val="auto"/>
                <w:spacing w:val="-11"/>
                <w:kern w:val="21"/>
                <w:sz w:val="24"/>
                <w:szCs w:val="24"/>
              </w:rPr>
              <w:t>全厂</w:t>
            </w:r>
            <w:r>
              <w:rPr>
                <w:rFonts w:ascii="黑体" w:hAnsi="黑体" w:eastAsia="黑体"/>
                <w:snapToGrid w:val="0"/>
                <w:color w:val="auto"/>
                <w:spacing w:val="-11"/>
                <w:kern w:val="21"/>
                <w:sz w:val="24"/>
                <w:szCs w:val="24"/>
              </w:rPr>
              <w:t>排放量（固</w:t>
            </w:r>
            <w:r>
              <w:rPr>
                <w:rFonts w:hint="eastAsia" w:ascii="黑体" w:hAnsi="黑体" w:eastAsia="黑体"/>
                <w:snapToGrid w:val="0"/>
                <w:color w:val="auto"/>
                <w:spacing w:val="-11"/>
                <w:kern w:val="21"/>
                <w:sz w:val="24"/>
                <w:szCs w:val="24"/>
              </w:rPr>
              <w:t>体</w:t>
            </w:r>
            <w:r>
              <w:rPr>
                <w:rFonts w:ascii="黑体" w:hAnsi="黑体" w:eastAsia="黑体"/>
                <w:snapToGrid w:val="0"/>
                <w:color w:val="auto"/>
                <w:spacing w:val="-11"/>
                <w:kern w:val="21"/>
                <w:sz w:val="24"/>
                <w:szCs w:val="24"/>
              </w:rPr>
              <w:t>废</w:t>
            </w:r>
            <w:r>
              <w:rPr>
                <w:rFonts w:hint="eastAsia" w:ascii="黑体" w:hAnsi="黑体" w:eastAsia="黑体"/>
                <w:snapToGrid w:val="0"/>
                <w:color w:val="auto"/>
                <w:spacing w:val="-11"/>
                <w:kern w:val="21"/>
                <w:sz w:val="24"/>
                <w:szCs w:val="24"/>
              </w:rPr>
              <w:t>物</w:t>
            </w:r>
            <w:r>
              <w:rPr>
                <w:rFonts w:ascii="黑体" w:hAnsi="黑体" w:eastAsia="黑体"/>
                <w:snapToGrid w:val="0"/>
                <w:color w:val="auto"/>
                <w:spacing w:val="-11"/>
                <w:kern w:val="21"/>
                <w:sz w:val="24"/>
                <w:szCs w:val="24"/>
              </w:rPr>
              <w:t>产生量）</w:t>
            </w:r>
            <w:r>
              <w:rPr>
                <w:rFonts w:ascii="黑体" w:hAnsi="黑体" w:eastAsia="黑体"/>
                <w:snapToGrid w:val="0"/>
                <w:color w:val="auto"/>
                <w:spacing w:val="-11"/>
                <w:kern w:val="21"/>
                <w:sz w:val="24"/>
                <w:szCs w:val="24"/>
              </w:rPr>
              <w:fldChar w:fldCharType="begin"/>
            </w:r>
            <w:r>
              <w:rPr>
                <w:rFonts w:ascii="黑体" w:hAnsi="黑体" w:eastAsia="黑体"/>
                <w:snapToGrid w:val="0"/>
                <w:color w:val="auto"/>
                <w:spacing w:val="-11"/>
                <w:kern w:val="21"/>
                <w:sz w:val="24"/>
                <w:szCs w:val="24"/>
              </w:rPr>
              <w:instrText xml:space="preserve"> = 6 \* GB3 \* MERGEFORMAT </w:instrText>
            </w:r>
            <w:r>
              <w:rPr>
                <w:rFonts w:ascii="黑体" w:hAnsi="黑体" w:eastAsia="黑体"/>
                <w:snapToGrid w:val="0"/>
                <w:color w:val="auto"/>
                <w:spacing w:val="-11"/>
                <w:kern w:val="21"/>
                <w:sz w:val="24"/>
                <w:szCs w:val="24"/>
              </w:rPr>
              <w:fldChar w:fldCharType="separate"/>
            </w:r>
            <w:r>
              <w:rPr>
                <w:rFonts w:hint="eastAsia" w:ascii="黑体" w:hAnsi="黑体" w:eastAsia="黑体" w:cs="宋体"/>
                <w:color w:val="auto"/>
                <w:spacing w:val="-11"/>
                <w:kern w:val="2"/>
                <w:sz w:val="24"/>
                <w:szCs w:val="24"/>
              </w:rPr>
              <w:t>⑥</w:t>
            </w:r>
            <w:r>
              <w:rPr>
                <w:rFonts w:ascii="黑体" w:hAnsi="黑体" w:eastAsia="黑体"/>
                <w:snapToGrid w:val="0"/>
                <w:color w:val="auto"/>
                <w:spacing w:val="-11"/>
                <w:kern w:val="21"/>
                <w:sz w:val="24"/>
                <w:szCs w:val="24"/>
              </w:rPr>
              <w:fldChar w:fldCharType="end"/>
            </w:r>
          </w:p>
        </w:tc>
        <w:tc>
          <w:tcPr>
            <w:tcW w:w="1206" w:type="dxa"/>
            <w:tcMar>
              <w:left w:w="28" w:type="dxa"/>
              <w:right w:w="28" w:type="dxa"/>
            </w:tcMar>
            <w:vAlign w:val="center"/>
          </w:tcPr>
          <w:p>
            <w:pPr>
              <w:pStyle w:val="26"/>
              <w:spacing w:beforeLines="0" w:line="240" w:lineRule="auto"/>
              <w:ind w:firstLine="456"/>
              <w:rPr>
                <w:rFonts w:ascii="黑体" w:hAnsi="黑体" w:eastAsia="黑体"/>
                <w:snapToGrid w:val="0"/>
                <w:color w:val="auto"/>
                <w:spacing w:val="-6"/>
                <w:kern w:val="21"/>
                <w:sz w:val="24"/>
                <w:szCs w:val="24"/>
              </w:rPr>
            </w:pPr>
            <w:r>
              <w:rPr>
                <w:rFonts w:ascii="黑体" w:hAnsi="黑体" w:eastAsia="黑体"/>
                <w:snapToGrid w:val="0"/>
                <w:color w:val="auto"/>
                <w:spacing w:val="-6"/>
                <w:kern w:val="21"/>
                <w:sz w:val="24"/>
                <w:szCs w:val="24"/>
              </w:rPr>
              <w:t>变化量</w:t>
            </w:r>
          </w:p>
          <w:p>
            <w:pPr>
              <w:pStyle w:val="26"/>
              <w:spacing w:beforeLines="0" w:line="240" w:lineRule="auto"/>
              <w:rPr>
                <w:rFonts w:ascii="黑体" w:hAnsi="黑体" w:eastAsia="黑体"/>
                <w:snapToGrid w:val="0"/>
                <w:color w:val="auto"/>
                <w:spacing w:val="-6"/>
                <w:kern w:val="21"/>
                <w:sz w:val="24"/>
                <w:szCs w:val="24"/>
              </w:rPr>
            </w:pPr>
            <w:r>
              <w:rPr>
                <w:rFonts w:ascii="黑体" w:hAnsi="黑体" w:eastAsia="黑体"/>
                <w:snapToGrid w:val="0"/>
                <w:color w:val="auto"/>
                <w:spacing w:val="-6"/>
                <w:kern w:val="21"/>
                <w:sz w:val="24"/>
                <w:szCs w:val="24"/>
              </w:rPr>
              <w:fldChar w:fldCharType="begin"/>
            </w:r>
            <w:r>
              <w:rPr>
                <w:rFonts w:ascii="黑体" w:hAnsi="黑体" w:eastAsia="黑体"/>
                <w:snapToGrid w:val="0"/>
                <w:color w:val="auto"/>
                <w:spacing w:val="-6"/>
                <w:kern w:val="21"/>
                <w:sz w:val="24"/>
                <w:szCs w:val="24"/>
              </w:rPr>
              <w:instrText xml:space="preserve"> = 7 \* GB3 \* MERGEFORMAT </w:instrText>
            </w:r>
            <w:r>
              <w:rPr>
                <w:rFonts w:ascii="黑体" w:hAnsi="黑体" w:eastAsia="黑体"/>
                <w:snapToGrid w:val="0"/>
                <w:color w:val="auto"/>
                <w:spacing w:val="-6"/>
                <w:kern w:val="21"/>
                <w:sz w:val="24"/>
                <w:szCs w:val="24"/>
              </w:rPr>
              <w:fldChar w:fldCharType="separate"/>
            </w:r>
            <w:r>
              <w:rPr>
                <w:rFonts w:hint="eastAsia" w:ascii="黑体" w:hAnsi="黑体" w:eastAsia="黑体" w:cs="宋体"/>
                <w:color w:val="auto"/>
                <w:kern w:val="2"/>
                <w:sz w:val="24"/>
                <w:szCs w:val="24"/>
              </w:rPr>
              <w:t>⑦</w:t>
            </w:r>
            <w:r>
              <w:rPr>
                <w:rFonts w:ascii="黑体" w:hAnsi="黑体" w:eastAsia="黑体"/>
                <w:snapToGrid w:val="0"/>
                <w:color w:val="auto"/>
                <w:spacing w:val="-6"/>
                <w:kern w:val="21"/>
                <w:sz w:val="24"/>
                <w:szCs w:val="24"/>
              </w:rPr>
              <w:fldChar w:fldCharType="end"/>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228" w:type="dxa"/>
            <w:vMerge w:val="restart"/>
            <w:vAlign w:val="center"/>
          </w:tcPr>
          <w:p>
            <w:pPr>
              <w:pStyle w:val="26"/>
              <w:spacing w:beforeLines="0" w:line="240" w:lineRule="auto"/>
              <w:rPr>
                <w:rFonts w:hAnsi="宋体" w:cs="宋体"/>
                <w:snapToGrid w:val="0"/>
                <w:color w:val="auto"/>
                <w:kern w:val="21"/>
                <w:sz w:val="24"/>
                <w:szCs w:val="24"/>
              </w:rPr>
            </w:pPr>
            <w:r>
              <w:rPr>
                <w:rFonts w:hint="eastAsia" w:hAnsi="宋体" w:cs="宋体"/>
                <w:snapToGrid w:val="0"/>
                <w:color w:val="auto"/>
                <w:kern w:val="21"/>
                <w:sz w:val="24"/>
                <w:szCs w:val="24"/>
              </w:rPr>
              <w:t>废气</w:t>
            </w:r>
          </w:p>
        </w:tc>
        <w:tc>
          <w:tcPr>
            <w:tcW w:w="2204" w:type="dxa"/>
            <w:vAlign w:val="center"/>
          </w:tcPr>
          <w:p>
            <w:pPr>
              <w:jc w:val="center"/>
              <w:rPr>
                <w:sz w:val="24"/>
              </w:rPr>
            </w:pPr>
            <w:r>
              <w:rPr>
                <w:rFonts w:hint="eastAsia"/>
                <w:sz w:val="24"/>
              </w:rPr>
              <w:t>颗粒物</w:t>
            </w:r>
          </w:p>
        </w:tc>
        <w:tc>
          <w:tcPr>
            <w:tcW w:w="1556" w:type="dxa"/>
            <w:vAlign w:val="center"/>
          </w:tcPr>
          <w:p>
            <w:pPr>
              <w:adjustRightInd w:val="0"/>
              <w:snapToGrid w:val="0"/>
              <w:jc w:val="center"/>
              <w:rPr>
                <w:bCs/>
                <w:sz w:val="24"/>
              </w:rPr>
            </w:pPr>
            <w:r>
              <w:rPr>
                <w:rFonts w:hint="eastAsia"/>
                <w:bCs/>
                <w:sz w:val="24"/>
              </w:rPr>
              <w:t>0.112t/a</w:t>
            </w:r>
          </w:p>
        </w:tc>
        <w:tc>
          <w:tcPr>
            <w:tcW w:w="1083" w:type="dxa"/>
            <w:vAlign w:val="center"/>
          </w:tcPr>
          <w:p>
            <w:pPr>
              <w:adjustRightInd w:val="0"/>
              <w:snapToGrid w:val="0"/>
              <w:jc w:val="center"/>
              <w:rPr>
                <w:bCs/>
                <w:sz w:val="24"/>
              </w:rPr>
            </w:pPr>
          </w:p>
        </w:tc>
        <w:tc>
          <w:tcPr>
            <w:tcW w:w="1483" w:type="dxa"/>
            <w:vAlign w:val="center"/>
          </w:tcPr>
          <w:p>
            <w:pPr>
              <w:adjustRightInd w:val="0"/>
              <w:snapToGrid w:val="0"/>
              <w:jc w:val="center"/>
              <w:rPr>
                <w:bCs/>
                <w:sz w:val="24"/>
              </w:rPr>
            </w:pPr>
          </w:p>
        </w:tc>
        <w:tc>
          <w:tcPr>
            <w:tcW w:w="1550" w:type="dxa"/>
            <w:vAlign w:val="center"/>
          </w:tcPr>
          <w:p>
            <w:pPr>
              <w:adjustRightInd w:val="0"/>
              <w:snapToGrid w:val="0"/>
              <w:jc w:val="center"/>
              <w:rPr>
                <w:bCs/>
                <w:sz w:val="24"/>
              </w:rPr>
            </w:pPr>
            <w:r>
              <w:rPr>
                <w:rFonts w:hint="eastAsia"/>
                <w:bCs/>
                <w:sz w:val="24"/>
              </w:rPr>
              <w:t>0.022t/a</w:t>
            </w:r>
          </w:p>
        </w:tc>
        <w:tc>
          <w:tcPr>
            <w:tcW w:w="1667" w:type="dxa"/>
            <w:vAlign w:val="center"/>
          </w:tcPr>
          <w:p>
            <w:pPr>
              <w:adjustRightInd w:val="0"/>
              <w:snapToGrid w:val="0"/>
              <w:jc w:val="center"/>
              <w:rPr>
                <w:bCs/>
                <w:sz w:val="24"/>
              </w:rPr>
            </w:pPr>
            <w:r>
              <w:rPr>
                <w:rFonts w:hint="eastAsia"/>
                <w:bCs/>
                <w:sz w:val="24"/>
              </w:rPr>
              <w:t>0.112t/a</w:t>
            </w:r>
          </w:p>
        </w:tc>
        <w:tc>
          <w:tcPr>
            <w:tcW w:w="1811" w:type="dxa"/>
            <w:vAlign w:val="center"/>
          </w:tcPr>
          <w:p>
            <w:pPr>
              <w:adjustRightInd w:val="0"/>
              <w:snapToGrid w:val="0"/>
              <w:jc w:val="center"/>
              <w:rPr>
                <w:bCs/>
                <w:sz w:val="24"/>
              </w:rPr>
            </w:pPr>
            <w:r>
              <w:rPr>
                <w:rFonts w:hint="eastAsia"/>
                <w:bCs/>
                <w:sz w:val="24"/>
              </w:rPr>
              <w:t>0.022t/a</w:t>
            </w:r>
          </w:p>
        </w:tc>
        <w:tc>
          <w:tcPr>
            <w:tcW w:w="1206" w:type="dxa"/>
            <w:vAlign w:val="center"/>
          </w:tcPr>
          <w:p>
            <w:pPr>
              <w:adjustRightInd w:val="0"/>
              <w:snapToGrid w:val="0"/>
              <w:jc w:val="center"/>
              <w:rPr>
                <w:bCs/>
                <w:sz w:val="24"/>
              </w:rPr>
            </w:pPr>
            <w:r>
              <w:rPr>
                <w:rFonts w:hint="eastAsia"/>
                <w:bCs/>
                <w:sz w:val="24"/>
              </w:rPr>
              <w:t>-0.090t/a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228" w:type="dxa"/>
            <w:vMerge w:val="continue"/>
            <w:vAlign w:val="center"/>
          </w:tcPr>
          <w:p>
            <w:pPr>
              <w:pStyle w:val="26"/>
              <w:spacing w:beforeLines="0" w:line="240" w:lineRule="auto"/>
              <w:rPr>
                <w:rFonts w:hAnsi="宋体" w:cs="宋体"/>
                <w:snapToGrid w:val="0"/>
                <w:color w:val="auto"/>
                <w:kern w:val="21"/>
                <w:sz w:val="24"/>
                <w:szCs w:val="24"/>
              </w:rPr>
            </w:pPr>
          </w:p>
        </w:tc>
        <w:tc>
          <w:tcPr>
            <w:tcW w:w="2204" w:type="dxa"/>
            <w:vAlign w:val="center"/>
          </w:tcPr>
          <w:p>
            <w:pPr>
              <w:jc w:val="center"/>
              <w:rPr>
                <w:sz w:val="24"/>
              </w:rPr>
            </w:pPr>
            <w:r>
              <w:rPr>
                <w:sz w:val="24"/>
              </w:rPr>
              <w:t>SO</w:t>
            </w:r>
            <w:r>
              <w:rPr>
                <w:sz w:val="24"/>
                <w:vertAlign w:val="subscript"/>
              </w:rPr>
              <w:t>2</w:t>
            </w:r>
          </w:p>
        </w:tc>
        <w:tc>
          <w:tcPr>
            <w:tcW w:w="1556" w:type="dxa"/>
            <w:vAlign w:val="center"/>
          </w:tcPr>
          <w:p>
            <w:pPr>
              <w:adjustRightInd w:val="0"/>
              <w:snapToGrid w:val="0"/>
              <w:jc w:val="center"/>
              <w:rPr>
                <w:bCs/>
                <w:sz w:val="24"/>
              </w:rPr>
            </w:pPr>
            <w:r>
              <w:rPr>
                <w:rFonts w:hint="eastAsia"/>
                <w:bCs/>
                <w:sz w:val="24"/>
              </w:rPr>
              <w:t>0.646t/a</w:t>
            </w:r>
          </w:p>
        </w:tc>
        <w:tc>
          <w:tcPr>
            <w:tcW w:w="1083" w:type="dxa"/>
            <w:vAlign w:val="center"/>
          </w:tcPr>
          <w:p>
            <w:pPr>
              <w:adjustRightInd w:val="0"/>
              <w:snapToGrid w:val="0"/>
              <w:jc w:val="center"/>
              <w:rPr>
                <w:bCs/>
                <w:sz w:val="24"/>
              </w:rPr>
            </w:pPr>
          </w:p>
        </w:tc>
        <w:tc>
          <w:tcPr>
            <w:tcW w:w="1483" w:type="dxa"/>
            <w:vAlign w:val="center"/>
          </w:tcPr>
          <w:p>
            <w:pPr>
              <w:adjustRightInd w:val="0"/>
              <w:snapToGrid w:val="0"/>
              <w:jc w:val="center"/>
              <w:rPr>
                <w:bCs/>
                <w:sz w:val="24"/>
              </w:rPr>
            </w:pPr>
          </w:p>
        </w:tc>
        <w:tc>
          <w:tcPr>
            <w:tcW w:w="1550" w:type="dxa"/>
            <w:vAlign w:val="center"/>
          </w:tcPr>
          <w:p>
            <w:pPr>
              <w:adjustRightInd w:val="0"/>
              <w:snapToGrid w:val="0"/>
              <w:jc w:val="center"/>
              <w:rPr>
                <w:bCs/>
                <w:sz w:val="24"/>
              </w:rPr>
            </w:pPr>
            <w:r>
              <w:rPr>
                <w:rFonts w:hint="eastAsia"/>
                <w:bCs/>
                <w:sz w:val="24"/>
              </w:rPr>
              <w:t>0.019t/a</w:t>
            </w:r>
          </w:p>
        </w:tc>
        <w:tc>
          <w:tcPr>
            <w:tcW w:w="1667" w:type="dxa"/>
            <w:vAlign w:val="center"/>
          </w:tcPr>
          <w:p>
            <w:pPr>
              <w:adjustRightInd w:val="0"/>
              <w:snapToGrid w:val="0"/>
              <w:jc w:val="center"/>
              <w:rPr>
                <w:bCs/>
                <w:sz w:val="24"/>
              </w:rPr>
            </w:pPr>
            <w:r>
              <w:rPr>
                <w:rFonts w:hint="eastAsia"/>
                <w:bCs/>
                <w:sz w:val="24"/>
              </w:rPr>
              <w:t>0.646t/a</w:t>
            </w:r>
          </w:p>
        </w:tc>
        <w:tc>
          <w:tcPr>
            <w:tcW w:w="1811" w:type="dxa"/>
            <w:vAlign w:val="center"/>
          </w:tcPr>
          <w:p>
            <w:pPr>
              <w:adjustRightInd w:val="0"/>
              <w:snapToGrid w:val="0"/>
              <w:jc w:val="center"/>
              <w:rPr>
                <w:bCs/>
                <w:sz w:val="24"/>
              </w:rPr>
            </w:pPr>
            <w:r>
              <w:rPr>
                <w:rFonts w:hint="eastAsia"/>
                <w:bCs/>
                <w:sz w:val="24"/>
              </w:rPr>
              <w:t>0.019t/a</w:t>
            </w:r>
          </w:p>
        </w:tc>
        <w:tc>
          <w:tcPr>
            <w:tcW w:w="1206" w:type="dxa"/>
            <w:vAlign w:val="center"/>
          </w:tcPr>
          <w:p>
            <w:pPr>
              <w:adjustRightInd w:val="0"/>
              <w:snapToGrid w:val="0"/>
              <w:jc w:val="center"/>
              <w:rPr>
                <w:bCs/>
                <w:sz w:val="24"/>
              </w:rPr>
            </w:pPr>
            <w:r>
              <w:rPr>
                <w:rFonts w:hint="eastAsia"/>
                <w:bCs/>
                <w:sz w:val="24"/>
              </w:rPr>
              <w:t>-0.627t/a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228" w:type="dxa"/>
            <w:vMerge w:val="continue"/>
            <w:vAlign w:val="center"/>
          </w:tcPr>
          <w:p>
            <w:pPr>
              <w:pStyle w:val="26"/>
              <w:spacing w:beforeLines="0" w:line="240" w:lineRule="auto"/>
              <w:rPr>
                <w:rFonts w:hAnsi="宋体" w:cs="宋体"/>
                <w:snapToGrid w:val="0"/>
                <w:color w:val="auto"/>
                <w:kern w:val="21"/>
                <w:sz w:val="24"/>
                <w:szCs w:val="24"/>
              </w:rPr>
            </w:pPr>
          </w:p>
        </w:tc>
        <w:tc>
          <w:tcPr>
            <w:tcW w:w="2204" w:type="dxa"/>
            <w:vAlign w:val="center"/>
          </w:tcPr>
          <w:p>
            <w:pPr>
              <w:jc w:val="center"/>
              <w:rPr>
                <w:sz w:val="24"/>
                <w:vertAlign w:val="subscript"/>
              </w:rPr>
            </w:pPr>
            <w:r>
              <w:rPr>
                <w:sz w:val="24"/>
              </w:rPr>
              <w:t>NO</w:t>
            </w:r>
            <w:r>
              <w:rPr>
                <w:sz w:val="24"/>
                <w:vertAlign w:val="subscript"/>
              </w:rPr>
              <w:t>X</w:t>
            </w:r>
          </w:p>
        </w:tc>
        <w:tc>
          <w:tcPr>
            <w:tcW w:w="1556" w:type="dxa"/>
            <w:vAlign w:val="center"/>
          </w:tcPr>
          <w:p>
            <w:pPr>
              <w:adjustRightInd w:val="0"/>
              <w:snapToGrid w:val="0"/>
              <w:jc w:val="center"/>
              <w:rPr>
                <w:bCs/>
                <w:sz w:val="24"/>
              </w:rPr>
            </w:pPr>
            <w:r>
              <w:rPr>
                <w:rFonts w:hint="eastAsia"/>
                <w:bCs/>
                <w:sz w:val="24"/>
              </w:rPr>
              <w:t>0.606t/a</w:t>
            </w:r>
          </w:p>
        </w:tc>
        <w:tc>
          <w:tcPr>
            <w:tcW w:w="1083" w:type="dxa"/>
            <w:vAlign w:val="center"/>
          </w:tcPr>
          <w:p>
            <w:pPr>
              <w:adjustRightInd w:val="0"/>
              <w:snapToGrid w:val="0"/>
              <w:jc w:val="center"/>
              <w:rPr>
                <w:bCs/>
                <w:sz w:val="24"/>
              </w:rPr>
            </w:pPr>
          </w:p>
        </w:tc>
        <w:tc>
          <w:tcPr>
            <w:tcW w:w="1483" w:type="dxa"/>
            <w:vAlign w:val="center"/>
          </w:tcPr>
          <w:p>
            <w:pPr>
              <w:adjustRightInd w:val="0"/>
              <w:snapToGrid w:val="0"/>
              <w:jc w:val="center"/>
              <w:rPr>
                <w:bCs/>
                <w:sz w:val="24"/>
              </w:rPr>
            </w:pPr>
          </w:p>
        </w:tc>
        <w:tc>
          <w:tcPr>
            <w:tcW w:w="1550" w:type="dxa"/>
            <w:vAlign w:val="center"/>
          </w:tcPr>
          <w:p>
            <w:pPr>
              <w:adjustRightInd w:val="0"/>
              <w:snapToGrid w:val="0"/>
              <w:jc w:val="center"/>
              <w:rPr>
                <w:bCs/>
                <w:sz w:val="24"/>
              </w:rPr>
            </w:pPr>
            <w:r>
              <w:rPr>
                <w:rFonts w:hint="eastAsia"/>
                <w:bCs/>
                <w:sz w:val="24"/>
              </w:rPr>
              <w:t>0.213t/a</w:t>
            </w:r>
          </w:p>
        </w:tc>
        <w:tc>
          <w:tcPr>
            <w:tcW w:w="1667" w:type="dxa"/>
            <w:vAlign w:val="center"/>
          </w:tcPr>
          <w:p>
            <w:pPr>
              <w:adjustRightInd w:val="0"/>
              <w:snapToGrid w:val="0"/>
              <w:jc w:val="center"/>
              <w:rPr>
                <w:bCs/>
                <w:sz w:val="24"/>
              </w:rPr>
            </w:pPr>
            <w:r>
              <w:rPr>
                <w:rFonts w:hint="eastAsia"/>
                <w:bCs/>
                <w:sz w:val="24"/>
              </w:rPr>
              <w:t>0.606t/a</w:t>
            </w:r>
          </w:p>
        </w:tc>
        <w:tc>
          <w:tcPr>
            <w:tcW w:w="1811" w:type="dxa"/>
            <w:vAlign w:val="center"/>
          </w:tcPr>
          <w:p>
            <w:pPr>
              <w:adjustRightInd w:val="0"/>
              <w:snapToGrid w:val="0"/>
              <w:jc w:val="center"/>
              <w:rPr>
                <w:bCs/>
                <w:sz w:val="24"/>
              </w:rPr>
            </w:pPr>
            <w:r>
              <w:rPr>
                <w:rFonts w:hint="eastAsia"/>
                <w:bCs/>
                <w:sz w:val="24"/>
              </w:rPr>
              <w:t>0.213t/a</w:t>
            </w:r>
          </w:p>
        </w:tc>
        <w:tc>
          <w:tcPr>
            <w:tcW w:w="1206" w:type="dxa"/>
            <w:vAlign w:val="center"/>
          </w:tcPr>
          <w:p>
            <w:pPr>
              <w:adjustRightInd w:val="0"/>
              <w:snapToGrid w:val="0"/>
              <w:jc w:val="center"/>
              <w:rPr>
                <w:bCs/>
                <w:sz w:val="24"/>
              </w:rPr>
            </w:pPr>
            <w:r>
              <w:rPr>
                <w:rFonts w:hint="eastAsia"/>
                <w:bCs/>
                <w:sz w:val="24"/>
              </w:rPr>
              <w:t>-0.393t/a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228" w:type="dxa"/>
            <w:vMerge w:val="continue"/>
            <w:vAlign w:val="center"/>
          </w:tcPr>
          <w:p>
            <w:pPr>
              <w:pStyle w:val="26"/>
              <w:spacing w:beforeLines="0" w:line="240" w:lineRule="auto"/>
              <w:rPr>
                <w:rFonts w:hAnsi="宋体" w:cs="宋体"/>
                <w:snapToGrid w:val="0"/>
                <w:color w:val="auto"/>
                <w:kern w:val="21"/>
                <w:sz w:val="24"/>
                <w:szCs w:val="24"/>
              </w:rPr>
            </w:pPr>
          </w:p>
        </w:tc>
        <w:tc>
          <w:tcPr>
            <w:tcW w:w="2204" w:type="dxa"/>
            <w:vAlign w:val="center"/>
          </w:tcPr>
          <w:p>
            <w:pPr>
              <w:jc w:val="center"/>
              <w:rPr>
                <w:bCs/>
                <w:sz w:val="24"/>
              </w:rPr>
            </w:pPr>
            <w:r>
              <w:rPr>
                <w:bCs/>
                <w:sz w:val="24"/>
              </w:rPr>
              <w:t>工艺粉尘</w:t>
            </w:r>
          </w:p>
        </w:tc>
        <w:tc>
          <w:tcPr>
            <w:tcW w:w="1556" w:type="dxa"/>
            <w:vAlign w:val="center"/>
          </w:tcPr>
          <w:p>
            <w:pPr>
              <w:adjustRightInd w:val="0"/>
              <w:snapToGrid w:val="0"/>
              <w:jc w:val="center"/>
              <w:rPr>
                <w:bCs/>
                <w:sz w:val="24"/>
              </w:rPr>
            </w:pPr>
            <w:r>
              <w:rPr>
                <w:rFonts w:hint="eastAsia"/>
                <w:bCs/>
                <w:sz w:val="24"/>
              </w:rPr>
              <w:t>0.504t/a</w:t>
            </w:r>
          </w:p>
        </w:tc>
        <w:tc>
          <w:tcPr>
            <w:tcW w:w="1083" w:type="dxa"/>
            <w:vAlign w:val="center"/>
          </w:tcPr>
          <w:p>
            <w:pPr>
              <w:adjustRightInd w:val="0"/>
              <w:snapToGrid w:val="0"/>
              <w:jc w:val="center"/>
              <w:rPr>
                <w:bCs/>
                <w:sz w:val="24"/>
              </w:rPr>
            </w:pPr>
          </w:p>
        </w:tc>
        <w:tc>
          <w:tcPr>
            <w:tcW w:w="1483" w:type="dxa"/>
            <w:vAlign w:val="center"/>
          </w:tcPr>
          <w:p>
            <w:pPr>
              <w:adjustRightInd w:val="0"/>
              <w:snapToGrid w:val="0"/>
              <w:jc w:val="center"/>
              <w:rPr>
                <w:bCs/>
                <w:sz w:val="24"/>
              </w:rPr>
            </w:pPr>
          </w:p>
        </w:tc>
        <w:tc>
          <w:tcPr>
            <w:tcW w:w="1550" w:type="dxa"/>
            <w:vAlign w:val="center"/>
          </w:tcPr>
          <w:p>
            <w:pPr>
              <w:adjustRightInd w:val="0"/>
              <w:snapToGrid w:val="0"/>
              <w:jc w:val="center"/>
              <w:rPr>
                <w:bCs/>
                <w:sz w:val="24"/>
              </w:rPr>
            </w:pPr>
            <w:r>
              <w:rPr>
                <w:rFonts w:hint="eastAsia"/>
                <w:bCs/>
                <w:sz w:val="24"/>
              </w:rPr>
              <w:t>0</w:t>
            </w:r>
          </w:p>
        </w:tc>
        <w:tc>
          <w:tcPr>
            <w:tcW w:w="1667" w:type="dxa"/>
            <w:vAlign w:val="center"/>
          </w:tcPr>
          <w:p>
            <w:pPr>
              <w:adjustRightInd w:val="0"/>
              <w:snapToGrid w:val="0"/>
              <w:jc w:val="center"/>
              <w:rPr>
                <w:bCs/>
                <w:sz w:val="24"/>
              </w:rPr>
            </w:pPr>
            <w:r>
              <w:rPr>
                <w:rFonts w:hint="eastAsia"/>
                <w:bCs/>
                <w:sz w:val="24"/>
              </w:rPr>
              <w:t>0</w:t>
            </w:r>
          </w:p>
        </w:tc>
        <w:tc>
          <w:tcPr>
            <w:tcW w:w="1811" w:type="dxa"/>
            <w:vAlign w:val="center"/>
          </w:tcPr>
          <w:p>
            <w:pPr>
              <w:adjustRightInd w:val="0"/>
              <w:snapToGrid w:val="0"/>
              <w:jc w:val="center"/>
              <w:rPr>
                <w:bCs/>
                <w:sz w:val="24"/>
              </w:rPr>
            </w:pPr>
            <w:r>
              <w:rPr>
                <w:rFonts w:hint="eastAsia"/>
                <w:bCs/>
                <w:sz w:val="24"/>
              </w:rPr>
              <w:t>0.504t/a</w:t>
            </w:r>
          </w:p>
        </w:tc>
        <w:tc>
          <w:tcPr>
            <w:tcW w:w="1206" w:type="dxa"/>
            <w:vAlign w:val="center"/>
          </w:tcPr>
          <w:p>
            <w:pPr>
              <w:adjustRightInd w:val="0"/>
              <w:snapToGrid w:val="0"/>
              <w:jc w:val="center"/>
              <w:rPr>
                <w:bCs/>
                <w:sz w:val="24"/>
              </w:rPr>
            </w:pPr>
            <w:r>
              <w:rPr>
                <w:rFonts w:hint="eastAsia"/>
                <w:bCs/>
                <w:sz w:val="24"/>
              </w:rPr>
              <w:t>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228" w:type="dxa"/>
            <w:vMerge w:val="restart"/>
            <w:vAlign w:val="center"/>
          </w:tcPr>
          <w:p>
            <w:pPr>
              <w:pStyle w:val="26"/>
              <w:spacing w:beforeLines="0" w:line="240" w:lineRule="auto"/>
              <w:rPr>
                <w:rFonts w:hAnsi="宋体" w:cs="宋体"/>
                <w:snapToGrid w:val="0"/>
                <w:color w:val="auto"/>
                <w:kern w:val="21"/>
                <w:sz w:val="24"/>
                <w:szCs w:val="24"/>
              </w:rPr>
            </w:pPr>
            <w:r>
              <w:rPr>
                <w:rFonts w:hint="eastAsia" w:hAnsi="宋体" w:cs="宋体"/>
                <w:snapToGrid w:val="0"/>
                <w:color w:val="auto"/>
                <w:kern w:val="21"/>
                <w:sz w:val="24"/>
                <w:szCs w:val="24"/>
              </w:rPr>
              <w:t>废水</w:t>
            </w:r>
          </w:p>
        </w:tc>
        <w:tc>
          <w:tcPr>
            <w:tcW w:w="2204" w:type="dxa"/>
            <w:vAlign w:val="center"/>
          </w:tcPr>
          <w:p>
            <w:pPr>
              <w:pStyle w:val="26"/>
              <w:spacing w:beforeLines="0" w:line="240" w:lineRule="auto"/>
              <w:rPr>
                <w:rFonts w:ascii="Times New Roman" w:eastAsia="宋体"/>
                <w:color w:val="auto"/>
                <w:kern w:val="2"/>
                <w:sz w:val="24"/>
                <w:szCs w:val="24"/>
              </w:rPr>
            </w:pPr>
            <w:r>
              <w:rPr>
                <w:rFonts w:hint="eastAsia" w:ascii="Times New Roman" w:eastAsia="宋体"/>
                <w:color w:val="auto"/>
                <w:kern w:val="2"/>
                <w:sz w:val="24"/>
                <w:szCs w:val="24"/>
              </w:rPr>
              <w:t>生活污水</w:t>
            </w:r>
          </w:p>
        </w:tc>
        <w:tc>
          <w:tcPr>
            <w:tcW w:w="1556" w:type="dxa"/>
            <w:vAlign w:val="center"/>
          </w:tcPr>
          <w:p>
            <w:pPr>
              <w:adjustRightInd w:val="0"/>
              <w:snapToGrid w:val="0"/>
              <w:jc w:val="center"/>
              <w:rPr>
                <w:bCs/>
                <w:sz w:val="24"/>
              </w:rPr>
            </w:pPr>
            <w:r>
              <w:rPr>
                <w:rFonts w:hint="eastAsia"/>
                <w:bCs/>
                <w:sz w:val="24"/>
              </w:rPr>
              <w:t>0</w:t>
            </w:r>
          </w:p>
        </w:tc>
        <w:tc>
          <w:tcPr>
            <w:tcW w:w="1083" w:type="dxa"/>
            <w:vAlign w:val="center"/>
          </w:tcPr>
          <w:p>
            <w:pPr>
              <w:adjustRightInd w:val="0"/>
              <w:snapToGrid w:val="0"/>
              <w:jc w:val="center"/>
              <w:rPr>
                <w:bCs/>
                <w:sz w:val="24"/>
              </w:rPr>
            </w:pPr>
          </w:p>
        </w:tc>
        <w:tc>
          <w:tcPr>
            <w:tcW w:w="1483" w:type="dxa"/>
            <w:vAlign w:val="center"/>
          </w:tcPr>
          <w:p>
            <w:pPr>
              <w:adjustRightInd w:val="0"/>
              <w:snapToGrid w:val="0"/>
              <w:jc w:val="center"/>
              <w:rPr>
                <w:bCs/>
                <w:sz w:val="24"/>
              </w:rPr>
            </w:pPr>
          </w:p>
        </w:tc>
        <w:tc>
          <w:tcPr>
            <w:tcW w:w="1550" w:type="dxa"/>
            <w:vAlign w:val="center"/>
          </w:tcPr>
          <w:p>
            <w:pPr>
              <w:adjustRightInd w:val="0"/>
              <w:snapToGrid w:val="0"/>
              <w:jc w:val="center"/>
              <w:rPr>
                <w:bCs/>
                <w:sz w:val="24"/>
              </w:rPr>
            </w:pPr>
            <w:r>
              <w:rPr>
                <w:rFonts w:hint="eastAsia"/>
                <w:bCs/>
                <w:sz w:val="24"/>
              </w:rPr>
              <w:t>0</w:t>
            </w:r>
          </w:p>
        </w:tc>
        <w:tc>
          <w:tcPr>
            <w:tcW w:w="1667" w:type="dxa"/>
            <w:vAlign w:val="center"/>
          </w:tcPr>
          <w:p>
            <w:pPr>
              <w:adjustRightInd w:val="0"/>
              <w:snapToGrid w:val="0"/>
              <w:jc w:val="center"/>
              <w:rPr>
                <w:bCs/>
                <w:sz w:val="24"/>
              </w:rPr>
            </w:pPr>
            <w:r>
              <w:rPr>
                <w:rFonts w:hint="eastAsia"/>
                <w:bCs/>
                <w:sz w:val="24"/>
              </w:rPr>
              <w:t>0</w:t>
            </w:r>
          </w:p>
        </w:tc>
        <w:tc>
          <w:tcPr>
            <w:tcW w:w="1811" w:type="dxa"/>
            <w:vAlign w:val="center"/>
          </w:tcPr>
          <w:p>
            <w:pPr>
              <w:adjustRightInd w:val="0"/>
              <w:snapToGrid w:val="0"/>
              <w:jc w:val="center"/>
              <w:rPr>
                <w:bCs/>
                <w:sz w:val="24"/>
              </w:rPr>
            </w:pPr>
            <w:r>
              <w:rPr>
                <w:rFonts w:hint="eastAsia"/>
                <w:bCs/>
                <w:sz w:val="24"/>
              </w:rPr>
              <w:t>0</w:t>
            </w:r>
          </w:p>
        </w:tc>
        <w:tc>
          <w:tcPr>
            <w:tcW w:w="1206" w:type="dxa"/>
            <w:vAlign w:val="center"/>
          </w:tcPr>
          <w:p>
            <w:pPr>
              <w:adjustRightInd w:val="0"/>
              <w:snapToGrid w:val="0"/>
              <w:jc w:val="center"/>
              <w:rPr>
                <w:bCs/>
                <w:sz w:val="24"/>
              </w:rPr>
            </w:pPr>
            <w:r>
              <w:rPr>
                <w:rFonts w:hint="eastAsia"/>
                <w:bCs/>
                <w:sz w:val="24"/>
              </w:rPr>
              <w:t>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228" w:type="dxa"/>
            <w:vMerge w:val="continue"/>
            <w:vAlign w:val="center"/>
          </w:tcPr>
          <w:p>
            <w:pPr>
              <w:pStyle w:val="26"/>
              <w:spacing w:beforeLines="0" w:line="240" w:lineRule="auto"/>
              <w:rPr>
                <w:rFonts w:hAnsi="宋体" w:cs="宋体"/>
                <w:snapToGrid w:val="0"/>
                <w:color w:val="auto"/>
                <w:kern w:val="21"/>
                <w:sz w:val="24"/>
                <w:szCs w:val="24"/>
              </w:rPr>
            </w:pPr>
          </w:p>
        </w:tc>
        <w:tc>
          <w:tcPr>
            <w:tcW w:w="2204" w:type="dxa"/>
            <w:vAlign w:val="center"/>
          </w:tcPr>
          <w:p>
            <w:pPr>
              <w:pStyle w:val="26"/>
              <w:spacing w:beforeLines="0" w:line="240" w:lineRule="auto"/>
              <w:rPr>
                <w:rFonts w:ascii="Times New Roman" w:eastAsia="宋体"/>
                <w:color w:val="auto"/>
                <w:kern w:val="2"/>
                <w:sz w:val="24"/>
                <w:szCs w:val="24"/>
              </w:rPr>
            </w:pPr>
            <w:r>
              <w:rPr>
                <w:rFonts w:hint="eastAsia" w:ascii="Times New Roman" w:eastAsia="宋体"/>
                <w:color w:val="auto"/>
                <w:kern w:val="2"/>
                <w:sz w:val="24"/>
                <w:szCs w:val="24"/>
              </w:rPr>
              <w:t>锅炉排污水、软化处理废水及蒸汽冷凝水</w:t>
            </w:r>
          </w:p>
        </w:tc>
        <w:tc>
          <w:tcPr>
            <w:tcW w:w="1556" w:type="dxa"/>
            <w:vAlign w:val="center"/>
          </w:tcPr>
          <w:p>
            <w:pPr>
              <w:adjustRightInd w:val="0"/>
              <w:snapToGrid w:val="0"/>
              <w:jc w:val="center"/>
              <w:rPr>
                <w:bCs/>
                <w:sz w:val="24"/>
              </w:rPr>
            </w:pPr>
            <w:r>
              <w:rPr>
                <w:rFonts w:hint="eastAsia"/>
                <w:bCs/>
                <w:sz w:val="24"/>
              </w:rPr>
              <w:t>0</w:t>
            </w:r>
          </w:p>
        </w:tc>
        <w:tc>
          <w:tcPr>
            <w:tcW w:w="1083" w:type="dxa"/>
            <w:vAlign w:val="center"/>
          </w:tcPr>
          <w:p>
            <w:pPr>
              <w:adjustRightInd w:val="0"/>
              <w:snapToGrid w:val="0"/>
              <w:jc w:val="center"/>
              <w:rPr>
                <w:bCs/>
                <w:sz w:val="24"/>
              </w:rPr>
            </w:pPr>
          </w:p>
        </w:tc>
        <w:tc>
          <w:tcPr>
            <w:tcW w:w="1483" w:type="dxa"/>
            <w:vAlign w:val="center"/>
          </w:tcPr>
          <w:p>
            <w:pPr>
              <w:adjustRightInd w:val="0"/>
              <w:snapToGrid w:val="0"/>
              <w:jc w:val="center"/>
              <w:rPr>
                <w:bCs/>
                <w:sz w:val="24"/>
              </w:rPr>
            </w:pPr>
          </w:p>
        </w:tc>
        <w:tc>
          <w:tcPr>
            <w:tcW w:w="1550" w:type="dxa"/>
            <w:vAlign w:val="center"/>
          </w:tcPr>
          <w:p>
            <w:pPr>
              <w:adjustRightInd w:val="0"/>
              <w:snapToGrid w:val="0"/>
              <w:jc w:val="center"/>
              <w:rPr>
                <w:bCs/>
                <w:sz w:val="24"/>
              </w:rPr>
            </w:pPr>
            <w:r>
              <w:rPr>
                <w:rFonts w:hint="eastAsia"/>
                <w:bCs/>
                <w:sz w:val="24"/>
              </w:rPr>
              <w:t>0</w:t>
            </w:r>
          </w:p>
        </w:tc>
        <w:tc>
          <w:tcPr>
            <w:tcW w:w="1667" w:type="dxa"/>
            <w:vAlign w:val="center"/>
          </w:tcPr>
          <w:p>
            <w:pPr>
              <w:adjustRightInd w:val="0"/>
              <w:snapToGrid w:val="0"/>
              <w:jc w:val="center"/>
              <w:rPr>
                <w:bCs/>
                <w:sz w:val="24"/>
              </w:rPr>
            </w:pPr>
            <w:r>
              <w:rPr>
                <w:rFonts w:hint="eastAsia"/>
                <w:bCs/>
                <w:sz w:val="24"/>
              </w:rPr>
              <w:t>0</w:t>
            </w:r>
          </w:p>
        </w:tc>
        <w:tc>
          <w:tcPr>
            <w:tcW w:w="1811" w:type="dxa"/>
            <w:vAlign w:val="center"/>
          </w:tcPr>
          <w:p>
            <w:pPr>
              <w:adjustRightInd w:val="0"/>
              <w:snapToGrid w:val="0"/>
              <w:jc w:val="center"/>
              <w:rPr>
                <w:bCs/>
                <w:sz w:val="24"/>
              </w:rPr>
            </w:pPr>
            <w:r>
              <w:rPr>
                <w:rFonts w:hint="eastAsia"/>
                <w:bCs/>
                <w:sz w:val="24"/>
              </w:rPr>
              <w:t>0</w:t>
            </w:r>
          </w:p>
        </w:tc>
        <w:tc>
          <w:tcPr>
            <w:tcW w:w="1206" w:type="dxa"/>
            <w:vAlign w:val="center"/>
          </w:tcPr>
          <w:p>
            <w:pPr>
              <w:adjustRightInd w:val="0"/>
              <w:snapToGrid w:val="0"/>
              <w:jc w:val="center"/>
              <w:rPr>
                <w:bCs/>
                <w:sz w:val="24"/>
              </w:rPr>
            </w:pPr>
            <w:r>
              <w:rPr>
                <w:rFonts w:hint="eastAsia"/>
                <w:bCs/>
                <w:sz w:val="24"/>
              </w:rPr>
              <w:t>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228" w:type="dxa"/>
            <w:vMerge w:val="restart"/>
            <w:vAlign w:val="center"/>
          </w:tcPr>
          <w:p>
            <w:pPr>
              <w:pStyle w:val="26"/>
              <w:spacing w:beforeLines="0" w:line="240" w:lineRule="auto"/>
              <w:rPr>
                <w:rFonts w:hAnsi="宋体" w:cs="宋体"/>
                <w:snapToGrid w:val="0"/>
                <w:color w:val="auto"/>
                <w:kern w:val="21"/>
                <w:sz w:val="24"/>
                <w:szCs w:val="24"/>
              </w:rPr>
            </w:pPr>
            <w:r>
              <w:rPr>
                <w:rFonts w:hint="eastAsia" w:hAnsi="宋体" w:cs="宋体"/>
                <w:snapToGrid w:val="0"/>
                <w:color w:val="auto"/>
                <w:kern w:val="21"/>
                <w:sz w:val="24"/>
                <w:szCs w:val="24"/>
              </w:rPr>
              <w:t>一般工业</w:t>
            </w:r>
          </w:p>
          <w:p>
            <w:pPr>
              <w:pStyle w:val="26"/>
              <w:spacing w:beforeLines="0" w:line="240" w:lineRule="auto"/>
              <w:rPr>
                <w:rFonts w:hAnsi="宋体" w:cs="宋体"/>
                <w:snapToGrid w:val="0"/>
                <w:color w:val="auto"/>
                <w:kern w:val="21"/>
                <w:sz w:val="24"/>
                <w:szCs w:val="24"/>
              </w:rPr>
            </w:pPr>
            <w:r>
              <w:rPr>
                <w:rFonts w:hint="eastAsia" w:hAnsi="宋体" w:cs="宋体"/>
                <w:snapToGrid w:val="0"/>
                <w:color w:val="auto"/>
                <w:kern w:val="21"/>
                <w:sz w:val="24"/>
                <w:szCs w:val="24"/>
              </w:rPr>
              <w:t>固体废物</w:t>
            </w:r>
          </w:p>
        </w:tc>
        <w:tc>
          <w:tcPr>
            <w:tcW w:w="2204" w:type="dxa"/>
            <w:vAlign w:val="center"/>
          </w:tcPr>
          <w:p>
            <w:pPr>
              <w:jc w:val="center"/>
              <w:rPr>
                <w:sz w:val="24"/>
              </w:rPr>
            </w:pPr>
            <w:r>
              <w:rPr>
                <w:rFonts w:hint="eastAsia"/>
                <w:sz w:val="24"/>
              </w:rPr>
              <w:t>生活垃圾</w:t>
            </w:r>
          </w:p>
        </w:tc>
        <w:tc>
          <w:tcPr>
            <w:tcW w:w="1556" w:type="dxa"/>
            <w:vAlign w:val="center"/>
          </w:tcPr>
          <w:p>
            <w:pPr>
              <w:adjustRightInd w:val="0"/>
              <w:snapToGrid w:val="0"/>
              <w:jc w:val="center"/>
              <w:rPr>
                <w:bCs/>
                <w:sz w:val="24"/>
              </w:rPr>
            </w:pPr>
            <w:r>
              <w:rPr>
                <w:rFonts w:hint="eastAsia"/>
                <w:bCs/>
                <w:sz w:val="24"/>
              </w:rPr>
              <w:t>1.05t/a</w:t>
            </w:r>
          </w:p>
        </w:tc>
        <w:tc>
          <w:tcPr>
            <w:tcW w:w="1083" w:type="dxa"/>
            <w:vAlign w:val="center"/>
          </w:tcPr>
          <w:p>
            <w:pPr>
              <w:adjustRightInd w:val="0"/>
              <w:snapToGrid w:val="0"/>
              <w:jc w:val="center"/>
              <w:rPr>
                <w:bCs/>
                <w:sz w:val="24"/>
              </w:rPr>
            </w:pPr>
          </w:p>
        </w:tc>
        <w:tc>
          <w:tcPr>
            <w:tcW w:w="1483" w:type="dxa"/>
            <w:vAlign w:val="center"/>
          </w:tcPr>
          <w:p>
            <w:pPr>
              <w:adjustRightInd w:val="0"/>
              <w:snapToGrid w:val="0"/>
              <w:jc w:val="center"/>
              <w:rPr>
                <w:bCs/>
                <w:sz w:val="24"/>
              </w:rPr>
            </w:pPr>
          </w:p>
        </w:tc>
        <w:tc>
          <w:tcPr>
            <w:tcW w:w="1550" w:type="dxa"/>
            <w:vAlign w:val="center"/>
          </w:tcPr>
          <w:p>
            <w:pPr>
              <w:adjustRightInd w:val="0"/>
              <w:snapToGrid w:val="0"/>
              <w:jc w:val="center"/>
              <w:rPr>
                <w:bCs/>
                <w:sz w:val="24"/>
              </w:rPr>
            </w:pPr>
            <w:r>
              <w:rPr>
                <w:rFonts w:hint="eastAsia"/>
                <w:bCs/>
                <w:sz w:val="24"/>
              </w:rPr>
              <w:t>0</w:t>
            </w:r>
          </w:p>
        </w:tc>
        <w:tc>
          <w:tcPr>
            <w:tcW w:w="1667" w:type="dxa"/>
            <w:vAlign w:val="center"/>
          </w:tcPr>
          <w:p>
            <w:pPr>
              <w:adjustRightInd w:val="0"/>
              <w:snapToGrid w:val="0"/>
              <w:jc w:val="center"/>
              <w:rPr>
                <w:bCs/>
                <w:sz w:val="24"/>
              </w:rPr>
            </w:pPr>
            <w:r>
              <w:rPr>
                <w:rFonts w:hint="eastAsia"/>
                <w:bCs/>
                <w:sz w:val="24"/>
              </w:rPr>
              <w:t>0</w:t>
            </w:r>
          </w:p>
        </w:tc>
        <w:tc>
          <w:tcPr>
            <w:tcW w:w="1811" w:type="dxa"/>
            <w:vAlign w:val="center"/>
          </w:tcPr>
          <w:p>
            <w:pPr>
              <w:adjustRightInd w:val="0"/>
              <w:snapToGrid w:val="0"/>
              <w:jc w:val="center"/>
              <w:rPr>
                <w:bCs/>
                <w:sz w:val="24"/>
              </w:rPr>
            </w:pPr>
            <w:r>
              <w:rPr>
                <w:rFonts w:hint="eastAsia"/>
                <w:bCs/>
                <w:sz w:val="24"/>
              </w:rPr>
              <w:t>1.05t/a</w:t>
            </w:r>
          </w:p>
        </w:tc>
        <w:tc>
          <w:tcPr>
            <w:tcW w:w="1206" w:type="dxa"/>
            <w:vAlign w:val="center"/>
          </w:tcPr>
          <w:p>
            <w:pPr>
              <w:adjustRightInd w:val="0"/>
              <w:snapToGrid w:val="0"/>
              <w:jc w:val="center"/>
              <w:rPr>
                <w:bCs/>
                <w:sz w:val="24"/>
              </w:rPr>
            </w:pPr>
            <w:r>
              <w:rPr>
                <w:rFonts w:hint="eastAsia"/>
                <w:bCs/>
                <w:sz w:val="24"/>
              </w:rPr>
              <w:t>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228" w:type="dxa"/>
            <w:vMerge w:val="continue"/>
            <w:vAlign w:val="center"/>
          </w:tcPr>
          <w:p>
            <w:pPr>
              <w:pStyle w:val="26"/>
              <w:spacing w:beforeLines="0" w:line="240" w:lineRule="auto"/>
              <w:rPr>
                <w:rFonts w:hAnsi="宋体" w:cs="宋体"/>
                <w:snapToGrid w:val="0"/>
                <w:color w:val="auto"/>
                <w:kern w:val="21"/>
                <w:sz w:val="24"/>
                <w:szCs w:val="24"/>
              </w:rPr>
            </w:pPr>
          </w:p>
        </w:tc>
        <w:tc>
          <w:tcPr>
            <w:tcW w:w="2204" w:type="dxa"/>
            <w:vAlign w:val="center"/>
          </w:tcPr>
          <w:p>
            <w:pPr>
              <w:jc w:val="center"/>
              <w:rPr>
                <w:sz w:val="24"/>
              </w:rPr>
            </w:pPr>
            <w:r>
              <w:rPr>
                <w:rFonts w:hint="eastAsia"/>
                <w:sz w:val="24"/>
              </w:rPr>
              <w:t>锅炉炉渣</w:t>
            </w:r>
          </w:p>
        </w:tc>
        <w:tc>
          <w:tcPr>
            <w:tcW w:w="1556" w:type="dxa"/>
            <w:vAlign w:val="center"/>
          </w:tcPr>
          <w:p>
            <w:pPr>
              <w:adjustRightInd w:val="0"/>
              <w:snapToGrid w:val="0"/>
              <w:jc w:val="center"/>
              <w:rPr>
                <w:bCs/>
                <w:sz w:val="24"/>
              </w:rPr>
            </w:pPr>
            <w:r>
              <w:rPr>
                <w:rFonts w:hint="eastAsia"/>
                <w:bCs/>
                <w:sz w:val="24"/>
              </w:rPr>
              <w:t>22.6t/a</w:t>
            </w:r>
          </w:p>
        </w:tc>
        <w:tc>
          <w:tcPr>
            <w:tcW w:w="1083" w:type="dxa"/>
            <w:vAlign w:val="center"/>
          </w:tcPr>
          <w:p>
            <w:pPr>
              <w:adjustRightInd w:val="0"/>
              <w:snapToGrid w:val="0"/>
              <w:jc w:val="center"/>
              <w:rPr>
                <w:bCs/>
                <w:sz w:val="24"/>
              </w:rPr>
            </w:pPr>
          </w:p>
        </w:tc>
        <w:tc>
          <w:tcPr>
            <w:tcW w:w="1483" w:type="dxa"/>
            <w:vAlign w:val="center"/>
          </w:tcPr>
          <w:p>
            <w:pPr>
              <w:adjustRightInd w:val="0"/>
              <w:snapToGrid w:val="0"/>
              <w:jc w:val="center"/>
              <w:rPr>
                <w:bCs/>
                <w:sz w:val="24"/>
              </w:rPr>
            </w:pPr>
          </w:p>
        </w:tc>
        <w:tc>
          <w:tcPr>
            <w:tcW w:w="1550" w:type="dxa"/>
            <w:vAlign w:val="center"/>
          </w:tcPr>
          <w:p>
            <w:pPr>
              <w:adjustRightInd w:val="0"/>
              <w:snapToGrid w:val="0"/>
              <w:jc w:val="center"/>
              <w:rPr>
                <w:bCs/>
                <w:sz w:val="24"/>
              </w:rPr>
            </w:pPr>
            <w:r>
              <w:rPr>
                <w:rFonts w:hint="eastAsia"/>
                <w:bCs/>
                <w:sz w:val="24"/>
              </w:rPr>
              <w:t>19.48t/a</w:t>
            </w:r>
          </w:p>
        </w:tc>
        <w:tc>
          <w:tcPr>
            <w:tcW w:w="1667" w:type="dxa"/>
            <w:vAlign w:val="center"/>
          </w:tcPr>
          <w:p>
            <w:pPr>
              <w:adjustRightInd w:val="0"/>
              <w:snapToGrid w:val="0"/>
              <w:jc w:val="center"/>
              <w:rPr>
                <w:bCs/>
                <w:sz w:val="24"/>
              </w:rPr>
            </w:pPr>
            <w:r>
              <w:rPr>
                <w:rFonts w:hint="eastAsia"/>
                <w:bCs/>
                <w:sz w:val="24"/>
              </w:rPr>
              <w:t>22.6t/a</w:t>
            </w:r>
          </w:p>
        </w:tc>
        <w:tc>
          <w:tcPr>
            <w:tcW w:w="1811" w:type="dxa"/>
            <w:vAlign w:val="center"/>
          </w:tcPr>
          <w:p>
            <w:pPr>
              <w:adjustRightInd w:val="0"/>
              <w:snapToGrid w:val="0"/>
              <w:jc w:val="center"/>
              <w:rPr>
                <w:bCs/>
                <w:sz w:val="24"/>
              </w:rPr>
            </w:pPr>
            <w:r>
              <w:rPr>
                <w:rFonts w:hint="eastAsia"/>
                <w:bCs/>
                <w:sz w:val="24"/>
              </w:rPr>
              <w:t>19.48t/a</w:t>
            </w:r>
          </w:p>
        </w:tc>
        <w:tc>
          <w:tcPr>
            <w:tcW w:w="1206" w:type="dxa"/>
            <w:vAlign w:val="center"/>
          </w:tcPr>
          <w:p>
            <w:pPr>
              <w:adjustRightInd w:val="0"/>
              <w:snapToGrid w:val="0"/>
              <w:jc w:val="center"/>
              <w:rPr>
                <w:bCs/>
                <w:sz w:val="24"/>
              </w:rPr>
            </w:pPr>
            <w:r>
              <w:rPr>
                <w:rFonts w:hint="eastAsia"/>
                <w:bCs/>
                <w:sz w:val="24"/>
              </w:rPr>
              <w:t>-3.1t/a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28" w:type="dxa"/>
            <w:vMerge w:val="continue"/>
            <w:vAlign w:val="center"/>
          </w:tcPr>
          <w:p>
            <w:pPr>
              <w:pStyle w:val="26"/>
              <w:spacing w:beforeLines="0" w:line="240" w:lineRule="auto"/>
              <w:rPr>
                <w:rFonts w:hAnsi="宋体" w:cs="宋体"/>
                <w:snapToGrid w:val="0"/>
                <w:color w:val="auto"/>
                <w:kern w:val="21"/>
                <w:sz w:val="24"/>
                <w:szCs w:val="24"/>
              </w:rPr>
            </w:pPr>
          </w:p>
        </w:tc>
        <w:tc>
          <w:tcPr>
            <w:tcW w:w="2204" w:type="dxa"/>
            <w:vAlign w:val="center"/>
          </w:tcPr>
          <w:p>
            <w:pPr>
              <w:jc w:val="center"/>
              <w:rPr>
                <w:sz w:val="24"/>
              </w:rPr>
            </w:pPr>
            <w:r>
              <w:rPr>
                <w:sz w:val="24"/>
              </w:rPr>
              <w:t>生产过程产生的边角余料</w:t>
            </w:r>
          </w:p>
        </w:tc>
        <w:tc>
          <w:tcPr>
            <w:tcW w:w="1556" w:type="dxa"/>
            <w:vAlign w:val="center"/>
          </w:tcPr>
          <w:p>
            <w:pPr>
              <w:adjustRightInd w:val="0"/>
              <w:snapToGrid w:val="0"/>
              <w:jc w:val="center"/>
              <w:rPr>
                <w:bCs/>
                <w:sz w:val="24"/>
              </w:rPr>
            </w:pPr>
            <w:r>
              <w:rPr>
                <w:rFonts w:hint="eastAsia"/>
                <w:bCs/>
                <w:sz w:val="24"/>
              </w:rPr>
              <w:t>5.5t/a</w:t>
            </w:r>
          </w:p>
        </w:tc>
        <w:tc>
          <w:tcPr>
            <w:tcW w:w="1083" w:type="dxa"/>
            <w:vAlign w:val="center"/>
          </w:tcPr>
          <w:p>
            <w:pPr>
              <w:adjustRightInd w:val="0"/>
              <w:snapToGrid w:val="0"/>
              <w:jc w:val="center"/>
              <w:rPr>
                <w:bCs/>
                <w:sz w:val="24"/>
              </w:rPr>
            </w:pPr>
          </w:p>
        </w:tc>
        <w:tc>
          <w:tcPr>
            <w:tcW w:w="1483" w:type="dxa"/>
            <w:vAlign w:val="center"/>
          </w:tcPr>
          <w:p>
            <w:pPr>
              <w:adjustRightInd w:val="0"/>
              <w:snapToGrid w:val="0"/>
              <w:jc w:val="center"/>
              <w:rPr>
                <w:bCs/>
                <w:sz w:val="24"/>
              </w:rPr>
            </w:pPr>
          </w:p>
        </w:tc>
        <w:tc>
          <w:tcPr>
            <w:tcW w:w="1550" w:type="dxa"/>
            <w:vAlign w:val="center"/>
          </w:tcPr>
          <w:p>
            <w:pPr>
              <w:adjustRightInd w:val="0"/>
              <w:snapToGrid w:val="0"/>
              <w:jc w:val="center"/>
              <w:rPr>
                <w:bCs/>
                <w:sz w:val="24"/>
              </w:rPr>
            </w:pPr>
            <w:r>
              <w:rPr>
                <w:rFonts w:hint="eastAsia"/>
                <w:bCs/>
                <w:sz w:val="24"/>
              </w:rPr>
              <w:t>0</w:t>
            </w:r>
          </w:p>
        </w:tc>
        <w:tc>
          <w:tcPr>
            <w:tcW w:w="1667" w:type="dxa"/>
            <w:vAlign w:val="center"/>
          </w:tcPr>
          <w:p>
            <w:pPr>
              <w:adjustRightInd w:val="0"/>
              <w:snapToGrid w:val="0"/>
              <w:jc w:val="center"/>
              <w:rPr>
                <w:bCs/>
                <w:sz w:val="24"/>
              </w:rPr>
            </w:pPr>
            <w:r>
              <w:rPr>
                <w:rFonts w:hint="eastAsia"/>
                <w:bCs/>
                <w:sz w:val="24"/>
              </w:rPr>
              <w:t>0</w:t>
            </w:r>
          </w:p>
        </w:tc>
        <w:tc>
          <w:tcPr>
            <w:tcW w:w="1811" w:type="dxa"/>
            <w:vAlign w:val="center"/>
          </w:tcPr>
          <w:p>
            <w:pPr>
              <w:adjustRightInd w:val="0"/>
              <w:snapToGrid w:val="0"/>
              <w:jc w:val="center"/>
              <w:rPr>
                <w:bCs/>
                <w:sz w:val="24"/>
              </w:rPr>
            </w:pPr>
            <w:r>
              <w:rPr>
                <w:rFonts w:hint="eastAsia"/>
                <w:bCs/>
                <w:sz w:val="24"/>
              </w:rPr>
              <w:t>5.5t/a</w:t>
            </w:r>
          </w:p>
        </w:tc>
        <w:tc>
          <w:tcPr>
            <w:tcW w:w="1206" w:type="dxa"/>
            <w:vAlign w:val="center"/>
          </w:tcPr>
          <w:p>
            <w:pPr>
              <w:adjustRightInd w:val="0"/>
              <w:snapToGrid w:val="0"/>
              <w:jc w:val="center"/>
              <w:rPr>
                <w:bCs/>
                <w:sz w:val="24"/>
              </w:rPr>
            </w:pPr>
            <w:r>
              <w:rPr>
                <w:rFonts w:hint="eastAsia"/>
                <w:bCs/>
                <w:sz w:val="24"/>
              </w:rPr>
              <w:t>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228" w:type="dxa"/>
            <w:vMerge w:val="continue"/>
            <w:vAlign w:val="center"/>
          </w:tcPr>
          <w:p>
            <w:pPr>
              <w:pStyle w:val="26"/>
              <w:spacing w:beforeLines="0" w:line="240" w:lineRule="auto"/>
              <w:rPr>
                <w:rFonts w:hAnsi="宋体" w:cs="宋体"/>
                <w:snapToGrid w:val="0"/>
                <w:color w:val="auto"/>
                <w:kern w:val="21"/>
                <w:sz w:val="24"/>
                <w:szCs w:val="24"/>
              </w:rPr>
            </w:pPr>
          </w:p>
        </w:tc>
        <w:tc>
          <w:tcPr>
            <w:tcW w:w="2204" w:type="dxa"/>
            <w:vAlign w:val="center"/>
          </w:tcPr>
          <w:p>
            <w:pPr>
              <w:pStyle w:val="26"/>
              <w:spacing w:beforeLines="0" w:line="240" w:lineRule="auto"/>
              <w:rPr>
                <w:rFonts w:hAnsi="宋体" w:eastAsia="宋体" w:cs="宋体"/>
                <w:snapToGrid w:val="0"/>
                <w:color w:val="auto"/>
                <w:kern w:val="21"/>
                <w:sz w:val="24"/>
                <w:szCs w:val="21"/>
              </w:rPr>
            </w:pPr>
            <w:r>
              <w:rPr>
                <w:rFonts w:hAnsi="宋体" w:eastAsia="宋体" w:cs="宋体"/>
                <w:snapToGrid w:val="0"/>
                <w:color w:val="auto"/>
                <w:kern w:val="21"/>
                <w:sz w:val="24"/>
                <w:szCs w:val="21"/>
              </w:rPr>
              <w:t>除尘器收集的粉尘</w:t>
            </w:r>
          </w:p>
        </w:tc>
        <w:tc>
          <w:tcPr>
            <w:tcW w:w="1556" w:type="dxa"/>
            <w:vAlign w:val="center"/>
          </w:tcPr>
          <w:p>
            <w:pPr>
              <w:adjustRightInd w:val="0"/>
              <w:snapToGrid w:val="0"/>
              <w:jc w:val="center"/>
              <w:rPr>
                <w:bCs/>
                <w:sz w:val="24"/>
              </w:rPr>
            </w:pPr>
            <w:r>
              <w:rPr>
                <w:rFonts w:hint="eastAsia"/>
                <w:bCs/>
                <w:sz w:val="24"/>
              </w:rPr>
              <w:t>2.1t/a</w:t>
            </w:r>
          </w:p>
        </w:tc>
        <w:tc>
          <w:tcPr>
            <w:tcW w:w="1083" w:type="dxa"/>
            <w:vAlign w:val="center"/>
          </w:tcPr>
          <w:p>
            <w:pPr>
              <w:adjustRightInd w:val="0"/>
              <w:snapToGrid w:val="0"/>
              <w:jc w:val="center"/>
              <w:rPr>
                <w:bCs/>
                <w:sz w:val="24"/>
              </w:rPr>
            </w:pPr>
          </w:p>
        </w:tc>
        <w:tc>
          <w:tcPr>
            <w:tcW w:w="1483" w:type="dxa"/>
            <w:vAlign w:val="center"/>
          </w:tcPr>
          <w:p>
            <w:pPr>
              <w:adjustRightInd w:val="0"/>
              <w:snapToGrid w:val="0"/>
              <w:jc w:val="center"/>
              <w:rPr>
                <w:bCs/>
                <w:sz w:val="24"/>
              </w:rPr>
            </w:pPr>
          </w:p>
        </w:tc>
        <w:tc>
          <w:tcPr>
            <w:tcW w:w="1550" w:type="dxa"/>
            <w:vAlign w:val="center"/>
          </w:tcPr>
          <w:p>
            <w:pPr>
              <w:adjustRightInd w:val="0"/>
              <w:snapToGrid w:val="0"/>
              <w:jc w:val="center"/>
              <w:rPr>
                <w:bCs/>
                <w:sz w:val="24"/>
              </w:rPr>
            </w:pPr>
            <w:r>
              <w:rPr>
                <w:rFonts w:hint="eastAsia"/>
                <w:bCs/>
                <w:sz w:val="24"/>
              </w:rPr>
              <w:t>2.194t/a</w:t>
            </w:r>
          </w:p>
        </w:tc>
        <w:tc>
          <w:tcPr>
            <w:tcW w:w="1667" w:type="dxa"/>
            <w:vAlign w:val="center"/>
          </w:tcPr>
          <w:p>
            <w:pPr>
              <w:adjustRightInd w:val="0"/>
              <w:snapToGrid w:val="0"/>
              <w:jc w:val="center"/>
              <w:rPr>
                <w:bCs/>
                <w:sz w:val="24"/>
              </w:rPr>
            </w:pPr>
            <w:r>
              <w:rPr>
                <w:rFonts w:hint="eastAsia"/>
                <w:bCs/>
                <w:sz w:val="24"/>
              </w:rPr>
              <w:t>2.1t/a</w:t>
            </w:r>
          </w:p>
        </w:tc>
        <w:tc>
          <w:tcPr>
            <w:tcW w:w="1811" w:type="dxa"/>
            <w:vAlign w:val="center"/>
          </w:tcPr>
          <w:p>
            <w:pPr>
              <w:adjustRightInd w:val="0"/>
              <w:snapToGrid w:val="0"/>
              <w:jc w:val="center"/>
              <w:rPr>
                <w:bCs/>
                <w:sz w:val="24"/>
              </w:rPr>
            </w:pPr>
            <w:r>
              <w:rPr>
                <w:rFonts w:hint="eastAsia"/>
                <w:bCs/>
                <w:sz w:val="24"/>
              </w:rPr>
              <w:t>2.194t/a</w:t>
            </w:r>
          </w:p>
        </w:tc>
        <w:tc>
          <w:tcPr>
            <w:tcW w:w="1206" w:type="dxa"/>
            <w:vAlign w:val="center"/>
          </w:tcPr>
          <w:p>
            <w:pPr>
              <w:adjustRightInd w:val="0"/>
              <w:snapToGrid w:val="0"/>
              <w:jc w:val="center"/>
              <w:rPr>
                <w:bCs/>
                <w:sz w:val="24"/>
              </w:rPr>
            </w:pPr>
            <w:r>
              <w:rPr>
                <w:rFonts w:hint="eastAsia"/>
                <w:bCs/>
                <w:sz w:val="24"/>
              </w:rPr>
              <w:t>+0.094t/a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228" w:type="dxa"/>
            <w:vMerge w:val="continue"/>
            <w:vAlign w:val="center"/>
          </w:tcPr>
          <w:p>
            <w:pPr>
              <w:pStyle w:val="26"/>
              <w:spacing w:beforeLines="0" w:line="240" w:lineRule="auto"/>
              <w:rPr>
                <w:rFonts w:hAnsi="宋体" w:cs="宋体"/>
                <w:snapToGrid w:val="0"/>
                <w:color w:val="auto"/>
                <w:kern w:val="21"/>
                <w:sz w:val="24"/>
                <w:szCs w:val="24"/>
              </w:rPr>
            </w:pPr>
          </w:p>
        </w:tc>
        <w:tc>
          <w:tcPr>
            <w:tcW w:w="2204" w:type="dxa"/>
            <w:vAlign w:val="center"/>
          </w:tcPr>
          <w:p>
            <w:pPr>
              <w:pStyle w:val="26"/>
              <w:spacing w:beforeLines="0" w:line="240" w:lineRule="auto"/>
              <w:rPr>
                <w:rFonts w:hAnsi="宋体" w:eastAsia="宋体" w:cs="宋体"/>
                <w:snapToGrid w:val="0"/>
                <w:color w:val="auto"/>
                <w:kern w:val="21"/>
                <w:sz w:val="24"/>
                <w:szCs w:val="21"/>
              </w:rPr>
            </w:pPr>
            <w:r>
              <w:rPr>
                <w:rFonts w:hint="eastAsia" w:hAnsi="宋体" w:eastAsia="宋体" w:cs="宋体"/>
                <w:snapToGrid w:val="0"/>
                <w:color w:val="auto"/>
                <w:kern w:val="21"/>
                <w:sz w:val="24"/>
                <w:szCs w:val="21"/>
              </w:rPr>
              <w:t>废离子交换树脂</w:t>
            </w:r>
          </w:p>
        </w:tc>
        <w:tc>
          <w:tcPr>
            <w:tcW w:w="1556" w:type="dxa"/>
            <w:vAlign w:val="center"/>
          </w:tcPr>
          <w:p>
            <w:pPr>
              <w:adjustRightInd w:val="0"/>
              <w:snapToGrid w:val="0"/>
              <w:jc w:val="center"/>
              <w:rPr>
                <w:bCs/>
                <w:sz w:val="24"/>
              </w:rPr>
            </w:pPr>
            <w:r>
              <w:rPr>
                <w:rFonts w:hint="eastAsia"/>
                <w:bCs/>
                <w:sz w:val="24"/>
              </w:rPr>
              <w:t>0</w:t>
            </w:r>
          </w:p>
        </w:tc>
        <w:tc>
          <w:tcPr>
            <w:tcW w:w="1083" w:type="dxa"/>
            <w:vAlign w:val="center"/>
          </w:tcPr>
          <w:p>
            <w:pPr>
              <w:adjustRightInd w:val="0"/>
              <w:snapToGrid w:val="0"/>
              <w:jc w:val="center"/>
              <w:rPr>
                <w:bCs/>
                <w:sz w:val="24"/>
              </w:rPr>
            </w:pPr>
          </w:p>
        </w:tc>
        <w:tc>
          <w:tcPr>
            <w:tcW w:w="1483" w:type="dxa"/>
            <w:vAlign w:val="center"/>
          </w:tcPr>
          <w:p>
            <w:pPr>
              <w:adjustRightInd w:val="0"/>
              <w:snapToGrid w:val="0"/>
              <w:jc w:val="center"/>
              <w:rPr>
                <w:bCs/>
                <w:sz w:val="24"/>
              </w:rPr>
            </w:pPr>
          </w:p>
        </w:tc>
        <w:tc>
          <w:tcPr>
            <w:tcW w:w="1550" w:type="dxa"/>
            <w:vAlign w:val="center"/>
          </w:tcPr>
          <w:p>
            <w:pPr>
              <w:adjustRightInd w:val="0"/>
              <w:snapToGrid w:val="0"/>
              <w:jc w:val="center"/>
              <w:rPr>
                <w:bCs/>
                <w:sz w:val="24"/>
              </w:rPr>
            </w:pPr>
            <w:r>
              <w:rPr>
                <w:rFonts w:hint="eastAsia"/>
                <w:bCs/>
                <w:sz w:val="24"/>
              </w:rPr>
              <w:t>0.2t/a</w:t>
            </w:r>
          </w:p>
        </w:tc>
        <w:tc>
          <w:tcPr>
            <w:tcW w:w="1667" w:type="dxa"/>
            <w:vAlign w:val="center"/>
          </w:tcPr>
          <w:p>
            <w:pPr>
              <w:adjustRightInd w:val="0"/>
              <w:snapToGrid w:val="0"/>
              <w:jc w:val="center"/>
              <w:rPr>
                <w:bCs/>
                <w:sz w:val="24"/>
              </w:rPr>
            </w:pPr>
            <w:r>
              <w:rPr>
                <w:rFonts w:hint="eastAsia"/>
                <w:bCs/>
                <w:sz w:val="24"/>
              </w:rPr>
              <w:t>0</w:t>
            </w:r>
          </w:p>
        </w:tc>
        <w:tc>
          <w:tcPr>
            <w:tcW w:w="1811" w:type="dxa"/>
            <w:vAlign w:val="center"/>
          </w:tcPr>
          <w:p>
            <w:pPr>
              <w:adjustRightInd w:val="0"/>
              <w:snapToGrid w:val="0"/>
              <w:jc w:val="center"/>
              <w:rPr>
                <w:bCs/>
                <w:sz w:val="24"/>
              </w:rPr>
            </w:pPr>
            <w:r>
              <w:rPr>
                <w:rFonts w:hint="eastAsia"/>
                <w:bCs/>
                <w:sz w:val="24"/>
              </w:rPr>
              <w:t>0.2t/a</w:t>
            </w:r>
          </w:p>
        </w:tc>
        <w:tc>
          <w:tcPr>
            <w:tcW w:w="1206" w:type="dxa"/>
            <w:vAlign w:val="center"/>
          </w:tcPr>
          <w:p>
            <w:pPr>
              <w:adjustRightInd w:val="0"/>
              <w:snapToGrid w:val="0"/>
              <w:jc w:val="center"/>
              <w:rPr>
                <w:bCs/>
                <w:sz w:val="24"/>
              </w:rPr>
            </w:pPr>
            <w:r>
              <w:rPr>
                <w:rFonts w:hint="eastAsia"/>
                <w:bCs/>
                <w:sz w:val="24"/>
              </w:rPr>
              <w:t>+0.2t/a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228" w:type="dxa"/>
            <w:vMerge w:val="continue"/>
            <w:vAlign w:val="center"/>
          </w:tcPr>
          <w:p>
            <w:pPr>
              <w:pStyle w:val="26"/>
              <w:spacing w:beforeLines="0" w:line="240" w:lineRule="auto"/>
              <w:rPr>
                <w:rFonts w:hAnsi="宋体" w:cs="宋体"/>
                <w:snapToGrid w:val="0"/>
                <w:color w:val="auto"/>
                <w:kern w:val="21"/>
                <w:sz w:val="24"/>
                <w:szCs w:val="24"/>
              </w:rPr>
            </w:pPr>
          </w:p>
        </w:tc>
        <w:tc>
          <w:tcPr>
            <w:tcW w:w="2204" w:type="dxa"/>
            <w:vAlign w:val="center"/>
          </w:tcPr>
          <w:p>
            <w:pPr>
              <w:pStyle w:val="26"/>
              <w:spacing w:beforeLines="0" w:line="240" w:lineRule="auto"/>
              <w:rPr>
                <w:rFonts w:hAnsi="宋体" w:eastAsia="宋体" w:cs="宋体"/>
                <w:snapToGrid w:val="0"/>
                <w:color w:val="auto"/>
                <w:kern w:val="21"/>
                <w:sz w:val="24"/>
                <w:szCs w:val="21"/>
              </w:rPr>
            </w:pPr>
            <w:r>
              <w:rPr>
                <w:rFonts w:hint="eastAsia" w:hAnsi="宋体" w:eastAsia="宋体" w:cs="宋体"/>
                <w:snapToGrid w:val="0"/>
                <w:color w:val="auto"/>
                <w:kern w:val="21"/>
                <w:sz w:val="24"/>
                <w:szCs w:val="21"/>
              </w:rPr>
              <w:t>废布袋</w:t>
            </w:r>
          </w:p>
        </w:tc>
        <w:tc>
          <w:tcPr>
            <w:tcW w:w="1556" w:type="dxa"/>
            <w:vAlign w:val="center"/>
          </w:tcPr>
          <w:p>
            <w:pPr>
              <w:adjustRightInd w:val="0"/>
              <w:snapToGrid w:val="0"/>
              <w:jc w:val="center"/>
              <w:rPr>
                <w:bCs/>
                <w:sz w:val="24"/>
              </w:rPr>
            </w:pPr>
            <w:r>
              <w:rPr>
                <w:rFonts w:hint="eastAsia"/>
                <w:bCs/>
                <w:sz w:val="24"/>
              </w:rPr>
              <w:t>0.1t/a</w:t>
            </w:r>
          </w:p>
        </w:tc>
        <w:tc>
          <w:tcPr>
            <w:tcW w:w="1083" w:type="dxa"/>
            <w:vAlign w:val="center"/>
          </w:tcPr>
          <w:p>
            <w:pPr>
              <w:adjustRightInd w:val="0"/>
              <w:snapToGrid w:val="0"/>
              <w:jc w:val="center"/>
              <w:rPr>
                <w:bCs/>
                <w:sz w:val="24"/>
              </w:rPr>
            </w:pPr>
          </w:p>
        </w:tc>
        <w:tc>
          <w:tcPr>
            <w:tcW w:w="1483" w:type="dxa"/>
            <w:vAlign w:val="center"/>
          </w:tcPr>
          <w:p>
            <w:pPr>
              <w:adjustRightInd w:val="0"/>
              <w:snapToGrid w:val="0"/>
              <w:jc w:val="center"/>
              <w:rPr>
                <w:bCs/>
                <w:sz w:val="24"/>
              </w:rPr>
            </w:pPr>
          </w:p>
        </w:tc>
        <w:tc>
          <w:tcPr>
            <w:tcW w:w="1550" w:type="dxa"/>
            <w:vAlign w:val="center"/>
          </w:tcPr>
          <w:p>
            <w:pPr>
              <w:adjustRightInd w:val="0"/>
              <w:snapToGrid w:val="0"/>
              <w:jc w:val="center"/>
              <w:rPr>
                <w:bCs/>
                <w:sz w:val="24"/>
              </w:rPr>
            </w:pPr>
            <w:r>
              <w:rPr>
                <w:rFonts w:hint="eastAsia"/>
                <w:bCs/>
                <w:sz w:val="24"/>
              </w:rPr>
              <w:t>0.1t/a</w:t>
            </w:r>
          </w:p>
        </w:tc>
        <w:tc>
          <w:tcPr>
            <w:tcW w:w="1667" w:type="dxa"/>
            <w:vAlign w:val="center"/>
          </w:tcPr>
          <w:p>
            <w:pPr>
              <w:adjustRightInd w:val="0"/>
              <w:snapToGrid w:val="0"/>
              <w:jc w:val="center"/>
              <w:rPr>
                <w:bCs/>
                <w:sz w:val="24"/>
              </w:rPr>
            </w:pPr>
            <w:r>
              <w:rPr>
                <w:rFonts w:hint="eastAsia"/>
                <w:bCs/>
                <w:sz w:val="24"/>
              </w:rPr>
              <w:t>0.1t/a</w:t>
            </w:r>
          </w:p>
        </w:tc>
        <w:tc>
          <w:tcPr>
            <w:tcW w:w="1811" w:type="dxa"/>
            <w:vAlign w:val="center"/>
          </w:tcPr>
          <w:p>
            <w:pPr>
              <w:adjustRightInd w:val="0"/>
              <w:snapToGrid w:val="0"/>
              <w:jc w:val="center"/>
              <w:rPr>
                <w:bCs/>
                <w:sz w:val="24"/>
              </w:rPr>
            </w:pPr>
            <w:r>
              <w:rPr>
                <w:rFonts w:hint="eastAsia"/>
                <w:bCs/>
                <w:sz w:val="24"/>
              </w:rPr>
              <w:t>0.1t/a</w:t>
            </w:r>
          </w:p>
        </w:tc>
        <w:tc>
          <w:tcPr>
            <w:tcW w:w="1206" w:type="dxa"/>
            <w:vAlign w:val="center"/>
          </w:tcPr>
          <w:p>
            <w:pPr>
              <w:adjustRightInd w:val="0"/>
              <w:snapToGrid w:val="0"/>
              <w:jc w:val="center"/>
              <w:rPr>
                <w:bCs/>
                <w:sz w:val="24"/>
              </w:rPr>
            </w:pPr>
            <w:r>
              <w:rPr>
                <w:rFonts w:hint="eastAsia"/>
                <w:bCs/>
                <w:sz w:val="24"/>
              </w:rPr>
              <w:t>0</w:t>
            </w:r>
          </w:p>
        </w:tc>
      </w:tr>
    </w:tbl>
    <w:p>
      <w:pPr>
        <w:pStyle w:val="26"/>
        <w:spacing w:beforeLines="30" w:line="240" w:lineRule="auto"/>
        <w:jc w:val="left"/>
        <w:rPr>
          <w:rFonts w:eastAsia="宋体"/>
          <w:color w:val="auto"/>
        </w:rPr>
      </w:pPr>
      <w:r>
        <w:rPr>
          <w:rFonts w:hAnsi="宋体"/>
          <w:snapToGrid w:val="0"/>
          <w:color w:val="auto"/>
          <w:kern w:val="21"/>
          <w:szCs w:val="21"/>
        </w:rPr>
        <w:t>注：</w:t>
      </w:r>
      <w:r>
        <w:rPr>
          <w:rFonts w:hAnsi="宋体"/>
          <w:snapToGrid w:val="0"/>
          <w:color w:val="auto"/>
          <w:spacing w:val="-16"/>
          <w:kern w:val="21"/>
          <w:szCs w:val="21"/>
        </w:rPr>
        <w:fldChar w:fldCharType="begin"/>
      </w:r>
      <w:r>
        <w:rPr>
          <w:rFonts w:hAnsi="宋体"/>
          <w:snapToGrid w:val="0"/>
          <w:color w:val="auto"/>
          <w:spacing w:val="-16"/>
          <w:kern w:val="21"/>
          <w:szCs w:val="21"/>
        </w:rPr>
        <w:instrText xml:space="preserve"> = 6 \* GB3 \* MERGEFORMAT </w:instrText>
      </w:r>
      <w:r>
        <w:rPr>
          <w:rFonts w:hAnsi="宋体"/>
          <w:snapToGrid w:val="0"/>
          <w:color w:val="auto"/>
          <w:spacing w:val="-16"/>
          <w:kern w:val="21"/>
          <w:szCs w:val="21"/>
        </w:rPr>
        <w:fldChar w:fldCharType="separate"/>
      </w:r>
      <w:r>
        <w:rPr>
          <w:rFonts w:hint="eastAsia" w:hAnsi="宋体"/>
          <w:color w:val="auto"/>
          <w:szCs w:val="21"/>
        </w:rPr>
        <w:t>⑥</w:t>
      </w:r>
      <w:r>
        <w:rPr>
          <w:rFonts w:hAnsi="宋体"/>
          <w:snapToGrid w:val="0"/>
          <w:color w:val="auto"/>
          <w:spacing w:val="-16"/>
          <w:kern w:val="21"/>
          <w:szCs w:val="21"/>
        </w:rPr>
        <w:fldChar w:fldCharType="end"/>
      </w:r>
      <w:r>
        <w:rPr>
          <w:rFonts w:hAnsi="宋体"/>
          <w:snapToGrid w:val="0"/>
          <w:color w:val="auto"/>
          <w:spacing w:val="-16"/>
          <w:kern w:val="21"/>
          <w:szCs w:val="21"/>
        </w:rPr>
        <w:t>=</w:t>
      </w:r>
      <w:r>
        <w:rPr>
          <w:rFonts w:hAnsi="宋体"/>
          <w:snapToGrid w:val="0"/>
          <w:color w:val="auto"/>
          <w:spacing w:val="-6"/>
          <w:kern w:val="21"/>
          <w:szCs w:val="21"/>
        </w:rPr>
        <w:fldChar w:fldCharType="begin"/>
      </w:r>
      <w:r>
        <w:rPr>
          <w:rFonts w:hAnsi="宋体"/>
          <w:snapToGrid w:val="0"/>
          <w:color w:val="auto"/>
          <w:spacing w:val="-6"/>
          <w:kern w:val="21"/>
          <w:szCs w:val="21"/>
        </w:rPr>
        <w:instrText xml:space="preserve"> = 1 \* GB3 \* MERGEFORMAT </w:instrText>
      </w:r>
      <w:r>
        <w:rPr>
          <w:rFonts w:hAnsi="宋体"/>
          <w:snapToGrid w:val="0"/>
          <w:color w:val="auto"/>
          <w:spacing w:val="-6"/>
          <w:kern w:val="21"/>
          <w:szCs w:val="21"/>
        </w:rPr>
        <w:fldChar w:fldCharType="separate"/>
      </w:r>
      <w:r>
        <w:rPr>
          <w:rFonts w:hint="eastAsia" w:hAnsi="宋体"/>
          <w:color w:val="auto"/>
          <w:szCs w:val="21"/>
        </w:rPr>
        <w:t>①</w:t>
      </w:r>
      <w:r>
        <w:rPr>
          <w:rFonts w:hAnsi="宋体"/>
          <w:snapToGrid w:val="0"/>
          <w:color w:val="auto"/>
          <w:spacing w:val="-6"/>
          <w:kern w:val="21"/>
          <w:szCs w:val="21"/>
        </w:rPr>
        <w:fldChar w:fldCharType="end"/>
      </w:r>
      <w:r>
        <w:rPr>
          <w:rFonts w:hAnsi="宋体"/>
          <w:snapToGrid w:val="0"/>
          <w:color w:val="auto"/>
          <w:spacing w:val="-6"/>
          <w:kern w:val="21"/>
          <w:szCs w:val="21"/>
        </w:rPr>
        <w:t>+</w:t>
      </w:r>
      <w:r>
        <w:rPr>
          <w:rFonts w:hAnsi="宋体"/>
          <w:snapToGrid w:val="0"/>
          <w:color w:val="auto"/>
          <w:spacing w:val="-6"/>
          <w:kern w:val="21"/>
          <w:szCs w:val="21"/>
        </w:rPr>
        <w:fldChar w:fldCharType="begin"/>
      </w:r>
      <w:r>
        <w:rPr>
          <w:rFonts w:hAnsi="宋体"/>
          <w:snapToGrid w:val="0"/>
          <w:color w:val="auto"/>
          <w:spacing w:val="-6"/>
          <w:kern w:val="21"/>
          <w:szCs w:val="21"/>
        </w:rPr>
        <w:instrText xml:space="preserve"> = 3 \* GB3 \* MERGEFORMAT </w:instrText>
      </w:r>
      <w:r>
        <w:rPr>
          <w:rFonts w:hAnsi="宋体"/>
          <w:snapToGrid w:val="0"/>
          <w:color w:val="auto"/>
          <w:spacing w:val="-6"/>
          <w:kern w:val="21"/>
          <w:szCs w:val="21"/>
        </w:rPr>
        <w:fldChar w:fldCharType="separate"/>
      </w:r>
      <w:r>
        <w:rPr>
          <w:rFonts w:hint="eastAsia" w:hAnsi="宋体"/>
          <w:color w:val="auto"/>
          <w:szCs w:val="21"/>
        </w:rPr>
        <w:t>③</w:t>
      </w:r>
      <w:r>
        <w:rPr>
          <w:rFonts w:hAnsi="宋体"/>
          <w:snapToGrid w:val="0"/>
          <w:color w:val="auto"/>
          <w:spacing w:val="-6"/>
          <w:kern w:val="21"/>
          <w:szCs w:val="21"/>
        </w:rPr>
        <w:fldChar w:fldCharType="end"/>
      </w:r>
      <w:r>
        <w:rPr>
          <w:rFonts w:hAnsi="宋体"/>
          <w:snapToGrid w:val="0"/>
          <w:color w:val="auto"/>
          <w:spacing w:val="-6"/>
          <w:kern w:val="21"/>
          <w:szCs w:val="21"/>
        </w:rPr>
        <w:t>+</w:t>
      </w:r>
      <w:r>
        <w:rPr>
          <w:rFonts w:hAnsi="宋体"/>
          <w:snapToGrid w:val="0"/>
          <w:color w:val="auto"/>
          <w:spacing w:val="-6"/>
          <w:kern w:val="21"/>
          <w:szCs w:val="21"/>
        </w:rPr>
        <w:fldChar w:fldCharType="begin"/>
      </w:r>
      <w:r>
        <w:rPr>
          <w:rFonts w:hAnsi="宋体"/>
          <w:snapToGrid w:val="0"/>
          <w:color w:val="auto"/>
          <w:spacing w:val="-6"/>
          <w:kern w:val="21"/>
          <w:szCs w:val="21"/>
        </w:rPr>
        <w:instrText xml:space="preserve"> = 4 \* GB3 \* MERGEFORMAT </w:instrText>
      </w:r>
      <w:r>
        <w:rPr>
          <w:rFonts w:hAnsi="宋体"/>
          <w:snapToGrid w:val="0"/>
          <w:color w:val="auto"/>
          <w:spacing w:val="-6"/>
          <w:kern w:val="21"/>
          <w:szCs w:val="21"/>
        </w:rPr>
        <w:fldChar w:fldCharType="separate"/>
      </w:r>
      <w:r>
        <w:rPr>
          <w:rFonts w:hint="eastAsia" w:hAnsi="宋体"/>
          <w:color w:val="auto"/>
          <w:szCs w:val="21"/>
        </w:rPr>
        <w:t>④</w:t>
      </w:r>
      <w:r>
        <w:rPr>
          <w:rFonts w:hAnsi="宋体"/>
          <w:snapToGrid w:val="0"/>
          <w:color w:val="auto"/>
          <w:spacing w:val="-6"/>
          <w:kern w:val="21"/>
          <w:szCs w:val="21"/>
        </w:rPr>
        <w:fldChar w:fldCharType="end"/>
      </w:r>
      <w:r>
        <w:rPr>
          <w:rFonts w:hAnsi="宋体"/>
          <w:snapToGrid w:val="0"/>
          <w:color w:val="auto"/>
          <w:spacing w:val="-6"/>
          <w:kern w:val="21"/>
          <w:szCs w:val="21"/>
        </w:rPr>
        <w:t>-</w:t>
      </w:r>
      <w:r>
        <w:rPr>
          <w:rFonts w:hAnsi="宋体"/>
          <w:snapToGrid w:val="0"/>
          <w:color w:val="auto"/>
          <w:spacing w:val="-16"/>
          <w:kern w:val="21"/>
          <w:szCs w:val="21"/>
        </w:rPr>
        <w:fldChar w:fldCharType="begin"/>
      </w:r>
      <w:r>
        <w:rPr>
          <w:rFonts w:hAnsi="宋体"/>
          <w:snapToGrid w:val="0"/>
          <w:color w:val="auto"/>
          <w:spacing w:val="-16"/>
          <w:kern w:val="21"/>
          <w:szCs w:val="21"/>
        </w:rPr>
        <w:instrText xml:space="preserve"> = 5 \* GB3 \* MERGEFORMAT </w:instrText>
      </w:r>
      <w:r>
        <w:rPr>
          <w:rFonts w:hAnsi="宋体"/>
          <w:snapToGrid w:val="0"/>
          <w:color w:val="auto"/>
          <w:spacing w:val="-16"/>
          <w:kern w:val="21"/>
          <w:szCs w:val="21"/>
        </w:rPr>
        <w:fldChar w:fldCharType="separate"/>
      </w:r>
      <w:r>
        <w:rPr>
          <w:rFonts w:hint="eastAsia" w:hAnsi="宋体"/>
          <w:color w:val="auto"/>
          <w:szCs w:val="21"/>
        </w:rPr>
        <w:t>⑤</w:t>
      </w:r>
      <w:r>
        <w:rPr>
          <w:rFonts w:hAnsi="宋体"/>
          <w:snapToGrid w:val="0"/>
          <w:color w:val="auto"/>
          <w:spacing w:val="-16"/>
          <w:kern w:val="21"/>
          <w:szCs w:val="21"/>
        </w:rPr>
        <w:fldChar w:fldCharType="end"/>
      </w:r>
      <w:r>
        <w:rPr>
          <w:rFonts w:hAnsi="宋体"/>
          <w:snapToGrid w:val="0"/>
          <w:color w:val="auto"/>
          <w:spacing w:val="-16"/>
          <w:kern w:val="21"/>
          <w:szCs w:val="21"/>
        </w:rPr>
        <w:t>；</w:t>
      </w:r>
      <w:r>
        <w:rPr>
          <w:rFonts w:hAnsi="宋体"/>
          <w:snapToGrid w:val="0"/>
          <w:color w:val="auto"/>
          <w:spacing w:val="-6"/>
          <w:kern w:val="21"/>
          <w:szCs w:val="21"/>
        </w:rPr>
        <w:fldChar w:fldCharType="begin"/>
      </w:r>
      <w:r>
        <w:rPr>
          <w:rFonts w:hAnsi="宋体"/>
          <w:snapToGrid w:val="0"/>
          <w:color w:val="auto"/>
          <w:spacing w:val="-6"/>
          <w:kern w:val="21"/>
          <w:szCs w:val="21"/>
        </w:rPr>
        <w:instrText xml:space="preserve"> = 7 \* GB3 \* MERGEFORMAT </w:instrText>
      </w:r>
      <w:r>
        <w:rPr>
          <w:rFonts w:hAnsi="宋体"/>
          <w:snapToGrid w:val="0"/>
          <w:color w:val="auto"/>
          <w:spacing w:val="-6"/>
          <w:kern w:val="21"/>
          <w:szCs w:val="21"/>
        </w:rPr>
        <w:fldChar w:fldCharType="separate"/>
      </w:r>
      <w:r>
        <w:rPr>
          <w:rFonts w:hint="eastAsia" w:hAnsi="宋体"/>
          <w:color w:val="auto"/>
          <w:szCs w:val="21"/>
        </w:rPr>
        <w:t>⑦</w:t>
      </w:r>
      <w:r>
        <w:rPr>
          <w:rFonts w:hAnsi="宋体"/>
          <w:snapToGrid w:val="0"/>
          <w:color w:val="auto"/>
          <w:spacing w:val="-6"/>
          <w:kern w:val="21"/>
          <w:szCs w:val="21"/>
        </w:rPr>
        <w:fldChar w:fldCharType="end"/>
      </w:r>
      <w:r>
        <w:rPr>
          <w:rFonts w:hAnsi="宋体"/>
          <w:snapToGrid w:val="0"/>
          <w:color w:val="auto"/>
          <w:spacing w:val="-6"/>
          <w:kern w:val="21"/>
          <w:szCs w:val="21"/>
        </w:rPr>
        <w:t>=</w:t>
      </w:r>
      <w:r>
        <w:rPr>
          <w:rFonts w:hAnsi="宋体"/>
          <w:snapToGrid w:val="0"/>
          <w:color w:val="auto"/>
          <w:spacing w:val="-16"/>
          <w:kern w:val="21"/>
          <w:szCs w:val="21"/>
        </w:rPr>
        <w:fldChar w:fldCharType="begin"/>
      </w:r>
      <w:r>
        <w:rPr>
          <w:rFonts w:hAnsi="宋体"/>
          <w:snapToGrid w:val="0"/>
          <w:color w:val="auto"/>
          <w:spacing w:val="-16"/>
          <w:kern w:val="21"/>
          <w:szCs w:val="21"/>
        </w:rPr>
        <w:instrText xml:space="preserve"> = 6 \* GB3 \* MERGEFORMAT </w:instrText>
      </w:r>
      <w:r>
        <w:rPr>
          <w:rFonts w:hAnsi="宋体"/>
          <w:snapToGrid w:val="0"/>
          <w:color w:val="auto"/>
          <w:spacing w:val="-16"/>
          <w:kern w:val="21"/>
          <w:szCs w:val="21"/>
        </w:rPr>
        <w:fldChar w:fldCharType="separate"/>
      </w:r>
      <w:r>
        <w:rPr>
          <w:rFonts w:hint="eastAsia" w:hAnsi="宋体"/>
          <w:color w:val="auto"/>
          <w:szCs w:val="21"/>
        </w:rPr>
        <w:t>⑥</w:t>
      </w:r>
      <w:r>
        <w:rPr>
          <w:rFonts w:hAnsi="宋体"/>
          <w:snapToGrid w:val="0"/>
          <w:color w:val="auto"/>
          <w:spacing w:val="-16"/>
          <w:kern w:val="21"/>
          <w:szCs w:val="21"/>
        </w:rPr>
        <w:fldChar w:fldCharType="end"/>
      </w:r>
      <w:r>
        <w:rPr>
          <w:rFonts w:hAnsi="宋体"/>
          <w:snapToGrid w:val="0"/>
          <w:color w:val="auto"/>
          <w:spacing w:val="-16"/>
          <w:kern w:val="21"/>
          <w:szCs w:val="21"/>
        </w:rPr>
        <w:t>-</w:t>
      </w:r>
      <w:r>
        <w:rPr>
          <w:rFonts w:hAnsi="宋体"/>
          <w:snapToGrid w:val="0"/>
          <w:color w:val="auto"/>
          <w:spacing w:val="-6"/>
          <w:kern w:val="21"/>
          <w:szCs w:val="21"/>
        </w:rPr>
        <w:fldChar w:fldCharType="begin"/>
      </w:r>
      <w:r>
        <w:rPr>
          <w:rFonts w:hAnsi="宋体"/>
          <w:snapToGrid w:val="0"/>
          <w:color w:val="auto"/>
          <w:spacing w:val="-6"/>
          <w:kern w:val="21"/>
          <w:szCs w:val="21"/>
        </w:rPr>
        <w:instrText xml:space="preserve"> = 1 \* GB3 \* MERGEFORMAT </w:instrText>
      </w:r>
      <w:r>
        <w:rPr>
          <w:rFonts w:hAnsi="宋体"/>
          <w:snapToGrid w:val="0"/>
          <w:color w:val="auto"/>
          <w:spacing w:val="-6"/>
          <w:kern w:val="21"/>
          <w:szCs w:val="21"/>
        </w:rPr>
        <w:fldChar w:fldCharType="separate"/>
      </w:r>
      <w:r>
        <w:rPr>
          <w:rFonts w:hint="eastAsia" w:hAnsi="宋体"/>
          <w:color w:val="auto"/>
          <w:szCs w:val="21"/>
        </w:rPr>
        <w:t>①</w:t>
      </w:r>
      <w:r>
        <w:rPr>
          <w:rFonts w:hAnsi="宋体"/>
          <w:snapToGrid w:val="0"/>
          <w:color w:val="auto"/>
          <w:spacing w:val="-6"/>
          <w:kern w:val="21"/>
          <w:szCs w:val="21"/>
        </w:rPr>
        <w:fldChar w:fldCharType="end"/>
      </w:r>
    </w:p>
    <w:sectPr>
      <w:footerReference r:id="rId4" w:type="default"/>
      <w:pgSz w:w="16838" w:h="11906" w:orient="landscape"/>
      <w:pgMar w:top="1417" w:right="1531" w:bottom="1417" w:left="1531" w:header="851" w:footer="851"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Verdana">
    <w:panose1 w:val="020B0604030504040204"/>
    <w:charset w:val="00"/>
    <w:family w:val="auto"/>
    <w:pitch w:val="default"/>
    <w:sig w:usb0="A00006FF" w:usb1="4000205B" w:usb2="00000010" w:usb3="00000000" w:csb0="2000019F" w:csb1="00000000"/>
  </w:font>
  <w:font w:name="MS Mincho">
    <w:altName w:val="Yu Gothic UI"/>
    <w:panose1 w:val="02020609040205080304"/>
    <w:charset w:val="80"/>
    <w:family w:val="auto"/>
    <w:pitch w:val="default"/>
    <w:sig w:usb0="00000000" w:usb1="00000000" w:usb2="00000012" w:usb3="00000000" w:csb0="4002009F" w:csb1="DFD70000"/>
  </w:font>
  <w:font w:name="Arial Unicode MS">
    <w:altName w:val="Arial"/>
    <w:panose1 w:val="020B0604020202020204"/>
    <w:charset w:val="00"/>
    <w:family w:val="auto"/>
    <w:pitch w:val="default"/>
    <w:sig w:usb0="00000000" w:usb1="00000000" w:usb2="00000000" w:usb3="00000000" w:csb0="00000001" w:csb1="00000000"/>
  </w:font>
  <w:font w:name="方正小标宋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framePr w:wrap="around" w:vAnchor="text" w:hAnchor="margin" w:xAlign="outside" w:y="1"/>
      <w:rPr>
        <w:rStyle w:val="21"/>
        <w:rFonts w:ascii="宋体" w:hAnsi="宋体"/>
        <w:sz w:val="28"/>
        <w:szCs w:val="28"/>
      </w:rPr>
    </w:pPr>
    <w:r>
      <w:rPr>
        <w:rStyle w:val="21"/>
        <w:rFonts w:hint="eastAsia" w:ascii="宋体" w:hAnsi="宋体"/>
        <w:sz w:val="28"/>
        <w:szCs w:val="28"/>
      </w:rPr>
      <w:t>—</w:t>
    </w:r>
    <w:r>
      <w:rPr>
        <w:rStyle w:val="21"/>
        <w:rFonts w:hint="eastAsia" w:ascii="宋体" w:hAnsi="宋体"/>
        <w:sz w:val="20"/>
      </w:rPr>
      <w:t xml:space="preserve">  </w:t>
    </w:r>
    <w:r>
      <w:rPr>
        <w:rFonts w:ascii="宋体" w:hAnsi="宋体"/>
        <w:sz w:val="26"/>
        <w:szCs w:val="26"/>
      </w:rPr>
      <w:fldChar w:fldCharType="begin"/>
    </w:r>
    <w:r>
      <w:rPr>
        <w:rStyle w:val="21"/>
        <w:rFonts w:ascii="宋体" w:hAnsi="宋体"/>
        <w:sz w:val="26"/>
        <w:szCs w:val="26"/>
      </w:rPr>
      <w:instrText xml:space="preserve">PAGE  </w:instrText>
    </w:r>
    <w:r>
      <w:rPr>
        <w:rFonts w:ascii="宋体" w:hAnsi="宋体"/>
        <w:sz w:val="26"/>
        <w:szCs w:val="26"/>
      </w:rPr>
      <w:fldChar w:fldCharType="separate"/>
    </w:r>
    <w:r>
      <w:rPr>
        <w:rStyle w:val="21"/>
        <w:rFonts w:ascii="宋体" w:hAnsi="宋体"/>
        <w:sz w:val="26"/>
        <w:szCs w:val="26"/>
      </w:rPr>
      <w:t>2</w:t>
    </w:r>
    <w:r>
      <w:rPr>
        <w:rFonts w:ascii="宋体" w:hAnsi="宋体"/>
        <w:sz w:val="26"/>
        <w:szCs w:val="26"/>
      </w:rPr>
      <w:fldChar w:fldCharType="end"/>
    </w:r>
    <w:r>
      <w:rPr>
        <w:rStyle w:val="21"/>
        <w:rFonts w:hint="eastAsia" w:ascii="宋体" w:hAnsi="宋体"/>
        <w:sz w:val="20"/>
      </w:rPr>
      <w:t xml:space="preserve">  </w:t>
    </w:r>
    <w:r>
      <w:rPr>
        <w:rStyle w:val="21"/>
        <w:rFonts w:hint="eastAsia" w:ascii="宋体" w:hAnsi="宋体"/>
        <w:sz w:val="28"/>
        <w:szCs w:val="28"/>
      </w:rPr>
      <w:t>—</w:t>
    </w:r>
  </w:p>
  <w:p>
    <w:pPr>
      <w:pStyle w:val="13"/>
      <w:ind w:right="360" w:firstLine="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right="360" w:firstLine="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A4A71D"/>
    <w:multiLevelType w:val="multilevel"/>
    <w:tmpl w:val="0CA4A71D"/>
    <w:lvl w:ilvl="0" w:tentative="0">
      <w:start w:val="1"/>
      <w:numFmt w:val="decimal"/>
      <w:pStyle w:val="23"/>
      <w:lvlText w:val="表%1  "/>
      <w:lvlJc w:val="left"/>
      <w:pPr>
        <w:ind w:left="420" w:hanging="420"/>
      </w:pPr>
      <w:rPr>
        <w:rFonts w:hint="default" w:ascii="Times New Roman" w:hAnsi="Times New Roman" w:eastAsia="宋体" w:cs="Times New Roman"/>
        <w:sz w:val="21"/>
        <w:szCs w:val="21"/>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trackedChanges"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ˇˉ―‖’”…∶、。〃々〉》」』】〕〗！＂＇），．：；？］｀｜｝～￠"/>
  <w:compat>
    <w:spaceForUL/>
    <w:balanceSingleByteDoubleByteWidth/>
    <w:doNotLeaveBackslashAlone/>
    <w:ulTrailSpace/>
    <w:doNotExpandShiftReturn/>
    <w:adjustLineHeightInTable/>
    <w:doNotWrapTextWithPunct/>
    <w:doNotUseEastAsianBreakRules/>
    <w:useFELayout/>
    <w:useNormalStyleForList/>
    <w:doNotUseIndentAsNumberingTabStop/>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000"/>
    <w:rsid w:val="2FAF058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t" stroke="t">
      <v:fill type="gradient" on="t" angle="90" focussize="0f,0f" focusposition="0f,0f">
        <o:fill type="gradientUnscaled" v:ext="backwardCompatible"/>
      </v:fill>
      <v:stroke weight="1.25pt" color="#739CC3"/>
    </o:shapedefaults>
    <o:shapelayout v:ext="edit">
      <o:idmap v:ext="edit" data="1"/>
      <o:rules v:ext="edit">
        <o:r id="V:Rule1" type="connector" idref="#_x0000_s1040"/>
        <o:r id="V:Rule2" type="connector" idref="#_x0000_s1051"/>
        <o:r id="V:Rule3" type="connector" idref="#_x0000_s1052"/>
        <o:r id="V:Rule4" type="connector" idref="#_x0000_s1054"/>
        <o:r id="V:Rule5" type="connector" idref="#肘形连接符 25"/>
        <o:r id="V:Rule6" type="connector" idref="#肘形连接符 71"/>
        <o:r id="V:Rule7" type="connector" idref="#肘形连接符 72"/>
        <o:r id="V:Rule8" type="connector" idref="#肘形连接符 77"/>
        <o:r id="V:Rule9" type="connector" idref="#肘形连接符 25"/>
        <o:r id="V:Rule10" type="connector" idref="#肘形连接符 25"/>
        <o:r id="V:Rule11" type="connector" idref="#肘形连接符 25"/>
        <o:r id="V:Rule12" type="connector" idref="#_x0000_s1124"/>
        <o:r id="V:Rule13" type="connector" idref="#_x0000_s1126"/>
        <o:r id="V:Rule14" type="connector" idref="#_x0000_s1129"/>
        <o:r id="V:Rule15" type="connector" idref="#_x0000_s1130"/>
        <o:r id="V:Rule16" type="connector" idref="#_x0000_s1132"/>
        <o:r id="V:Rule17" type="connector" idref="#_x0000_s1134"/>
        <o:r id="V:Rule18" type="connector" idref="#_x0000_s1138"/>
        <o:r id="V:Rule19" type="connector" idref="#_x0000_s1140"/>
      </o:rules>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ocked="1"/>
    <w:lsdException w:qFormat="1" w:uiPriority="0" w:name="heading 2" w:locked="1"/>
    <w:lsdException w:qFormat="1" w:uiPriority="0" w:name="heading 3" w:locked="1"/>
    <w:lsdException w:qFormat="1" w:uiPriority="0" w:semiHidden="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nhideWhenUsed="0" w:uiPriority="0" w:semiHidden="0" w:name="index 1" w:locked="1"/>
    <w:lsdException w:unhideWhenUsed="0" w:uiPriority="0" w:semiHidden="0" w:name="index 2" w:locked="1"/>
    <w:lsdException w:unhideWhenUsed="0" w:uiPriority="0" w:semiHidden="0" w:name="index 3" w:locked="1"/>
    <w:lsdException w:unhideWhenUsed="0" w:uiPriority="0" w:semiHidden="0" w:name="index 4" w:locked="1"/>
    <w:lsdException w:unhideWhenUsed="0" w:uiPriority="0" w:semiHidden="0" w:name="index 5" w:locked="1"/>
    <w:lsdException w:unhideWhenUsed="0" w:uiPriority="0" w:semiHidden="0" w:name="index 6" w:locked="1"/>
    <w:lsdException w:unhideWhenUsed="0" w:uiPriority="0" w:semiHidden="0" w:name="index 7" w:locked="1"/>
    <w:lsdException w:unhideWhenUsed="0" w:uiPriority="0" w:semiHidden="0" w:name="index 8" w:locked="1"/>
    <w:lsdException w:unhideWhenUsed="0" w:uiPriority="0" w:semiHidden="0" w:name="index 9" w:locked="1"/>
    <w:lsdException w:unhideWhenUsed="0" w:uiPriority="0" w:semiHidden="0" w:name="toc 1" w:locked="1"/>
    <w:lsdException w:qFormat="1" w:uiPriority="39"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0" w:semiHidden="0" w:name="Normal Indent" w:locked="1"/>
    <w:lsdException w:unhideWhenUsed="0" w:uiPriority="0" w:semiHidden="0" w:name="footnote text" w:locked="1"/>
    <w:lsdException w:qFormat="1" w:unhideWhenUsed="0" w:uiPriority="0" w:name="annotation text"/>
    <w:lsdException w:qFormat="1" w:unhideWhenUsed="0" w:uiPriority="0" w:semiHidden="0" w:name="header"/>
    <w:lsdException w:qFormat="1" w:unhideWhenUsed="0" w:uiPriority="99" w:semiHidden="0" w:name="footer"/>
    <w:lsdException w:unhideWhenUsed="0" w:uiPriority="0" w:semiHidden="0" w:name="index heading" w:locked="1"/>
    <w:lsdException w:qFormat="1" w:unhideWhenUsed="0" w:uiPriority="0" w:semiHidden="0" w:name="caption" w:locked="1"/>
    <w:lsdException w:unhideWhenUsed="0" w:uiPriority="0" w:semiHidden="0" w:name="table of figures" w:locked="1"/>
    <w:lsdException w:unhideWhenUsed="0" w:uiPriority="0" w:semiHidden="0" w:name="envelope address" w:locked="1"/>
    <w:lsdException w:unhideWhenUsed="0" w:uiPriority="0" w:semiHidden="0" w:name="envelope return" w:locked="1"/>
    <w:lsdException w:unhideWhenUsed="0" w:uiPriority="0" w:semiHidden="0" w:name="footnote reference" w:locked="1"/>
    <w:lsdException w:qFormat="1" w:unhideWhenUsed="0" w:uiPriority="0" w:name="annotation reference"/>
    <w:lsdException w:unhideWhenUsed="0" w:uiPriority="0" w:semiHidden="0" w:name="line number" w:locked="1"/>
    <w:lsdException w:qFormat="1" w:unhideWhenUsed="0" w:uiPriority="0" w:semiHidden="0" w:name="page number" w:locked="1"/>
    <w:lsdException w:unhideWhenUsed="0" w:uiPriority="0" w:semiHidden="0" w:name="endnote reference" w:locked="1"/>
    <w:lsdException w:unhideWhenUsed="0" w:uiPriority="0" w:semiHidden="0" w:name="endnote text" w:locked="1"/>
    <w:lsdException w:unhideWhenUsed="0" w:uiPriority="0" w:semiHidden="0" w:name="table of authorities" w:locked="1"/>
    <w:lsdException w:unhideWhenUsed="0" w:uiPriority="0" w:semiHidden="0" w:name="macro" w:locked="1"/>
    <w:lsdException w:unhideWhenUsed="0" w:uiPriority="0" w:semiHidden="0" w:name="toa heading" w:locked="1"/>
    <w:lsdException w:unhideWhenUsed="0" w:uiPriority="0" w:semiHidden="0" w:name="List" w:locked="1"/>
    <w:lsdException w:unhideWhenUsed="0" w:uiPriority="0" w:semiHidden="0" w:name="List Bullet" w:locked="1"/>
    <w:lsdException w:unhideWhenUsed="0" w:uiPriority="0" w:semiHidden="0" w:name="List Number" w:locked="1"/>
    <w:lsdException w:unhideWhenUsed="0" w:uiPriority="0" w:semiHidden="0" w:name="List 2" w:locked="1"/>
    <w:lsdException w:unhideWhenUsed="0" w:uiPriority="0" w:semiHidden="0" w:name="List 3" w:locked="1"/>
    <w:lsdException w:unhideWhenUsed="0" w:uiPriority="0" w:semiHidden="0" w:name="List 4" w:locked="1"/>
    <w:lsdException w:unhideWhenUsed="0" w:uiPriority="0" w:semiHidden="0" w:name="List 5" w:locked="1"/>
    <w:lsdException w:unhideWhenUsed="0" w:uiPriority="0" w:semiHidden="0" w:name="List Bullet 2" w:locked="1"/>
    <w:lsdException w:unhideWhenUsed="0" w:uiPriority="0" w:semiHidden="0" w:name="List Bullet 3" w:locked="1"/>
    <w:lsdException w:unhideWhenUsed="0" w:uiPriority="0" w:semiHidden="0" w:name="List Bullet 4" w:locked="1"/>
    <w:lsdException w:unhideWhenUsed="0" w:uiPriority="0" w:semiHidden="0" w:name="List Bullet 5" w:locked="1"/>
    <w:lsdException w:unhideWhenUsed="0" w:uiPriority="0" w:semiHidden="0" w:name="List Number 2" w:locked="1"/>
    <w:lsdException w:unhideWhenUsed="0" w:uiPriority="0" w:semiHidden="0" w:name="List Number 3" w:locked="1"/>
    <w:lsdException w:unhideWhenUsed="0" w:uiPriority="0" w:semiHidden="0" w:name="List Number 4" w:locked="1"/>
    <w:lsdException w:unhideWhenUsed="0" w:uiPriority="0" w:semiHidden="0" w:name="List Number 5" w:locked="1"/>
    <w:lsdException w:qFormat="1" w:unhideWhenUsed="0" w:uiPriority="0" w:semiHidden="0" w:name="Title" w:locked="1"/>
    <w:lsdException w:unhideWhenUsed="0" w:uiPriority="0" w:semiHidden="0" w:name="Closing" w:locked="1"/>
    <w:lsdException w:unhideWhenUsed="0" w:uiPriority="0" w:semiHidden="0" w:name="Signature" w:locked="1"/>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ocked="1"/>
    <w:lsdException w:unhideWhenUsed="0" w:uiPriority="0" w:semiHidden="0" w:name="List Continue 2" w:locked="1"/>
    <w:lsdException w:unhideWhenUsed="0" w:uiPriority="0" w:semiHidden="0" w:name="List Continue 3" w:locked="1"/>
    <w:lsdException w:unhideWhenUsed="0" w:uiPriority="0" w:semiHidden="0" w:name="List Continue 4" w:locked="1"/>
    <w:lsdException w:unhideWhenUsed="0" w:uiPriority="0" w:semiHidden="0" w:name="List Continue 5" w:locked="1"/>
    <w:lsdException w:unhideWhenUsed="0" w:uiPriority="0" w:semiHidden="0" w:name="Message Header" w:locked="1"/>
    <w:lsdException w:qFormat="1" w:unhideWhenUsed="0" w:uiPriority="0" w:semiHidden="0" w:name="Subtitle" w:locked="1"/>
    <w:lsdException w:unhideWhenUsed="0" w:uiPriority="0" w:semiHidden="0" w:name="Salutation" w:locked="1"/>
    <w:lsdException w:qFormat="1" w:unhideWhenUsed="0" w:uiPriority="0" w:semiHidden="0" w:name="Date"/>
    <w:lsdException w:unhideWhenUsed="0" w:uiPriority="0" w:semiHidden="0" w:name="Body Text First Indent" w:locked="1"/>
    <w:lsdException w:unhideWhenUsed="0" w:uiPriority="0" w:semiHidden="0" w:name="Body Text First Indent 2" w:locked="1"/>
    <w:lsdException w:unhideWhenUsed="0" w:uiPriority="0" w:semiHidden="0" w:name="Note Heading" w:locked="1"/>
    <w:lsdException w:unhideWhenUsed="0" w:uiPriority="0" w:semiHidden="0" w:name="Body Text 2" w:locked="1"/>
    <w:lsdException w:unhideWhenUsed="0" w:uiPriority="0" w:semiHidden="0" w:name="Body Text 3" w:locked="1"/>
    <w:lsdException w:qFormat="1" w:unhideWhenUsed="0" w:uiPriority="0" w:semiHidden="0" w:name="Body Text Indent 2" w:locked="1"/>
    <w:lsdException w:qFormat="1" w:unhideWhenUsed="0" w:uiPriority="0" w:semiHidden="0" w:name="Body Text Indent 3" w:locked="1"/>
    <w:lsdException w:unhideWhenUsed="0" w:uiPriority="0" w:semiHidden="0" w:name="Block Text" w:locked="1"/>
    <w:lsdException w:unhideWhenUsed="0" w:uiPriority="0" w:semiHidden="0" w:name="Hyperlink" w:locked="1"/>
    <w:lsdException w:unhideWhenUsed="0" w:uiPriority="0" w:semiHidden="0" w:name="FollowedHyperlink" w:locked="1"/>
    <w:lsdException w:qFormat="1" w:unhideWhenUsed="0" w:uiPriority="0" w:semiHidden="0" w:name="Strong" w:locked="1"/>
    <w:lsdException w:qFormat="1" w:unhideWhenUsed="0" w:uiPriority="0" w:semiHidden="0" w:name="Emphasis" w:locked="1"/>
    <w:lsdException w:unhideWhenUsed="0" w:uiPriority="0" w:semiHidden="0" w:name="Document Map" w:locked="1"/>
    <w:lsdException w:qFormat="1" w:unhideWhenUsed="0" w:uiPriority="0" w:semiHidden="0" w:name="Plain Text" w:locked="1"/>
    <w:lsdException w:unhideWhenUsed="0" w:uiPriority="0" w:semiHidden="0" w:name="E-mail Signature" w:locked="1"/>
    <w:lsdException w:qFormat="1" w:unhideWhenUsed="0" w:uiPriority="0" w:semiHidden="0" w:name="Normal (Web)"/>
    <w:lsdException w:unhideWhenUsed="0" w:uiPriority="0" w:semiHidden="0" w:name="HTML Acronym" w:locked="1"/>
    <w:lsdException w:unhideWhenUsed="0" w:uiPriority="0" w:semiHidden="0" w:name="HTML Address" w:locked="1"/>
    <w:lsdException w:unhideWhenUsed="0" w:uiPriority="0" w:semiHidden="0" w:name="HTML Cite" w:locked="1"/>
    <w:lsdException w:unhideWhenUsed="0" w:uiPriority="0" w:semiHidden="0" w:name="HTML Code" w:locked="1"/>
    <w:lsdException w:unhideWhenUsed="0" w:uiPriority="0" w:semiHidden="0" w:name="HTML Definition" w:locked="1"/>
    <w:lsdException w:unhideWhenUsed="0" w:uiPriority="0" w:semiHidden="0" w:name="HTML Keyboard" w:locked="1"/>
    <w:lsdException w:unhideWhenUsed="0" w:uiPriority="0" w:semiHidden="0" w:name="HTML Preformatted" w:locked="1"/>
    <w:lsdException w:unhideWhenUsed="0" w:uiPriority="0" w:semiHidden="0" w:name="HTML Sample" w:locked="1"/>
    <w:lsdException w:unhideWhenUsed="0" w:uiPriority="0" w:semiHidden="0" w:name="HTML Typewriter" w:locked="1"/>
    <w:lsdException w:unhideWhenUsed="0" w:uiPriority="0" w:semiHidden="0" w:name="HTML Variable" w:locked="1"/>
    <w:lsdException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locked/>
    <w:uiPriority w:val="99"/>
    <w:pPr>
      <w:keepNext/>
      <w:overflowPunct w:val="0"/>
      <w:snapToGrid w:val="0"/>
      <w:spacing w:before="120" w:after="160" w:line="259" w:lineRule="auto"/>
      <w:ind w:left="432" w:hanging="432"/>
      <w:outlineLvl w:val="0"/>
    </w:pPr>
    <w:rPr>
      <w:rFonts w:eastAsia="黑体"/>
      <w:b/>
      <w:bCs/>
      <w:color w:val="000000"/>
      <w:kern w:val="44"/>
      <w:sz w:val="30"/>
      <w:szCs w:val="30"/>
    </w:rPr>
  </w:style>
  <w:style w:type="paragraph" w:styleId="3">
    <w:name w:val="heading 4"/>
    <w:basedOn w:val="1"/>
    <w:next w:val="1"/>
    <w:unhideWhenUsed/>
    <w:qFormat/>
    <w:locked/>
    <w:uiPriority w:val="0"/>
    <w:pPr>
      <w:keepNext/>
      <w:keepLines/>
      <w:spacing w:line="480" w:lineRule="exact"/>
      <w:outlineLvl w:val="3"/>
    </w:pPr>
    <w:rPr>
      <w:b/>
    </w:rPr>
  </w:style>
  <w:style w:type="character" w:default="1" w:styleId="20">
    <w:name w:val="Default Paragraph Font"/>
    <w:semiHidden/>
    <w:unhideWhenUsed/>
    <w:uiPriority w:val="1"/>
  </w:style>
  <w:style w:type="table" w:default="1" w:styleId="19">
    <w:name w:val="Normal Table"/>
    <w:semiHidden/>
    <w:unhideWhenUsed/>
    <w:uiPriority w:val="99"/>
    <w:tblPr>
      <w:tblCellMar>
        <w:top w:w="0" w:type="dxa"/>
        <w:left w:w="108" w:type="dxa"/>
        <w:bottom w:w="0" w:type="dxa"/>
        <w:right w:w="108" w:type="dxa"/>
      </w:tblCellMar>
    </w:tblPr>
  </w:style>
  <w:style w:type="paragraph" w:styleId="4">
    <w:name w:val="Normal Indent"/>
    <w:basedOn w:val="1"/>
    <w:next w:val="3"/>
    <w:qFormat/>
    <w:locked/>
    <w:uiPriority w:val="0"/>
    <w:pPr>
      <w:ind w:firstLine="420"/>
    </w:pPr>
  </w:style>
  <w:style w:type="paragraph" w:styleId="5">
    <w:name w:val="caption"/>
    <w:basedOn w:val="1"/>
    <w:next w:val="1"/>
    <w:qFormat/>
    <w:locked/>
    <w:uiPriority w:val="0"/>
    <w:rPr>
      <w:rFonts w:ascii="Cambria" w:hAnsi="Cambria" w:eastAsia="黑体"/>
      <w:kern w:val="0"/>
      <w:sz w:val="20"/>
      <w:szCs w:val="20"/>
    </w:rPr>
  </w:style>
  <w:style w:type="paragraph" w:styleId="6">
    <w:name w:val="annotation text"/>
    <w:basedOn w:val="1"/>
    <w:link w:val="44"/>
    <w:semiHidden/>
    <w:qFormat/>
    <w:uiPriority w:val="0"/>
    <w:pPr>
      <w:jc w:val="left"/>
    </w:pPr>
    <w:rPr>
      <w:kern w:val="0"/>
      <w:sz w:val="24"/>
      <w:szCs w:val="20"/>
    </w:rPr>
  </w:style>
  <w:style w:type="paragraph" w:styleId="7">
    <w:name w:val="Body Text"/>
    <w:basedOn w:val="1"/>
    <w:link w:val="45"/>
    <w:qFormat/>
    <w:uiPriority w:val="0"/>
    <w:pPr>
      <w:widowControl/>
      <w:snapToGrid w:val="0"/>
      <w:spacing w:before="60" w:after="160" w:line="259" w:lineRule="auto"/>
      <w:ind w:right="113"/>
    </w:pPr>
    <w:rPr>
      <w:kern w:val="0"/>
      <w:sz w:val="18"/>
      <w:szCs w:val="20"/>
    </w:rPr>
  </w:style>
  <w:style w:type="paragraph" w:styleId="8">
    <w:name w:val="Body Text Indent"/>
    <w:basedOn w:val="1"/>
    <w:link w:val="46"/>
    <w:qFormat/>
    <w:uiPriority w:val="0"/>
    <w:pPr>
      <w:spacing w:after="120"/>
      <w:ind w:left="420" w:leftChars="200"/>
    </w:pPr>
    <w:rPr>
      <w:kern w:val="0"/>
      <w:sz w:val="24"/>
      <w:szCs w:val="20"/>
    </w:rPr>
  </w:style>
  <w:style w:type="paragraph" w:styleId="9">
    <w:name w:val="Plain Text"/>
    <w:basedOn w:val="1"/>
    <w:qFormat/>
    <w:locked/>
    <w:uiPriority w:val="0"/>
    <w:rPr>
      <w:rFonts w:ascii="宋体" w:hAnsi="Courier New"/>
      <w:kern w:val="11"/>
    </w:rPr>
  </w:style>
  <w:style w:type="paragraph" w:styleId="10">
    <w:name w:val="Date"/>
    <w:basedOn w:val="1"/>
    <w:next w:val="1"/>
    <w:link w:val="47"/>
    <w:qFormat/>
    <w:uiPriority w:val="0"/>
    <w:pPr>
      <w:ind w:left="100" w:leftChars="2500"/>
    </w:pPr>
    <w:rPr>
      <w:kern w:val="0"/>
      <w:sz w:val="24"/>
      <w:szCs w:val="20"/>
    </w:rPr>
  </w:style>
  <w:style w:type="paragraph" w:styleId="11">
    <w:name w:val="Body Text Indent 2"/>
    <w:basedOn w:val="1"/>
    <w:qFormat/>
    <w:locked/>
    <w:uiPriority w:val="0"/>
    <w:pPr>
      <w:spacing w:after="120" w:line="480" w:lineRule="auto"/>
      <w:ind w:left="420" w:leftChars="200"/>
    </w:pPr>
    <w:rPr>
      <w:kern w:val="0"/>
      <w:sz w:val="20"/>
      <w:szCs w:val="20"/>
    </w:rPr>
  </w:style>
  <w:style w:type="paragraph" w:styleId="12">
    <w:name w:val="Balloon Text"/>
    <w:basedOn w:val="1"/>
    <w:link w:val="48"/>
    <w:semiHidden/>
    <w:qFormat/>
    <w:uiPriority w:val="0"/>
    <w:rPr>
      <w:kern w:val="0"/>
      <w:sz w:val="18"/>
      <w:szCs w:val="20"/>
    </w:rPr>
  </w:style>
  <w:style w:type="paragraph" w:styleId="13">
    <w:name w:val="footer"/>
    <w:basedOn w:val="1"/>
    <w:link w:val="49"/>
    <w:qFormat/>
    <w:uiPriority w:val="99"/>
    <w:pPr>
      <w:tabs>
        <w:tab w:val="center" w:pos="4153"/>
        <w:tab w:val="right" w:pos="8306"/>
      </w:tabs>
      <w:snapToGrid w:val="0"/>
      <w:jc w:val="left"/>
    </w:pPr>
    <w:rPr>
      <w:kern w:val="0"/>
      <w:sz w:val="18"/>
      <w:szCs w:val="20"/>
    </w:rPr>
  </w:style>
  <w:style w:type="paragraph" w:styleId="14">
    <w:name w:val="header"/>
    <w:basedOn w:val="1"/>
    <w:link w:val="50"/>
    <w:qFormat/>
    <w:uiPriority w:val="0"/>
    <w:pPr>
      <w:pBdr>
        <w:bottom w:val="single" w:color="auto" w:sz="6" w:space="1"/>
      </w:pBdr>
      <w:tabs>
        <w:tab w:val="center" w:pos="4153"/>
        <w:tab w:val="right" w:pos="8306"/>
      </w:tabs>
      <w:snapToGrid w:val="0"/>
      <w:jc w:val="center"/>
    </w:pPr>
    <w:rPr>
      <w:kern w:val="0"/>
      <w:sz w:val="18"/>
      <w:szCs w:val="20"/>
    </w:rPr>
  </w:style>
  <w:style w:type="paragraph" w:styleId="15">
    <w:name w:val="Body Text Indent 3"/>
    <w:basedOn w:val="1"/>
    <w:qFormat/>
    <w:locked/>
    <w:uiPriority w:val="0"/>
    <w:pPr>
      <w:spacing w:after="120"/>
      <w:ind w:left="420" w:leftChars="200"/>
    </w:pPr>
    <w:rPr>
      <w:kern w:val="0"/>
      <w:sz w:val="16"/>
      <w:szCs w:val="16"/>
    </w:rPr>
  </w:style>
  <w:style w:type="paragraph" w:styleId="16">
    <w:name w:val="toc 2"/>
    <w:basedOn w:val="1"/>
    <w:next w:val="1"/>
    <w:unhideWhenUsed/>
    <w:qFormat/>
    <w:locked/>
    <w:uiPriority w:val="39"/>
    <w:pPr>
      <w:ind w:left="420" w:leftChars="200"/>
    </w:pPr>
  </w:style>
  <w:style w:type="paragraph" w:styleId="17">
    <w:name w:val="Normal (Web)"/>
    <w:basedOn w:val="1"/>
    <w:link w:val="51"/>
    <w:qFormat/>
    <w:uiPriority w:val="0"/>
    <w:pPr>
      <w:widowControl/>
      <w:spacing w:before="100" w:beforeAutospacing="1" w:after="100" w:afterAutospacing="1"/>
      <w:jc w:val="left"/>
    </w:pPr>
    <w:rPr>
      <w:rFonts w:ascii="宋体" w:hAnsi="宋体"/>
      <w:kern w:val="0"/>
      <w:sz w:val="24"/>
      <w:szCs w:val="20"/>
    </w:rPr>
  </w:style>
  <w:style w:type="paragraph" w:styleId="18">
    <w:name w:val="annotation subject"/>
    <w:basedOn w:val="6"/>
    <w:next w:val="6"/>
    <w:link w:val="52"/>
    <w:semiHidden/>
    <w:qFormat/>
    <w:uiPriority w:val="0"/>
    <w:rPr>
      <w:b/>
    </w:rPr>
  </w:style>
  <w:style w:type="character" w:styleId="21">
    <w:name w:val="page number"/>
    <w:basedOn w:val="20"/>
    <w:qFormat/>
    <w:locked/>
    <w:uiPriority w:val="0"/>
  </w:style>
  <w:style w:type="character" w:styleId="22">
    <w:name w:val="annotation reference"/>
    <w:semiHidden/>
    <w:qFormat/>
    <w:uiPriority w:val="0"/>
    <w:rPr>
      <w:sz w:val="21"/>
    </w:rPr>
  </w:style>
  <w:style w:type="paragraph" w:customStyle="1" w:styleId="23">
    <w:name w:val="表标"/>
    <w:qFormat/>
    <w:uiPriority w:val="0"/>
    <w:pPr>
      <w:numPr>
        <w:ilvl w:val="0"/>
        <w:numId w:val="1"/>
      </w:numPr>
      <w:jc w:val="center"/>
    </w:pPr>
    <w:rPr>
      <w:rFonts w:ascii="Times New Roman" w:hAnsi="Times New Roman" w:eastAsia="宋体" w:cs="黑体"/>
      <w:b/>
      <w:sz w:val="21"/>
      <w:u w:val="single"/>
      <w:lang w:val="en-US" w:eastAsia="zh-CN" w:bidi="ar-SA"/>
    </w:rPr>
  </w:style>
  <w:style w:type="paragraph" w:customStyle="1" w:styleId="24">
    <w:name w:val="样式 正文11 + 首行缩进:  2 字符"/>
    <w:basedOn w:val="1"/>
    <w:qFormat/>
    <w:uiPriority w:val="0"/>
    <w:pPr>
      <w:spacing w:line="500" w:lineRule="exact"/>
      <w:ind w:firstLine="560" w:firstLineChars="200"/>
    </w:pPr>
    <w:rPr>
      <w:rFonts w:ascii="宋体" w:hAnsi="宋体" w:cs="宋体"/>
      <w:color w:val="FF0000"/>
      <w:sz w:val="28"/>
      <w:szCs w:val="20"/>
    </w:rPr>
  </w:style>
  <w:style w:type="paragraph" w:customStyle="1" w:styleId="25">
    <w:name w:val="报告正文"/>
    <w:basedOn w:val="1"/>
    <w:qFormat/>
    <w:uiPriority w:val="0"/>
    <w:pPr>
      <w:tabs>
        <w:tab w:val="left" w:pos="0"/>
      </w:tabs>
      <w:spacing w:line="360" w:lineRule="auto"/>
      <w:ind w:firstLine="200" w:firstLineChars="200"/>
    </w:pPr>
    <w:rPr>
      <w:rFonts w:ascii="Calibri" w:hAnsi="Calibri"/>
      <w:color w:val="000000"/>
      <w:kern w:val="0"/>
      <w:sz w:val="24"/>
    </w:rPr>
  </w:style>
  <w:style w:type="paragraph" w:customStyle="1" w:styleId="26">
    <w:name w:val="表格"/>
    <w:basedOn w:val="27"/>
    <w:link w:val="55"/>
    <w:qFormat/>
    <w:uiPriority w:val="0"/>
    <w:pPr>
      <w:adjustRightInd w:val="0"/>
      <w:snapToGrid w:val="0"/>
      <w:spacing w:beforeLines="10" w:afterLines="10" w:line="259" w:lineRule="auto"/>
      <w:jc w:val="center"/>
    </w:pPr>
    <w:rPr>
      <w:rFonts w:ascii="宋体"/>
      <w:kern w:val="0"/>
      <w:szCs w:val="20"/>
    </w:rPr>
  </w:style>
  <w:style w:type="paragraph" w:customStyle="1" w:styleId="27">
    <w:name w:val="表格格式"/>
    <w:basedOn w:val="1"/>
    <w:qFormat/>
    <w:uiPriority w:val="99"/>
    <w:rPr>
      <w:rFonts w:ascii="仿宋_GB2312" w:eastAsia="仿宋_GB2312"/>
      <w:bCs/>
      <w:color w:val="000000"/>
      <w:szCs w:val="21"/>
    </w:rPr>
  </w:style>
  <w:style w:type="paragraph" w:customStyle="1" w:styleId="28">
    <w:name w:val="正文_1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9">
    <w:name w:val="普通(网站)2"/>
    <w:basedOn w:val="1"/>
    <w:qFormat/>
    <w:uiPriority w:val="0"/>
    <w:pPr>
      <w:widowControl/>
      <w:spacing w:before="100" w:beforeAutospacing="1" w:after="100" w:afterAutospacing="1"/>
      <w:jc w:val="left"/>
    </w:pPr>
    <w:rPr>
      <w:rFonts w:ascii="宋体" w:hAnsi="宋体"/>
      <w:sz w:val="24"/>
      <w:szCs w:val="20"/>
    </w:rPr>
  </w:style>
  <w:style w:type="paragraph" w:customStyle="1" w:styleId="30">
    <w:name w:val="正文 New New New New New New New New New New New New New New New New New New New New New New New New New New New New New New New New New New New New New New New New New New New New New New New New New New New New New New New New New New New New New New 4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1">
    <w:name w:val="xl24 New New New New New"/>
    <w:basedOn w:val="30"/>
    <w:qFormat/>
    <w:uiPriority w:val="0"/>
    <w:pPr>
      <w:widowControl/>
      <w:pBdr>
        <w:bottom w:val="single" w:color="auto" w:sz="4" w:space="0"/>
        <w:right w:val="single" w:color="auto" w:sz="4" w:space="0"/>
      </w:pBdr>
      <w:spacing w:before="100" w:beforeAutospacing="1" w:after="100" w:afterAutospacing="1"/>
      <w:jc w:val="center"/>
    </w:pPr>
    <w:rPr>
      <w:kern w:val="0"/>
      <w:szCs w:val="21"/>
    </w:rPr>
  </w:style>
  <w:style w:type="paragraph" w:customStyle="1" w:styleId="32">
    <w:name w:val="1"/>
    <w:basedOn w:val="1"/>
    <w:next w:val="9"/>
    <w:qFormat/>
    <w:uiPriority w:val="0"/>
    <w:rPr>
      <w:rFonts w:ascii="Verdana" w:hAnsi="Symbol" w:cs="MS Mincho"/>
      <w:szCs w:val="20"/>
    </w:rPr>
  </w:style>
  <w:style w:type="paragraph" w:customStyle="1" w:styleId="33">
    <w:name w:val="2兴业表格"/>
    <w:basedOn w:val="1"/>
    <w:qFormat/>
    <w:uiPriority w:val="0"/>
    <w:pPr>
      <w:adjustRightInd w:val="0"/>
      <w:snapToGrid w:val="0"/>
      <w:jc w:val="center"/>
    </w:pPr>
    <w:rPr>
      <w:kern w:val="0"/>
      <w:szCs w:val="21"/>
    </w:rPr>
  </w:style>
  <w:style w:type="paragraph" w:customStyle="1" w:styleId="34">
    <w:name w:val="表"/>
    <w:qFormat/>
    <w:uiPriority w:val="0"/>
    <w:pPr>
      <w:spacing w:beforeLines="10" w:afterLines="10"/>
      <w:jc w:val="center"/>
    </w:pPr>
    <w:rPr>
      <w:rFonts w:ascii="Times New Roman" w:hAnsi="Times New Roman" w:eastAsia="宋体" w:cs="Times New Roman"/>
      <w:sz w:val="18"/>
      <w:lang w:val="en-US" w:eastAsia="zh-CN" w:bidi="ar-SA"/>
    </w:rPr>
  </w:style>
  <w:style w:type="paragraph" w:customStyle="1" w:styleId="35">
    <w:name w:val="表题"/>
    <w:basedOn w:val="1"/>
    <w:qFormat/>
    <w:uiPriority w:val="0"/>
    <w:pPr>
      <w:spacing w:before="120" w:after="120"/>
      <w:jc w:val="center"/>
    </w:pPr>
    <w:rPr>
      <w:rFonts w:ascii="宋体" w:hAnsi="宋体" w:cs="宋体"/>
      <w:b/>
      <w:bCs/>
      <w:color w:val="000000"/>
      <w:kern w:val="0"/>
      <w:sz w:val="24"/>
      <w:lang w:val="zh-CN"/>
    </w:rPr>
  </w:style>
  <w:style w:type="paragraph" w:customStyle="1" w:styleId="36">
    <w:name w:val="表头"/>
    <w:basedOn w:val="1"/>
    <w:qFormat/>
    <w:uiPriority w:val="0"/>
    <w:pPr>
      <w:adjustRightInd w:val="0"/>
      <w:spacing w:before="80" w:after="80"/>
      <w:jc w:val="center"/>
      <w:textAlignment w:val="baseline"/>
    </w:pPr>
    <w:rPr>
      <w:rFonts w:ascii="仿宋_GB2312" w:eastAsia="仿宋_GB2312"/>
      <w:kern w:val="0"/>
      <w:sz w:val="24"/>
      <w:szCs w:val="20"/>
    </w:rPr>
  </w:style>
  <w:style w:type="paragraph" w:customStyle="1" w:styleId="37">
    <w:name w:val="东宝正文"/>
    <w:basedOn w:val="1"/>
    <w:qFormat/>
    <w:uiPriority w:val="0"/>
    <w:pPr>
      <w:adjustRightInd w:val="0"/>
      <w:snapToGrid w:val="0"/>
      <w:spacing w:line="360" w:lineRule="auto"/>
      <w:ind w:firstLine="420" w:firstLineChars="200"/>
    </w:pPr>
    <w:rPr>
      <w:kern w:val="0"/>
      <w:sz w:val="24"/>
      <w:szCs w:val="20"/>
    </w:rPr>
  </w:style>
  <w:style w:type="paragraph" w:customStyle="1" w:styleId="38">
    <w:name w:val="Table Paragraph"/>
    <w:basedOn w:val="1"/>
    <w:qFormat/>
    <w:uiPriority w:val="1"/>
    <w:pPr>
      <w:jc w:val="center"/>
    </w:pPr>
    <w:rPr>
      <w:rFonts w:ascii="宋体" w:hAnsi="宋体" w:cs="宋体"/>
      <w:lang w:val="zh-CN" w:bidi="zh-CN"/>
    </w:rPr>
  </w:style>
  <w:style w:type="paragraph" w:customStyle="1" w:styleId="39">
    <w:name w:val="正文格式"/>
    <w:basedOn w:val="1"/>
    <w:qFormat/>
    <w:uiPriority w:val="0"/>
    <w:pPr>
      <w:ind w:firstLine="482"/>
    </w:pPr>
  </w:style>
  <w:style w:type="paragraph" w:customStyle="1" w:styleId="40">
    <w:name w:val="表内容"/>
    <w:basedOn w:val="1"/>
    <w:next w:val="1"/>
    <w:qFormat/>
    <w:uiPriority w:val="0"/>
    <w:pPr>
      <w:spacing w:line="320" w:lineRule="exact"/>
      <w:jc w:val="center"/>
    </w:pPr>
    <w:rPr>
      <w:szCs w:val="20"/>
    </w:rPr>
  </w:style>
  <w:style w:type="paragraph" w:customStyle="1" w:styleId="41">
    <w:name w:val="表格（窄）"/>
    <w:basedOn w:val="1"/>
    <w:qFormat/>
    <w:uiPriority w:val="0"/>
    <w:pPr>
      <w:jc w:val="center"/>
    </w:pPr>
    <w:rPr>
      <w:kern w:val="0"/>
    </w:rPr>
  </w:style>
  <w:style w:type="paragraph" w:customStyle="1" w:styleId="42">
    <w:name w:val="图名表名"/>
    <w:basedOn w:val="1"/>
    <w:qFormat/>
    <w:uiPriority w:val="0"/>
    <w:pPr>
      <w:spacing w:line="360" w:lineRule="auto"/>
      <w:jc w:val="center"/>
    </w:pPr>
    <w:rPr>
      <w:rFonts w:eastAsia="Times New Roman"/>
      <w:b/>
      <w:bCs/>
      <w:szCs w:val="20"/>
    </w:rPr>
  </w:style>
  <w:style w:type="paragraph" w:customStyle="1" w:styleId="43">
    <w:name w:val="Default"/>
    <w:qFormat/>
    <w:uiPriority w:val="0"/>
    <w:pPr>
      <w:widowControl w:val="0"/>
      <w:autoSpaceDE w:val="0"/>
      <w:autoSpaceDN w:val="0"/>
      <w:adjustRightInd w:val="0"/>
    </w:pPr>
    <w:rPr>
      <w:rFonts w:ascii="Arial Unicode MS" w:hAnsi="Arial Unicode MS" w:eastAsia="宋体" w:cs="Arial Unicode MS"/>
      <w:color w:val="000000"/>
      <w:sz w:val="24"/>
      <w:szCs w:val="24"/>
      <w:lang w:val="en-US" w:eastAsia="zh-CN" w:bidi="ar-SA"/>
    </w:rPr>
  </w:style>
  <w:style w:type="character" w:customStyle="1" w:styleId="44">
    <w:name w:val="批注文字 Char Char"/>
    <w:link w:val="6"/>
    <w:uiPriority w:val="0"/>
    <w:rPr>
      <w:rFonts w:ascii="Times New Roman" w:hAnsi="Times New Roman" w:eastAsia="宋体"/>
      <w:sz w:val="24"/>
    </w:rPr>
  </w:style>
  <w:style w:type="character" w:customStyle="1" w:styleId="45">
    <w:name w:val="正文文本 Char Char"/>
    <w:link w:val="7"/>
    <w:uiPriority w:val="0"/>
    <w:rPr>
      <w:sz w:val="18"/>
    </w:rPr>
  </w:style>
  <w:style w:type="character" w:customStyle="1" w:styleId="46">
    <w:name w:val="正文文本缩进 Char Char"/>
    <w:link w:val="8"/>
    <w:uiPriority w:val="0"/>
    <w:rPr>
      <w:rFonts w:ascii="Times New Roman" w:hAnsi="Times New Roman" w:eastAsia="宋体"/>
      <w:sz w:val="24"/>
    </w:rPr>
  </w:style>
  <w:style w:type="character" w:customStyle="1" w:styleId="47">
    <w:name w:val="日期 Char Char"/>
    <w:link w:val="10"/>
    <w:uiPriority w:val="0"/>
    <w:rPr>
      <w:rFonts w:ascii="Times New Roman" w:hAnsi="Times New Roman" w:eastAsia="宋体"/>
      <w:sz w:val="24"/>
    </w:rPr>
  </w:style>
  <w:style w:type="character" w:customStyle="1" w:styleId="48">
    <w:name w:val="批注框文本 Char Char"/>
    <w:link w:val="12"/>
    <w:uiPriority w:val="0"/>
    <w:rPr>
      <w:rFonts w:ascii="Times New Roman" w:hAnsi="Times New Roman" w:eastAsia="宋体"/>
      <w:sz w:val="18"/>
    </w:rPr>
  </w:style>
  <w:style w:type="character" w:customStyle="1" w:styleId="49">
    <w:name w:val="页脚 Char Char"/>
    <w:link w:val="13"/>
    <w:uiPriority w:val="99"/>
    <w:rPr>
      <w:sz w:val="18"/>
    </w:rPr>
  </w:style>
  <w:style w:type="character" w:customStyle="1" w:styleId="50">
    <w:name w:val="页眉 Char Char"/>
    <w:link w:val="14"/>
    <w:uiPriority w:val="0"/>
    <w:rPr>
      <w:sz w:val="18"/>
    </w:rPr>
  </w:style>
  <w:style w:type="character" w:customStyle="1" w:styleId="51">
    <w:name w:val="普通(网站) Char Char"/>
    <w:link w:val="17"/>
    <w:uiPriority w:val="0"/>
    <w:rPr>
      <w:rFonts w:ascii="宋体" w:hAnsi="宋体" w:eastAsia="宋体"/>
      <w:sz w:val="24"/>
    </w:rPr>
  </w:style>
  <w:style w:type="character" w:customStyle="1" w:styleId="52">
    <w:name w:val="批注主题 Char Char"/>
    <w:link w:val="18"/>
    <w:uiPriority w:val="0"/>
    <w:rPr>
      <w:rFonts w:ascii="Times New Roman" w:hAnsi="Times New Roman" w:eastAsia="宋体"/>
      <w:b/>
      <w:kern w:val="2"/>
      <w:sz w:val="24"/>
    </w:rPr>
  </w:style>
  <w:style w:type="character" w:customStyle="1" w:styleId="53">
    <w:name w:val="正文文本 字符1"/>
    <w:semiHidden/>
    <w:qFormat/>
    <w:uiPriority w:val="0"/>
    <w:rPr>
      <w:rFonts w:ascii="Times New Roman" w:hAnsi="Times New Roman" w:eastAsia="宋体"/>
      <w:sz w:val="24"/>
    </w:rPr>
  </w:style>
  <w:style w:type="character" w:customStyle="1" w:styleId="54">
    <w:name w:val="日期 字符"/>
    <w:semiHidden/>
    <w:qFormat/>
    <w:uiPriority w:val="0"/>
    <w:rPr>
      <w:rFonts w:ascii="Times New Roman" w:hAnsi="Times New Roman" w:eastAsia="宋体"/>
      <w:sz w:val="24"/>
    </w:rPr>
  </w:style>
  <w:style w:type="character" w:customStyle="1" w:styleId="55">
    <w:name w:val="表格 Char Char"/>
    <w:link w:val="26"/>
    <w:qFormat/>
    <w:locked/>
    <w:uiPriority w:val="0"/>
    <w:rPr>
      <w:rFonts w:ascii="宋体"/>
      <w:sz w:val="21"/>
    </w:rPr>
  </w:style>
  <w:style w:type="character" w:customStyle="1" w:styleId="56">
    <w:name w:val="页脚 字符"/>
    <w:basedOn w:val="20"/>
    <w:qFormat/>
    <w:uiPriority w:val="99"/>
  </w:style>
  <w:style w:type="character" w:customStyle="1" w:styleId="57">
    <w:name w:val="批注文字 字符1"/>
    <w:semiHidden/>
    <w:qFormat/>
    <w:uiPriority w:val="0"/>
    <w:rPr>
      <w:rFonts w:ascii="Times New Roman" w:hAnsi="Times New Roman" w:eastAsia="宋体"/>
      <w:sz w:val="24"/>
    </w:rPr>
  </w:style>
  <w:style w:type="character" w:customStyle="1" w:styleId="58">
    <w:name w:val="16"/>
    <w:qFormat/>
    <w:uiPriority w:val="0"/>
    <w:rPr>
      <w:rFonts w:hint="default" w:ascii="Times New Roman" w:hAnsi="Times New Roman" w:cs="Times New Roman"/>
      <w:color w:val="000000"/>
      <w:sz w:val="22"/>
      <w:szCs w:val="22"/>
    </w:rPr>
  </w:style>
  <w:style w:type="character" w:customStyle="1" w:styleId="59">
    <w:name w:val="18"/>
    <w:qFormat/>
    <w:uiPriority w:val="0"/>
    <w:rPr>
      <w:rFonts w:hint="eastAsia" w:ascii="宋体" w:hAnsi="宋体" w:eastAsia="宋体"/>
      <w:b/>
      <w:bCs/>
      <w:color w:val="000000"/>
      <w:sz w:val="24"/>
      <w:szCs w:val="24"/>
    </w:rPr>
  </w:style>
  <w:style w:type="character" w:customStyle="1" w:styleId="60">
    <w:name w:val="15"/>
    <w:qFormat/>
    <w:uiPriority w:val="0"/>
    <w:rPr>
      <w:rFonts w:hint="default" w:ascii="Cambria" w:hAnsi="Cambria"/>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oleObject" Target="embeddings/oleObject4.bin"/><Relationship Id="rId8" Type="http://schemas.openxmlformats.org/officeDocument/2006/relationships/oleObject" Target="embeddings/oleObject3.bin"/><Relationship Id="rId7" Type="http://schemas.openxmlformats.org/officeDocument/2006/relationships/oleObject" Target="embeddings/oleObject2.bin"/><Relationship Id="rId6" Type="http://schemas.openxmlformats.org/officeDocument/2006/relationships/oleObject" Target="embeddings/oleObject1.bin"/><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8" Type="http://schemas.openxmlformats.org/officeDocument/2006/relationships/fontTable" Target="fontTable.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image" Target="media/image10.wmf"/><Relationship Id="rId24" Type="http://schemas.openxmlformats.org/officeDocument/2006/relationships/image" Target="media/image9.wmf"/><Relationship Id="rId23" Type="http://schemas.openxmlformats.org/officeDocument/2006/relationships/image" Target="media/image8.wmf"/><Relationship Id="rId22" Type="http://schemas.openxmlformats.org/officeDocument/2006/relationships/image" Target="media/image7.wmf"/><Relationship Id="rId21" Type="http://schemas.openxmlformats.org/officeDocument/2006/relationships/image" Target="media/image6.wmf"/><Relationship Id="rId20" Type="http://schemas.openxmlformats.org/officeDocument/2006/relationships/image" Target="media/image5.wmf"/><Relationship Id="rId2" Type="http://schemas.openxmlformats.org/officeDocument/2006/relationships/settings" Target="settings.xml"/><Relationship Id="rId19" Type="http://schemas.openxmlformats.org/officeDocument/2006/relationships/image" Target="media/image4.wmf"/><Relationship Id="rId18" Type="http://schemas.openxmlformats.org/officeDocument/2006/relationships/image" Target="media/image3.wmf"/><Relationship Id="rId17" Type="http://schemas.openxmlformats.org/officeDocument/2006/relationships/image" Target="media/image2.wmf"/><Relationship Id="rId16" Type="http://schemas.openxmlformats.org/officeDocument/2006/relationships/image" Target="media/image1.wmf"/><Relationship Id="rId15" Type="http://schemas.openxmlformats.org/officeDocument/2006/relationships/oleObject" Target="embeddings/oleObject10.bin"/><Relationship Id="rId14" Type="http://schemas.openxmlformats.org/officeDocument/2006/relationships/oleObject" Target="embeddings/oleObject9.bin"/><Relationship Id="rId13" Type="http://schemas.openxmlformats.org/officeDocument/2006/relationships/oleObject" Target="embeddings/oleObject8.bin"/><Relationship Id="rId12" Type="http://schemas.openxmlformats.org/officeDocument/2006/relationships/oleObject" Target="embeddings/oleObject7.bin"/><Relationship Id="rId11" Type="http://schemas.openxmlformats.org/officeDocument/2006/relationships/oleObject" Target="embeddings/oleObject6.bin"/><Relationship Id="rId10" Type="http://schemas.openxmlformats.org/officeDocument/2006/relationships/oleObject" Target="embeddings/oleObject5.bin"/><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7"/>
    <customShpInfo spid="_x0000_s1032"/>
    <customShpInfo spid="_x0000_s1033"/>
    <customShpInfo spid="_x0000_s1034"/>
    <customShpInfo spid="_x0000_s1035"/>
    <customShpInfo spid="_x0000_s1036"/>
    <customShpInfo spid="_x0000_s1037"/>
    <customShpInfo spid="_x0000_s1038"/>
    <customShpInfo spid="_x0000_s1039"/>
    <customShpInfo spid="_x0000_s1040"/>
    <customShpInfo spid="_x0000_s1041"/>
    <customShpInfo spid="_x0000_s1042"/>
    <customShpInfo spid="_x0000_s1043"/>
    <customShpInfo spid="_x0000_s1044"/>
    <customShpInfo spid="_x0000_s1045"/>
    <customShpInfo spid="_x0000_s1046"/>
    <customShpInfo spid="_x0000_s1047"/>
    <customShpInfo spid="_x0000_s1048"/>
    <customShpInfo spid="_x0000_s1031"/>
    <customShpInfo spid="_x0000_s1049"/>
    <customShpInfo spid="_x0000_s1050"/>
    <customShpInfo spid="_x0000_s1030"/>
    <customShpInfo spid="_x0000_s1051"/>
    <customShpInfo spid="_x0000_s1052"/>
    <customShpInfo spid="_x0000_s1029"/>
    <customShpInfo spid="_x0000_s1053"/>
    <customShpInfo spid="_x0000_s1054"/>
    <customShpInfo spid="_x0000_s1055"/>
    <customShpInfo spid="_x0000_s1056"/>
    <customShpInfo spid="_x0000_s1028"/>
    <customShpInfo spid="_x0000_s1026"/>
    <customShpInfo spid="_x0000_s1063"/>
    <customShpInfo spid="_x0000_s1067"/>
    <customShpInfo spid="_x0000_s1072"/>
    <customShpInfo spid="_x0000_s1073"/>
    <customShpInfo spid="_x0000_s1074"/>
    <customShpInfo spid="_x0000_s1075"/>
    <customShpInfo spid="_x0000_s1076"/>
    <customShpInfo spid="_x0000_s1077"/>
    <customShpInfo spid="_x0000_s1078"/>
    <customShpInfo spid="_x0000_s1079"/>
    <customShpInfo spid="_x0000_s1080"/>
    <customShpInfo spid="_x0000_s1081"/>
    <customShpInfo spid="_x0000_s1082"/>
    <customShpInfo spid="_x0000_s1083"/>
    <customShpInfo spid="_x0000_s1084"/>
    <customShpInfo spid="_x0000_s1085"/>
    <customShpInfo spid="_x0000_s1086"/>
    <customShpInfo spid="_x0000_s1071"/>
    <customShpInfo spid="_x0000_s1087"/>
    <customShpInfo spid="_x0000_s1088"/>
    <customShpInfo spid="_x0000_s1070"/>
    <customShpInfo spid="_x0000_s1089"/>
    <customShpInfo spid="_x0000_s1090"/>
    <customShpInfo spid="_x0000_s1069"/>
    <customShpInfo spid="_x0000_s1091"/>
    <customShpInfo spid="_x0000_s1092"/>
    <customShpInfo spid="_x0000_s1093"/>
    <customShpInfo spid="_x0000_s1094"/>
    <customShpInfo spid="_x0000_s1068"/>
    <customShpInfo spid="_x0000_s1066"/>
    <customShpInfo spid="_x0000_s1095"/>
    <customShpInfo spid="_x0000_s1065"/>
    <customShpInfo spid="_x0000_s1096"/>
    <customShpInfo spid="_x0000_s1097"/>
    <customShpInfo spid="_x0000_s1064"/>
    <customShpInfo spid="_x0000_s1062"/>
    <customShpInfo spid="_x0000_s1098"/>
    <customShpInfo spid="_x0000_s1099"/>
    <customShpInfo spid="_x0000_s1100"/>
    <customShpInfo spid="_x0000_s1101"/>
    <customShpInfo spid="_x0000_s1102"/>
    <customShpInfo spid="_x0000_s1061"/>
    <customShpInfo spid="_x0000_s1103"/>
    <customShpInfo spid="_x0000_s1104"/>
    <customShpInfo spid="_x0000_s1060"/>
    <customShpInfo spid="_x0000_s1105"/>
    <customShpInfo spid="_x0000_s1106"/>
    <customShpInfo spid="_x0000_s1059"/>
    <customShpInfo spid="_x0000_s1107"/>
    <customShpInfo spid="_x0000_s1108"/>
    <customShpInfo spid="_x0000_s1058"/>
    <customShpInfo spid="_x0000_s1109"/>
    <customShpInfo spid="_x0000_s1057"/>
    <customShpInfo spid="_x0000_s1112"/>
    <customShpInfo spid="_x0000_s1113"/>
    <customShpInfo spid="_x0000_s1111"/>
    <customShpInfo spid="_x0000_s1115"/>
    <customShpInfo spid="_x0000_s1116"/>
    <customShpInfo spid="_x0000_s1114"/>
    <customShpInfo spid="_x0000_s1117"/>
    <customShpInfo spid="_x0000_s1118"/>
    <customShpInfo spid="_x0000_s1119"/>
    <customShpInfo spid="_x0000_s1120"/>
    <customShpInfo spid="_x0000_s1110"/>
    <customShpInfo spid="_x0000_s1123"/>
    <customShpInfo spid="_x0000_s1124"/>
    <customShpInfo spid="_x0000_s1125"/>
    <customShpInfo spid="_x0000_s1126"/>
    <customShpInfo spid="_x0000_s1127"/>
    <customShpInfo spid="_x0000_s1128"/>
    <customShpInfo spid="_x0000_s1129"/>
    <customShpInfo spid="_x0000_s1130"/>
    <customShpInfo spid="_x0000_s1131"/>
    <customShpInfo spid="_x0000_s1132"/>
    <customShpInfo spid="_x0000_s1133"/>
    <customShpInfo spid="_x0000_s1134"/>
    <customShpInfo spid="_x0000_s1135"/>
    <customShpInfo spid="_x0000_s1136"/>
    <customShpInfo spid="_x0000_s1137"/>
    <customShpInfo spid="_x0000_s1138"/>
    <customShpInfo spid="_x0000_s1122"/>
    <customShpInfo spid="_x0000_s1139"/>
    <customShpInfo spid="_x0000_s1140"/>
    <customShpInfo spid="_x0000_s1141"/>
    <customShpInfo spid="_x0000_s112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wdzx97.dot</Template>
  <Company>微软中国</Company>
  <Pages>53</Pages>
  <Words>5291</Words>
  <Characters>30165</Characters>
  <Lines>251</Lines>
  <Paragraphs>70</Paragraphs>
  <TotalTime>0</TotalTime>
  <ScaleCrop>false</ScaleCrop>
  <LinksUpToDate>false</LinksUpToDate>
  <CharactersWithSpaces>0</CharactersWithSpaces>
  <Application>WPS Office_11.8.2.12011_F1E327BC-269C-435d-A152-05C5408002CA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2026-07-06T02:07:00Z</dcterms:created>
  <dc:creator>lhj</dc:creator>
  <cp:lastModifiedBy>Administrator</cp:lastModifiedBy>
  <cp:lastPrinted>2026-08-11T05:11:00Z</cp:lastPrinted>
  <dcterms:modified xsi:type="dcterms:W3CDTF">2026-09-10T08:15:49Z</dcterms:modified>
  <dc:title>附件2</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2052-11.8.2.12011</vt:lpwstr>
  </property>
  <property fmtid="{D5CDD505-2E9C-101B-9397-08002B2CF9AE}" pid="3" name="ICV">
    <vt:lpwstr>79D5C8AFC7EA44739BD578BC9D3DB46A_13</vt:lpwstr>
  </property>
  <property fmtid="{D5CDD505-2E9C-101B-9397-08002B2CF9AE}" pid="4" name="KSOTemplateDocerSaveRecord">
    <vt:lpwstr>eyJoZGlkIjoiYTkyN2Q3ZDMxNTZiOTAwYzBhODk0YTA1MjFiOWRlYWYiLCJ1c2VySWQiOiIxNDE5MTcyNDcxIn0=</vt:lpwstr>
  </property>
</Properties>
</file>