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201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三公经费预算情况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柳河县2018年三公经费支出预算情况如下：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三公经费总支出预算25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7.41万元，比上年决算减少216.14万元，其中：因公出国（境）支出0万元，与上年决算持平，公务接待费68.17万元，比上年决算减少2.9万元，公务用车运行维护费189.24万元，比上年决算减少213.24万元。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207" w:usb1="080F0000" w:usb2="00000010" w:usb3="00000000" w:csb0="00060007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2019-01-18T02:34:00Z</dcterms:created>
  <cp:lastModifiedBy>Administrator</cp:lastModifiedBy>
  <dcterms:modified xsi:type="dcterms:W3CDTF">2019-01-18T03:19:22Z</dcterms:modified>
  <dc:title>柳河县2017年三公经费情况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