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  <w:t>柳河县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转移支付情况</w:t>
      </w:r>
    </w:p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</w:pPr>
    </w:p>
    <w:p>
      <w:pPr>
        <w:spacing w:line="600" w:lineRule="exact"/>
        <w:ind w:firstLine="643" w:firstLineChars="200"/>
        <w:rPr>
          <w:rFonts w:hint="default" w:ascii="楷体_GB2312" w:hAnsi="楷体_GB2312" w:eastAsia="楷体_GB2312"/>
          <w:b/>
          <w:color w:val="000000"/>
          <w:sz w:val="32"/>
          <w:lang w:val="zh-CN"/>
        </w:rPr>
      </w:pPr>
      <w:r>
        <w:rPr>
          <w:rFonts w:hint="eastAsia" w:ascii="楷体_GB2312" w:hAnsi="楷体_GB2312" w:eastAsia="楷体_GB2312"/>
          <w:b/>
          <w:color w:val="000000"/>
          <w:sz w:val="32"/>
          <w:lang w:val="zh-CN"/>
        </w:rPr>
        <w:t>（一）一般性转移支付收入。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1、均衡性转移支付收入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52065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2、县级基本财力保障机制奖补资金收入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26298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/>
        </w:rPr>
        <w:t>3、结算补助收入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7856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4、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产粮油大县奖励资金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3575</w:t>
      </w:r>
      <w:r>
        <w:rPr>
          <w:rFonts w:hint="eastAsia" w:ascii="仿宋_GB2312" w:hAnsi="仿宋_GB2312" w:eastAsia="仿宋_GB2312"/>
          <w:color w:val="000000"/>
          <w:sz w:val="32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重点生态功能区转移支付收入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138万元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固定数额补助收入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23753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7、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革命老区转移支付收入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1896万元。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8、民族地区转移支付收入50万元。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9、</w:t>
      </w: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巩固脱贫攻坚成果衔接乡村振兴转移支付收入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5401万元。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公共安全共同财政事权转移支付收入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1821万元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11、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教育共同财政事权转移支付收入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8798万元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12、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文化旅游体育与传媒共同财政事权转移支付收入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713万元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13、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社会保障和就业共同财政事权转移支付收入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69761万元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14、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卫生健康共同财政事权转移支付收入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7418万元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15、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节能环保共同财政事权转移支付收入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10656万元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16、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农林水共同财政事权转移支付收入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33785万元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17、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交通运输共同财政事权转移支付收入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2090万元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 xml:space="preserve">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18、</w:t>
      </w:r>
      <w:r>
        <w:rPr>
          <w:rFonts w:hint="default" w:ascii="仿宋_GB2312" w:hAnsi="仿宋_GB2312" w:eastAsia="仿宋_GB2312"/>
          <w:color w:val="000000"/>
          <w:sz w:val="32"/>
          <w:lang w:val="zh-CN"/>
        </w:rPr>
        <w:t>住房保障共同财政事权转移支付收入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2531万元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19、灾害防治及应急管理共同财政事权转移支付收入-6万元。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20、其他一般性转移支付收入-156万元。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/>
          <w:b/>
          <w:color w:val="000000"/>
          <w:sz w:val="32"/>
          <w:lang w:val="zh-CN"/>
        </w:rPr>
      </w:pPr>
      <w:r>
        <w:rPr>
          <w:rFonts w:hint="eastAsia" w:ascii="楷体_GB2312" w:hAnsi="楷体_GB2312" w:eastAsia="楷体_GB2312"/>
          <w:b/>
          <w:color w:val="000000"/>
          <w:sz w:val="32"/>
          <w:lang w:val="zh-CN"/>
        </w:rPr>
        <w:t>（二）专项转移支付收入。</w:t>
      </w:r>
    </w:p>
    <w:p>
      <w:pPr>
        <w:spacing w:line="600" w:lineRule="exact"/>
        <w:ind w:firstLine="640" w:firstLineChars="200"/>
        <w:rPr>
          <w:rFonts w:hint="default" w:ascii="楷体_GB2312" w:hAnsi="楷体_GB2312" w:eastAsia="仿宋_GB2312"/>
          <w:b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公共安全专项收入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10万元。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、教育类专项收入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2400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3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、文化体育与传媒专项收入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1000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4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、社会保障和就业类专项收入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120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5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、卫生健康专项收入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2970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6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、节能环保专项收入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2100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7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、城乡社区专项收入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-494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>8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、农林水专项收入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3376</w:t>
      </w:r>
      <w:r>
        <w:rPr>
          <w:rFonts w:hint="eastAsia" w:ascii="仿宋_GB2312" w:hAnsi="仿宋_GB2312" w:eastAsia="仿宋_GB2312"/>
          <w:color w:val="000000"/>
          <w:sz w:val="32"/>
        </w:rPr>
        <w:t>万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9、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交通运输专项收入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6309万元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10、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资源勘探信息等专项收入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2331万。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、商业服务业等专项收入525万元。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</w:p>
    <w:p>
      <w:pPr>
        <w:spacing w:line="560" w:lineRule="exact"/>
        <w:ind w:firstLine="615"/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kMjNmNGYzODBmZjZkNTY4ZTA0ZGY3MTdmNjA0MDEifQ=="/>
  </w:docVars>
  <w:rsids>
    <w:rsidRoot w:val="00000000"/>
    <w:rsid w:val="70BD2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cp:lastPrinted>2017-10-31T02:46:00Z</cp:lastPrinted>
  <dcterms:modified xsi:type="dcterms:W3CDTF">2026-01-12T01:50:11Z</dcterms:modified>
  <dc:title>关于柳河县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D7A5853E4BBC42E2A9B6BF3735D482A9_12</vt:lpwstr>
  </property>
</Properties>
</file>