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jc w:val="left"/>
        <w:rPr>
          <w:rFonts w:hint="eastAsia" w:eastAsia="黑体"/>
          <w:sz w:val="28"/>
        </w:rPr>
      </w:pPr>
      <w:bookmarkStart w:id="1" w:name="_GoBack"/>
      <w:bookmarkEnd w:id="1"/>
    </w:p>
    <w:p>
      <w:pPr>
        <w:spacing w:line="600" w:lineRule="exact"/>
        <w:jc w:val="center"/>
        <w:rPr>
          <w:rFonts w:hint="eastAsia" w:ascii="方正小标宋简体" w:hAnsi="方正小标宋简体" w:eastAsia="方正小标宋简体"/>
          <w:color w:val="000000"/>
          <w:kern w:val="0"/>
          <w:sz w:val="44"/>
        </w:rPr>
      </w:pPr>
      <w:r>
        <w:rPr>
          <w:rFonts w:hint="eastAsia" w:ascii="方正小标宋简体" w:hAnsi="方正小标宋简体" w:eastAsia="方正小标宋简体"/>
          <w:color w:val="000000"/>
          <w:kern w:val="0"/>
          <w:sz w:val="44"/>
          <w:lang w:eastAsia="zh-CN"/>
        </w:rPr>
        <w:t>关于</w:t>
      </w:r>
      <w:r>
        <w:rPr>
          <w:rFonts w:hint="eastAsia" w:ascii="方正小标宋简体" w:hAnsi="方正小标宋简体" w:eastAsia="方正小标宋简体"/>
          <w:color w:val="000000"/>
          <w:kern w:val="0"/>
          <w:sz w:val="44"/>
        </w:rPr>
        <w:t>柳河县202</w:t>
      </w:r>
      <w:r>
        <w:rPr>
          <w:rFonts w:hint="eastAsia" w:ascii="方正小标宋简体" w:hAnsi="方正小标宋简体" w:eastAsia="方正小标宋简体"/>
          <w:color w:val="000000"/>
          <w:kern w:val="0"/>
          <w:sz w:val="44"/>
          <w:lang w:val="en-US" w:eastAsia="zh-CN"/>
        </w:rPr>
        <w:t>4</w:t>
      </w:r>
      <w:r>
        <w:rPr>
          <w:rFonts w:hint="eastAsia" w:ascii="方正小标宋简体" w:hAnsi="方正小标宋简体" w:eastAsia="方正小标宋简体"/>
          <w:color w:val="000000"/>
          <w:kern w:val="0"/>
          <w:sz w:val="44"/>
        </w:rPr>
        <w:t>年财政预算执行情况</w:t>
      </w:r>
    </w:p>
    <w:p>
      <w:pPr>
        <w:spacing w:line="600" w:lineRule="exact"/>
        <w:jc w:val="center"/>
        <w:rPr>
          <w:rFonts w:hint="eastAsia" w:ascii="方正小标宋简体" w:hAnsi="方正小标宋简体" w:eastAsia="方正小标宋简体"/>
          <w:color w:val="000000"/>
          <w:kern w:val="0"/>
          <w:sz w:val="44"/>
        </w:rPr>
      </w:pPr>
      <w:r>
        <w:rPr>
          <w:rFonts w:hint="eastAsia" w:ascii="方正小标宋简体" w:hAnsi="方正小标宋简体" w:eastAsia="方正小标宋简体"/>
          <w:color w:val="000000"/>
          <w:kern w:val="0"/>
          <w:sz w:val="44"/>
        </w:rPr>
        <w:t>和202</w:t>
      </w:r>
      <w:r>
        <w:rPr>
          <w:rFonts w:hint="eastAsia" w:ascii="方正小标宋简体" w:hAnsi="方正小标宋简体" w:eastAsia="方正小标宋简体"/>
          <w:color w:val="000000"/>
          <w:kern w:val="0"/>
          <w:sz w:val="44"/>
          <w:lang w:val="en-US" w:eastAsia="zh-CN"/>
        </w:rPr>
        <w:t>5</w:t>
      </w:r>
      <w:r>
        <w:rPr>
          <w:rFonts w:hint="eastAsia" w:ascii="方正小标宋简体" w:hAnsi="方正小标宋简体" w:eastAsia="方正小标宋简体"/>
          <w:color w:val="000000"/>
          <w:kern w:val="0"/>
          <w:sz w:val="44"/>
        </w:rPr>
        <w:t>年财政预算</w:t>
      </w:r>
      <w:r>
        <w:rPr>
          <w:rFonts w:hint="eastAsia" w:ascii="方正小标宋简体" w:hAnsi="方正小标宋简体" w:eastAsia="方正小标宋简体"/>
          <w:color w:val="000000"/>
          <w:kern w:val="0"/>
          <w:sz w:val="44"/>
          <w:lang w:eastAsia="zh-CN"/>
        </w:rPr>
        <w:t>（</w:t>
      </w:r>
      <w:r>
        <w:rPr>
          <w:rFonts w:hint="eastAsia" w:ascii="方正小标宋简体" w:hAnsi="方正小标宋简体" w:eastAsia="方正小标宋简体"/>
          <w:color w:val="000000"/>
          <w:kern w:val="0"/>
          <w:sz w:val="44"/>
        </w:rPr>
        <w:t>草案</w:t>
      </w:r>
      <w:r>
        <w:rPr>
          <w:rFonts w:hint="eastAsia" w:ascii="方正小标宋简体" w:hAnsi="方正小标宋简体" w:eastAsia="方正小标宋简体"/>
          <w:color w:val="000000"/>
          <w:kern w:val="0"/>
          <w:sz w:val="44"/>
          <w:lang w:eastAsia="zh-CN"/>
        </w:rPr>
        <w:t>）</w:t>
      </w:r>
      <w:r>
        <w:rPr>
          <w:rFonts w:hint="eastAsia" w:ascii="方正小标宋简体" w:hAnsi="方正小标宋简体" w:eastAsia="方正小标宋简体"/>
          <w:color w:val="000000"/>
          <w:kern w:val="0"/>
          <w:sz w:val="44"/>
        </w:rPr>
        <w:t>的报告</w:t>
      </w:r>
    </w:p>
    <w:p>
      <w:pPr>
        <w:adjustRightInd w:val="0"/>
        <w:snapToGrid w:val="0"/>
        <w:spacing w:line="600" w:lineRule="exact"/>
        <w:jc w:val="center"/>
        <w:rPr>
          <w:rFonts w:hint="eastAsia" w:ascii="楷体_GB2312" w:hAnsi="楷体_GB2312" w:eastAsia="楷体_GB2312" w:cs="楷体_GB2312"/>
          <w:sz w:val="34"/>
          <w:szCs w:val="34"/>
          <w:lang w:val="en-US" w:eastAsia="zh-CN"/>
        </w:rPr>
      </w:pPr>
    </w:p>
    <w:p>
      <w:pPr>
        <w:pStyle w:val="2"/>
        <w:jc w:val="center"/>
        <w:rPr>
          <w:rFonts w:hint="eastAsia" w:ascii="楷体" w:hAnsi="楷体" w:eastAsia="楷体" w:cs="楷体"/>
          <w:sz w:val="34"/>
          <w:szCs w:val="34"/>
          <w:lang w:val="en-US" w:eastAsia="zh-CN"/>
        </w:rPr>
      </w:pPr>
      <w:r>
        <w:rPr>
          <w:rFonts w:hint="eastAsia" w:ascii="楷体" w:hAnsi="楷体" w:eastAsia="楷体" w:cs="楷体"/>
          <w:sz w:val="34"/>
          <w:szCs w:val="34"/>
          <w:lang w:val="en-US" w:eastAsia="zh-CN"/>
        </w:rPr>
        <w:t>柳河县财政局</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000000"/>
          <w:sz w:val="34"/>
          <w:lang w:val="en-US" w:eastAsia="zh-CN"/>
        </w:rPr>
      </w:pPr>
      <w:r>
        <w:rPr>
          <w:rFonts w:hint="eastAsia" w:ascii="Times New Roman" w:hAnsi="Times New Roman" w:eastAsia="仿宋_GB2312"/>
          <w:color w:val="000000"/>
          <w:sz w:val="34"/>
          <w:lang w:val="en-US" w:eastAsia="zh-CN"/>
        </w:rPr>
        <w:t>关于柳河县202</w:t>
      </w:r>
      <w:r>
        <w:rPr>
          <w:rFonts w:hint="eastAsia" w:eastAsia="仿宋_GB2312"/>
          <w:color w:val="000000"/>
          <w:sz w:val="34"/>
          <w:lang w:val="en-US" w:eastAsia="zh-CN"/>
        </w:rPr>
        <w:t>4</w:t>
      </w:r>
      <w:r>
        <w:rPr>
          <w:rFonts w:hint="eastAsia" w:ascii="Times New Roman" w:hAnsi="Times New Roman" w:eastAsia="仿宋_GB2312"/>
          <w:color w:val="000000"/>
          <w:sz w:val="34"/>
          <w:lang w:val="en-US" w:eastAsia="zh-CN"/>
        </w:rPr>
        <w:t>年财政预算执行情况和202</w:t>
      </w:r>
      <w:r>
        <w:rPr>
          <w:rFonts w:hint="eastAsia" w:eastAsia="仿宋_GB2312"/>
          <w:color w:val="000000"/>
          <w:sz w:val="34"/>
          <w:lang w:val="en-US" w:eastAsia="zh-CN"/>
        </w:rPr>
        <w:t>5</w:t>
      </w:r>
      <w:r>
        <w:rPr>
          <w:rFonts w:hint="eastAsia" w:ascii="Times New Roman" w:hAnsi="Times New Roman" w:eastAsia="仿宋_GB2312"/>
          <w:color w:val="000000"/>
          <w:sz w:val="34"/>
          <w:lang w:val="en-US" w:eastAsia="zh-CN"/>
        </w:rPr>
        <w:t>年财政预算（草案）的报告如下：</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黑体" w:hAnsi="黑体" w:eastAsia="黑体" w:cs="黑体"/>
          <w:color w:val="auto"/>
          <w:sz w:val="34"/>
          <w:szCs w:val="34"/>
        </w:rPr>
      </w:pPr>
      <w:r>
        <w:rPr>
          <w:rFonts w:hint="eastAsia" w:ascii="黑体" w:hAnsi="黑体" w:eastAsia="黑体" w:cs="黑体"/>
          <w:color w:val="auto"/>
          <w:sz w:val="34"/>
          <w:szCs w:val="34"/>
        </w:rPr>
        <w:t>一、202</w:t>
      </w:r>
      <w:r>
        <w:rPr>
          <w:rFonts w:hint="eastAsia" w:ascii="黑体" w:hAnsi="黑体" w:eastAsia="黑体" w:cs="黑体"/>
          <w:color w:val="auto"/>
          <w:sz w:val="34"/>
          <w:szCs w:val="34"/>
          <w:lang w:val="en-US" w:eastAsia="zh-CN"/>
        </w:rPr>
        <w:t>4</w:t>
      </w:r>
      <w:r>
        <w:rPr>
          <w:rFonts w:hint="eastAsia" w:ascii="黑体" w:hAnsi="黑体" w:eastAsia="黑体" w:cs="黑体"/>
          <w:color w:val="auto"/>
          <w:sz w:val="34"/>
          <w:szCs w:val="34"/>
        </w:rPr>
        <w:t>年财政预算执行情况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2"/>
          <w:lang w:val="zh-CN"/>
        </w:rPr>
      </w:pPr>
      <w:r>
        <w:rPr>
          <w:rFonts w:hint="eastAsia" w:ascii="Times New Roman" w:hAnsi="Times New Roman" w:eastAsia="仿宋_GB2312"/>
          <w:color w:val="auto"/>
          <w:sz w:val="34"/>
        </w:rPr>
        <w:t>202</w:t>
      </w:r>
      <w:r>
        <w:rPr>
          <w:rFonts w:hint="eastAsia" w:ascii="Times New Roman" w:hAnsi="Times New Roman" w:eastAsia="仿宋_GB2312"/>
          <w:color w:val="auto"/>
          <w:sz w:val="34"/>
          <w:lang w:val="en-US" w:eastAsia="zh-CN"/>
        </w:rPr>
        <w:t>4</w:t>
      </w:r>
      <w:r>
        <w:rPr>
          <w:rFonts w:hint="eastAsia" w:ascii="Times New Roman" w:hAnsi="Times New Roman" w:eastAsia="仿宋_GB2312"/>
          <w:color w:val="auto"/>
          <w:sz w:val="34"/>
        </w:rPr>
        <w:t>年是</w:t>
      </w:r>
      <w:r>
        <w:rPr>
          <w:rFonts w:hint="eastAsia" w:ascii="Times New Roman" w:hAnsi="Times New Roman" w:eastAsia="仿宋_GB2312"/>
          <w:color w:val="auto"/>
          <w:sz w:val="34"/>
          <w:lang w:eastAsia="zh-CN"/>
        </w:rPr>
        <w:t>实施“十四五”规划的关键一年</w:t>
      </w:r>
      <w:r>
        <w:rPr>
          <w:rFonts w:hint="eastAsia" w:ascii="Times New Roman" w:hAnsi="Times New Roman" w:eastAsia="仿宋_GB2312"/>
          <w:color w:val="auto"/>
          <w:sz w:val="34"/>
        </w:rPr>
        <w:t>。今年以来，面对复杂严峻的国际环境和艰巨繁重的国内改革发展稳定任务，</w:t>
      </w:r>
      <w:r>
        <w:rPr>
          <w:rFonts w:hint="eastAsia" w:ascii="Times New Roman" w:hAnsi="Times New Roman" w:eastAsia="仿宋_GB2312"/>
          <w:color w:val="auto"/>
          <w:sz w:val="34"/>
          <w:lang w:val="zh-CN"/>
        </w:rPr>
        <w:t>在县委、县政府的正确部署下，</w:t>
      </w:r>
      <w:r>
        <w:rPr>
          <w:rFonts w:hint="eastAsia" w:ascii="Times New Roman" w:hAnsi="Times New Roman" w:eastAsia="仿宋_GB2312"/>
          <w:color w:val="auto"/>
          <w:sz w:val="34"/>
        </w:rPr>
        <w:t>以习近平新时代中国特色社会主义思想为指导，全面贯彻落实党的二十大和</w:t>
      </w:r>
      <w:r>
        <w:rPr>
          <w:rFonts w:hint="eastAsia" w:ascii="Times New Roman" w:hAnsi="Times New Roman" w:eastAsia="仿宋_GB2312"/>
          <w:color w:val="auto"/>
          <w:sz w:val="34"/>
          <w:lang w:eastAsia="zh-CN"/>
        </w:rPr>
        <w:t>二十届</w:t>
      </w:r>
      <w:r>
        <w:rPr>
          <w:rFonts w:hint="eastAsia" w:eastAsia="仿宋_GB2312"/>
          <w:color w:val="auto"/>
          <w:sz w:val="34"/>
          <w:lang w:eastAsia="zh-CN"/>
        </w:rPr>
        <w:t>三</w:t>
      </w:r>
      <w:r>
        <w:rPr>
          <w:rFonts w:hint="eastAsia" w:ascii="Times New Roman" w:hAnsi="Times New Roman" w:eastAsia="仿宋_GB2312"/>
          <w:color w:val="auto"/>
          <w:sz w:val="34"/>
          <w:lang w:eastAsia="zh-CN"/>
        </w:rPr>
        <w:t>中全会</w:t>
      </w:r>
      <w:r>
        <w:rPr>
          <w:rFonts w:hint="eastAsia" w:ascii="Times New Roman" w:hAnsi="Times New Roman" w:eastAsia="仿宋_GB2312"/>
          <w:color w:val="auto"/>
          <w:sz w:val="34"/>
        </w:rPr>
        <w:t>精神，</w:t>
      </w:r>
      <w:r>
        <w:rPr>
          <w:rFonts w:hint="eastAsia" w:ascii="Times New Roman" w:hAnsi="Times New Roman" w:eastAsia="仿宋_GB2312"/>
          <w:color w:val="auto"/>
          <w:sz w:val="34"/>
          <w:lang w:eastAsia="zh-CN"/>
        </w:rPr>
        <w:t>深入贯彻习近平总书记在新时代推动东北全面振兴座谈会上的重要讲话精神，</w:t>
      </w:r>
      <w:r>
        <w:rPr>
          <w:rFonts w:hint="eastAsia" w:ascii="Times New Roman" w:hAnsi="Times New Roman" w:eastAsia="仿宋_GB2312"/>
          <w:color w:val="auto"/>
          <w:sz w:val="34"/>
        </w:rPr>
        <w:t>完整、准确、全面贯彻新发展理念，加快融入和服务</w:t>
      </w:r>
      <w:r>
        <w:rPr>
          <w:rFonts w:hint="eastAsia" w:ascii="Times New Roman" w:hAnsi="Times New Roman" w:eastAsia="仿宋_GB2312"/>
          <w:color w:val="auto"/>
          <w:sz w:val="34"/>
          <w:lang w:eastAsia="zh-CN"/>
        </w:rPr>
        <w:t>构建</w:t>
      </w:r>
      <w:r>
        <w:rPr>
          <w:rFonts w:hint="eastAsia" w:ascii="Times New Roman" w:hAnsi="Times New Roman" w:eastAsia="仿宋_GB2312"/>
          <w:color w:val="auto"/>
          <w:sz w:val="34"/>
        </w:rPr>
        <w:t>新发展格局，</w:t>
      </w:r>
      <w:r>
        <w:rPr>
          <w:rFonts w:hint="eastAsia" w:ascii="Times New Roman" w:hAnsi="Times New Roman" w:eastAsia="仿宋_GB2312"/>
          <w:color w:val="auto"/>
          <w:sz w:val="34"/>
          <w:lang w:eastAsia="zh-CN"/>
        </w:rPr>
        <w:t>着力推动高质量发展，</w:t>
      </w:r>
      <w:r>
        <w:rPr>
          <w:rFonts w:hint="eastAsia" w:ascii="Times New Roman" w:hAnsi="Times New Roman" w:eastAsia="仿宋_GB2312"/>
          <w:color w:val="auto"/>
          <w:sz w:val="34"/>
          <w:lang w:val="zh-CN"/>
        </w:rPr>
        <w:t>我县各项财政工作扎实推进，财政平稳运行，预算执行情况较好。</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楷体" w:hAnsi="楷体" w:eastAsia="楷体" w:cs="楷体"/>
          <w:color w:val="auto"/>
          <w:sz w:val="34"/>
          <w:szCs w:val="34"/>
        </w:rPr>
      </w:pPr>
      <w:r>
        <w:rPr>
          <w:rFonts w:hint="eastAsia" w:ascii="楷体" w:hAnsi="楷体" w:eastAsia="楷体" w:cs="楷体"/>
          <w:color w:val="auto"/>
          <w:sz w:val="34"/>
          <w:szCs w:val="34"/>
        </w:rPr>
        <w:t>（一）财政收入情况。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szCs w:val="22"/>
          <w:lang w:val="en-US" w:eastAsia="zh-CN"/>
        </w:rPr>
      </w:pPr>
      <w:r>
        <w:rPr>
          <w:rFonts w:hint="eastAsia" w:ascii="Times New Roman" w:hAnsi="Times New Roman" w:eastAsia="仿宋_GB2312"/>
          <w:color w:val="auto"/>
          <w:sz w:val="34"/>
          <w:szCs w:val="22"/>
          <w:lang w:val="zh-CN"/>
        </w:rPr>
        <w:t>预计年末，全县地方级财政收入完成</w:t>
      </w:r>
      <w:r>
        <w:rPr>
          <w:rFonts w:hint="eastAsia" w:ascii="Times New Roman" w:hAnsi="Times New Roman" w:eastAsia="仿宋_GB2312"/>
          <w:color w:val="auto"/>
          <w:sz w:val="34"/>
          <w:szCs w:val="22"/>
          <w:lang w:val="en-US" w:eastAsia="zh-CN"/>
        </w:rPr>
        <w:t>2.05亿元</w:t>
      </w:r>
      <w:r>
        <w:rPr>
          <w:rFonts w:hint="eastAsia" w:ascii="Times New Roman" w:hAnsi="Times New Roman" w:eastAsia="仿宋_GB2312"/>
          <w:color w:val="auto"/>
          <w:sz w:val="34"/>
          <w:szCs w:val="22"/>
          <w:lang w:val="zh-CN"/>
        </w:rPr>
        <w:t>，较上年完成数3.81亿元下降46.2%。其中，税收收入完成1.17亿元，同比下降23.3%；非税收入完成0.88亿元，同比下降61.6%</w:t>
      </w:r>
      <w:r>
        <w:rPr>
          <w:rFonts w:hint="eastAsia" w:ascii="Times New Roman" w:hAnsi="Times New Roman" w:eastAsia="仿宋_GB2312"/>
          <w:color w:val="auto"/>
          <w:sz w:val="34"/>
          <w:szCs w:val="22"/>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80" w:firstLineChars="200"/>
        <w:textAlignment w:val="auto"/>
        <w:rPr>
          <w:rFonts w:hint="eastAsia" w:ascii="楷体" w:hAnsi="楷体" w:eastAsia="楷体" w:cs="楷体"/>
          <w:color w:val="auto"/>
          <w:sz w:val="34"/>
          <w:szCs w:val="34"/>
        </w:rPr>
      </w:pPr>
      <w:r>
        <w:rPr>
          <w:rFonts w:hint="eastAsia" w:ascii="楷体" w:hAnsi="楷体" w:eastAsia="楷体" w:cs="楷体"/>
          <w:color w:val="auto"/>
          <w:sz w:val="34"/>
          <w:szCs w:val="34"/>
        </w:rPr>
        <w:t>（二）财政支出情况。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lang w:val="zh-CN"/>
        </w:rPr>
      </w:pPr>
      <w:r>
        <w:rPr>
          <w:rFonts w:hint="eastAsia" w:ascii="Times New Roman" w:hAnsi="Times New Roman" w:eastAsia="仿宋_GB2312"/>
          <w:color w:val="auto"/>
          <w:sz w:val="34"/>
          <w:lang w:val="zh-CN"/>
        </w:rPr>
        <w:t>预计年末，一般公共预算财政支出完成35.18亿元，同比增长3.4%。其中，一般公共服务支出</w:t>
      </w:r>
      <w:r>
        <w:rPr>
          <w:rFonts w:hint="eastAsia" w:eastAsia="仿宋_GB2312"/>
          <w:color w:val="auto"/>
          <w:sz w:val="34"/>
          <w:lang w:val="en-US" w:eastAsia="zh-CN"/>
        </w:rPr>
        <w:t>4.48</w:t>
      </w:r>
      <w:r>
        <w:rPr>
          <w:rFonts w:hint="eastAsia" w:ascii="Times New Roman" w:hAnsi="Times New Roman" w:eastAsia="仿宋_GB2312"/>
          <w:color w:val="auto"/>
          <w:sz w:val="34"/>
          <w:lang w:val="zh-CN"/>
        </w:rPr>
        <w:t>亿元，同比下降5%；国防支出0.03亿元，同比下降32.4%；公共安全支出1.19亿元，同比增长14.4%；教育支出4.36亿元，同比增长2.7%；科学技术支出0.03亿元，同比下降27.7%；文化旅游体育与传媒支出0.48亿元，同比下降9.2%；社会保障和就业支出8.26亿元，同比增长11.1%；卫生健康支出2.06亿元，同比下降14.5%；节能环保支出0.79亿元，同比增长37.7%；城乡社区事务支出2.2亿元，同比下降25.5%；农林水事务支出7.29亿元，同比增长25.9%；交通运输支出0.46亿元，同比下降36.8%；资源勘探信息等支出0.16亿元，同比下降73.1%；商业服务业支出0.08亿元，同比增长40.9%；金融支出0.003亿元，同比增长100%；自然资源海洋气象等事务支出0.48亿元，同比下降42.3%；住房保障支出1.38亿元，同比增长46.2%；粮油物资储备支出0.1亿元，同比下降39.5%；灾害防治及应急管理支出0.22亿元，同比下降1.5%；预备费支出0.38亿元，同比增长100%；债务付息支出0.75亿元，同比增长4.3%；债务发行费用支出0.002亿元，同比下降46%。</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楷体" w:hAnsi="楷体" w:eastAsia="楷体" w:cs="楷体"/>
          <w:color w:val="auto"/>
          <w:sz w:val="34"/>
          <w:szCs w:val="34"/>
        </w:rPr>
      </w:pPr>
      <w:r>
        <w:rPr>
          <w:rFonts w:hint="eastAsia" w:ascii="楷体" w:hAnsi="楷体" w:eastAsia="楷体" w:cs="楷体"/>
          <w:color w:val="auto"/>
          <w:sz w:val="34"/>
          <w:szCs w:val="34"/>
        </w:rPr>
        <w:t>（三）收支平衡情况。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lang w:val="zh-CN"/>
        </w:rPr>
      </w:pPr>
      <w:r>
        <w:rPr>
          <w:rFonts w:hint="eastAsia" w:ascii="Times New Roman" w:hAnsi="Times New Roman" w:eastAsia="仿宋_GB2312"/>
          <w:color w:val="auto"/>
          <w:sz w:val="34"/>
          <w:lang w:val="zh-CN"/>
        </w:rPr>
        <w:t>预计年末，一般预算总收入50.09亿元。其中，体制收入2.05亿元，上级补助收入28.33亿元，地方政府一般债务转贷收入2.11亿元，上年结转收入4.94亿元，调入资金0.3亿元，动用预算稳定调节基金12.36亿元；一般预算总支出50.09亿元，其中，一般预算财政支出35.18亿元，上解上级支出0.85亿元，补充预算周转金6.19亿元，地方政府一般债券还本支出1.71亿元。收入与支出相抵，年终结余6.16亿元，结转下年支出6.16亿元，实现了一般公共预算当年收支平衡。</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楷体" w:hAnsi="楷体" w:eastAsia="楷体" w:cs="楷体"/>
          <w:b/>
          <w:color w:val="auto"/>
          <w:sz w:val="34"/>
          <w:szCs w:val="34"/>
        </w:rPr>
      </w:pPr>
      <w:r>
        <w:rPr>
          <w:rFonts w:hint="eastAsia" w:ascii="楷体" w:hAnsi="楷体" w:eastAsia="楷体" w:cs="楷体"/>
          <w:color w:val="auto"/>
          <w:sz w:val="34"/>
          <w:szCs w:val="34"/>
        </w:rPr>
        <w:t>（四）基金收支情况。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highlight w:val="none"/>
          <w:lang w:val="zh-CN"/>
        </w:rPr>
      </w:pPr>
      <w:r>
        <w:rPr>
          <w:rFonts w:hint="eastAsia" w:ascii="Times New Roman" w:hAnsi="Times New Roman" w:eastAsia="仿宋_GB2312"/>
          <w:color w:val="auto"/>
          <w:sz w:val="34"/>
          <w:highlight w:val="none"/>
          <w:lang w:val="zh-CN"/>
        </w:rPr>
        <w:t>预计年末，基金预算总收入18.23亿元，较上年完成数增长204.9%。其中：基金预算收入1.04亿元，上级补助收入7.45亿元，调入资金0.45亿元，专项债务转贷收入7.78亿元，上年结余1.51亿元；基金预算总支出18.23亿元，其中：基金预算支出3.35亿元，专项债务还本支出5.92亿元，年终结余8.96亿元，实现了基金预算当年收支平衡。</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黑体" w:hAnsi="黑体" w:eastAsia="黑体" w:cs="黑体"/>
          <w:color w:val="auto"/>
          <w:sz w:val="34"/>
          <w:szCs w:val="34"/>
        </w:rPr>
      </w:pPr>
      <w:r>
        <w:rPr>
          <w:rFonts w:hint="eastAsia" w:ascii="黑体" w:hAnsi="黑体" w:eastAsia="黑体" w:cs="黑体"/>
          <w:color w:val="auto"/>
          <w:sz w:val="34"/>
          <w:szCs w:val="34"/>
        </w:rPr>
        <w:t>二、202</w:t>
      </w:r>
      <w:r>
        <w:rPr>
          <w:rFonts w:hint="eastAsia" w:ascii="黑体" w:hAnsi="黑体" w:eastAsia="黑体" w:cs="黑体"/>
          <w:color w:val="auto"/>
          <w:sz w:val="34"/>
          <w:szCs w:val="34"/>
          <w:lang w:val="en-US" w:eastAsia="zh-CN"/>
        </w:rPr>
        <w:t>4</w:t>
      </w:r>
      <w:r>
        <w:rPr>
          <w:rFonts w:hint="eastAsia" w:ascii="黑体" w:hAnsi="黑体" w:eastAsia="黑体" w:cs="黑体"/>
          <w:color w:val="auto"/>
          <w:sz w:val="34"/>
          <w:szCs w:val="34"/>
        </w:rPr>
        <w:t>年财政主要工作情况</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2"/>
          <w:highlight w:val="green"/>
        </w:rPr>
      </w:pPr>
      <w:r>
        <w:rPr>
          <w:rFonts w:hint="eastAsia" w:ascii="Times New Roman" w:hAnsi="Times New Roman" w:eastAsia="仿宋_GB2312"/>
          <w:color w:val="auto"/>
          <w:sz w:val="34"/>
          <w:szCs w:val="34"/>
        </w:rPr>
        <w:t>为确保财政收入目标和预算执行到位，我们主要做了以下几项工作：</w:t>
      </w:r>
    </w:p>
    <w:p>
      <w:pPr>
        <w:keepNext w:val="0"/>
        <w:keepLines w:val="0"/>
        <w:pageBreakBefore w:val="0"/>
        <w:widowControl w:val="0"/>
        <w:numPr>
          <w:ilvl w:val="0"/>
          <w:numId w:val="1"/>
        </w:numPr>
        <w:kinsoku/>
        <w:wordWrap/>
        <w:overflowPunct/>
        <w:topLinePunct w:val="0"/>
        <w:bidi w:val="0"/>
        <w:snapToGrid/>
        <w:spacing w:beforeLines="0" w:line="580" w:lineRule="exact"/>
        <w:ind w:firstLine="680" w:firstLineChars="200"/>
        <w:textAlignment w:val="auto"/>
        <w:rPr>
          <w:rFonts w:hint="eastAsia" w:ascii="楷体" w:hAnsi="楷体" w:eastAsia="楷体" w:cs="楷体"/>
          <w:color w:val="auto"/>
          <w:sz w:val="34"/>
          <w:szCs w:val="34"/>
        </w:rPr>
      </w:pPr>
      <w:r>
        <w:rPr>
          <w:rFonts w:hint="eastAsia" w:ascii="楷体" w:hAnsi="楷体" w:eastAsia="楷体" w:cs="楷体"/>
          <w:sz w:val="34"/>
          <w:szCs w:val="34"/>
          <w:lang w:eastAsia="zh-CN"/>
        </w:rPr>
        <w:t>加大财政政策调节力度，打好政策组合拳</w:t>
      </w:r>
      <w:r>
        <w:rPr>
          <w:rFonts w:hint="eastAsia" w:ascii="楷体" w:hAnsi="楷体" w:eastAsia="楷体" w:cs="楷体"/>
          <w:sz w:val="34"/>
          <w:szCs w:val="34"/>
        </w:rPr>
        <w:t>。</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000000"/>
          <w:kern w:val="0"/>
          <w:sz w:val="34"/>
        </w:rPr>
      </w:pPr>
      <w:r>
        <w:rPr>
          <w:rFonts w:hint="eastAsia" w:ascii="Times New Roman" w:hAnsi="Times New Roman" w:eastAsia="仿宋_GB2312" w:cs="仿宋_GB2312"/>
          <w:color w:val="auto"/>
          <w:sz w:val="34"/>
          <w:szCs w:val="32"/>
        </w:rPr>
        <w:t>一是积极</w:t>
      </w:r>
      <w:r>
        <w:rPr>
          <w:rFonts w:hint="eastAsia" w:ascii="Times New Roman" w:hAnsi="Times New Roman" w:eastAsia="仿宋_GB2312" w:cs="仿宋_GB2312"/>
          <w:color w:val="auto"/>
          <w:sz w:val="34"/>
          <w:szCs w:val="32"/>
          <w:lang w:eastAsia="zh-CN"/>
        </w:rPr>
        <w:t>组织收入，强化征管</w:t>
      </w:r>
      <w:r>
        <w:rPr>
          <w:rFonts w:hint="eastAsia" w:ascii="Times New Roman" w:hAnsi="Times New Roman" w:eastAsia="仿宋_GB2312" w:cs="仿宋_GB2312"/>
          <w:color w:val="auto"/>
          <w:sz w:val="34"/>
          <w:szCs w:val="32"/>
        </w:rPr>
        <w:t>。</w:t>
      </w:r>
      <w:r>
        <w:rPr>
          <w:rFonts w:hint="eastAsia" w:ascii="Times New Roman" w:hAnsi="Times New Roman" w:eastAsia="仿宋_GB2312" w:cs="仿宋_GB2312"/>
          <w:color w:val="000000"/>
          <w:sz w:val="34"/>
          <w:szCs w:val="32"/>
          <w:shd w:val="clear" w:color="auto" w:fill="FFFFFF"/>
        </w:rPr>
        <w:t>面对严峻的经济形势，加强与税务等部门的密切配合、协调联动，强化收入征管，疏通财政“进水口”，确保财政收入及时入库。</w:t>
      </w:r>
      <w:r>
        <w:rPr>
          <w:rFonts w:hint="eastAsia" w:ascii="Times New Roman" w:hAnsi="Times New Roman" w:eastAsia="仿宋_GB2312" w:cs="仿宋_GB2312"/>
          <w:color w:val="auto"/>
          <w:sz w:val="34"/>
          <w:szCs w:val="32"/>
        </w:rPr>
        <w:t>二是</w:t>
      </w:r>
      <w:r>
        <w:rPr>
          <w:rFonts w:hint="eastAsia" w:ascii="Times New Roman" w:hAnsi="Times New Roman" w:eastAsia="仿宋_GB2312" w:cs="仿宋_GB2312"/>
          <w:sz w:val="34"/>
          <w:szCs w:val="32"/>
          <w:lang w:val="en-US" w:eastAsia="zh-CN"/>
        </w:rPr>
        <w:t>进一步完善减税降费政策。按照“应返则返、应调则调”的思路，落实好上级制定的退税、减税、降费有关政策。截至目前，新增减税降费及退税共计13564.67万元，其中，新增减税降费5909.53万元，增值税留抵退税7655.14万元。</w:t>
      </w:r>
      <w:r>
        <w:rPr>
          <w:rFonts w:hint="eastAsia" w:ascii="Times New Roman" w:hAnsi="Times New Roman" w:eastAsia="仿宋_GB2312" w:cs="仿宋_GB2312"/>
          <w:b w:val="0"/>
          <w:bCs w:val="0"/>
          <w:color w:val="000000"/>
          <w:sz w:val="34"/>
          <w:szCs w:val="32"/>
          <w:shd w:val="clear" w:color="auto" w:fill="FFFFFF"/>
          <w:lang w:eastAsia="zh-CN"/>
        </w:rPr>
        <w:t>三</w:t>
      </w:r>
      <w:r>
        <w:rPr>
          <w:rFonts w:hint="eastAsia" w:ascii="Times New Roman" w:hAnsi="Times New Roman" w:eastAsia="仿宋_GB2312" w:cs="仿宋_GB2312"/>
          <w:b w:val="0"/>
          <w:bCs w:val="0"/>
          <w:color w:val="000000"/>
          <w:sz w:val="34"/>
          <w:szCs w:val="32"/>
          <w:shd w:val="clear" w:color="auto" w:fill="FFFFFF"/>
        </w:rPr>
        <w:t>是积极主动争</w:t>
      </w:r>
      <w:r>
        <w:rPr>
          <w:rFonts w:hint="eastAsia" w:ascii="Times New Roman" w:hAnsi="Times New Roman" w:eastAsia="仿宋_GB2312" w:cs="仿宋_GB2312"/>
          <w:b w:val="0"/>
          <w:bCs w:val="0"/>
          <w:color w:val="000000"/>
          <w:sz w:val="34"/>
          <w:szCs w:val="32"/>
          <w:shd w:val="clear" w:color="auto" w:fill="FFFFFF"/>
          <w:lang w:eastAsia="zh-CN"/>
        </w:rPr>
        <w:t>取</w:t>
      </w:r>
      <w:r>
        <w:rPr>
          <w:rFonts w:hint="eastAsia" w:ascii="Times New Roman" w:hAnsi="Times New Roman" w:eastAsia="仿宋_GB2312" w:cs="仿宋_GB2312"/>
          <w:b w:val="0"/>
          <w:bCs w:val="0"/>
          <w:color w:val="000000"/>
          <w:sz w:val="34"/>
          <w:szCs w:val="32"/>
          <w:shd w:val="clear" w:color="auto" w:fill="FFFFFF"/>
        </w:rPr>
        <w:t>资金。</w:t>
      </w:r>
      <w:r>
        <w:rPr>
          <w:rFonts w:hint="eastAsia" w:ascii="Times New Roman" w:hAnsi="Times New Roman" w:eastAsia="仿宋_GB2312" w:cs="仿宋_GB2312"/>
          <w:color w:val="000000"/>
          <w:sz w:val="34"/>
          <w:szCs w:val="32"/>
          <w:shd w:val="clear" w:color="auto" w:fill="FFFFFF"/>
        </w:rPr>
        <w:t>聚焦各类政策和资金投向</w:t>
      </w:r>
      <w:r>
        <w:rPr>
          <w:rFonts w:hint="eastAsia" w:eastAsia="仿宋_GB2312" w:cs="仿宋_GB2312"/>
          <w:color w:val="000000"/>
          <w:sz w:val="34"/>
          <w:szCs w:val="32"/>
          <w:shd w:val="clear" w:color="auto" w:fill="FFFFFF"/>
          <w:lang w:eastAsia="zh-CN"/>
        </w:rPr>
        <w:t>，</w:t>
      </w:r>
      <w:r>
        <w:rPr>
          <w:rFonts w:hint="eastAsia" w:ascii="Times New Roman" w:hAnsi="Times New Roman" w:eastAsia="仿宋_GB2312" w:cs="仿宋_GB2312"/>
          <w:color w:val="000000"/>
          <w:sz w:val="34"/>
          <w:szCs w:val="32"/>
          <w:shd w:val="clear" w:color="auto" w:fill="FFFFFF"/>
        </w:rPr>
        <w:t>周密谋划部署</w:t>
      </w:r>
      <w:r>
        <w:rPr>
          <w:rFonts w:hint="eastAsia" w:eastAsia="仿宋_GB2312" w:cs="仿宋_GB2312"/>
          <w:color w:val="000000"/>
          <w:sz w:val="34"/>
          <w:szCs w:val="32"/>
          <w:shd w:val="clear" w:color="auto" w:fill="FFFFFF"/>
          <w:lang w:eastAsia="zh-CN"/>
        </w:rPr>
        <w:t>，</w:t>
      </w:r>
      <w:r>
        <w:rPr>
          <w:rFonts w:hint="eastAsia" w:ascii="Times New Roman" w:hAnsi="Times New Roman" w:eastAsia="仿宋_GB2312" w:cs="仿宋_GB2312"/>
          <w:color w:val="000000"/>
          <w:sz w:val="34"/>
          <w:szCs w:val="32"/>
          <w:shd w:val="clear" w:color="auto" w:fill="FFFFFF"/>
        </w:rPr>
        <w:t>跑厅进局对接</w:t>
      </w:r>
      <w:r>
        <w:rPr>
          <w:rFonts w:hint="eastAsia" w:eastAsia="仿宋_GB2312" w:cs="仿宋_GB2312"/>
          <w:color w:val="000000"/>
          <w:sz w:val="34"/>
          <w:szCs w:val="32"/>
          <w:shd w:val="clear" w:color="auto" w:fill="FFFFFF"/>
          <w:lang w:eastAsia="zh-CN"/>
        </w:rPr>
        <w:t>，</w:t>
      </w:r>
      <w:r>
        <w:rPr>
          <w:rFonts w:hint="eastAsia" w:ascii="Times New Roman" w:hAnsi="Times New Roman" w:eastAsia="仿宋_GB2312" w:cs="仿宋_GB2312"/>
          <w:color w:val="000000"/>
          <w:sz w:val="34"/>
          <w:szCs w:val="32"/>
          <w:shd w:val="clear" w:color="auto" w:fill="FFFFFF"/>
        </w:rPr>
        <w:t>加大项目争取资金力度</w:t>
      </w:r>
      <w:r>
        <w:rPr>
          <w:rFonts w:hint="eastAsia" w:eastAsia="仿宋_GB2312" w:cs="仿宋_GB2312"/>
          <w:color w:val="000000"/>
          <w:sz w:val="34"/>
          <w:szCs w:val="32"/>
          <w:shd w:val="clear" w:color="auto" w:fill="FFFFFF"/>
          <w:lang w:eastAsia="zh-CN"/>
        </w:rPr>
        <w:t>，</w:t>
      </w:r>
      <w:r>
        <w:rPr>
          <w:rFonts w:hint="eastAsia" w:ascii="Times New Roman" w:hAnsi="Times New Roman" w:eastAsia="仿宋_GB2312" w:cs="仿宋_GB2312"/>
          <w:color w:val="000000"/>
          <w:sz w:val="34"/>
          <w:szCs w:val="32"/>
          <w:shd w:val="clear" w:color="auto" w:fill="FFFFFF"/>
        </w:rPr>
        <w:t>增加县级可用财力。预计全年，向上争取转移支付资金3</w:t>
      </w:r>
      <w:r>
        <w:rPr>
          <w:rFonts w:hint="eastAsia" w:ascii="Times New Roman" w:hAnsi="Times New Roman" w:eastAsia="仿宋_GB2312" w:cs="仿宋_GB2312"/>
          <w:color w:val="000000"/>
          <w:sz w:val="34"/>
          <w:szCs w:val="32"/>
          <w:shd w:val="clear" w:color="auto" w:fill="FFFFFF"/>
          <w:lang w:val="en-US" w:eastAsia="zh-CN"/>
        </w:rPr>
        <w:t>4.5</w:t>
      </w:r>
      <w:r>
        <w:rPr>
          <w:rFonts w:hint="eastAsia" w:ascii="Times New Roman" w:hAnsi="Times New Roman" w:eastAsia="仿宋_GB2312" w:cs="仿宋_GB2312"/>
          <w:color w:val="000000"/>
          <w:sz w:val="34"/>
          <w:szCs w:val="32"/>
          <w:shd w:val="clear" w:color="auto" w:fill="FFFFFF"/>
        </w:rPr>
        <w:t>亿元（不含债券资金）。</w:t>
      </w:r>
      <w:r>
        <w:rPr>
          <w:rFonts w:hint="eastAsia" w:ascii="Times New Roman" w:hAnsi="Times New Roman" w:eastAsia="仿宋_GB2312"/>
          <w:color w:val="000000"/>
          <w:kern w:val="0"/>
          <w:sz w:val="34"/>
        </w:rPr>
        <w:t>四是争取再融资债券资金，延缓偿债期限，减轻当期偿债压力。发行再融资债券资金26070万元。</w:t>
      </w:r>
      <w:r>
        <w:rPr>
          <w:rFonts w:hint="eastAsia" w:eastAsia="仿宋_GB2312"/>
          <w:color w:val="000000"/>
          <w:kern w:val="0"/>
          <w:sz w:val="34"/>
          <w:lang w:eastAsia="zh-CN"/>
        </w:rPr>
        <w:t>谋划</w:t>
      </w:r>
      <w:r>
        <w:rPr>
          <w:rFonts w:hint="eastAsia" w:ascii="Times New Roman" w:hAnsi="Times New Roman" w:eastAsia="仿宋_GB2312"/>
          <w:color w:val="000000"/>
          <w:kern w:val="0"/>
          <w:sz w:val="34"/>
        </w:rPr>
        <w:t>新增债券项目46个，其中：一般债券项目22个，专项债券项目24个</w:t>
      </w:r>
      <w:r>
        <w:rPr>
          <w:rFonts w:hint="eastAsia" w:eastAsia="仿宋_GB2312"/>
          <w:color w:val="000000"/>
          <w:kern w:val="0"/>
          <w:sz w:val="34"/>
          <w:lang w:eastAsia="zh-CN"/>
        </w:rPr>
        <w:t>，</w:t>
      </w:r>
      <w:r>
        <w:rPr>
          <w:rFonts w:hint="eastAsia" w:ascii="Times New Roman" w:hAnsi="Times New Roman" w:eastAsia="仿宋_GB2312"/>
          <w:color w:val="000000"/>
          <w:kern w:val="0"/>
          <w:sz w:val="34"/>
        </w:rPr>
        <w:t>到位资金</w:t>
      </w:r>
      <w:r>
        <w:rPr>
          <w:rFonts w:hint="eastAsia" w:eastAsia="仿宋_GB2312"/>
          <w:color w:val="000000"/>
          <w:kern w:val="0"/>
          <w:sz w:val="34"/>
          <w:lang w:eastAsia="zh-CN"/>
        </w:rPr>
        <w:t>共</w:t>
      </w:r>
      <w:r>
        <w:rPr>
          <w:rFonts w:hint="eastAsia" w:ascii="Times New Roman" w:hAnsi="Times New Roman" w:eastAsia="仿宋_GB2312"/>
          <w:color w:val="000000"/>
          <w:kern w:val="0"/>
          <w:sz w:val="34"/>
        </w:rPr>
        <w:t>28470万元。</w:t>
      </w:r>
      <w:r>
        <w:rPr>
          <w:rFonts w:hint="eastAsia" w:ascii="Times New Roman" w:hAnsi="Times New Roman" w:eastAsia="仿宋_GB2312" w:cs="仿宋_GB2312"/>
          <w:color w:val="000000"/>
          <w:sz w:val="34"/>
          <w:szCs w:val="32"/>
          <w:shd w:val="clear" w:color="auto" w:fill="FFFFFF"/>
          <w:lang w:eastAsia="zh-CN"/>
        </w:rPr>
        <w:t>五</w:t>
      </w:r>
      <w:r>
        <w:rPr>
          <w:rFonts w:hint="eastAsia" w:ascii="Times New Roman" w:hAnsi="Times New Roman" w:eastAsia="仿宋_GB2312" w:cs="仿宋_GB2312"/>
          <w:color w:val="000000"/>
          <w:sz w:val="34"/>
          <w:szCs w:val="32"/>
          <w:shd w:val="clear" w:color="auto" w:fill="FFFFFF"/>
        </w:rPr>
        <w:t>是多措并举盘</w:t>
      </w:r>
      <w:r>
        <w:rPr>
          <w:rFonts w:hint="eastAsia" w:ascii="Times New Roman" w:hAnsi="Times New Roman" w:eastAsia="仿宋_GB2312" w:cs="仿宋_GB2312"/>
          <w:color w:val="000000"/>
          <w:sz w:val="34"/>
          <w:szCs w:val="32"/>
          <w:shd w:val="clear" w:color="auto" w:fill="FFFFFF"/>
          <w:lang w:eastAsia="zh-CN"/>
        </w:rPr>
        <w:t>活</w:t>
      </w:r>
      <w:r>
        <w:rPr>
          <w:rFonts w:hint="eastAsia" w:ascii="Times New Roman" w:hAnsi="Times New Roman" w:eastAsia="仿宋_GB2312" w:cs="仿宋_GB2312"/>
          <w:color w:val="000000"/>
          <w:sz w:val="34"/>
          <w:szCs w:val="32"/>
          <w:shd w:val="clear" w:color="auto" w:fill="FFFFFF"/>
        </w:rPr>
        <w:t>资产。</w:t>
      </w:r>
      <w:r>
        <w:rPr>
          <w:rFonts w:hint="eastAsia" w:ascii="Times New Roman" w:hAnsi="Times New Roman" w:eastAsia="仿宋_GB2312" w:cs="仿宋_GB2312"/>
          <w:kern w:val="2"/>
          <w:sz w:val="34"/>
          <w:szCs w:val="32"/>
          <w:highlight w:val="none"/>
          <w:lang w:val="en-US" w:eastAsia="zh-CN" w:bidi="ar-SA"/>
        </w:rPr>
        <w:t>开展资产大起底行动，精准掌握各类资产底数、使用状况等基本情况，科学制定盘活计划和任务清单，研究资产盘活有效路径。</w:t>
      </w:r>
      <w:r>
        <w:rPr>
          <w:rFonts w:hint="eastAsia" w:ascii="Times New Roman" w:hAnsi="Times New Roman" w:eastAsia="仿宋_GB2312" w:cs="仿宋_GB2312"/>
          <w:color w:val="000000"/>
          <w:sz w:val="34"/>
          <w:szCs w:val="32"/>
          <w:shd w:val="clear" w:color="auto" w:fill="FFFFFF"/>
        </w:rPr>
        <w:t>全年预计上缴国库</w:t>
      </w:r>
      <w:bookmarkStart w:id="0" w:name="_Hlk179469850"/>
      <w:r>
        <w:rPr>
          <w:rFonts w:hint="eastAsia" w:ascii="Times New Roman" w:hAnsi="Times New Roman" w:eastAsia="仿宋_GB2312" w:cs="仿宋_GB2312"/>
          <w:color w:val="000000"/>
          <w:sz w:val="34"/>
          <w:szCs w:val="32"/>
          <w:shd w:val="clear" w:color="auto" w:fill="FFFFFF"/>
        </w:rPr>
        <w:t>国有资产收益</w:t>
      </w:r>
      <w:bookmarkEnd w:id="0"/>
      <w:r>
        <w:rPr>
          <w:rFonts w:hint="eastAsia" w:ascii="Times New Roman" w:hAnsi="Times New Roman" w:eastAsia="仿宋_GB2312" w:cs="仿宋_GB2312"/>
          <w:color w:val="000000"/>
          <w:sz w:val="34"/>
          <w:szCs w:val="32"/>
          <w:shd w:val="clear" w:color="auto" w:fill="FFFFFF"/>
        </w:rPr>
        <w:t>0.3亿元。</w:t>
      </w:r>
    </w:p>
    <w:p>
      <w:pPr>
        <w:keepNext w:val="0"/>
        <w:keepLines w:val="0"/>
        <w:pageBreakBefore w:val="0"/>
        <w:widowControl w:val="0"/>
        <w:numPr>
          <w:ilvl w:val="0"/>
          <w:numId w:val="0"/>
        </w:numPr>
        <w:kinsoku/>
        <w:wordWrap/>
        <w:overflowPunct/>
        <w:topLinePunct w:val="0"/>
        <w:bidi w:val="0"/>
        <w:snapToGrid/>
        <w:spacing w:beforeLines="0" w:line="580" w:lineRule="exact"/>
        <w:ind w:firstLine="680" w:firstLineChars="200"/>
        <w:textAlignment w:val="auto"/>
        <w:rPr>
          <w:rFonts w:hint="eastAsia" w:ascii="楷体" w:hAnsi="楷体" w:eastAsia="楷体" w:cs="楷体"/>
          <w:sz w:val="34"/>
          <w:szCs w:val="34"/>
        </w:rPr>
      </w:pPr>
      <w:r>
        <w:rPr>
          <w:rFonts w:hint="eastAsia" w:ascii="楷体" w:hAnsi="楷体" w:eastAsia="楷体" w:cs="楷体"/>
          <w:sz w:val="34"/>
          <w:szCs w:val="34"/>
        </w:rPr>
        <w:t>（二）</w:t>
      </w:r>
      <w:r>
        <w:rPr>
          <w:rFonts w:hint="eastAsia" w:ascii="楷体" w:hAnsi="楷体" w:eastAsia="楷体" w:cs="楷体"/>
          <w:sz w:val="34"/>
          <w:szCs w:val="34"/>
          <w:lang w:eastAsia="zh-CN"/>
        </w:rPr>
        <w:t>强化重点领域资金保障，统筹兼顾惠民生</w:t>
      </w:r>
      <w:r>
        <w:rPr>
          <w:rFonts w:hint="eastAsia" w:ascii="楷体" w:hAnsi="楷体" w:eastAsia="楷体" w:cs="楷体"/>
          <w:sz w:val="34"/>
          <w:szCs w:val="34"/>
        </w:rPr>
        <w:t>。</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ascii="Times New Roman" w:hAnsi="Times New Roman" w:eastAsia="仿宋_GB2312" w:cs="Times New Roman"/>
          <w:b w:val="0"/>
          <w:bCs w:val="0"/>
          <w:color w:val="000000"/>
          <w:sz w:val="34"/>
          <w:szCs w:val="32"/>
          <w:shd w:val="clear" w:color="auto" w:fill="FFFFFF"/>
        </w:rPr>
      </w:pPr>
      <w:r>
        <w:rPr>
          <w:rFonts w:hint="eastAsia" w:ascii="Times New Roman" w:hAnsi="Times New Roman" w:eastAsia="仿宋_GB2312" w:cs="Times New Roman"/>
          <w:b w:val="0"/>
          <w:bCs w:val="0"/>
          <w:color w:val="000000"/>
          <w:sz w:val="34"/>
          <w:szCs w:val="32"/>
          <w:shd w:val="clear" w:color="auto" w:fill="FFFFFF"/>
        </w:rPr>
        <w:t>一是树牢“过紧日子”思想，坚持厉行节约。从严控制一般性支出，硬化预算执行刚性约束，加强“三公”经费预算管理，</w:t>
      </w:r>
      <w:r>
        <w:rPr>
          <w:rFonts w:hint="eastAsia" w:ascii="Times New Roman" w:hAnsi="Times New Roman" w:eastAsia="仿宋_GB2312" w:cs="仿宋_GB2312"/>
          <w:b w:val="0"/>
          <w:bCs w:val="0"/>
          <w:sz w:val="34"/>
          <w:szCs w:val="32"/>
          <w:lang w:eastAsia="zh-CN"/>
        </w:rPr>
        <w:t>截止目前，我县</w:t>
      </w:r>
      <w:r>
        <w:rPr>
          <w:rFonts w:hint="eastAsia" w:ascii="Times New Roman" w:hAnsi="Times New Roman" w:eastAsia="仿宋_GB2312" w:cs="仿宋_GB2312"/>
          <w:b w:val="0"/>
          <w:bCs w:val="0"/>
          <w:sz w:val="34"/>
          <w:szCs w:val="32"/>
        </w:rPr>
        <w:t>共清理编外人员217人，压减金额201.11万元</w:t>
      </w:r>
      <w:r>
        <w:rPr>
          <w:rFonts w:hint="eastAsia" w:ascii="Times New Roman" w:hAnsi="Times New Roman" w:eastAsia="仿宋_GB2312" w:cs="仿宋_GB2312"/>
          <w:b w:val="0"/>
          <w:bCs w:val="0"/>
          <w:sz w:val="34"/>
          <w:szCs w:val="32"/>
          <w:lang w:eastAsia="zh-CN"/>
        </w:rPr>
        <w:t>；</w:t>
      </w:r>
      <w:r>
        <w:rPr>
          <w:rFonts w:hint="eastAsia" w:ascii="Times New Roman" w:hAnsi="Times New Roman" w:eastAsia="仿宋_GB2312" w:cs="仿宋_GB2312"/>
          <w:b w:val="0"/>
          <w:bCs w:val="0"/>
          <w:sz w:val="34"/>
          <w:szCs w:val="32"/>
        </w:rPr>
        <w:t>一般性支出共压减2172.66万元。</w:t>
      </w:r>
      <w:r>
        <w:rPr>
          <w:rFonts w:hint="eastAsia" w:ascii="Times New Roman" w:hAnsi="Times New Roman" w:eastAsia="仿宋_GB2312" w:cs="Times New Roman"/>
          <w:b w:val="0"/>
          <w:bCs w:val="0"/>
          <w:color w:val="000000"/>
          <w:sz w:val="34"/>
          <w:szCs w:val="32"/>
          <w:shd w:val="clear" w:color="auto" w:fill="FFFFFF"/>
        </w:rPr>
        <w:t>二是优化结构，坚持“三保”优先的原则。</w:t>
      </w:r>
      <w:r>
        <w:rPr>
          <w:rFonts w:hint="eastAsia" w:ascii="Times New Roman" w:hAnsi="Times New Roman" w:eastAsia="仿宋_GB2312"/>
          <w:b w:val="0"/>
          <w:bCs w:val="0"/>
          <w:color w:val="000000"/>
          <w:kern w:val="0"/>
          <w:sz w:val="34"/>
          <w:szCs w:val="32"/>
        </w:rPr>
        <w:t>“三保”支出年初备案173159万元，占一般公共预算支出的</w:t>
      </w:r>
      <w:r>
        <w:rPr>
          <w:rFonts w:hint="eastAsia" w:ascii="Times New Roman" w:hAnsi="Times New Roman" w:eastAsia="仿宋_GB2312"/>
          <w:b w:val="0"/>
          <w:bCs w:val="0"/>
          <w:color w:val="000000"/>
          <w:kern w:val="0"/>
          <w:sz w:val="34"/>
          <w:szCs w:val="32"/>
          <w:lang w:val="en-US" w:eastAsia="zh-CN"/>
        </w:rPr>
        <w:t>55.3</w:t>
      </w:r>
      <w:r>
        <w:rPr>
          <w:rFonts w:hint="eastAsia" w:ascii="Times New Roman" w:hAnsi="Times New Roman" w:eastAsia="仿宋_GB2312"/>
          <w:b w:val="0"/>
          <w:bCs w:val="0"/>
          <w:color w:val="000000"/>
          <w:kern w:val="0"/>
          <w:sz w:val="34"/>
          <w:szCs w:val="32"/>
        </w:rPr>
        <w:t>%。</w:t>
      </w:r>
      <w:r>
        <w:rPr>
          <w:rFonts w:hint="eastAsia" w:ascii="Times New Roman" w:hAnsi="Times New Roman" w:eastAsia="仿宋_GB2312" w:cs="Times New Roman"/>
          <w:b w:val="0"/>
          <w:bCs w:val="0"/>
          <w:color w:val="000000"/>
          <w:sz w:val="34"/>
          <w:szCs w:val="32"/>
          <w:shd w:val="clear" w:color="auto" w:fill="FFFFFF"/>
        </w:rPr>
        <w:t>三是加大对“社会保障”、“教育”、“三农”等重点民生事项的投入。全年预计拨付各类社会保障资金</w:t>
      </w:r>
      <w:r>
        <w:rPr>
          <w:rFonts w:hint="eastAsia" w:ascii="Times New Roman" w:hAnsi="Times New Roman" w:eastAsia="仿宋_GB2312" w:cs="Times New Roman"/>
          <w:b w:val="0"/>
          <w:bCs w:val="0"/>
          <w:color w:val="000000"/>
          <w:sz w:val="34"/>
          <w:szCs w:val="32"/>
          <w:shd w:val="clear" w:color="auto" w:fill="FFFFFF"/>
          <w:lang w:val="en-US" w:eastAsia="zh-CN"/>
        </w:rPr>
        <w:t>8.08</w:t>
      </w:r>
      <w:r>
        <w:rPr>
          <w:rFonts w:hint="eastAsia" w:ascii="Times New Roman" w:hAnsi="Times New Roman" w:eastAsia="仿宋_GB2312" w:cs="Times New Roman"/>
          <w:b w:val="0"/>
          <w:bCs w:val="0"/>
          <w:color w:val="000000"/>
          <w:sz w:val="34"/>
          <w:szCs w:val="32"/>
          <w:shd w:val="clear" w:color="auto" w:fill="FFFFFF"/>
        </w:rPr>
        <w:t>亿元，着力解决好人民群众急难愁盼问题；全年预计拨付各类教育资金4.</w:t>
      </w:r>
      <w:r>
        <w:rPr>
          <w:rFonts w:hint="eastAsia" w:ascii="Times New Roman" w:hAnsi="Times New Roman" w:eastAsia="仿宋_GB2312" w:cs="Times New Roman"/>
          <w:b w:val="0"/>
          <w:bCs w:val="0"/>
          <w:color w:val="000000"/>
          <w:sz w:val="34"/>
          <w:szCs w:val="32"/>
          <w:shd w:val="clear" w:color="auto" w:fill="FFFFFF"/>
          <w:lang w:val="en-US" w:eastAsia="zh-CN"/>
        </w:rPr>
        <w:t>3</w:t>
      </w:r>
      <w:r>
        <w:rPr>
          <w:rFonts w:hint="eastAsia" w:ascii="Times New Roman" w:hAnsi="Times New Roman" w:eastAsia="仿宋_GB2312" w:cs="Times New Roman"/>
          <w:b w:val="0"/>
          <w:bCs w:val="0"/>
          <w:color w:val="000000"/>
          <w:sz w:val="34"/>
          <w:szCs w:val="32"/>
          <w:shd w:val="clear" w:color="auto" w:fill="FFFFFF"/>
        </w:rPr>
        <w:t>亿元，进一步改善办学条件，强化师资队伍建设；拨付各类涉农资金2.</w:t>
      </w:r>
      <w:r>
        <w:rPr>
          <w:rFonts w:hint="eastAsia" w:ascii="Times New Roman" w:hAnsi="Times New Roman" w:eastAsia="仿宋_GB2312" w:cs="Times New Roman"/>
          <w:b w:val="0"/>
          <w:bCs w:val="0"/>
          <w:color w:val="000000"/>
          <w:sz w:val="34"/>
          <w:szCs w:val="32"/>
          <w:shd w:val="clear" w:color="auto" w:fill="FFFFFF"/>
          <w:lang w:val="en-US" w:eastAsia="zh-CN"/>
        </w:rPr>
        <w:t>6</w:t>
      </w:r>
      <w:r>
        <w:rPr>
          <w:rFonts w:hint="eastAsia" w:ascii="Times New Roman" w:hAnsi="Times New Roman" w:eastAsia="仿宋_GB2312" w:cs="Times New Roman"/>
          <w:b w:val="0"/>
          <w:bCs w:val="0"/>
          <w:color w:val="000000"/>
          <w:sz w:val="34"/>
          <w:szCs w:val="32"/>
          <w:shd w:val="clear" w:color="auto" w:fill="FFFFFF"/>
        </w:rPr>
        <w:t>亿元，其中农业部门资金1.</w:t>
      </w:r>
      <w:r>
        <w:rPr>
          <w:rFonts w:hint="eastAsia" w:ascii="Times New Roman" w:hAnsi="Times New Roman" w:eastAsia="仿宋_GB2312" w:cs="Times New Roman"/>
          <w:b w:val="0"/>
          <w:bCs w:val="0"/>
          <w:color w:val="000000"/>
          <w:sz w:val="34"/>
          <w:szCs w:val="32"/>
          <w:shd w:val="clear" w:color="auto" w:fill="FFFFFF"/>
          <w:lang w:val="en-US" w:eastAsia="zh-CN"/>
        </w:rPr>
        <w:t>02</w:t>
      </w:r>
      <w:r>
        <w:rPr>
          <w:rFonts w:hint="eastAsia" w:eastAsia="仿宋_GB2312" w:cs="Times New Roman"/>
          <w:b w:val="0"/>
          <w:bCs w:val="0"/>
          <w:color w:val="000000"/>
          <w:sz w:val="34"/>
          <w:szCs w:val="32"/>
          <w:shd w:val="clear" w:color="auto" w:fill="FFFFFF"/>
          <w:lang w:val="en-US" w:eastAsia="zh-CN"/>
        </w:rPr>
        <w:t>亿</w:t>
      </w:r>
      <w:r>
        <w:rPr>
          <w:rFonts w:hint="eastAsia" w:ascii="Times New Roman" w:hAnsi="Times New Roman" w:eastAsia="仿宋_GB2312" w:cs="Times New Roman"/>
          <w:b w:val="0"/>
          <w:bCs w:val="0"/>
          <w:color w:val="000000"/>
          <w:sz w:val="34"/>
          <w:szCs w:val="32"/>
          <w:shd w:val="clear" w:color="auto" w:fill="FFFFFF"/>
        </w:rPr>
        <w:t>元，水利部门资金1.</w:t>
      </w:r>
      <w:r>
        <w:rPr>
          <w:rFonts w:hint="eastAsia" w:ascii="Times New Roman" w:hAnsi="Times New Roman" w:eastAsia="仿宋_GB2312" w:cs="Times New Roman"/>
          <w:b w:val="0"/>
          <w:bCs w:val="0"/>
          <w:color w:val="000000"/>
          <w:sz w:val="34"/>
          <w:szCs w:val="32"/>
          <w:shd w:val="clear" w:color="auto" w:fill="FFFFFF"/>
          <w:lang w:val="en-US" w:eastAsia="zh-CN"/>
        </w:rPr>
        <w:t>58</w:t>
      </w:r>
      <w:r>
        <w:rPr>
          <w:rFonts w:hint="eastAsia" w:ascii="Times New Roman" w:hAnsi="Times New Roman" w:eastAsia="仿宋_GB2312" w:cs="Times New Roman"/>
          <w:b w:val="0"/>
          <w:bCs w:val="0"/>
          <w:color w:val="000000"/>
          <w:sz w:val="34"/>
          <w:szCs w:val="32"/>
          <w:shd w:val="clear" w:color="auto" w:fill="FFFFFF"/>
        </w:rPr>
        <w:t>亿元；拨付财政衔接推进乡村振兴补助资金0.</w:t>
      </w:r>
      <w:r>
        <w:rPr>
          <w:rFonts w:hint="eastAsia" w:ascii="Times New Roman" w:hAnsi="Times New Roman" w:eastAsia="仿宋_GB2312" w:cs="Times New Roman"/>
          <w:b w:val="0"/>
          <w:bCs w:val="0"/>
          <w:color w:val="000000"/>
          <w:sz w:val="34"/>
          <w:szCs w:val="32"/>
          <w:shd w:val="clear" w:color="auto" w:fill="FFFFFF"/>
          <w:lang w:val="en-US" w:eastAsia="zh-CN"/>
        </w:rPr>
        <w:t>6</w:t>
      </w:r>
      <w:r>
        <w:rPr>
          <w:rFonts w:hint="eastAsia" w:ascii="Times New Roman" w:hAnsi="Times New Roman" w:eastAsia="仿宋_GB2312" w:cs="Times New Roman"/>
          <w:b w:val="0"/>
          <w:bCs w:val="0"/>
          <w:color w:val="000000"/>
          <w:sz w:val="34"/>
          <w:szCs w:val="32"/>
          <w:shd w:val="clear" w:color="auto" w:fill="FFFFFF"/>
        </w:rPr>
        <w:t>9亿元；拨付玉米、大豆、稻谷等惠农补贴0.93亿元，强力助推我县乡村振兴。四是全力做好基础设施建设保障工作。围绕重点项目落地，投入</w:t>
      </w:r>
      <w:r>
        <w:rPr>
          <w:rFonts w:hint="eastAsia" w:ascii="Times New Roman" w:hAnsi="Times New Roman" w:eastAsia="仿宋_GB2312" w:cs="Times New Roman"/>
          <w:b w:val="0"/>
          <w:bCs w:val="0"/>
          <w:color w:val="000000"/>
          <w:sz w:val="34"/>
          <w:szCs w:val="32"/>
          <w:shd w:val="clear" w:color="auto" w:fill="FFFFFF"/>
          <w:lang w:val="en-US" w:eastAsia="zh-CN"/>
        </w:rPr>
        <w:t>4.04</w:t>
      </w:r>
      <w:r>
        <w:rPr>
          <w:rFonts w:hint="eastAsia" w:ascii="Times New Roman" w:hAnsi="Times New Roman" w:eastAsia="仿宋_GB2312" w:cs="Times New Roman"/>
          <w:b w:val="0"/>
          <w:bCs w:val="0"/>
          <w:color w:val="000000"/>
          <w:sz w:val="34"/>
          <w:szCs w:val="32"/>
          <w:shd w:val="clear" w:color="auto" w:fill="FFFFFF"/>
        </w:rPr>
        <w:t>亿元用于高标准农田、农村人居环境整治、柳河大街排水改造、燃气改造、液化钢瓶改造、地质灾害综合防治体系建设、污水厂尾水湿地建设、重点地区转型发展、城乡冷链和国家物流枢纽建设等工程，有效保障了全县经济社会发展重大任务财力需要。</w:t>
      </w:r>
    </w:p>
    <w:p>
      <w:pPr>
        <w:keepNext w:val="0"/>
        <w:keepLines w:val="0"/>
        <w:pageBreakBefore w:val="0"/>
        <w:widowControl w:val="0"/>
        <w:numPr>
          <w:ilvl w:val="0"/>
          <w:numId w:val="0"/>
        </w:numPr>
        <w:kinsoku/>
        <w:wordWrap/>
        <w:overflowPunct/>
        <w:topLinePunct w:val="0"/>
        <w:bidi w:val="0"/>
        <w:snapToGrid/>
        <w:spacing w:line="580" w:lineRule="exact"/>
        <w:ind w:firstLine="680" w:firstLineChars="200"/>
        <w:textAlignment w:val="auto"/>
        <w:rPr>
          <w:rFonts w:hint="eastAsia" w:ascii="楷体" w:hAnsi="楷体" w:eastAsia="楷体" w:cs="楷体"/>
          <w:sz w:val="34"/>
          <w:szCs w:val="34"/>
          <w:lang w:eastAsia="zh-CN"/>
        </w:rPr>
      </w:pPr>
      <w:r>
        <w:rPr>
          <w:rFonts w:hint="eastAsia" w:ascii="楷体" w:hAnsi="楷体" w:eastAsia="楷体" w:cs="楷体"/>
          <w:sz w:val="34"/>
          <w:szCs w:val="34"/>
          <w:lang w:eastAsia="zh-CN"/>
        </w:rPr>
        <w:t>（三）推进债务金融风险化解，守住底线强监管。</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s="Times New Roman"/>
          <w:b w:val="0"/>
          <w:bCs w:val="0"/>
          <w:color w:val="000000"/>
          <w:sz w:val="34"/>
          <w:szCs w:val="32"/>
          <w:shd w:val="clear" w:color="auto" w:fill="FFFFFF"/>
        </w:rPr>
      </w:pPr>
      <w:r>
        <w:rPr>
          <w:rFonts w:hint="eastAsia" w:ascii="Times New Roman" w:hAnsi="Times New Roman" w:eastAsia="仿宋_GB2312" w:cs="Times New Roman"/>
          <w:b w:val="0"/>
          <w:bCs w:val="0"/>
          <w:color w:val="000000"/>
          <w:sz w:val="34"/>
          <w:szCs w:val="32"/>
          <w:shd w:val="clear" w:color="auto" w:fill="FFFFFF"/>
        </w:rPr>
        <w:t>一是防范债务风险。坚持从项目资金来源源头把控</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严格落实地方政府债务限额管理和预算管理要求</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减存量控增量</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制定柳河县防范化解地方债务风险一揽子化债方案</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通过增加税收、盘活存量资金、盘活资产、</w:t>
      </w:r>
      <w:r>
        <w:rPr>
          <w:rFonts w:hint="eastAsia" w:ascii="Times New Roman" w:hAnsi="Times New Roman" w:eastAsia="仿宋_GB2312" w:cs="Times New Roman"/>
          <w:b w:val="0"/>
          <w:bCs w:val="0"/>
          <w:color w:val="000000"/>
          <w:sz w:val="34"/>
          <w:szCs w:val="32"/>
          <w:shd w:val="clear" w:color="auto" w:fill="FFFFFF"/>
          <w:lang w:eastAsia="zh-CN"/>
        </w:rPr>
        <w:t>争取政策支持</w:t>
      </w:r>
      <w:r>
        <w:rPr>
          <w:rFonts w:hint="eastAsia" w:ascii="Times New Roman" w:hAnsi="Times New Roman" w:eastAsia="仿宋_GB2312" w:cs="Times New Roman"/>
          <w:b w:val="0"/>
          <w:bCs w:val="0"/>
          <w:color w:val="000000"/>
          <w:sz w:val="34"/>
          <w:szCs w:val="32"/>
          <w:shd w:val="clear" w:color="auto" w:fill="FFFFFF"/>
        </w:rPr>
        <w:t>等各项措施，牢牢守住不发生政府债务系统性风险的底线。二是防范金融风险。财政局、市场监督管理局、公安局、县人民法院、县人民检察院等10个相关部门密切配合</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对全县37户地方金融组织开展专项整治，有效防范打击非法集资、金融诈骗等违法犯罪行为</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全面加强金融监管</w:t>
      </w:r>
      <w:r>
        <w:rPr>
          <w:rFonts w:hint="eastAsia" w:eastAsia="仿宋_GB2312" w:cs="Times New Roman"/>
          <w:b w:val="0"/>
          <w:bCs w:val="0"/>
          <w:color w:val="000000"/>
          <w:sz w:val="34"/>
          <w:szCs w:val="32"/>
          <w:shd w:val="clear" w:color="auto" w:fill="FFFFFF"/>
          <w:lang w:eastAsia="zh-CN"/>
        </w:rPr>
        <w:t>，</w:t>
      </w:r>
      <w:r>
        <w:rPr>
          <w:rFonts w:hint="eastAsia" w:ascii="Times New Roman" w:hAnsi="Times New Roman" w:eastAsia="仿宋_GB2312" w:cs="Times New Roman"/>
          <w:b w:val="0"/>
          <w:bCs w:val="0"/>
          <w:color w:val="000000"/>
          <w:sz w:val="34"/>
          <w:szCs w:val="32"/>
          <w:shd w:val="clear" w:color="auto" w:fill="FFFFFF"/>
        </w:rPr>
        <w:t>维护金融领域健康稳定发展。</w:t>
      </w:r>
    </w:p>
    <w:p>
      <w:pPr>
        <w:keepNext w:val="0"/>
        <w:keepLines w:val="0"/>
        <w:pageBreakBefore w:val="0"/>
        <w:widowControl w:val="0"/>
        <w:kinsoku/>
        <w:wordWrap/>
        <w:overflowPunct/>
        <w:topLinePunct w:val="0"/>
        <w:bidi w:val="0"/>
        <w:snapToGrid/>
        <w:spacing w:beforeLines="0" w:line="580" w:lineRule="exact"/>
        <w:ind w:firstLine="680" w:firstLineChars="200"/>
        <w:textAlignment w:val="auto"/>
        <w:rPr>
          <w:rFonts w:hint="eastAsia" w:ascii="楷体" w:hAnsi="楷体" w:eastAsia="楷体" w:cs="楷体"/>
          <w:sz w:val="34"/>
          <w:szCs w:val="34"/>
          <w:lang w:eastAsia="zh-CN"/>
        </w:rPr>
      </w:pPr>
      <w:r>
        <w:rPr>
          <w:rFonts w:hint="eastAsia" w:ascii="楷体" w:hAnsi="楷体" w:eastAsia="楷体" w:cs="楷体"/>
          <w:sz w:val="34"/>
          <w:szCs w:val="34"/>
        </w:rPr>
        <w:t>（四）</w:t>
      </w:r>
      <w:r>
        <w:rPr>
          <w:rFonts w:hint="eastAsia" w:ascii="楷体" w:hAnsi="楷体" w:eastAsia="楷体" w:cs="楷体"/>
          <w:sz w:val="34"/>
          <w:szCs w:val="34"/>
          <w:lang w:eastAsia="zh-CN"/>
        </w:rPr>
        <w:t>提升财政管理监督水平，推进改革促发展。</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szCs w:val="22"/>
        </w:rPr>
      </w:pPr>
      <w:r>
        <w:rPr>
          <w:rFonts w:hint="eastAsia" w:ascii="Times New Roman" w:hAnsi="Times New Roman" w:eastAsia="仿宋_GB2312"/>
          <w:color w:val="auto"/>
          <w:sz w:val="34"/>
        </w:rPr>
        <w:t>一是深入推进改革创新，全面提升财政管理现代化水平。深入推进预算绩效管理，加强绩效目标管理，提升绩效自评质量，深化绩效评价结果应用。全面推进预算管理一体化，健全完善全国统一的预算管理一体化规范和标准体系，提升财政预算管理工作的规范化、科学化、标准化水平。二是财政管理积极有为。紧跟步伐持续推进国库集中支付制度改革。进一步完善政府财务报告编制，更加全面、准确反映政府财政财务状况。扎实推进非税收缴数字化管理，推动建立流程无纸化、渠道多元化、入账电子化的收缴服务体系</w:t>
      </w:r>
      <w:r>
        <w:rPr>
          <w:rFonts w:hint="eastAsia" w:ascii="Times New Roman" w:hAnsi="Times New Roman" w:eastAsia="仿宋_GB2312"/>
          <w:color w:val="auto"/>
          <w:sz w:val="34"/>
          <w:szCs w:val="22"/>
        </w:rPr>
        <w:t>。</w:t>
      </w:r>
      <w:r>
        <w:rPr>
          <w:rFonts w:hint="eastAsia" w:ascii="Times New Roman" w:hAnsi="Times New Roman" w:eastAsia="仿宋_GB2312"/>
          <w:color w:val="auto"/>
          <w:sz w:val="34"/>
          <w:szCs w:val="22"/>
          <w:lang w:eastAsia="zh-CN"/>
        </w:rPr>
        <w:t>三是</w:t>
      </w:r>
      <w:r>
        <w:rPr>
          <w:rFonts w:hint="eastAsia" w:ascii="Times New Roman" w:hAnsi="Times New Roman" w:eastAsia="仿宋_GB2312"/>
          <w:color w:val="auto"/>
          <w:sz w:val="34"/>
          <w:szCs w:val="22"/>
        </w:rPr>
        <w:t>政府采购管理日益规范。实现了财政资金“预算—采购—支付”的闭环管理、有效衔接，实现了“无预算不采购”的有效控制。截至目前，通过政府采购财政内网审核政府采购计划</w:t>
      </w:r>
      <w:r>
        <w:rPr>
          <w:rFonts w:hint="eastAsia" w:ascii="Times New Roman" w:hAnsi="Times New Roman" w:eastAsia="仿宋_GB2312"/>
          <w:color w:val="auto"/>
          <w:sz w:val="34"/>
          <w:szCs w:val="22"/>
          <w:lang w:val="en-US" w:eastAsia="zh-CN"/>
        </w:rPr>
        <w:t>176</w:t>
      </w:r>
      <w:r>
        <w:rPr>
          <w:rFonts w:hint="eastAsia" w:ascii="Times New Roman" w:hAnsi="Times New Roman" w:eastAsia="仿宋_GB2312"/>
          <w:color w:val="auto"/>
          <w:sz w:val="34"/>
          <w:szCs w:val="22"/>
        </w:rPr>
        <w:t>项，总预算金额</w:t>
      </w:r>
      <w:r>
        <w:rPr>
          <w:rFonts w:hint="eastAsia" w:ascii="Times New Roman" w:hAnsi="Times New Roman" w:eastAsia="仿宋_GB2312"/>
          <w:color w:val="auto"/>
          <w:sz w:val="34"/>
          <w:szCs w:val="22"/>
          <w:lang w:val="en-US" w:eastAsia="zh-CN"/>
        </w:rPr>
        <w:t>2.71</w:t>
      </w:r>
      <w:r>
        <w:rPr>
          <w:rFonts w:hint="eastAsia" w:ascii="Times New Roman" w:hAnsi="Times New Roman" w:eastAsia="仿宋_GB2312"/>
          <w:color w:val="auto"/>
          <w:sz w:val="34"/>
          <w:szCs w:val="22"/>
        </w:rPr>
        <w:t>亿元。</w:t>
      </w:r>
      <w:r>
        <w:rPr>
          <w:rFonts w:hint="eastAsia" w:ascii="Times New Roman" w:hAnsi="Times New Roman" w:eastAsia="仿宋_GB2312"/>
          <w:color w:val="auto"/>
          <w:sz w:val="34"/>
          <w:szCs w:val="22"/>
          <w:lang w:eastAsia="zh-CN"/>
        </w:rPr>
        <w:t>四</w:t>
      </w:r>
      <w:r>
        <w:rPr>
          <w:rFonts w:hint="eastAsia" w:ascii="Times New Roman" w:hAnsi="Times New Roman" w:eastAsia="仿宋_GB2312"/>
          <w:color w:val="auto"/>
          <w:sz w:val="34"/>
          <w:szCs w:val="22"/>
        </w:rPr>
        <w:t>是投资评审职能不断强化。建立健全财政投资评审操作流程，截至目前，已完结评审工作</w:t>
      </w:r>
      <w:r>
        <w:rPr>
          <w:rFonts w:hint="eastAsia" w:ascii="Times New Roman" w:hAnsi="Times New Roman" w:eastAsia="仿宋_GB2312"/>
          <w:color w:val="auto"/>
          <w:sz w:val="34"/>
          <w:szCs w:val="22"/>
          <w:lang w:val="en-US" w:eastAsia="zh-CN"/>
        </w:rPr>
        <w:t>71</w:t>
      </w:r>
      <w:r>
        <w:rPr>
          <w:rFonts w:hint="eastAsia" w:ascii="Times New Roman" w:hAnsi="Times New Roman" w:eastAsia="仿宋_GB2312"/>
          <w:color w:val="auto"/>
          <w:sz w:val="34"/>
          <w:szCs w:val="22"/>
        </w:rPr>
        <w:t>项，提报金额共计</w:t>
      </w:r>
      <w:r>
        <w:rPr>
          <w:rFonts w:hint="eastAsia" w:ascii="Times New Roman" w:hAnsi="Times New Roman" w:eastAsia="仿宋_GB2312"/>
          <w:color w:val="auto"/>
          <w:sz w:val="34"/>
          <w:szCs w:val="22"/>
          <w:lang w:val="en-US" w:eastAsia="zh-CN"/>
        </w:rPr>
        <w:t>15.49</w:t>
      </w:r>
      <w:r>
        <w:rPr>
          <w:rFonts w:hint="eastAsia" w:ascii="Times New Roman" w:hAnsi="Times New Roman" w:eastAsia="仿宋_GB2312"/>
          <w:color w:val="auto"/>
          <w:sz w:val="34"/>
          <w:szCs w:val="22"/>
        </w:rPr>
        <w:t>亿元，审减金额0</w:t>
      </w:r>
      <w:r>
        <w:rPr>
          <w:rFonts w:hint="eastAsia" w:ascii="Times New Roman" w:hAnsi="Times New Roman" w:eastAsia="仿宋_GB2312"/>
          <w:color w:val="auto"/>
          <w:sz w:val="34"/>
          <w:szCs w:val="22"/>
          <w:lang w:val="en-US" w:eastAsia="zh-CN"/>
        </w:rPr>
        <w:t>.92</w:t>
      </w:r>
      <w:r>
        <w:rPr>
          <w:rFonts w:hint="eastAsia" w:ascii="Times New Roman" w:hAnsi="Times New Roman" w:eastAsia="仿宋_GB2312"/>
          <w:color w:val="auto"/>
          <w:sz w:val="34"/>
          <w:szCs w:val="22"/>
        </w:rPr>
        <w:t>亿元，平均审减率6.82%，真正做到了把好“支出关”，捂紧“钱袋子”，当好“管家人”。五是财政监督管理有效落实。对柳河县安口镇林场、柳河县中医院、柳河县工商业联合会的会计监督检查</w:t>
      </w:r>
      <w:r>
        <w:rPr>
          <w:rFonts w:hint="eastAsia" w:ascii="Times New Roman" w:hAnsi="Times New Roman" w:eastAsia="仿宋_GB2312"/>
          <w:color w:val="auto"/>
          <w:sz w:val="34"/>
          <w:szCs w:val="22"/>
          <w:lang w:eastAsia="zh-CN"/>
        </w:rPr>
        <w:t>，</w:t>
      </w:r>
      <w:r>
        <w:rPr>
          <w:rFonts w:hint="eastAsia" w:ascii="Times New Roman" w:hAnsi="Times New Roman" w:eastAsia="仿宋_GB2312"/>
          <w:color w:val="auto"/>
          <w:sz w:val="34"/>
          <w:szCs w:val="22"/>
        </w:rPr>
        <w:t>对财政局开展内部审计，确保财政资金安全规范和有效使用。</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eastAsia" w:ascii="Times New Roman" w:hAnsi="Times New Roman" w:eastAsia="仿宋_GB2312"/>
          <w:color w:val="auto"/>
          <w:sz w:val="32"/>
        </w:rPr>
      </w:pPr>
      <w:r>
        <w:rPr>
          <w:rFonts w:hint="eastAsia" w:ascii="Times New Roman" w:hAnsi="Times New Roman" w:eastAsia="仿宋_GB2312"/>
          <w:color w:val="auto"/>
          <w:sz w:val="34"/>
        </w:rPr>
        <w:t>202</w:t>
      </w:r>
      <w:r>
        <w:rPr>
          <w:rFonts w:hint="eastAsia" w:ascii="Times New Roman" w:hAnsi="Times New Roman" w:eastAsia="仿宋_GB2312"/>
          <w:color w:val="auto"/>
          <w:sz w:val="34"/>
          <w:lang w:val="en-US" w:eastAsia="zh-CN"/>
        </w:rPr>
        <w:t>4</w:t>
      </w:r>
      <w:r>
        <w:rPr>
          <w:rFonts w:hint="eastAsia" w:ascii="Times New Roman" w:hAnsi="Times New Roman" w:eastAsia="仿宋_GB2312"/>
          <w:color w:val="auto"/>
          <w:sz w:val="34"/>
        </w:rPr>
        <w:t>年，在县委、县政府的正确领导下，在县人大、县政协的有力监督和支持下，全县各级部门同心协力，各项财政管理取得了一定的成效，各项社会事业保持稳定发展。同时我们也认识到202</w:t>
      </w:r>
      <w:r>
        <w:rPr>
          <w:rFonts w:hint="eastAsia" w:ascii="Times New Roman" w:hAnsi="Times New Roman" w:eastAsia="仿宋_GB2312"/>
          <w:color w:val="auto"/>
          <w:sz w:val="34"/>
          <w:lang w:val="en-US" w:eastAsia="zh-CN"/>
        </w:rPr>
        <w:t>4</w:t>
      </w:r>
      <w:r>
        <w:rPr>
          <w:rFonts w:hint="eastAsia" w:ascii="Times New Roman" w:hAnsi="Times New Roman" w:eastAsia="仿宋_GB2312"/>
          <w:color w:val="auto"/>
          <w:sz w:val="34"/>
        </w:rPr>
        <w:t>年财政工作中面临的问题。</w:t>
      </w:r>
      <w:r>
        <w:rPr>
          <w:rFonts w:hint="eastAsia" w:ascii="Times New Roman" w:hAnsi="Times New Roman" w:eastAsia="仿宋_GB2312"/>
          <w:color w:val="auto"/>
          <w:sz w:val="34"/>
          <w:szCs w:val="22"/>
        </w:rPr>
        <w:t>一是财政资金保障压力加大。由于县级财政自我造血功能不强，省财政厅每年安排的一般性转移支付相对稳定，但</w:t>
      </w:r>
      <w:r>
        <w:rPr>
          <w:rFonts w:hint="eastAsia" w:ascii="Times New Roman" w:hAnsi="Times New Roman" w:eastAsia="仿宋_GB2312"/>
          <w:color w:val="auto"/>
          <w:sz w:val="34"/>
          <w:szCs w:val="22"/>
          <w:lang w:eastAsia="zh-CN"/>
        </w:rPr>
        <w:t>“三保</w:t>
      </w:r>
      <w:r>
        <w:rPr>
          <w:rFonts w:hint="eastAsia" w:ascii="Times New Roman" w:hAnsi="Times New Roman" w:eastAsia="仿宋_GB2312"/>
          <w:color w:val="auto"/>
          <w:sz w:val="34"/>
          <w:szCs w:val="22"/>
          <w:lang w:val="en-US" w:eastAsia="zh-CN"/>
        </w:rPr>
        <w:t>”支出及</w:t>
      </w:r>
      <w:r>
        <w:rPr>
          <w:rFonts w:hint="eastAsia" w:ascii="Times New Roman" w:hAnsi="Times New Roman" w:eastAsia="仿宋_GB2312"/>
          <w:color w:val="auto"/>
          <w:sz w:val="34"/>
          <w:szCs w:val="22"/>
        </w:rPr>
        <w:t>各项刚性支出却在逐年增加，导致政府预算收支存在一定的硬性缺口</w:t>
      </w:r>
      <w:r>
        <w:rPr>
          <w:rFonts w:hint="eastAsia" w:ascii="Times New Roman" w:hAnsi="Times New Roman" w:eastAsia="仿宋_GB2312"/>
          <w:color w:val="auto"/>
          <w:sz w:val="34"/>
          <w:szCs w:val="22"/>
          <w:lang w:eastAsia="zh-CN"/>
        </w:rPr>
        <w:t>，</w:t>
      </w:r>
      <w:r>
        <w:rPr>
          <w:rFonts w:hint="eastAsia" w:ascii="Times New Roman" w:hAnsi="Times New Roman" w:eastAsia="仿宋_GB2312"/>
          <w:color w:val="auto"/>
          <w:sz w:val="34"/>
          <w:szCs w:val="22"/>
        </w:rPr>
        <w:t>财政收支矛盾更为凸显，资金保障压力进一步加大。二是财政收入后续增长乏力。从税收情况看，</w:t>
      </w:r>
      <w:r>
        <w:rPr>
          <w:rFonts w:hint="eastAsia" w:ascii="Times New Roman" w:hAnsi="Times New Roman" w:eastAsia="仿宋_GB2312" w:cs="仿宋_GB2312"/>
          <w:sz w:val="34"/>
          <w:szCs w:val="32"/>
          <w:lang w:val="en-US" w:eastAsia="zh-CN"/>
        </w:rPr>
        <w:t>减税降费政策虽对激发市场活力，帮助企业解决一定困难及促进经济发展上起到了重要作用，但在一定程度上减少了财政收入。</w:t>
      </w:r>
      <w:r>
        <w:rPr>
          <w:rFonts w:hint="eastAsia" w:ascii="Times New Roman" w:hAnsi="Times New Roman" w:eastAsia="仿宋_GB2312"/>
          <w:color w:val="auto"/>
          <w:sz w:val="34"/>
          <w:szCs w:val="22"/>
        </w:rPr>
        <w:t>医药等传统行业效益差，房地产市场持续低迷</w:t>
      </w:r>
      <w:r>
        <w:rPr>
          <w:rFonts w:hint="eastAsia" w:ascii="Times New Roman" w:hAnsi="Times New Roman" w:eastAsia="仿宋_GB2312"/>
          <w:color w:val="auto"/>
          <w:sz w:val="34"/>
          <w:szCs w:val="22"/>
          <w:lang w:eastAsia="zh-CN"/>
        </w:rPr>
        <w:t>，建筑业不景气</w:t>
      </w:r>
      <w:r>
        <w:rPr>
          <w:rFonts w:hint="eastAsia" w:ascii="Times New Roman" w:hAnsi="Times New Roman" w:eastAsia="仿宋_GB2312"/>
          <w:color w:val="auto"/>
          <w:sz w:val="34"/>
          <w:szCs w:val="22"/>
        </w:rPr>
        <w:t>，</w:t>
      </w:r>
      <w:r>
        <w:rPr>
          <w:rFonts w:hint="eastAsia" w:ascii="Times New Roman" w:hAnsi="Times New Roman" w:eastAsia="仿宋_GB2312"/>
          <w:color w:val="auto"/>
          <w:sz w:val="34"/>
          <w:szCs w:val="22"/>
          <w:lang w:eastAsia="zh-CN"/>
        </w:rPr>
        <w:t>导致各行业税收收入减少</w:t>
      </w:r>
      <w:r>
        <w:rPr>
          <w:rFonts w:hint="eastAsia" w:ascii="Times New Roman" w:hAnsi="Times New Roman" w:eastAsia="仿宋_GB2312"/>
          <w:color w:val="auto"/>
          <w:sz w:val="34"/>
          <w:szCs w:val="22"/>
        </w:rPr>
        <w:t>。从非税收入看，往年非税收入主要依靠国有资源有偿使用收入，而今年</w:t>
      </w:r>
      <w:r>
        <w:rPr>
          <w:rFonts w:hint="eastAsia" w:ascii="Times New Roman" w:hAnsi="Times New Roman" w:eastAsia="仿宋_GB2312"/>
          <w:color w:val="auto"/>
          <w:sz w:val="34"/>
          <w:szCs w:val="22"/>
          <w:lang w:eastAsia="zh-CN"/>
        </w:rPr>
        <w:t>国有资产有偿使用收益大幅减少</w:t>
      </w:r>
      <w:r>
        <w:rPr>
          <w:rFonts w:hint="eastAsia" w:ascii="Times New Roman" w:hAnsi="Times New Roman" w:eastAsia="仿宋_GB2312"/>
          <w:color w:val="auto"/>
          <w:sz w:val="34"/>
          <w:szCs w:val="22"/>
        </w:rPr>
        <w:t>。对此，我们将着力扩大内需、提振信心、防范风险，不断推动经济运行持续好转、社会预期持续改善、风险隐患持续化解，推动经济实现质的有效提升和量的合理增长。</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黑体" w:hAnsi="黑体" w:eastAsia="黑体" w:cs="黑体"/>
          <w:color w:val="auto"/>
          <w:sz w:val="34"/>
          <w:szCs w:val="34"/>
        </w:rPr>
      </w:pPr>
      <w:r>
        <w:rPr>
          <w:rFonts w:hint="eastAsia" w:ascii="黑体" w:hAnsi="黑体" w:eastAsia="黑体" w:cs="黑体"/>
          <w:color w:val="auto"/>
          <w:sz w:val="34"/>
          <w:szCs w:val="34"/>
        </w:rPr>
        <w:t>三、202</w:t>
      </w:r>
      <w:r>
        <w:rPr>
          <w:rFonts w:hint="eastAsia" w:ascii="黑体" w:hAnsi="黑体" w:eastAsia="黑体" w:cs="黑体"/>
          <w:color w:val="auto"/>
          <w:sz w:val="34"/>
          <w:szCs w:val="34"/>
          <w:lang w:val="en-US" w:eastAsia="zh-CN"/>
        </w:rPr>
        <w:t>5</w:t>
      </w:r>
      <w:r>
        <w:rPr>
          <w:rFonts w:hint="eastAsia" w:ascii="黑体" w:hAnsi="黑体" w:eastAsia="黑体" w:cs="黑体"/>
          <w:color w:val="auto"/>
          <w:sz w:val="34"/>
          <w:szCs w:val="34"/>
        </w:rPr>
        <w:t>年财政预算草案</w:t>
      </w:r>
    </w:p>
    <w:p>
      <w:pPr>
        <w:keepNext w:val="0"/>
        <w:keepLines w:val="0"/>
        <w:pageBreakBefore w:val="0"/>
        <w:widowControl w:val="0"/>
        <w:numPr>
          <w:ilvl w:val="0"/>
          <w:numId w:val="0"/>
        </w:numPr>
        <w:kinsoku/>
        <w:wordWrap/>
        <w:overflowPunct/>
        <w:topLinePunct w:val="0"/>
        <w:bidi w:val="0"/>
        <w:snapToGrid/>
        <w:spacing w:line="580" w:lineRule="exact"/>
        <w:ind w:firstLine="680" w:firstLineChars="200"/>
        <w:textAlignment w:val="auto"/>
        <w:rPr>
          <w:rFonts w:hint="default" w:ascii="Times New Roman" w:hAnsi="Times New Roman" w:eastAsia="仿宋_GB2312"/>
          <w:sz w:val="34"/>
          <w:lang w:val="en-US" w:eastAsia="zh-CN"/>
        </w:rPr>
      </w:pPr>
      <w:r>
        <w:rPr>
          <w:rFonts w:hint="eastAsia" w:ascii="Times New Roman" w:hAnsi="Times New Roman" w:eastAsia="仿宋_GB2312"/>
          <w:color w:val="auto"/>
          <w:sz w:val="34"/>
        </w:rPr>
        <w:t>202</w:t>
      </w:r>
      <w:r>
        <w:rPr>
          <w:rFonts w:hint="eastAsia" w:ascii="Times New Roman" w:hAnsi="Times New Roman" w:eastAsia="仿宋_GB2312"/>
          <w:color w:val="auto"/>
          <w:sz w:val="34"/>
          <w:lang w:val="en-US" w:eastAsia="zh-CN"/>
        </w:rPr>
        <w:t>5</w:t>
      </w:r>
      <w:r>
        <w:rPr>
          <w:rFonts w:hint="eastAsia" w:ascii="Times New Roman" w:hAnsi="Times New Roman" w:eastAsia="仿宋_GB2312"/>
          <w:color w:val="auto"/>
          <w:sz w:val="34"/>
        </w:rPr>
        <w:t>年</w:t>
      </w:r>
      <w:r>
        <w:rPr>
          <w:rFonts w:hint="eastAsia" w:eastAsia="仿宋_GB2312"/>
          <w:color w:val="auto"/>
          <w:sz w:val="34"/>
          <w:lang w:eastAsia="zh-CN"/>
        </w:rPr>
        <w:t>，</w:t>
      </w:r>
      <w:r>
        <w:rPr>
          <w:rFonts w:hint="eastAsia" w:ascii="Times New Roman" w:hAnsi="Times New Roman" w:eastAsia="仿宋_GB2312"/>
          <w:color w:val="auto"/>
          <w:sz w:val="34"/>
        </w:rPr>
        <w:t>财政工作的指导思想是：</w:t>
      </w:r>
      <w:r>
        <w:rPr>
          <w:rFonts w:hint="eastAsia" w:ascii="Times New Roman" w:hAnsi="Times New Roman" w:eastAsia="仿宋_GB2312"/>
          <w:color w:val="auto"/>
          <w:sz w:val="34"/>
          <w:lang w:eastAsia="zh-CN"/>
        </w:rPr>
        <w:t>坚持以习近平新时代中国特色社会主义思想为指导，全面贯彻落实党的二十大和二十届二中、三中全会精神，认真落实中央、省市经济工作会议部署，坚持稳中求进工作总基调，完整准确全面贯彻新发展理念，加快构建新发展格局，坚持生态立县、安全稳县、产业强县、文旅兴县发展战略，找准</w:t>
      </w:r>
      <w:r>
        <w:rPr>
          <w:rFonts w:hint="eastAsia" w:ascii="Times New Roman" w:hAnsi="Times New Roman" w:eastAsia="仿宋_GB2312"/>
          <w:color w:val="auto"/>
          <w:sz w:val="34"/>
          <w:lang w:val="en-US" w:eastAsia="zh-CN"/>
        </w:rPr>
        <w:t>3地历史坐标、提升4力内在要求，重点在4个百亿级产业上实现新突破、打好“矿产、山林、水利、冶炼、黑土”5张牌。着力建设吉林省东部绿色转型的创新创业城、山水宜居城、文化旅游城，高质量完成“十四五”规划目标任务，为实现“十五五”良好开局打牢基础。</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rPr>
      </w:pPr>
      <w:r>
        <w:rPr>
          <w:rFonts w:hint="eastAsia" w:ascii="Times New Roman" w:hAnsi="Times New Roman" w:eastAsia="仿宋_GB2312"/>
          <w:color w:val="auto"/>
          <w:sz w:val="34"/>
        </w:rPr>
        <w:t>根据上述指导思想，制定202</w:t>
      </w:r>
      <w:r>
        <w:rPr>
          <w:rFonts w:hint="eastAsia" w:ascii="Times New Roman" w:hAnsi="Times New Roman" w:eastAsia="仿宋_GB2312"/>
          <w:color w:val="auto"/>
          <w:sz w:val="34"/>
          <w:lang w:val="en-US" w:eastAsia="zh-CN"/>
        </w:rPr>
        <w:t>5</w:t>
      </w:r>
      <w:r>
        <w:rPr>
          <w:rFonts w:hint="eastAsia" w:ascii="Times New Roman" w:hAnsi="Times New Roman" w:eastAsia="仿宋_GB2312"/>
          <w:color w:val="auto"/>
          <w:sz w:val="34"/>
        </w:rPr>
        <w:t>年财政预算草案：</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Chars="0" w:firstLine="680" w:firstLineChars="200"/>
        <w:jc w:val="both"/>
        <w:textAlignment w:val="auto"/>
        <w:rPr>
          <w:rFonts w:hint="default"/>
          <w:sz w:val="34"/>
          <w:szCs w:val="34"/>
          <w:lang w:val="en-US" w:eastAsia="zh-CN"/>
        </w:rPr>
      </w:pPr>
      <w:r>
        <w:rPr>
          <w:rFonts w:hint="eastAsia" w:ascii="楷体" w:hAnsi="楷体" w:eastAsia="楷体" w:cs="楷体"/>
          <w:color w:val="auto"/>
          <w:sz w:val="34"/>
          <w:szCs w:val="34"/>
          <w:lang w:eastAsia="zh-CN"/>
        </w:rPr>
        <w:t>一般公共预算。</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szCs w:val="22"/>
          <w:lang w:val="en-US" w:eastAsia="zh-CN"/>
        </w:rPr>
      </w:pPr>
      <w:r>
        <w:rPr>
          <w:rFonts w:hint="eastAsia" w:ascii="Times New Roman" w:hAnsi="Times New Roman" w:eastAsia="仿宋_GB2312"/>
          <w:color w:val="auto"/>
          <w:sz w:val="34"/>
          <w:szCs w:val="22"/>
          <w:lang w:val="en-US" w:eastAsia="zh-CN"/>
        </w:rPr>
        <w:t>全县地方级财政收入5亿元，增长144%。其中：增值税、企业所得税等税收收入1.2亿元，占总收入24%，增长2.83%；非税收入3.8亿元，占总收入76%，增长332.8%。全县一般公共预算支出30.46亿元，比上年计划下降13.8%。</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szCs w:val="22"/>
          <w:lang w:val="en-US" w:eastAsia="zh-CN"/>
        </w:rPr>
      </w:pPr>
      <w:r>
        <w:rPr>
          <w:rFonts w:hint="eastAsia" w:ascii="Times New Roman" w:hAnsi="Times New Roman" w:eastAsia="仿宋_GB2312"/>
          <w:color w:val="auto"/>
          <w:sz w:val="34"/>
          <w:szCs w:val="22"/>
          <w:lang w:val="en-US" w:eastAsia="zh-CN"/>
        </w:rPr>
        <w:t>全县地方级财政收入5亿元，加上上级补助收入18.29亿元，上年结转、调入资金、动用预算稳定调节基金等7.7亿元，收入总计30.99亿元。全县一般公共预算支出30.46亿元，加上上解支出0.53亿元，支出总计30.99亿元。</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80" w:firstLineChars="200"/>
        <w:jc w:val="both"/>
        <w:textAlignment w:val="auto"/>
        <w:rPr>
          <w:rFonts w:hint="eastAsia" w:ascii="楷体" w:hAnsi="楷体" w:eastAsia="楷体" w:cs="楷体"/>
          <w:sz w:val="34"/>
          <w:szCs w:val="32"/>
          <w:lang w:val="en-US" w:eastAsia="zh-CN"/>
        </w:rPr>
      </w:pPr>
      <w:r>
        <w:rPr>
          <w:rFonts w:hint="eastAsia" w:ascii="楷体" w:hAnsi="楷体" w:eastAsia="楷体" w:cs="楷体"/>
          <w:sz w:val="34"/>
          <w:szCs w:val="32"/>
          <w:lang w:val="en-US" w:eastAsia="zh-CN"/>
        </w:rPr>
        <w:t>政府性基金预算。</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Times New Roman" w:hAnsi="Times New Roman" w:eastAsia="仿宋_GB2312" w:cs="仿宋_GB2312"/>
          <w:sz w:val="34"/>
          <w:szCs w:val="32"/>
          <w:highlight w:val="none"/>
          <w:lang w:val="en-US" w:eastAsia="zh-CN"/>
        </w:rPr>
      </w:pPr>
      <w:r>
        <w:rPr>
          <w:rFonts w:hint="eastAsia" w:ascii="Times New Roman" w:hAnsi="Times New Roman" w:eastAsia="仿宋_GB2312" w:cs="仿宋_GB2312"/>
          <w:sz w:val="34"/>
          <w:szCs w:val="32"/>
          <w:highlight w:val="none"/>
          <w:lang w:val="en-US" w:eastAsia="zh-CN"/>
        </w:rPr>
        <w:t>全县政府性基金收入1.48亿元，增长42.3%，加上上级补助收入、上年结转9.06亿元，收入总计10.54亿元。全县政府性基金支出10.54亿元。</w:t>
      </w:r>
    </w:p>
    <w:p>
      <w:pPr>
        <w:keepNext w:val="0"/>
        <w:keepLines w:val="0"/>
        <w:pageBreakBefore w:val="0"/>
        <w:widowControl w:val="0"/>
        <w:kinsoku/>
        <w:wordWrap/>
        <w:overflowPunct/>
        <w:topLinePunct w:val="0"/>
        <w:bidi w:val="0"/>
        <w:snapToGrid/>
        <w:spacing w:line="580" w:lineRule="exact"/>
        <w:ind w:firstLine="680" w:firstLineChars="200"/>
        <w:textAlignment w:val="auto"/>
        <w:rPr>
          <w:rFonts w:hint="eastAsia" w:ascii="黑体" w:hAnsi="黑体" w:eastAsia="黑体" w:cs="黑体"/>
          <w:color w:val="auto"/>
          <w:sz w:val="34"/>
          <w:szCs w:val="34"/>
        </w:rPr>
      </w:pPr>
      <w:r>
        <w:rPr>
          <w:rFonts w:hint="eastAsia" w:ascii="黑体" w:hAnsi="黑体" w:eastAsia="黑体" w:cs="黑体"/>
          <w:color w:val="auto"/>
          <w:sz w:val="34"/>
          <w:szCs w:val="34"/>
        </w:rPr>
        <w:t>四、202</w:t>
      </w:r>
      <w:r>
        <w:rPr>
          <w:rFonts w:hint="eastAsia" w:ascii="黑体" w:hAnsi="黑体" w:eastAsia="黑体" w:cs="黑体"/>
          <w:color w:val="auto"/>
          <w:sz w:val="34"/>
          <w:szCs w:val="34"/>
          <w:lang w:val="en-US" w:eastAsia="zh-CN"/>
        </w:rPr>
        <w:t>5</w:t>
      </w:r>
      <w:r>
        <w:rPr>
          <w:rFonts w:hint="eastAsia" w:ascii="黑体" w:hAnsi="黑体" w:eastAsia="黑体" w:cs="黑体"/>
          <w:color w:val="auto"/>
          <w:sz w:val="34"/>
          <w:szCs w:val="34"/>
        </w:rPr>
        <w:t>年财政工作安排</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rPr>
      </w:pPr>
      <w:r>
        <w:rPr>
          <w:rFonts w:hint="eastAsia" w:ascii="Times New Roman" w:hAnsi="Times New Roman" w:eastAsia="仿宋_GB2312"/>
          <w:color w:val="auto"/>
          <w:sz w:val="34"/>
          <w:szCs w:val="22"/>
        </w:rPr>
        <w:t>2025年，</w:t>
      </w:r>
      <w:r>
        <w:rPr>
          <w:rFonts w:hint="eastAsia" w:ascii="Times New Roman" w:hAnsi="Times New Roman" w:eastAsia="仿宋_GB2312"/>
          <w:color w:val="auto"/>
          <w:sz w:val="34"/>
          <w:szCs w:val="22"/>
          <w:lang w:eastAsia="zh-CN"/>
        </w:rPr>
        <w:t>我们</w:t>
      </w:r>
      <w:r>
        <w:rPr>
          <w:rFonts w:hint="eastAsia" w:ascii="Times New Roman" w:hAnsi="Times New Roman" w:eastAsia="仿宋_GB2312"/>
          <w:color w:val="auto"/>
          <w:sz w:val="34"/>
          <w:szCs w:val="22"/>
        </w:rPr>
        <w:t>将继续坚持以习近平新时代中国特色社会主义思想为指导，认真落实中央和省市县委经济工作会议部署，坚持稳中求进工作总基调，全面加强财源建设，强化预算管理，兜牢“三保”底线，持续改善民生，持续增强全县重大战略任务财力保障，坚定不移推动高质量发展取得更大成效。</w:t>
      </w:r>
    </w:p>
    <w:p>
      <w:pPr>
        <w:keepNext w:val="0"/>
        <w:keepLines w:val="0"/>
        <w:pageBreakBefore w:val="0"/>
        <w:widowControl w:val="0"/>
        <w:numPr>
          <w:ilvl w:val="0"/>
          <w:numId w:val="3"/>
        </w:numPr>
        <w:kinsoku/>
        <w:wordWrap/>
        <w:overflowPunct/>
        <w:topLinePunct w:val="0"/>
        <w:bidi w:val="0"/>
        <w:snapToGrid/>
        <w:spacing w:line="580" w:lineRule="exact"/>
        <w:ind w:firstLine="680" w:firstLineChars="200"/>
        <w:textAlignment w:val="auto"/>
        <w:rPr>
          <w:rFonts w:hint="eastAsia" w:ascii="楷体" w:hAnsi="楷体" w:eastAsia="楷体" w:cs="楷体"/>
          <w:b w:val="0"/>
          <w:bCs w:val="0"/>
          <w:color w:val="000000"/>
          <w:sz w:val="34"/>
          <w:szCs w:val="34"/>
          <w:shd w:val="clear" w:color="auto" w:fill="FFFFFF"/>
        </w:rPr>
      </w:pPr>
      <w:r>
        <w:rPr>
          <w:rFonts w:hint="eastAsia" w:ascii="楷体" w:hAnsi="楷体" w:eastAsia="楷体" w:cs="楷体"/>
          <w:b w:val="0"/>
          <w:bCs w:val="0"/>
          <w:color w:val="000000"/>
          <w:sz w:val="34"/>
          <w:szCs w:val="34"/>
          <w:shd w:val="clear" w:color="auto" w:fill="FFFFFF"/>
        </w:rPr>
        <w:t>狠抓财源建设，拓宽收入来源渠道。</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szCs w:val="22"/>
        </w:rPr>
      </w:pPr>
      <w:r>
        <w:rPr>
          <w:rFonts w:hint="eastAsia" w:ascii="Times New Roman" w:hAnsi="Times New Roman" w:eastAsia="仿宋_GB2312"/>
          <w:color w:val="auto"/>
          <w:sz w:val="34"/>
          <w:szCs w:val="22"/>
        </w:rPr>
        <w:t>一是积极组织财政收入。紧盯国家和省级政策导向，积极争取政府债券和转移支付等政策、资金、资源支持，确保县级基本财力保障水平稳步提升，助推县域经济社会持续健康发展。二是持续提升服务水平。严格落实各项惠企纾困政策，帮助企业做大做强、转型升级、提质增效，有效激发市场活力和发展信心。三是深入推进财源建设。聚焦重点产业税收提升和骨干税源企业培育，增强全县特色优势产业链的稳定性和竞争力，实现财政收入稳定可持续增长。</w:t>
      </w:r>
    </w:p>
    <w:p>
      <w:pPr>
        <w:keepNext w:val="0"/>
        <w:keepLines w:val="0"/>
        <w:pageBreakBefore w:val="0"/>
        <w:widowControl w:val="0"/>
        <w:numPr>
          <w:ilvl w:val="0"/>
          <w:numId w:val="3"/>
        </w:numPr>
        <w:kinsoku/>
        <w:wordWrap/>
        <w:overflowPunct/>
        <w:topLinePunct w:val="0"/>
        <w:bidi w:val="0"/>
        <w:snapToGrid/>
        <w:spacing w:line="580" w:lineRule="exact"/>
        <w:ind w:left="0" w:leftChars="0" w:firstLine="680" w:firstLineChars="200"/>
        <w:textAlignment w:val="auto"/>
        <w:rPr>
          <w:rFonts w:hint="eastAsia" w:ascii="楷体" w:hAnsi="楷体" w:eastAsia="楷体" w:cs="楷体"/>
          <w:b w:val="0"/>
          <w:bCs w:val="0"/>
          <w:color w:val="000000"/>
          <w:sz w:val="34"/>
          <w:szCs w:val="34"/>
          <w:shd w:val="clear" w:color="auto" w:fill="FFFFFF"/>
        </w:rPr>
      </w:pPr>
      <w:r>
        <w:rPr>
          <w:rFonts w:hint="eastAsia" w:ascii="楷体" w:hAnsi="楷体" w:eastAsia="楷体" w:cs="楷体"/>
          <w:b w:val="0"/>
          <w:bCs w:val="0"/>
          <w:color w:val="000000"/>
          <w:sz w:val="34"/>
          <w:szCs w:val="34"/>
          <w:shd w:val="clear" w:color="auto" w:fill="FFFFFF"/>
        </w:rPr>
        <w:t>优化支出结构，保障重点领域支出。</w:t>
      </w:r>
    </w:p>
    <w:p>
      <w:pPr>
        <w:keepNext w:val="0"/>
        <w:keepLines w:val="0"/>
        <w:pageBreakBefore w:val="0"/>
        <w:widowControl w:val="0"/>
        <w:numPr>
          <w:ilvl w:val="0"/>
          <w:numId w:val="0"/>
        </w:numPr>
        <w:kinsoku/>
        <w:wordWrap/>
        <w:overflowPunct/>
        <w:topLinePunct w:val="0"/>
        <w:bidi w:val="0"/>
        <w:snapToGrid/>
        <w:spacing w:line="580" w:lineRule="exact"/>
        <w:ind w:firstLine="680" w:firstLineChars="200"/>
        <w:textAlignment w:val="auto"/>
        <w:rPr>
          <w:rFonts w:ascii="Times New Roman" w:hAnsi="Times New Roman" w:eastAsia="仿宋_GB2312" w:cs="Times New Roman"/>
          <w:color w:val="000000"/>
          <w:sz w:val="34"/>
          <w:szCs w:val="34"/>
          <w:shd w:val="clear" w:color="auto" w:fill="FFFFFF"/>
        </w:rPr>
      </w:pPr>
      <w:r>
        <w:rPr>
          <w:rFonts w:hint="eastAsia" w:ascii="Times New Roman" w:hAnsi="Times New Roman" w:eastAsia="仿宋_GB2312"/>
          <w:color w:val="auto"/>
          <w:sz w:val="34"/>
          <w:szCs w:val="22"/>
        </w:rPr>
        <w:t>一是兜牢“三保”底线。坚决把保基本民生、保工资、保运转作为重要的政治任务，进一步优化财政支出结构，坚持“三保”支出在财政支出中的优先顺序，兜牢兜实“三保”底线。二是促进公共服务均衡发展。按照“尽力而为，量力而行”的原则，科学统筹财力，不断加大教育、医疗卫生、就业、养老、社会救助等社会事业投入力度，促进基本公共服务均等化发展。三是继续助力乡村振兴。持续巩固拓展脱贫攻坚成果同乡村振兴有效衔接，用好用足涉农资金统筹整合政策，支持乡村特色优势产业发展，带动脱贫人口就业增收，落实好各项支农惠农补贴政策。</w:t>
      </w:r>
    </w:p>
    <w:p>
      <w:pPr>
        <w:keepNext w:val="0"/>
        <w:keepLines w:val="0"/>
        <w:pageBreakBefore w:val="0"/>
        <w:widowControl w:val="0"/>
        <w:numPr>
          <w:ilvl w:val="0"/>
          <w:numId w:val="3"/>
        </w:numPr>
        <w:kinsoku/>
        <w:wordWrap/>
        <w:overflowPunct/>
        <w:topLinePunct w:val="0"/>
        <w:bidi w:val="0"/>
        <w:snapToGrid/>
        <w:spacing w:line="580" w:lineRule="exact"/>
        <w:ind w:left="0" w:leftChars="0" w:firstLine="680" w:firstLineChars="200"/>
        <w:textAlignment w:val="auto"/>
        <w:rPr>
          <w:rFonts w:hint="eastAsia" w:ascii="楷体" w:hAnsi="楷体" w:eastAsia="楷体" w:cs="楷体"/>
          <w:b w:val="0"/>
          <w:bCs w:val="0"/>
          <w:color w:val="000000"/>
          <w:sz w:val="34"/>
          <w:szCs w:val="34"/>
          <w:shd w:val="clear" w:color="auto" w:fill="FFFFFF"/>
        </w:rPr>
      </w:pPr>
      <w:r>
        <w:rPr>
          <w:rFonts w:hint="eastAsia" w:ascii="楷体" w:hAnsi="楷体" w:eastAsia="楷体" w:cs="楷体"/>
          <w:b w:val="0"/>
          <w:bCs w:val="0"/>
          <w:color w:val="000000"/>
          <w:sz w:val="34"/>
          <w:szCs w:val="34"/>
          <w:shd w:val="clear" w:color="auto" w:fill="FFFFFF"/>
        </w:rPr>
        <w:t>加强债务管控，防范化解债务风险。</w:t>
      </w:r>
    </w:p>
    <w:p>
      <w:pPr>
        <w:keepNext w:val="0"/>
        <w:keepLines w:val="0"/>
        <w:pageBreakBefore w:val="0"/>
        <w:widowControl w:val="0"/>
        <w:numPr>
          <w:ilvl w:val="0"/>
          <w:numId w:val="0"/>
        </w:numPr>
        <w:kinsoku/>
        <w:wordWrap/>
        <w:overflowPunct/>
        <w:topLinePunct w:val="0"/>
        <w:bidi w:val="0"/>
        <w:snapToGrid/>
        <w:spacing w:line="580" w:lineRule="exact"/>
        <w:ind w:firstLine="680" w:firstLineChars="200"/>
        <w:textAlignment w:val="auto"/>
        <w:rPr>
          <w:rFonts w:hint="eastAsia" w:ascii="Times New Roman" w:hAnsi="Times New Roman" w:eastAsia="仿宋_GB2312"/>
          <w:color w:val="auto"/>
          <w:sz w:val="34"/>
          <w:szCs w:val="22"/>
        </w:rPr>
      </w:pPr>
      <w:r>
        <w:rPr>
          <w:rFonts w:hint="eastAsia" w:ascii="Times New Roman" w:hAnsi="Times New Roman" w:eastAsia="仿宋_GB2312"/>
          <w:color w:val="auto"/>
          <w:sz w:val="34"/>
          <w:szCs w:val="22"/>
        </w:rPr>
        <w:t>一是全面化解债务存量。严格落实政府性债务管理措施，按照“谁举债、谁负责”的原则，压紧压实部门主体责任，督促采取积极有效措施盘活各类资源资产资金，偿还到期债务，防范债务风险。二是全面遏制债务增量。始终树立风险意识和底线思维，坚决遏制隐性债务增量，杜绝随意新增财政预算，堵死违规举债的“后门”。三是积极争取上级政策支持。按照“一债一策”“一债一档”的标准，建立债务档案，争取再融资债券置换资金，缓解到期债务压力。</w:t>
      </w:r>
    </w:p>
    <w:p>
      <w:pPr>
        <w:keepNext w:val="0"/>
        <w:keepLines w:val="0"/>
        <w:pageBreakBefore w:val="0"/>
        <w:widowControl w:val="0"/>
        <w:numPr>
          <w:ilvl w:val="0"/>
          <w:numId w:val="3"/>
        </w:numPr>
        <w:kinsoku/>
        <w:wordWrap/>
        <w:overflowPunct/>
        <w:topLinePunct w:val="0"/>
        <w:bidi w:val="0"/>
        <w:snapToGrid/>
        <w:spacing w:line="580" w:lineRule="exact"/>
        <w:ind w:left="0" w:leftChars="0" w:firstLine="680" w:firstLineChars="200"/>
        <w:textAlignment w:val="auto"/>
        <w:rPr>
          <w:rFonts w:hint="eastAsia" w:ascii="楷体" w:hAnsi="楷体" w:eastAsia="楷体" w:cs="楷体"/>
          <w:b w:val="0"/>
          <w:bCs w:val="0"/>
          <w:color w:val="000000"/>
          <w:sz w:val="34"/>
          <w:szCs w:val="34"/>
          <w:shd w:val="clear" w:color="auto" w:fill="FFFFFF"/>
          <w:lang w:eastAsia="zh-CN"/>
        </w:rPr>
      </w:pPr>
      <w:r>
        <w:rPr>
          <w:rFonts w:hint="eastAsia" w:ascii="楷体" w:hAnsi="楷体" w:eastAsia="楷体" w:cs="楷体"/>
          <w:b w:val="0"/>
          <w:bCs w:val="0"/>
          <w:color w:val="000000"/>
          <w:sz w:val="34"/>
          <w:szCs w:val="34"/>
          <w:shd w:val="clear" w:color="auto" w:fill="FFFFFF"/>
        </w:rPr>
        <w:t>深化体制改革，促进财政管理提升</w:t>
      </w:r>
      <w:r>
        <w:rPr>
          <w:rFonts w:hint="eastAsia" w:ascii="楷体" w:hAnsi="楷体" w:eastAsia="楷体" w:cs="楷体"/>
          <w:b w:val="0"/>
          <w:bCs w:val="0"/>
          <w:color w:val="000000"/>
          <w:sz w:val="34"/>
          <w:szCs w:val="34"/>
          <w:shd w:val="clear" w:color="auto" w:fill="FFFFFF"/>
          <w:lang w:eastAsia="zh-CN"/>
        </w:rPr>
        <w:t>。</w:t>
      </w:r>
    </w:p>
    <w:p>
      <w:pPr>
        <w:keepNext w:val="0"/>
        <w:keepLines w:val="0"/>
        <w:pageBreakBefore w:val="0"/>
        <w:widowControl w:val="0"/>
        <w:kinsoku/>
        <w:wordWrap/>
        <w:overflowPunct/>
        <w:topLinePunct w:val="0"/>
        <w:bidi w:val="0"/>
        <w:adjustRightInd/>
        <w:snapToGrid/>
        <w:spacing w:line="580" w:lineRule="exact"/>
        <w:ind w:leftChars="0" w:firstLine="680" w:firstLineChars="200"/>
        <w:jc w:val="both"/>
        <w:textAlignment w:val="auto"/>
        <w:rPr>
          <w:rFonts w:hint="eastAsia" w:ascii="Times New Roman" w:hAnsi="Times New Roman" w:eastAsia="仿宋_GB2312"/>
          <w:color w:val="auto"/>
          <w:sz w:val="34"/>
          <w:szCs w:val="22"/>
        </w:rPr>
      </w:pPr>
      <w:r>
        <w:rPr>
          <w:rFonts w:hint="eastAsia" w:ascii="Times New Roman" w:hAnsi="Times New Roman" w:eastAsia="仿宋_GB2312"/>
          <w:color w:val="auto"/>
          <w:sz w:val="34"/>
          <w:szCs w:val="22"/>
        </w:rPr>
        <w:t>一是科学编制预算。根据县委、县政府决策部署和县本级财力情况，对部门年度申报支出的内容、标准、预期绩效等进行全面审核后编制年度预算，确保预算编制科学、规范、精准。加强预算执行监控和分析，严禁无预算支出，超预算拨款。加强专项资金支出进度调度，合理统筹库款，提高资金支出效益。</w:t>
      </w:r>
      <w:r>
        <w:rPr>
          <w:rFonts w:hint="eastAsia" w:ascii="Times New Roman" w:hAnsi="Times New Roman" w:eastAsia="仿宋_GB2312"/>
          <w:color w:val="auto"/>
          <w:sz w:val="34"/>
          <w:szCs w:val="22"/>
          <w:lang w:eastAsia="zh-CN"/>
        </w:rPr>
        <w:t>二</w:t>
      </w:r>
      <w:r>
        <w:rPr>
          <w:rFonts w:hint="eastAsia" w:ascii="Times New Roman" w:hAnsi="Times New Roman" w:eastAsia="仿宋_GB2312"/>
          <w:color w:val="auto"/>
          <w:sz w:val="34"/>
          <w:szCs w:val="22"/>
        </w:rPr>
        <w:t>是推进预算一体化建设。深化预算制度改革，着力构建数字化、智能化的预算管理机制，逐步实现对全县各预算单位预算管理动态有效监控。</w:t>
      </w:r>
      <w:r>
        <w:rPr>
          <w:rFonts w:hint="eastAsia" w:ascii="Times New Roman" w:hAnsi="Times New Roman" w:eastAsia="仿宋_GB2312"/>
          <w:color w:val="auto"/>
          <w:sz w:val="34"/>
          <w:szCs w:val="22"/>
          <w:lang w:eastAsia="zh-CN"/>
        </w:rPr>
        <w:t>三</w:t>
      </w:r>
      <w:r>
        <w:rPr>
          <w:rFonts w:hint="eastAsia" w:ascii="Times New Roman" w:hAnsi="Times New Roman" w:eastAsia="仿宋_GB2312"/>
          <w:color w:val="auto"/>
          <w:sz w:val="34"/>
          <w:szCs w:val="22"/>
        </w:rPr>
        <w:t>是全面推进预算绩效管理。坚持“花钱必问效，无效必问责”的绩效管理理念，强化支出责任和效率意识，将绩效评价结果运用到预算安排中来，推动零基预算和预算绩效管理有机衔接。</w:t>
      </w:r>
      <w:r>
        <w:rPr>
          <w:rFonts w:hint="eastAsia" w:ascii="Times New Roman" w:hAnsi="Times New Roman" w:eastAsia="仿宋_GB2312"/>
          <w:color w:val="auto"/>
          <w:sz w:val="34"/>
          <w:szCs w:val="22"/>
          <w:lang w:eastAsia="zh-CN"/>
        </w:rPr>
        <w:t>四</w:t>
      </w:r>
      <w:r>
        <w:rPr>
          <w:rFonts w:hint="eastAsia" w:ascii="Times New Roman" w:hAnsi="Times New Roman" w:eastAsia="仿宋_GB2312"/>
          <w:color w:val="auto"/>
          <w:sz w:val="34"/>
          <w:szCs w:val="22"/>
        </w:rPr>
        <w:t>是加强财政监督检查。围绕重点部门、重点领域、关键环节，加大财政监督检查力度，切实从源头上、制度上预防和治理违规违纪行为，严控资金风险。</w:t>
      </w:r>
    </w:p>
    <w:p>
      <w:pPr>
        <w:pStyle w:val="2"/>
        <w:keepNext w:val="0"/>
        <w:keepLines w:val="0"/>
        <w:pageBreakBefore w:val="0"/>
        <w:widowControl w:val="0"/>
        <w:kinsoku/>
        <w:wordWrap/>
        <w:overflowPunct/>
        <w:topLinePunct w:val="0"/>
        <w:bidi w:val="0"/>
        <w:snapToGrid/>
        <w:spacing w:beforeLines="0" w:line="580" w:lineRule="exact"/>
        <w:ind w:firstLine="640"/>
        <w:textAlignment w:val="auto"/>
        <w:rPr>
          <w:rFonts w:hint="default" w:ascii="Times New Roman" w:hAnsi="Times New Roman" w:eastAsia="仿宋_GB2312"/>
          <w:color w:val="auto"/>
          <w:sz w:val="34"/>
          <w:u w:val="none" w:color="auto"/>
        </w:rPr>
      </w:pPr>
      <w:r>
        <w:rPr>
          <w:rFonts w:hint="eastAsia" w:ascii="Times New Roman" w:hAnsi="Times New Roman" w:eastAsia="仿宋_GB2312"/>
          <w:color w:val="auto"/>
          <w:sz w:val="34"/>
        </w:rPr>
        <w:t>202</w:t>
      </w:r>
      <w:r>
        <w:rPr>
          <w:rFonts w:hint="eastAsia" w:ascii="Times New Roman" w:hAnsi="Times New Roman" w:eastAsia="仿宋_GB2312"/>
          <w:color w:val="auto"/>
          <w:sz w:val="34"/>
          <w:lang w:val="en-US" w:eastAsia="zh-CN"/>
        </w:rPr>
        <w:t>5</w:t>
      </w:r>
      <w:r>
        <w:rPr>
          <w:rFonts w:hint="eastAsia" w:ascii="Times New Roman" w:hAnsi="Times New Roman" w:eastAsia="仿宋_GB2312"/>
          <w:color w:val="auto"/>
          <w:sz w:val="34"/>
        </w:rPr>
        <w:t>年财政工作任务</w:t>
      </w:r>
      <w:r>
        <w:rPr>
          <w:rFonts w:hint="eastAsia" w:ascii="Times New Roman" w:hAnsi="Times New Roman" w:eastAsia="仿宋_GB2312"/>
          <w:color w:val="auto"/>
          <w:sz w:val="34"/>
          <w:lang w:eastAsia="zh-CN"/>
        </w:rPr>
        <w:t>依然</w:t>
      </w:r>
      <w:r>
        <w:rPr>
          <w:rFonts w:hint="eastAsia" w:ascii="Times New Roman" w:hAnsi="Times New Roman" w:eastAsia="仿宋_GB2312"/>
          <w:color w:val="auto"/>
          <w:sz w:val="34"/>
        </w:rPr>
        <w:t>十分艰巨</w:t>
      </w:r>
      <w:r>
        <w:rPr>
          <w:rFonts w:hint="eastAsia" w:eastAsia="仿宋_GB2312"/>
          <w:color w:val="auto"/>
          <w:sz w:val="34"/>
          <w:lang w:eastAsia="zh-CN"/>
        </w:rPr>
        <w:t>，</w:t>
      </w:r>
      <w:r>
        <w:rPr>
          <w:rFonts w:hint="eastAsia" w:ascii="Times New Roman" w:hAnsi="Times New Roman" w:eastAsia="仿宋_GB2312"/>
          <w:color w:val="auto"/>
          <w:sz w:val="34"/>
        </w:rPr>
        <w:t>我们将在县委、县政府的正确领导下，在县人大、县政协的监督指导下，</w:t>
      </w:r>
      <w:r>
        <w:rPr>
          <w:rFonts w:hint="eastAsia" w:ascii="Times New Roman" w:hAnsi="Times New Roman" w:eastAsia="仿宋_GB2312"/>
          <w:color w:val="auto"/>
          <w:sz w:val="34"/>
          <w:lang w:eastAsia="zh-CN"/>
        </w:rPr>
        <w:t>增收解禁，</w:t>
      </w:r>
      <w:r>
        <w:rPr>
          <w:rFonts w:hint="eastAsia" w:ascii="Times New Roman" w:hAnsi="Times New Roman" w:eastAsia="仿宋_GB2312"/>
          <w:color w:val="auto"/>
          <w:sz w:val="34"/>
        </w:rPr>
        <w:t>真抓实干，扎实做好财政各项工作，促进全县经济社会平稳有序发展。</w:t>
      </w:r>
    </w:p>
    <w:sectPr>
      <w:footerReference r:id="rId4" w:type="default"/>
      <w:pgSz w:w="11879" w:h="16783" w:orient="landscape"/>
      <w:pgMar w:top="1701" w:right="1531" w:bottom="1701" w:left="1531" w:header="851" w:footer="1417" w:gutter="0"/>
      <w:lnNumType w:countBy="0" w:distance="36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rPr>
        <w:rFonts w:hint="default"/>
        <w:sz w:val="18"/>
      </w:rPr>
    </w:pPr>
    <w:r>
      <w:rPr>
        <w:rFonts w:hint="default" w:ascii="Times New Roman" w:hAnsi="Times New Roman" w:eastAsia="宋体" w:cs="黑体"/>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218440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spacing w:beforeLines="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17.2pt;height:144pt;width:144pt;mso-position-horizontal:center;mso-position-horizontal-relative:margin;mso-wrap-style:none;z-index:251660288;mso-width-relative:page;mso-height-relative:page;" filled="f" stroked="f" coordsize="21600,21600" o:gfxdata="UEsDBAoAAAAAAIdO4kAAAAAAAAAAAAAAAAAEAAAAZHJzL1BLAwQUAAAACACHTuJAvE1jstMAAAAH&#10;AQAADwAAAGRycy9kb3ducmV2LnhtbE2PzU7DMBCE70i8g7VI3KjdEKEoxOkBqRIgLk15ADfe/Ah7&#10;HdluU96e5QTHmVnNfNvsrt6JC8Y0B9Kw3SgQSH2wM40aPo/7hwpEyoascYFQwzcm2LW3N42pbVjp&#10;gJcuj4JLKNVGw5TzUkuZ+gm9SZuwIHE2hOhNZhlHaaNZudw7WSj1JL2ZiRcms+DLhP1Xd/Ya5LHb&#10;r1XnogrvxfDh3l4PAwat7++26hlExmv+O4ZffEaHlplO4Uw2CaeBH8kaHssSBKdFVbFxYqMoSpBt&#10;I//ztz9QSwMEFAAAAAgAh07iQMEDfU3EAQAAjwMAAA4AAABkcnMvZTJvRG9jLnhtbK1TzY7TMBC+&#10;I/EOlu80aQ9QRU1XK1W7QkKw0sIDuI7TWPKfZtwmfQF4A05cuPNcfQ7GTtKF5bIHLsnMePLN932e&#10;bG4Ga9hJAWrvar5clJwpJ32j3aHmXz7fvVlzhlG4RhjvVM3PCvnN9vWrTR8qtfKdN40CRiAOqz7U&#10;vIsxVEWBslNW4MIH5eiw9WBFpBQORQOiJ3RrilVZvi16D00ALxUiVXfjIZ8Q4SWAvm21VDsvj1a5&#10;OKKCMiKSJOx0QL7NbNtWyfipbVFFZmpOSmN+0hCK9+lZbDeiOoAInZYTBfESCs80WaEdDb1C7UQU&#10;7Aj6HyirJXj0bVxIb4tRSHaEVCzLZ948diKorIWsxnA1Hf8frPx4egCmm5qvOHPC0oVfvn+7/Ph1&#10;+fmVvUv29AEr6noMDzBlSGHSOrRg05tUsCFber5aqobIJBWX69V6XZLbks7mhHCKp88DYLxX3rIU&#10;1BzozrKV4vQB49g6t6Rpzt9pY6guKuP+KhBmqhSJ8cgxRXHYDxPxvW/OpLan6665o+3mzLx35Gba&#10;jDmAOdjPwTGAPnREbZl5Ybg9RiKRuaUJI+w0mO4pq5t2Ki3Cn3nuevqPt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E1jstMAAAAHAQAADwAAAAAAAAABACAAAAAiAAAAZHJzL2Rvd25yZXYueG1s&#10;UEsBAhQAFAAAAAgAh07iQMEDfU3EAQAAjwMAAA4AAAAAAAAAAQAgAAAAIgEAAGRycy9lMm9Eb2Mu&#10;eG1sUEsFBgAAAAAGAAYAWQEAAFgFAAAAAA==&#10;">
              <v:fill on="f" focussize="0,0"/>
              <v:stroke on="f"/>
              <v:imagedata o:title=""/>
              <o:lock v:ext="edit" aspectratio="f"/>
              <v:textbox inset="0mm,0mm,0mm,0mm" style="mso-fit-shape-to-text:t;">
                <w:txbxContent>
                  <w:p>
                    <w:pPr>
                      <w:pStyle w:val="4"/>
                      <w:spacing w:beforeLines="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rect>
          </w:pict>
        </mc:Fallback>
      </mc:AlternateContent>
    </w:r>
    <w:r>
      <w:rPr>
        <w:rFonts w:hint="default" w:ascii="Times New Roman" w:hAnsi="Times New Roman" w:eastAsia="宋体" w:cs="黑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pStyle w:val="4"/>
                            <w:spacing w:beforeLines="0"/>
                            <w:rPr>
                              <w:rFonts w:hint="eastAsia"/>
                              <w:sz w:val="18"/>
                            </w:rPr>
                          </w:pPr>
                        </w:p>
                      </w:txbxContent>
                    </wps:txbx>
                    <wps:bodyPr wrap="none" lIns="0" tIns="0" rIns="0" bIns="0" upright="1">
                      <a:spAutoFit/>
                    </wps:bodyPr>
                  </wps:wsp>
                </a:graphicData>
              </a:graphic>
            </wp:anchor>
          </w:drawing>
        </mc:Choice>
        <mc:Fallback>
          <w:pict>
            <v:rect id="文本框 4"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IJXpq7IAQAAjQMAAA4AAABkcnMvZTJvRG9jLnhtbK1TS27bMBDdF+gd&#10;CO5rWYlTtILloICRokDRBkh6AJqiLAL8YYa25Au0N+iqm+57Lp+jQ0p22mSTRTbScDh6896b0fJ6&#10;sIbtFaD2rublbM6ZctI32m1r/u3+5s07zjAK1wjjnar5QSG/Xr1+texDpS58502jgBGIw6oPNe9i&#10;DFVRoOyUFTjzQTm6bD1YEekI26IB0RO6NcXFfP626D00AbxUiJRdj5d8QoTnAPq21VKtvdxZ5eKI&#10;CsqISJKw0wH5KrNtWyXj17ZFFZmpOSmN+UlNKN6kZ7FaimoLInRaThTEcyg80mSFdtT0DLUWUbAd&#10;6CdQVkvw6Ns4k94Wo5DsCKko54+8uetEUFkLWY3hbDq+HKz8sr8FphvaBM6csDTw488fx19/jr+/&#10;s0Wypw9YUdVduIXphBQmrUMLNr1JBRuypYezpWqITFKyLBfvL684k3RVXpaLxVXCLB4+DoDxo/KW&#10;paDmQBPLRor9Z4xj6akk9XL+RhtDeVEZ91+CMFOmSHxHhimKw2aYaG98cyCtPQ275o52mzPzyZGX&#10;aS9OAZyCzSnYBdDbjqiVmReGD7tIJDK31GGEnRrTlLK6aaPSGvx7zlUPf9H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S/0sLQAAAAAwEAAA8AAAAAAAAAAQAgAAAAIgAAAGRycy9kb3ducmV2Lnht&#10;bFBLAQIUABQAAAAIAIdO4kCCV6auyAEAAI0DAAAOAAAAAAAAAAEAIAAAAB8BAABkcnMvZTJvRG9j&#10;LnhtbFBLBQYAAAAABgAGAFkBAABZBQAAAAA=&#10;">
              <v:fill on="f" focussize="0,0"/>
              <v:stroke on="f"/>
              <v:imagedata o:title=""/>
              <o:lock v:ext="edit" aspectratio="f"/>
              <v:textbox inset="0mm,0mm,0mm,0mm" style="mso-fit-shape-to-text:t;">
                <w:txbxContent>
                  <w:p>
                    <w:pPr>
                      <w:pStyle w:val="4"/>
                      <w:spacing w:beforeLines="0"/>
                      <w:rPr>
                        <w:rFonts w:hint="eastAsia"/>
                        <w:sz w:val="1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9790A"/>
    <w:multiLevelType w:val="multilevel"/>
    <w:tmpl w:val="E5D9790A"/>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4261C4F5"/>
    <w:multiLevelType w:val="singleLevel"/>
    <w:tmpl w:val="4261C4F5"/>
    <w:lvl w:ilvl="0" w:tentative="0">
      <w:start w:val="1"/>
      <w:numFmt w:val="chineseCounting"/>
      <w:suff w:val="nothing"/>
      <w:lvlText w:val="（%1）"/>
      <w:lvlJc w:val="left"/>
      <w:rPr>
        <w:rFonts w:hint="eastAsia"/>
      </w:rPr>
    </w:lvl>
  </w:abstractNum>
  <w:abstractNum w:abstractNumId="2">
    <w:nsid w:val="5AD481B5"/>
    <w:multiLevelType w:val="singleLevel"/>
    <w:tmpl w:val="5AD481B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bookFoldPrinting w:val="1"/>
  <w:bookFoldPrintingSheets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3622"/>
    <w:rsid w:val="009D5516"/>
    <w:rsid w:val="015A5F90"/>
    <w:rsid w:val="016E58CE"/>
    <w:rsid w:val="039106DE"/>
    <w:rsid w:val="047B2E3A"/>
    <w:rsid w:val="06335089"/>
    <w:rsid w:val="06DF68D3"/>
    <w:rsid w:val="080A4308"/>
    <w:rsid w:val="081E1F37"/>
    <w:rsid w:val="0A1D514B"/>
    <w:rsid w:val="0AF808DE"/>
    <w:rsid w:val="0CE81BBC"/>
    <w:rsid w:val="0ED26B1D"/>
    <w:rsid w:val="0EEA566E"/>
    <w:rsid w:val="0FDE3917"/>
    <w:rsid w:val="12005EDD"/>
    <w:rsid w:val="14896B5F"/>
    <w:rsid w:val="15DF1F64"/>
    <w:rsid w:val="16761611"/>
    <w:rsid w:val="17684747"/>
    <w:rsid w:val="18C16C0B"/>
    <w:rsid w:val="1ADD6686"/>
    <w:rsid w:val="1CC73700"/>
    <w:rsid w:val="1E20528F"/>
    <w:rsid w:val="1EEE451A"/>
    <w:rsid w:val="20FA4E9D"/>
    <w:rsid w:val="222F6521"/>
    <w:rsid w:val="242C08B9"/>
    <w:rsid w:val="256520C1"/>
    <w:rsid w:val="27EE1DE7"/>
    <w:rsid w:val="283B025A"/>
    <w:rsid w:val="283C2A16"/>
    <w:rsid w:val="2884042B"/>
    <w:rsid w:val="2AC9084C"/>
    <w:rsid w:val="2B371EAE"/>
    <w:rsid w:val="2E111254"/>
    <w:rsid w:val="2FDB1C71"/>
    <w:rsid w:val="30235A0D"/>
    <w:rsid w:val="309915DF"/>
    <w:rsid w:val="3199537A"/>
    <w:rsid w:val="34F338AF"/>
    <w:rsid w:val="385155E1"/>
    <w:rsid w:val="3AAF1989"/>
    <w:rsid w:val="3B0D4169"/>
    <w:rsid w:val="3D724EDD"/>
    <w:rsid w:val="3DC43C0B"/>
    <w:rsid w:val="3F4A0111"/>
    <w:rsid w:val="3F4C3641"/>
    <w:rsid w:val="3F783507"/>
    <w:rsid w:val="3FD94633"/>
    <w:rsid w:val="414763A7"/>
    <w:rsid w:val="41B1420A"/>
    <w:rsid w:val="433577CE"/>
    <w:rsid w:val="49BC324C"/>
    <w:rsid w:val="4A4548B9"/>
    <w:rsid w:val="4B676A62"/>
    <w:rsid w:val="4CB45BD3"/>
    <w:rsid w:val="4DD51088"/>
    <w:rsid w:val="53261D0C"/>
    <w:rsid w:val="53840948"/>
    <w:rsid w:val="544A5041"/>
    <w:rsid w:val="54AE74AF"/>
    <w:rsid w:val="555E6DAC"/>
    <w:rsid w:val="55F16F29"/>
    <w:rsid w:val="58772AF5"/>
    <w:rsid w:val="588C357F"/>
    <w:rsid w:val="59A91DA4"/>
    <w:rsid w:val="5D474BBD"/>
    <w:rsid w:val="5DB419B1"/>
    <w:rsid w:val="5F7B1ACB"/>
    <w:rsid w:val="60F503E5"/>
    <w:rsid w:val="61492935"/>
    <w:rsid w:val="624813AB"/>
    <w:rsid w:val="625F3BA0"/>
    <w:rsid w:val="64F60BC5"/>
    <w:rsid w:val="65095545"/>
    <w:rsid w:val="6675214D"/>
    <w:rsid w:val="679A6548"/>
    <w:rsid w:val="68747023"/>
    <w:rsid w:val="68F02C0D"/>
    <w:rsid w:val="69215C8B"/>
    <w:rsid w:val="6B581117"/>
    <w:rsid w:val="6BA50D00"/>
    <w:rsid w:val="6C193E6E"/>
    <w:rsid w:val="6C397FA1"/>
    <w:rsid w:val="6CD575B9"/>
    <w:rsid w:val="6F2B19A8"/>
    <w:rsid w:val="6F78434F"/>
    <w:rsid w:val="6F9C1190"/>
    <w:rsid w:val="701254FC"/>
    <w:rsid w:val="70852615"/>
    <w:rsid w:val="70C976B0"/>
    <w:rsid w:val="7121483A"/>
    <w:rsid w:val="7181445A"/>
    <w:rsid w:val="71B92630"/>
    <w:rsid w:val="728529C9"/>
    <w:rsid w:val="72C8676F"/>
    <w:rsid w:val="74110676"/>
    <w:rsid w:val="749F2826"/>
    <w:rsid w:val="74CB0384"/>
    <w:rsid w:val="78AF7290"/>
    <w:rsid w:val="79490F55"/>
    <w:rsid w:val="7B7E7516"/>
    <w:rsid w:val="7CCC23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jc w:val="both"/>
    </w:pPr>
    <w:rPr>
      <w:rFonts w:hint="default" w:ascii="Times New Roman" w:hAnsi="Times New Roman" w:eastAsia="宋体" w:cs="黑体"/>
      <w:kern w:val="2"/>
      <w:sz w:val="21"/>
      <w:lang w:val="en-US" w:eastAsia="zh-CN" w:bidi="ar-SA"/>
    </w:rPr>
  </w:style>
  <w:style w:type="character" w:default="1" w:styleId="7">
    <w:name w:val="Default Paragraph Font"/>
    <w:semiHidden/>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Lines="0"/>
      <w:ind w:firstLine="880" w:firstLineChars="200"/>
    </w:pPr>
    <w:rPr>
      <w:rFonts w:hint="default"/>
      <w:sz w:val="21"/>
    </w:rPr>
  </w:style>
  <w:style w:type="paragraph" w:styleId="3">
    <w:name w:val="Body Text"/>
    <w:basedOn w:val="1"/>
    <w:unhideWhenUsed/>
    <w:qFormat/>
    <w:uiPriority w:val="0"/>
    <w:pPr>
      <w:spacing w:beforeLines="0" w:after="120"/>
    </w:pPr>
    <w:rPr>
      <w:rFonts w:hint="default"/>
      <w:sz w:val="21"/>
    </w:rPr>
  </w:style>
  <w:style w:type="paragraph" w:styleId="4">
    <w:name w:val="footer"/>
    <w:basedOn w:val="1"/>
    <w:unhideWhenUsed/>
    <w:qFormat/>
    <w:uiPriority w:val="0"/>
    <w:pPr>
      <w:tabs>
        <w:tab w:val="center" w:pos="4153"/>
        <w:tab w:val="right" w:pos="8306"/>
      </w:tabs>
      <w:snapToGrid w:val="0"/>
      <w:spacing w:beforeLines="0"/>
      <w:jc w:val="left"/>
    </w:pPr>
    <w:rPr>
      <w:rFonts w:hint="default"/>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17"/>
    <w:basedOn w:val="1"/>
    <w:unhideWhenUsed/>
    <w:qFormat/>
    <w:uiPriority w:val="0"/>
    <w:pPr>
      <w:widowControl/>
      <w:spacing w:beforeLines="0"/>
    </w:pPr>
    <w:rPr>
      <w:rFonts w:hint="default"/>
      <w:kern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2023-12-18T07:30:00Z</dcterms:created>
  <dc:creator>Administrator</dc:creator>
  <cp:lastModifiedBy>Administrator</cp:lastModifiedBy>
  <cp:lastPrinted>2024-01-04T05:07:00Z</cp:lastPrinted>
  <dcterms:modified xsi:type="dcterms:W3CDTF">2025-04-09T08:12:55Z</dcterms:modified>
  <dc:title>县政府常务会会议材料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FFDD8C6BB3FF425ABCCDE40329DAD289_13</vt:lpwstr>
  </property>
</Properties>
</file>