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600" w:lineRule="exact"/>
        <w:jc w:val="left"/>
        <w:rPr>
          <w:rFonts w:hint="eastAsia" w:eastAsia="黑体"/>
          <w:sz w:val="28"/>
        </w:rPr>
      </w:pPr>
    </w:p>
    <w:p>
      <w:pPr>
        <w:spacing w:line="600" w:lineRule="exact"/>
        <w:jc w:val="center"/>
        <w:rPr>
          <w:rFonts w:hint="eastAsia" w:ascii="方正小标宋简体" w:hAnsi="方正小标宋简体" w:eastAsia="方正小标宋简体"/>
          <w:color w:val="000000"/>
          <w:kern w:val="0"/>
          <w:sz w:val="44"/>
        </w:rPr>
      </w:pPr>
      <w:r>
        <w:rPr>
          <w:rFonts w:hint="eastAsia" w:ascii="方正小标宋简体" w:hAnsi="方正小标宋简体" w:eastAsia="方正小标宋简体"/>
          <w:color w:val="000000"/>
          <w:kern w:val="0"/>
          <w:sz w:val="44"/>
          <w:lang w:eastAsia="zh-CN"/>
        </w:rPr>
        <w:t>关于</w:t>
      </w:r>
      <w:r>
        <w:rPr>
          <w:rFonts w:hint="eastAsia" w:ascii="方正小标宋简体" w:hAnsi="方正小标宋简体" w:eastAsia="方正小标宋简体"/>
          <w:color w:val="000000"/>
          <w:kern w:val="0"/>
          <w:sz w:val="44"/>
        </w:rPr>
        <w:t>柳河县2023年财政预算执行情况</w:t>
      </w:r>
    </w:p>
    <w:p>
      <w:pPr>
        <w:spacing w:line="600" w:lineRule="exact"/>
        <w:jc w:val="center"/>
        <w:rPr>
          <w:rFonts w:hint="eastAsia" w:ascii="方正小标宋简体" w:hAnsi="方正小标宋简体" w:eastAsia="方正小标宋简体"/>
          <w:color w:val="000000"/>
          <w:kern w:val="0"/>
          <w:sz w:val="44"/>
        </w:rPr>
      </w:pPr>
      <w:r>
        <w:rPr>
          <w:rFonts w:hint="eastAsia" w:ascii="方正小标宋简体" w:hAnsi="方正小标宋简体" w:eastAsia="方正小标宋简体"/>
          <w:color w:val="000000"/>
          <w:kern w:val="0"/>
          <w:sz w:val="44"/>
        </w:rPr>
        <w:t>和2024年财政预算</w:t>
      </w:r>
      <w:r>
        <w:rPr>
          <w:rFonts w:hint="eastAsia" w:ascii="方正小标宋简体" w:hAnsi="方正小标宋简体" w:eastAsia="方正小标宋简体"/>
          <w:color w:val="000000"/>
          <w:kern w:val="0"/>
          <w:sz w:val="44"/>
          <w:lang w:eastAsia="zh-CN"/>
        </w:rPr>
        <w:t>（</w:t>
      </w:r>
      <w:r>
        <w:rPr>
          <w:rFonts w:hint="eastAsia" w:ascii="方正小标宋简体" w:hAnsi="方正小标宋简体" w:eastAsia="方正小标宋简体"/>
          <w:color w:val="000000"/>
          <w:kern w:val="0"/>
          <w:sz w:val="44"/>
        </w:rPr>
        <w:t>草案</w:t>
      </w:r>
      <w:r>
        <w:rPr>
          <w:rFonts w:hint="eastAsia" w:ascii="方正小标宋简体" w:hAnsi="方正小标宋简体" w:eastAsia="方正小标宋简体"/>
          <w:color w:val="000000"/>
          <w:kern w:val="0"/>
          <w:sz w:val="44"/>
          <w:lang w:eastAsia="zh-CN"/>
        </w:rPr>
        <w:t>）</w:t>
      </w:r>
      <w:r>
        <w:rPr>
          <w:rFonts w:hint="eastAsia" w:ascii="方正小标宋简体" w:hAnsi="方正小标宋简体" w:eastAsia="方正小标宋简体"/>
          <w:color w:val="000000"/>
          <w:kern w:val="0"/>
          <w:sz w:val="44"/>
        </w:rPr>
        <w:t>的报告</w:t>
      </w:r>
    </w:p>
    <w:p>
      <w:pPr>
        <w:pStyle w:val="2"/>
        <w:spacing w:beforeLines="0"/>
        <w:ind w:firstLine="0" w:firstLineChars="0"/>
        <w:jc w:val="center"/>
        <w:rPr>
          <w:rFonts w:hint="eastAsia" w:ascii="楷体_GB2312" w:hAnsi="楷体_GB2312" w:eastAsia="楷体_GB2312"/>
          <w:color w:val="000000"/>
          <w:kern w:val="0"/>
          <w:sz w:val="32"/>
          <w:lang w:val="en-US" w:eastAsia="zh-CN"/>
        </w:rPr>
      </w:pPr>
    </w:p>
    <w:p>
      <w:pPr>
        <w:pStyle w:val="2"/>
        <w:spacing w:beforeLines="0"/>
        <w:ind w:firstLine="0" w:firstLineChars="0"/>
        <w:jc w:val="center"/>
        <w:rPr>
          <w:rFonts w:hint="default" w:ascii="楷体_GB2312" w:hAnsi="楷体_GB2312" w:eastAsia="楷体_GB2312"/>
          <w:color w:val="000000"/>
          <w:kern w:val="0"/>
          <w:sz w:val="32"/>
          <w:lang w:val="en-US" w:eastAsia="zh-CN"/>
        </w:rPr>
      </w:pPr>
      <w:bookmarkStart w:id="0" w:name="_GoBack"/>
      <w:bookmarkEnd w:id="0"/>
      <w:r>
        <w:rPr>
          <w:rFonts w:hint="eastAsia" w:ascii="楷体_GB2312" w:hAnsi="楷体_GB2312" w:eastAsia="楷体_GB2312"/>
          <w:color w:val="000000"/>
          <w:kern w:val="0"/>
          <w:sz w:val="32"/>
          <w:lang w:val="en-US" w:eastAsia="zh-CN"/>
        </w:rPr>
        <w:t>柳河县财政局</w:t>
      </w:r>
    </w:p>
    <w:p>
      <w:pPr>
        <w:spacing w:line="600" w:lineRule="exact"/>
        <w:rPr>
          <w:rFonts w:hint="eastAsia" w:ascii="仿宋_GB2312" w:hAnsi="仿宋_GB2312" w:eastAsia="仿宋_GB2312"/>
          <w:color w:val="000000"/>
          <w:sz w:val="32"/>
          <w:lang w:val="en-US" w:eastAsia="zh-CN"/>
        </w:rPr>
      </w:pPr>
      <w:r>
        <w:rPr>
          <w:rFonts w:hint="eastAsia" w:ascii="仿宋_GB2312" w:hAnsi="仿宋_GB2312" w:eastAsia="仿宋_GB2312"/>
          <w:color w:val="000000"/>
          <w:sz w:val="32"/>
          <w:lang w:val="en-US" w:eastAsia="zh-CN"/>
        </w:rPr>
        <w:t>各位代表：</w:t>
      </w:r>
    </w:p>
    <w:p>
      <w:pPr>
        <w:spacing w:line="60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lang w:eastAsia="zh-CN"/>
        </w:rPr>
        <w:t>现将</w:t>
      </w:r>
      <w:r>
        <w:rPr>
          <w:rFonts w:hint="eastAsia" w:ascii="仿宋_GB2312" w:hAnsi="仿宋_GB2312" w:eastAsia="仿宋_GB2312"/>
          <w:color w:val="000000"/>
          <w:sz w:val="32"/>
        </w:rPr>
        <w:t>柳河县2023年财政预算执行情况和2024年财政预算</w:t>
      </w:r>
      <w:r>
        <w:rPr>
          <w:rFonts w:hint="eastAsia" w:ascii="仿宋_GB2312" w:hAnsi="仿宋_GB2312" w:eastAsia="仿宋_GB2312"/>
          <w:color w:val="000000"/>
          <w:sz w:val="32"/>
          <w:lang w:eastAsia="zh-CN"/>
        </w:rPr>
        <w:t>（</w:t>
      </w:r>
      <w:r>
        <w:rPr>
          <w:rFonts w:hint="eastAsia" w:ascii="仿宋_GB2312" w:hAnsi="仿宋_GB2312" w:eastAsia="仿宋_GB2312"/>
          <w:color w:val="000000"/>
          <w:sz w:val="32"/>
        </w:rPr>
        <w:t>草案</w:t>
      </w:r>
      <w:r>
        <w:rPr>
          <w:rFonts w:hint="eastAsia" w:ascii="仿宋_GB2312" w:hAnsi="仿宋_GB2312" w:eastAsia="仿宋_GB2312"/>
          <w:color w:val="000000"/>
          <w:sz w:val="32"/>
          <w:lang w:eastAsia="zh-CN"/>
        </w:rPr>
        <w:t>）提交大会，请予审议。</w:t>
      </w:r>
    </w:p>
    <w:p>
      <w:pPr>
        <w:spacing w:line="600" w:lineRule="exact"/>
        <w:ind w:firstLine="640" w:firstLineChars="200"/>
        <w:rPr>
          <w:rFonts w:hint="eastAsia" w:ascii="黑体" w:hAnsi="黑体" w:eastAsia="黑体"/>
          <w:color w:val="auto"/>
          <w:sz w:val="32"/>
        </w:rPr>
      </w:pPr>
      <w:r>
        <w:rPr>
          <w:rFonts w:hint="eastAsia" w:ascii="黑体" w:hAnsi="黑体" w:eastAsia="黑体"/>
          <w:color w:val="auto"/>
          <w:sz w:val="32"/>
        </w:rPr>
        <w:t>一、2023年财政预算执行情况</w:t>
      </w:r>
    </w:p>
    <w:p>
      <w:pPr>
        <w:spacing w:line="600" w:lineRule="exact"/>
        <w:ind w:firstLine="640" w:firstLineChars="200"/>
        <w:rPr>
          <w:rFonts w:hint="eastAsia" w:ascii="仿宋_GB2312" w:hAnsi="仿宋_GB2312" w:eastAsia="仿宋_GB2312"/>
          <w:color w:val="auto"/>
          <w:sz w:val="32"/>
          <w:lang w:val="zh-CN"/>
        </w:rPr>
      </w:pPr>
      <w:r>
        <w:rPr>
          <w:rFonts w:hint="eastAsia" w:ascii="仿宋_GB2312" w:hAnsi="仿宋_GB2312" w:eastAsia="仿宋_GB2312"/>
          <w:color w:val="auto"/>
          <w:sz w:val="32"/>
        </w:rPr>
        <w:t>2023年是贯彻党的二十大精神的开局之年，是全面建设社会主义现代化国家开局起步的重要一年。今年以来，面对复杂严峻的国际环境和艰巨繁重的国内改革发展稳定任务，</w:t>
      </w:r>
      <w:r>
        <w:rPr>
          <w:rFonts w:hint="eastAsia" w:ascii="仿宋_GB2312" w:hAnsi="仿宋_GB2312" w:eastAsia="仿宋_GB2312"/>
          <w:color w:val="auto"/>
          <w:sz w:val="32"/>
          <w:lang w:val="zh-CN"/>
        </w:rPr>
        <w:t>在县委、县政府的正确部署下，坚持以习近平新时代中国特色社会主义思想为指导，坚持稳中求进工作总基调，完整、准确、全面贯彻新发展理念，加快构建新发展格局，着力推动高质量发展，在全国国民经济持续恢复、总体回升向好的趋势下，我县各项财政工作扎实推进，财政平稳运行，预算执行情况较好。</w:t>
      </w:r>
    </w:p>
    <w:p>
      <w:pPr>
        <w:spacing w:line="600" w:lineRule="exact"/>
        <w:ind w:firstLine="640" w:firstLineChars="200"/>
        <w:rPr>
          <w:rFonts w:hint="default" w:eastAsia="楷体_GB2312"/>
          <w:color w:val="auto"/>
          <w:sz w:val="32"/>
        </w:rPr>
      </w:pPr>
      <w:r>
        <w:rPr>
          <w:rFonts w:hint="eastAsia" w:eastAsia="楷体_GB2312"/>
          <w:color w:val="auto"/>
          <w:sz w:val="32"/>
        </w:rPr>
        <w:t>（一）财政收入情况。</w:t>
      </w:r>
    </w:p>
    <w:p>
      <w:pPr>
        <w:spacing w:line="600" w:lineRule="exact"/>
        <w:ind w:firstLine="640" w:firstLineChars="200"/>
        <w:rPr>
          <w:rFonts w:hint="eastAsia" w:ascii="仿宋_GB2312" w:hAnsi="仿宋_GB2312" w:eastAsia="仿宋_GB2312"/>
          <w:color w:val="auto"/>
          <w:sz w:val="32"/>
        </w:rPr>
      </w:pPr>
      <w:r>
        <w:rPr>
          <w:rFonts w:hint="eastAsia" w:ascii="仿宋_GB2312" w:hAnsi="仿宋_GB2312" w:eastAsia="仿宋_GB2312"/>
          <w:color w:val="auto"/>
          <w:sz w:val="32"/>
          <w:lang w:val="zh-CN"/>
        </w:rPr>
        <w:t>预计年末，</w:t>
      </w:r>
      <w:r>
        <w:rPr>
          <w:rFonts w:hint="eastAsia" w:ascii="仿宋_GB2312" w:hAnsi="仿宋_GB2312" w:eastAsia="仿宋_GB2312"/>
          <w:color w:val="auto"/>
          <w:sz w:val="32"/>
        </w:rPr>
        <w:t>全县地方级财政收入完成3.</w:t>
      </w:r>
      <w:r>
        <w:rPr>
          <w:rFonts w:hint="eastAsia" w:ascii="仿宋_GB2312" w:hAnsi="仿宋_GB2312" w:eastAsia="仿宋_GB2312"/>
          <w:color w:val="auto"/>
          <w:sz w:val="32"/>
          <w:lang w:val="en-US" w:eastAsia="zh-CN"/>
        </w:rPr>
        <w:t>8</w:t>
      </w:r>
      <w:r>
        <w:rPr>
          <w:rFonts w:hint="eastAsia" w:ascii="仿宋_GB2312" w:hAnsi="仿宋_GB2312" w:eastAsia="仿宋_GB2312"/>
          <w:color w:val="auto"/>
          <w:sz w:val="32"/>
        </w:rPr>
        <w:t>亿元，与上年持平。其中，税收收入完成1.55亿元，同比增长7.3%；非税收入完成2.2</w:t>
      </w:r>
      <w:r>
        <w:rPr>
          <w:rFonts w:hint="eastAsia" w:ascii="仿宋_GB2312" w:hAnsi="仿宋_GB2312" w:eastAsia="仿宋_GB2312"/>
          <w:color w:val="auto"/>
          <w:sz w:val="32"/>
          <w:lang w:val="en-US" w:eastAsia="zh-CN"/>
        </w:rPr>
        <w:t>5</w:t>
      </w:r>
      <w:r>
        <w:rPr>
          <w:rFonts w:hint="eastAsia" w:ascii="仿宋_GB2312" w:hAnsi="仿宋_GB2312" w:eastAsia="仿宋_GB2312"/>
          <w:color w:val="auto"/>
          <w:sz w:val="32"/>
        </w:rPr>
        <w:t>亿元，同比下降3.9%。</w:t>
      </w:r>
    </w:p>
    <w:p>
      <w:pPr>
        <w:autoSpaceDE w:val="0"/>
        <w:autoSpaceDN w:val="0"/>
        <w:adjustRightInd w:val="0"/>
        <w:spacing w:line="600" w:lineRule="exact"/>
        <w:ind w:firstLine="640" w:firstLineChars="200"/>
        <w:rPr>
          <w:rFonts w:hint="default" w:eastAsia="楷体_GB2312"/>
          <w:color w:val="auto"/>
          <w:sz w:val="32"/>
        </w:rPr>
      </w:pPr>
      <w:r>
        <w:rPr>
          <w:rFonts w:hint="eastAsia" w:eastAsia="楷体_GB2312"/>
          <w:color w:val="auto"/>
          <w:sz w:val="32"/>
        </w:rPr>
        <w:t>（二）财政支出情况。</w:t>
      </w:r>
    </w:p>
    <w:p>
      <w:pPr>
        <w:spacing w:line="600" w:lineRule="exact"/>
        <w:ind w:firstLine="640" w:firstLineChars="200"/>
        <w:rPr>
          <w:rFonts w:hint="eastAsia" w:ascii="仿宋_GB2312" w:hAnsi="仿宋_GB2312" w:eastAsia="仿宋_GB2312"/>
          <w:color w:val="auto"/>
          <w:sz w:val="32"/>
        </w:rPr>
      </w:pPr>
      <w:r>
        <w:rPr>
          <w:rFonts w:hint="eastAsia" w:ascii="仿宋_GB2312" w:hAnsi="仿宋_GB2312" w:eastAsia="仿宋_GB2312"/>
          <w:color w:val="auto"/>
          <w:sz w:val="32"/>
          <w:lang w:val="zh-CN"/>
        </w:rPr>
        <w:t>预计年末，一般公共预算财政支出完成</w:t>
      </w:r>
      <w:r>
        <w:rPr>
          <w:rFonts w:hint="eastAsia" w:ascii="仿宋_GB2312" w:hAnsi="仿宋_GB2312" w:eastAsia="仿宋_GB2312"/>
          <w:color w:val="auto"/>
          <w:sz w:val="32"/>
        </w:rPr>
        <w:t>34.05</w:t>
      </w:r>
      <w:r>
        <w:rPr>
          <w:rFonts w:hint="eastAsia" w:ascii="仿宋_GB2312" w:hAnsi="仿宋_GB2312" w:eastAsia="仿宋_GB2312"/>
          <w:color w:val="auto"/>
          <w:sz w:val="32"/>
          <w:lang w:val="zh-CN"/>
        </w:rPr>
        <w:t>亿元，同比增长</w:t>
      </w:r>
      <w:r>
        <w:rPr>
          <w:rFonts w:hint="eastAsia" w:ascii="仿宋_GB2312" w:hAnsi="仿宋_GB2312" w:eastAsia="仿宋_GB2312"/>
          <w:color w:val="auto"/>
          <w:sz w:val="32"/>
        </w:rPr>
        <w:t>8.1</w:t>
      </w:r>
      <w:r>
        <w:rPr>
          <w:rFonts w:hint="eastAsia" w:ascii="仿宋_GB2312" w:hAnsi="仿宋_GB2312" w:eastAsia="仿宋_GB2312"/>
          <w:color w:val="auto"/>
          <w:sz w:val="32"/>
          <w:lang w:val="zh-CN"/>
        </w:rPr>
        <w:t>%。其中，一般公共服务支出</w:t>
      </w:r>
      <w:r>
        <w:rPr>
          <w:rFonts w:hint="eastAsia" w:ascii="仿宋_GB2312" w:hAnsi="仿宋_GB2312" w:eastAsia="仿宋_GB2312"/>
          <w:color w:val="auto"/>
          <w:sz w:val="32"/>
        </w:rPr>
        <w:t>5.</w:t>
      </w:r>
      <w:r>
        <w:rPr>
          <w:rFonts w:hint="eastAsia" w:ascii="仿宋_GB2312" w:hAnsi="仿宋_GB2312" w:eastAsia="仿宋_GB2312"/>
          <w:color w:val="auto"/>
          <w:sz w:val="32"/>
          <w:lang w:val="en-US" w:eastAsia="zh-CN"/>
        </w:rPr>
        <w:t>8</w:t>
      </w:r>
      <w:r>
        <w:rPr>
          <w:rFonts w:hint="eastAsia" w:ascii="仿宋_GB2312" w:hAnsi="仿宋_GB2312" w:eastAsia="仿宋_GB2312"/>
          <w:color w:val="auto"/>
          <w:sz w:val="32"/>
        </w:rPr>
        <w:t>4</w:t>
      </w:r>
      <w:r>
        <w:rPr>
          <w:rFonts w:hint="eastAsia" w:ascii="仿宋_GB2312" w:hAnsi="仿宋_GB2312" w:eastAsia="仿宋_GB2312"/>
          <w:color w:val="auto"/>
          <w:sz w:val="32"/>
          <w:lang w:val="zh-CN"/>
        </w:rPr>
        <w:t>亿元，同比增长</w:t>
      </w:r>
      <w:r>
        <w:rPr>
          <w:rFonts w:hint="eastAsia" w:ascii="仿宋_GB2312" w:hAnsi="仿宋_GB2312" w:eastAsia="仿宋_GB2312"/>
          <w:color w:val="auto"/>
          <w:sz w:val="32"/>
          <w:lang w:val="en-US" w:eastAsia="zh-CN"/>
        </w:rPr>
        <w:t>21</w:t>
      </w:r>
      <w:r>
        <w:rPr>
          <w:rFonts w:hint="eastAsia" w:ascii="仿宋_GB2312" w:hAnsi="仿宋_GB2312" w:eastAsia="仿宋_GB2312"/>
          <w:color w:val="auto"/>
          <w:sz w:val="32"/>
        </w:rPr>
        <w:t>.</w:t>
      </w:r>
      <w:r>
        <w:rPr>
          <w:rFonts w:hint="eastAsia" w:ascii="仿宋_GB2312" w:hAnsi="仿宋_GB2312" w:eastAsia="仿宋_GB2312"/>
          <w:color w:val="auto"/>
          <w:sz w:val="32"/>
          <w:lang w:val="en-US" w:eastAsia="zh-CN"/>
        </w:rPr>
        <w:t>7</w:t>
      </w:r>
      <w:r>
        <w:rPr>
          <w:rFonts w:hint="eastAsia" w:ascii="仿宋_GB2312" w:hAnsi="仿宋_GB2312" w:eastAsia="仿宋_GB2312"/>
          <w:color w:val="auto"/>
          <w:sz w:val="32"/>
          <w:lang w:val="zh-CN"/>
        </w:rPr>
        <w:t>%；国防支出</w:t>
      </w:r>
      <w:r>
        <w:rPr>
          <w:rFonts w:hint="eastAsia" w:ascii="仿宋_GB2312" w:hAnsi="仿宋_GB2312" w:eastAsia="仿宋_GB2312"/>
          <w:color w:val="auto"/>
          <w:sz w:val="32"/>
        </w:rPr>
        <w:t>0.03亿元，同比增长7.5%；</w:t>
      </w:r>
      <w:r>
        <w:rPr>
          <w:rFonts w:hint="eastAsia" w:ascii="仿宋_GB2312" w:hAnsi="仿宋_GB2312" w:eastAsia="仿宋_GB2312"/>
          <w:color w:val="auto"/>
          <w:sz w:val="32"/>
          <w:lang w:val="zh-CN"/>
        </w:rPr>
        <w:t>公共安全支出</w:t>
      </w:r>
      <w:r>
        <w:rPr>
          <w:rFonts w:hint="eastAsia" w:ascii="仿宋_GB2312" w:hAnsi="仿宋_GB2312" w:eastAsia="仿宋_GB2312"/>
          <w:color w:val="auto"/>
          <w:sz w:val="32"/>
        </w:rPr>
        <w:t>1.18</w:t>
      </w:r>
      <w:r>
        <w:rPr>
          <w:rFonts w:hint="eastAsia" w:ascii="仿宋_GB2312" w:hAnsi="仿宋_GB2312" w:eastAsia="仿宋_GB2312"/>
          <w:color w:val="auto"/>
          <w:sz w:val="32"/>
          <w:lang w:val="zh-CN"/>
        </w:rPr>
        <w:t>亿元，同比增长</w:t>
      </w:r>
      <w:r>
        <w:rPr>
          <w:rFonts w:hint="eastAsia" w:ascii="仿宋_GB2312" w:hAnsi="仿宋_GB2312" w:eastAsia="仿宋_GB2312"/>
          <w:color w:val="auto"/>
          <w:sz w:val="32"/>
        </w:rPr>
        <w:t>16.5</w:t>
      </w:r>
      <w:r>
        <w:rPr>
          <w:rFonts w:hint="eastAsia" w:ascii="仿宋_GB2312" w:hAnsi="仿宋_GB2312" w:eastAsia="仿宋_GB2312"/>
          <w:color w:val="auto"/>
          <w:sz w:val="32"/>
          <w:lang w:val="zh-CN"/>
        </w:rPr>
        <w:t>%；教育支出</w:t>
      </w:r>
      <w:r>
        <w:rPr>
          <w:rFonts w:hint="eastAsia" w:ascii="仿宋_GB2312" w:hAnsi="仿宋_GB2312" w:eastAsia="仿宋_GB2312"/>
          <w:color w:val="auto"/>
          <w:sz w:val="32"/>
        </w:rPr>
        <w:t>4.39</w:t>
      </w:r>
      <w:r>
        <w:rPr>
          <w:rFonts w:hint="eastAsia" w:ascii="仿宋_GB2312" w:hAnsi="仿宋_GB2312" w:eastAsia="仿宋_GB2312"/>
          <w:color w:val="auto"/>
          <w:sz w:val="32"/>
          <w:lang w:val="zh-CN"/>
        </w:rPr>
        <w:t>亿元，同比增长</w:t>
      </w:r>
      <w:r>
        <w:rPr>
          <w:rFonts w:hint="eastAsia" w:ascii="仿宋_GB2312" w:hAnsi="仿宋_GB2312" w:eastAsia="仿宋_GB2312"/>
          <w:color w:val="auto"/>
          <w:sz w:val="32"/>
        </w:rPr>
        <w:t>10.4</w:t>
      </w:r>
      <w:r>
        <w:rPr>
          <w:rFonts w:hint="eastAsia" w:ascii="仿宋_GB2312" w:hAnsi="仿宋_GB2312" w:eastAsia="仿宋_GB2312"/>
          <w:color w:val="auto"/>
          <w:sz w:val="32"/>
          <w:lang w:val="zh-CN"/>
        </w:rPr>
        <w:t>%；科学技术支出</w:t>
      </w:r>
      <w:r>
        <w:rPr>
          <w:rFonts w:hint="eastAsia" w:ascii="仿宋_GB2312" w:hAnsi="仿宋_GB2312" w:eastAsia="仿宋_GB2312"/>
          <w:color w:val="auto"/>
          <w:sz w:val="32"/>
        </w:rPr>
        <w:t>0.06</w:t>
      </w:r>
      <w:r>
        <w:rPr>
          <w:rFonts w:hint="eastAsia" w:ascii="仿宋_GB2312" w:hAnsi="仿宋_GB2312" w:eastAsia="仿宋_GB2312"/>
          <w:color w:val="auto"/>
          <w:sz w:val="32"/>
          <w:lang w:val="zh-CN"/>
        </w:rPr>
        <w:t>亿元，同比增长</w:t>
      </w:r>
      <w:r>
        <w:rPr>
          <w:rFonts w:hint="eastAsia" w:ascii="仿宋_GB2312" w:hAnsi="仿宋_GB2312" w:eastAsia="仿宋_GB2312"/>
          <w:color w:val="auto"/>
          <w:sz w:val="32"/>
        </w:rPr>
        <w:t>189.3</w:t>
      </w:r>
      <w:r>
        <w:rPr>
          <w:rFonts w:hint="eastAsia" w:ascii="仿宋_GB2312" w:hAnsi="仿宋_GB2312" w:eastAsia="仿宋_GB2312"/>
          <w:color w:val="auto"/>
          <w:sz w:val="32"/>
          <w:lang w:val="zh-CN"/>
        </w:rPr>
        <w:t>%；文化旅游体育与传媒支出</w:t>
      </w:r>
      <w:r>
        <w:rPr>
          <w:rFonts w:hint="eastAsia" w:ascii="仿宋_GB2312" w:hAnsi="仿宋_GB2312" w:eastAsia="仿宋_GB2312"/>
          <w:color w:val="auto"/>
          <w:sz w:val="32"/>
        </w:rPr>
        <w:t>0.51</w:t>
      </w:r>
      <w:r>
        <w:rPr>
          <w:rFonts w:hint="eastAsia" w:ascii="仿宋_GB2312" w:hAnsi="仿宋_GB2312" w:eastAsia="仿宋_GB2312"/>
          <w:color w:val="auto"/>
          <w:sz w:val="32"/>
          <w:lang w:val="zh-CN"/>
        </w:rPr>
        <w:t>亿元，同比增长</w:t>
      </w:r>
      <w:r>
        <w:rPr>
          <w:rFonts w:hint="eastAsia" w:ascii="仿宋_GB2312" w:hAnsi="仿宋_GB2312" w:eastAsia="仿宋_GB2312"/>
          <w:color w:val="auto"/>
          <w:sz w:val="32"/>
        </w:rPr>
        <w:t>29.8</w:t>
      </w:r>
      <w:r>
        <w:rPr>
          <w:rFonts w:hint="eastAsia" w:ascii="仿宋_GB2312" w:hAnsi="仿宋_GB2312" w:eastAsia="仿宋_GB2312"/>
          <w:color w:val="auto"/>
          <w:sz w:val="32"/>
          <w:lang w:val="zh-CN"/>
        </w:rPr>
        <w:t>%；社会保障和就业支出</w:t>
      </w:r>
      <w:r>
        <w:rPr>
          <w:rFonts w:hint="eastAsia" w:ascii="仿宋_GB2312" w:hAnsi="仿宋_GB2312" w:eastAsia="仿宋_GB2312"/>
          <w:color w:val="auto"/>
          <w:sz w:val="32"/>
        </w:rPr>
        <w:t>7.48</w:t>
      </w:r>
      <w:r>
        <w:rPr>
          <w:rFonts w:hint="eastAsia" w:ascii="仿宋_GB2312" w:hAnsi="仿宋_GB2312" w:eastAsia="仿宋_GB2312"/>
          <w:color w:val="auto"/>
          <w:sz w:val="32"/>
          <w:lang w:val="zh-CN"/>
        </w:rPr>
        <w:t>亿元，同比增长</w:t>
      </w:r>
      <w:r>
        <w:rPr>
          <w:rFonts w:hint="eastAsia" w:ascii="仿宋_GB2312" w:hAnsi="仿宋_GB2312" w:eastAsia="仿宋_GB2312"/>
          <w:color w:val="auto"/>
          <w:sz w:val="32"/>
        </w:rPr>
        <w:t>16.1</w:t>
      </w:r>
      <w:r>
        <w:rPr>
          <w:rFonts w:hint="eastAsia" w:ascii="仿宋_GB2312" w:hAnsi="仿宋_GB2312" w:eastAsia="仿宋_GB2312"/>
          <w:color w:val="auto"/>
          <w:sz w:val="32"/>
          <w:lang w:val="zh-CN"/>
        </w:rPr>
        <w:t>%；卫生健康支出</w:t>
      </w:r>
      <w:r>
        <w:rPr>
          <w:rFonts w:hint="eastAsia" w:ascii="仿宋_GB2312" w:hAnsi="仿宋_GB2312" w:eastAsia="仿宋_GB2312"/>
          <w:color w:val="auto"/>
          <w:sz w:val="32"/>
        </w:rPr>
        <w:t>2.</w:t>
      </w:r>
      <w:r>
        <w:rPr>
          <w:rFonts w:hint="eastAsia" w:ascii="仿宋_GB2312" w:hAnsi="仿宋_GB2312" w:eastAsia="仿宋_GB2312"/>
          <w:color w:val="auto"/>
          <w:sz w:val="32"/>
          <w:lang w:val="en-US" w:eastAsia="zh-CN"/>
        </w:rPr>
        <w:t>47</w:t>
      </w:r>
      <w:r>
        <w:rPr>
          <w:rFonts w:hint="eastAsia" w:ascii="仿宋_GB2312" w:hAnsi="仿宋_GB2312" w:eastAsia="仿宋_GB2312"/>
          <w:color w:val="auto"/>
          <w:sz w:val="32"/>
          <w:lang w:val="zh-CN"/>
        </w:rPr>
        <w:t>亿元，同比增长</w:t>
      </w:r>
      <w:r>
        <w:rPr>
          <w:rFonts w:hint="eastAsia" w:ascii="仿宋_GB2312" w:hAnsi="仿宋_GB2312" w:eastAsia="仿宋_GB2312"/>
          <w:color w:val="auto"/>
          <w:sz w:val="32"/>
          <w:lang w:val="en-US" w:eastAsia="zh-CN"/>
        </w:rPr>
        <w:t>44.9</w:t>
      </w:r>
      <w:r>
        <w:rPr>
          <w:rFonts w:hint="eastAsia" w:ascii="仿宋_GB2312" w:hAnsi="仿宋_GB2312" w:eastAsia="仿宋_GB2312"/>
          <w:color w:val="auto"/>
          <w:sz w:val="32"/>
          <w:lang w:val="zh-CN"/>
        </w:rPr>
        <w:t>%；节能环保支出</w:t>
      </w:r>
      <w:r>
        <w:rPr>
          <w:rFonts w:hint="eastAsia" w:ascii="仿宋_GB2312" w:hAnsi="仿宋_GB2312" w:eastAsia="仿宋_GB2312"/>
          <w:color w:val="auto"/>
          <w:sz w:val="32"/>
        </w:rPr>
        <w:t>0.47</w:t>
      </w:r>
      <w:r>
        <w:rPr>
          <w:rFonts w:hint="eastAsia" w:ascii="仿宋_GB2312" w:hAnsi="仿宋_GB2312" w:eastAsia="仿宋_GB2312"/>
          <w:color w:val="auto"/>
          <w:sz w:val="32"/>
          <w:lang w:val="zh-CN"/>
        </w:rPr>
        <w:t>亿元，同比下降</w:t>
      </w:r>
      <w:r>
        <w:rPr>
          <w:rFonts w:hint="eastAsia" w:ascii="仿宋_GB2312" w:hAnsi="仿宋_GB2312" w:eastAsia="仿宋_GB2312"/>
          <w:color w:val="auto"/>
          <w:sz w:val="32"/>
        </w:rPr>
        <w:t>10.9</w:t>
      </w:r>
      <w:r>
        <w:rPr>
          <w:rFonts w:hint="eastAsia" w:ascii="仿宋_GB2312" w:hAnsi="仿宋_GB2312" w:eastAsia="仿宋_GB2312"/>
          <w:color w:val="auto"/>
          <w:sz w:val="32"/>
          <w:lang w:val="zh-CN"/>
        </w:rPr>
        <w:t>%；城乡社区事务支出</w:t>
      </w:r>
      <w:r>
        <w:rPr>
          <w:rFonts w:hint="eastAsia" w:ascii="仿宋_GB2312" w:hAnsi="仿宋_GB2312" w:eastAsia="仿宋_GB2312"/>
          <w:color w:val="auto"/>
          <w:sz w:val="32"/>
        </w:rPr>
        <w:t>1.89</w:t>
      </w:r>
      <w:r>
        <w:rPr>
          <w:rFonts w:hint="eastAsia" w:ascii="仿宋_GB2312" w:hAnsi="仿宋_GB2312" w:eastAsia="仿宋_GB2312"/>
          <w:color w:val="auto"/>
          <w:sz w:val="32"/>
          <w:lang w:val="zh-CN"/>
        </w:rPr>
        <w:t>亿元，同比下降</w:t>
      </w:r>
      <w:r>
        <w:rPr>
          <w:rFonts w:hint="eastAsia" w:ascii="仿宋_GB2312" w:hAnsi="仿宋_GB2312" w:eastAsia="仿宋_GB2312"/>
          <w:color w:val="auto"/>
          <w:sz w:val="32"/>
        </w:rPr>
        <w:t>44.3</w:t>
      </w:r>
      <w:r>
        <w:rPr>
          <w:rFonts w:hint="eastAsia" w:ascii="仿宋_GB2312" w:hAnsi="仿宋_GB2312" w:eastAsia="仿宋_GB2312"/>
          <w:color w:val="auto"/>
          <w:sz w:val="32"/>
          <w:lang w:val="zh-CN"/>
        </w:rPr>
        <w:t>%；农林水事务支出</w:t>
      </w:r>
      <w:r>
        <w:rPr>
          <w:rFonts w:hint="eastAsia" w:ascii="仿宋_GB2312" w:hAnsi="仿宋_GB2312" w:eastAsia="仿宋_GB2312"/>
          <w:color w:val="auto"/>
          <w:sz w:val="32"/>
        </w:rPr>
        <w:t>5.7</w:t>
      </w:r>
      <w:r>
        <w:rPr>
          <w:rFonts w:hint="eastAsia" w:ascii="仿宋_GB2312" w:hAnsi="仿宋_GB2312" w:eastAsia="仿宋_GB2312"/>
          <w:color w:val="auto"/>
          <w:sz w:val="32"/>
          <w:lang w:val="zh-CN"/>
        </w:rPr>
        <w:t>亿元，同比增长</w:t>
      </w:r>
      <w:r>
        <w:rPr>
          <w:rFonts w:hint="eastAsia" w:ascii="仿宋_GB2312" w:hAnsi="仿宋_GB2312" w:eastAsia="仿宋_GB2312"/>
          <w:color w:val="auto"/>
          <w:sz w:val="32"/>
        </w:rPr>
        <w:t>0.4</w:t>
      </w:r>
      <w:r>
        <w:rPr>
          <w:rFonts w:hint="eastAsia" w:ascii="仿宋_GB2312" w:hAnsi="仿宋_GB2312" w:eastAsia="仿宋_GB2312"/>
          <w:color w:val="auto"/>
          <w:sz w:val="32"/>
          <w:lang w:val="zh-CN"/>
        </w:rPr>
        <w:t>%；交通运输支出</w:t>
      </w:r>
      <w:r>
        <w:rPr>
          <w:rFonts w:hint="eastAsia" w:ascii="仿宋_GB2312" w:hAnsi="仿宋_GB2312" w:eastAsia="仿宋_GB2312"/>
          <w:color w:val="auto"/>
          <w:sz w:val="32"/>
        </w:rPr>
        <w:t>0.69</w:t>
      </w:r>
      <w:r>
        <w:rPr>
          <w:rFonts w:hint="eastAsia" w:ascii="仿宋_GB2312" w:hAnsi="仿宋_GB2312" w:eastAsia="仿宋_GB2312"/>
          <w:color w:val="auto"/>
          <w:sz w:val="32"/>
          <w:lang w:val="zh-CN"/>
        </w:rPr>
        <w:t>亿元，同比增长</w:t>
      </w:r>
      <w:r>
        <w:rPr>
          <w:rFonts w:hint="eastAsia" w:ascii="仿宋_GB2312" w:hAnsi="仿宋_GB2312" w:eastAsia="仿宋_GB2312"/>
          <w:color w:val="auto"/>
          <w:sz w:val="32"/>
        </w:rPr>
        <w:t>57.8</w:t>
      </w:r>
      <w:r>
        <w:rPr>
          <w:rFonts w:hint="eastAsia" w:ascii="仿宋_GB2312" w:hAnsi="仿宋_GB2312" w:eastAsia="仿宋_GB2312"/>
          <w:color w:val="auto"/>
          <w:sz w:val="32"/>
          <w:lang w:val="zh-CN"/>
        </w:rPr>
        <w:t>%；资源勘探信息等支出</w:t>
      </w:r>
      <w:r>
        <w:rPr>
          <w:rFonts w:hint="eastAsia" w:ascii="仿宋_GB2312" w:hAnsi="仿宋_GB2312" w:eastAsia="仿宋_GB2312"/>
          <w:color w:val="auto"/>
          <w:sz w:val="32"/>
        </w:rPr>
        <w:t>0.55</w:t>
      </w:r>
      <w:r>
        <w:rPr>
          <w:rFonts w:hint="eastAsia" w:ascii="仿宋_GB2312" w:hAnsi="仿宋_GB2312" w:eastAsia="仿宋_GB2312"/>
          <w:color w:val="auto"/>
          <w:sz w:val="32"/>
          <w:lang w:val="zh-CN"/>
        </w:rPr>
        <w:t>亿元，同比下降</w:t>
      </w:r>
      <w:r>
        <w:rPr>
          <w:rFonts w:hint="eastAsia" w:ascii="仿宋_GB2312" w:hAnsi="仿宋_GB2312" w:eastAsia="仿宋_GB2312"/>
          <w:color w:val="auto"/>
          <w:sz w:val="32"/>
        </w:rPr>
        <w:t>41.9</w:t>
      </w:r>
      <w:r>
        <w:rPr>
          <w:rFonts w:hint="eastAsia" w:ascii="仿宋_GB2312" w:hAnsi="仿宋_GB2312" w:eastAsia="仿宋_GB2312"/>
          <w:color w:val="auto"/>
          <w:sz w:val="32"/>
          <w:lang w:val="zh-CN"/>
        </w:rPr>
        <w:t>%；商业服务业支出</w:t>
      </w:r>
      <w:r>
        <w:rPr>
          <w:rFonts w:hint="eastAsia" w:ascii="仿宋_GB2312" w:hAnsi="仿宋_GB2312" w:eastAsia="仿宋_GB2312"/>
          <w:color w:val="auto"/>
          <w:sz w:val="32"/>
        </w:rPr>
        <w:t>0.02亿元，同比下降64.5%；</w:t>
      </w:r>
      <w:r>
        <w:rPr>
          <w:rFonts w:hint="eastAsia" w:ascii="仿宋_GB2312" w:hAnsi="仿宋_GB2312" w:eastAsia="仿宋_GB2312"/>
          <w:color w:val="auto"/>
          <w:sz w:val="32"/>
          <w:lang w:val="zh-CN"/>
        </w:rPr>
        <w:t>自然资源海洋气象等事务支出</w:t>
      </w:r>
      <w:r>
        <w:rPr>
          <w:rFonts w:hint="eastAsia" w:ascii="仿宋_GB2312" w:hAnsi="仿宋_GB2312" w:eastAsia="仿宋_GB2312"/>
          <w:color w:val="auto"/>
          <w:sz w:val="32"/>
        </w:rPr>
        <w:t>0.83</w:t>
      </w:r>
      <w:r>
        <w:rPr>
          <w:rFonts w:hint="eastAsia" w:ascii="仿宋_GB2312" w:hAnsi="仿宋_GB2312" w:eastAsia="仿宋_GB2312"/>
          <w:color w:val="auto"/>
          <w:sz w:val="32"/>
          <w:lang w:val="zh-CN"/>
        </w:rPr>
        <w:t>亿元，同比增长</w:t>
      </w:r>
      <w:r>
        <w:rPr>
          <w:rFonts w:hint="eastAsia" w:ascii="仿宋_GB2312" w:hAnsi="仿宋_GB2312" w:eastAsia="仿宋_GB2312"/>
          <w:color w:val="auto"/>
          <w:sz w:val="32"/>
        </w:rPr>
        <w:t>74.9</w:t>
      </w:r>
      <w:r>
        <w:rPr>
          <w:rFonts w:hint="eastAsia" w:ascii="仿宋_GB2312" w:hAnsi="仿宋_GB2312" w:eastAsia="仿宋_GB2312"/>
          <w:color w:val="auto"/>
          <w:sz w:val="32"/>
          <w:lang w:val="zh-CN"/>
        </w:rPr>
        <w:t>%；住房保障支出</w:t>
      </w:r>
      <w:r>
        <w:rPr>
          <w:rFonts w:hint="eastAsia" w:ascii="仿宋_GB2312" w:hAnsi="仿宋_GB2312" w:eastAsia="仿宋_GB2312"/>
          <w:color w:val="auto"/>
          <w:sz w:val="32"/>
        </w:rPr>
        <w:t>0.85</w:t>
      </w:r>
      <w:r>
        <w:rPr>
          <w:rFonts w:hint="eastAsia" w:ascii="仿宋_GB2312" w:hAnsi="仿宋_GB2312" w:eastAsia="仿宋_GB2312"/>
          <w:color w:val="auto"/>
          <w:sz w:val="32"/>
          <w:lang w:val="zh-CN"/>
        </w:rPr>
        <w:t>亿元，同比增长</w:t>
      </w:r>
      <w:r>
        <w:rPr>
          <w:rFonts w:hint="eastAsia" w:ascii="仿宋_GB2312" w:hAnsi="仿宋_GB2312" w:eastAsia="仿宋_GB2312"/>
          <w:color w:val="auto"/>
          <w:sz w:val="32"/>
        </w:rPr>
        <w:t>49.6</w:t>
      </w:r>
      <w:r>
        <w:rPr>
          <w:rFonts w:hint="eastAsia" w:ascii="仿宋_GB2312" w:hAnsi="仿宋_GB2312" w:eastAsia="仿宋_GB2312"/>
          <w:color w:val="auto"/>
          <w:sz w:val="32"/>
          <w:lang w:val="zh-CN"/>
        </w:rPr>
        <w:t>%；粮油物资储备支出</w:t>
      </w:r>
      <w:r>
        <w:rPr>
          <w:rFonts w:hint="eastAsia" w:ascii="仿宋_GB2312" w:hAnsi="仿宋_GB2312" w:eastAsia="仿宋_GB2312"/>
          <w:color w:val="auto"/>
          <w:sz w:val="32"/>
        </w:rPr>
        <w:t>0.16亿元，同比下降10.7%；灾害防治及应急管理支出0.2亿元，</w:t>
      </w:r>
      <w:r>
        <w:rPr>
          <w:rFonts w:hint="eastAsia" w:ascii="仿宋_GB2312" w:hAnsi="仿宋_GB2312" w:eastAsia="仿宋_GB2312"/>
          <w:color w:val="auto"/>
          <w:sz w:val="32"/>
          <w:lang w:val="zh-CN"/>
        </w:rPr>
        <w:t>同比增长</w:t>
      </w:r>
      <w:r>
        <w:rPr>
          <w:rFonts w:hint="eastAsia" w:ascii="仿宋_GB2312" w:hAnsi="仿宋_GB2312" w:eastAsia="仿宋_GB2312"/>
          <w:color w:val="auto"/>
          <w:sz w:val="32"/>
        </w:rPr>
        <w:t>63.1</w:t>
      </w:r>
      <w:r>
        <w:rPr>
          <w:rFonts w:hint="eastAsia" w:ascii="仿宋_GB2312" w:hAnsi="仿宋_GB2312" w:eastAsia="仿宋_GB2312"/>
          <w:color w:val="auto"/>
          <w:sz w:val="32"/>
          <w:lang w:val="zh-CN"/>
        </w:rPr>
        <w:t>%；债务付息</w:t>
      </w:r>
      <w:r>
        <w:rPr>
          <w:rFonts w:hint="eastAsia" w:ascii="仿宋_GB2312" w:hAnsi="仿宋_GB2312" w:eastAsia="仿宋_GB2312"/>
          <w:color w:val="auto"/>
          <w:sz w:val="32"/>
        </w:rPr>
        <w:t>支出0.73亿元，同比增长2.8%；债务发行费用支出0.004亿元，同比增长85%。</w:t>
      </w:r>
    </w:p>
    <w:p>
      <w:pPr>
        <w:spacing w:line="600" w:lineRule="exact"/>
        <w:ind w:firstLine="640" w:firstLineChars="200"/>
        <w:rPr>
          <w:rFonts w:hint="default" w:eastAsia="楷体_GB2312"/>
          <w:color w:val="auto"/>
          <w:sz w:val="32"/>
        </w:rPr>
      </w:pPr>
      <w:r>
        <w:rPr>
          <w:rFonts w:hint="eastAsia" w:eastAsia="楷体_GB2312"/>
          <w:color w:val="auto"/>
          <w:sz w:val="32"/>
        </w:rPr>
        <w:t>（三）收支平衡情况。</w:t>
      </w:r>
    </w:p>
    <w:p>
      <w:pPr>
        <w:spacing w:line="600" w:lineRule="exact"/>
        <w:ind w:firstLine="640" w:firstLineChars="200"/>
        <w:rPr>
          <w:rFonts w:hint="eastAsia" w:ascii="仿宋_GB2312" w:hAnsi="仿宋_GB2312" w:eastAsia="仿宋_GB2312"/>
          <w:color w:val="auto"/>
          <w:sz w:val="32"/>
          <w:lang w:val="zh-CN"/>
        </w:rPr>
      </w:pPr>
      <w:r>
        <w:rPr>
          <w:rFonts w:hint="eastAsia" w:ascii="仿宋_GB2312" w:hAnsi="仿宋_GB2312" w:eastAsia="仿宋_GB2312"/>
          <w:color w:val="auto"/>
          <w:sz w:val="32"/>
          <w:lang w:val="zh-CN"/>
        </w:rPr>
        <w:t>预计年末，</w:t>
      </w:r>
      <w:r>
        <w:rPr>
          <w:rFonts w:hint="eastAsia" w:ascii="仿宋_GB2312" w:hAnsi="仿宋_GB2312" w:eastAsia="仿宋_GB2312"/>
          <w:snapToGrid w:val="0"/>
          <w:color w:val="auto"/>
          <w:sz w:val="32"/>
        </w:rPr>
        <w:t>一般预算总收入</w:t>
      </w:r>
      <w:r>
        <w:rPr>
          <w:rFonts w:hint="eastAsia" w:ascii="仿宋_GB2312" w:hAnsi="仿宋_GB2312" w:eastAsia="仿宋_GB2312"/>
          <w:color w:val="auto"/>
          <w:sz w:val="32"/>
        </w:rPr>
        <w:t>57.88</w:t>
      </w:r>
      <w:r>
        <w:rPr>
          <w:rFonts w:hint="eastAsia" w:ascii="仿宋_GB2312" w:hAnsi="仿宋_GB2312" w:eastAsia="仿宋_GB2312"/>
          <w:snapToGrid w:val="0"/>
          <w:color w:val="auto"/>
          <w:sz w:val="32"/>
        </w:rPr>
        <w:t>亿元，</w:t>
      </w:r>
      <w:r>
        <w:rPr>
          <w:rFonts w:hint="eastAsia" w:ascii="仿宋_GB2312" w:hAnsi="仿宋_GB2312" w:eastAsia="仿宋_GB2312"/>
          <w:color w:val="auto"/>
          <w:sz w:val="32"/>
          <w:lang w:val="zh-CN"/>
        </w:rPr>
        <w:t>其中，体制收入</w:t>
      </w:r>
      <w:r>
        <w:rPr>
          <w:rFonts w:hint="eastAsia" w:ascii="仿宋_GB2312" w:hAnsi="仿宋_GB2312" w:eastAsia="仿宋_GB2312"/>
          <w:color w:val="auto"/>
          <w:sz w:val="32"/>
        </w:rPr>
        <w:t>3.</w:t>
      </w:r>
      <w:r>
        <w:rPr>
          <w:rFonts w:hint="eastAsia" w:ascii="仿宋_GB2312" w:hAnsi="仿宋_GB2312" w:eastAsia="仿宋_GB2312"/>
          <w:color w:val="auto"/>
          <w:sz w:val="32"/>
          <w:lang w:val="en-US" w:eastAsia="zh-CN"/>
        </w:rPr>
        <w:t>8</w:t>
      </w:r>
      <w:r>
        <w:rPr>
          <w:rFonts w:hint="eastAsia" w:ascii="仿宋_GB2312" w:hAnsi="仿宋_GB2312" w:eastAsia="仿宋_GB2312"/>
          <w:color w:val="auto"/>
          <w:sz w:val="32"/>
          <w:lang w:val="zh-CN"/>
        </w:rPr>
        <w:t>亿元，上级补助收入</w:t>
      </w:r>
      <w:r>
        <w:rPr>
          <w:rFonts w:hint="eastAsia" w:ascii="仿宋_GB2312" w:hAnsi="仿宋_GB2312" w:eastAsia="仿宋_GB2312"/>
          <w:color w:val="auto"/>
          <w:sz w:val="32"/>
        </w:rPr>
        <w:t>23.1</w:t>
      </w:r>
      <w:r>
        <w:rPr>
          <w:rFonts w:hint="eastAsia" w:ascii="仿宋_GB2312" w:hAnsi="仿宋_GB2312" w:eastAsia="仿宋_GB2312"/>
          <w:color w:val="auto"/>
          <w:sz w:val="32"/>
          <w:lang w:val="zh-CN"/>
        </w:rPr>
        <w:t>亿元，地方政府一般债务转贷收入</w:t>
      </w:r>
      <w:r>
        <w:rPr>
          <w:rFonts w:hint="eastAsia" w:ascii="仿宋_GB2312" w:hAnsi="仿宋_GB2312" w:eastAsia="仿宋_GB2312"/>
          <w:color w:val="auto"/>
          <w:sz w:val="32"/>
        </w:rPr>
        <w:t>1.42</w:t>
      </w:r>
      <w:r>
        <w:rPr>
          <w:rFonts w:hint="eastAsia" w:ascii="仿宋_GB2312" w:hAnsi="仿宋_GB2312" w:eastAsia="仿宋_GB2312"/>
          <w:color w:val="auto"/>
          <w:sz w:val="32"/>
          <w:lang w:val="zh-CN"/>
        </w:rPr>
        <w:t>亿元，上年结转收入</w:t>
      </w:r>
      <w:r>
        <w:rPr>
          <w:rFonts w:hint="eastAsia" w:ascii="仿宋_GB2312" w:hAnsi="仿宋_GB2312" w:eastAsia="仿宋_GB2312"/>
          <w:color w:val="auto"/>
          <w:sz w:val="32"/>
        </w:rPr>
        <w:t>5.1</w:t>
      </w:r>
      <w:r>
        <w:rPr>
          <w:rFonts w:hint="eastAsia" w:ascii="仿宋_GB2312" w:hAnsi="仿宋_GB2312" w:eastAsia="仿宋_GB2312"/>
          <w:color w:val="auto"/>
          <w:sz w:val="32"/>
          <w:lang w:val="en-US" w:eastAsia="zh-CN"/>
        </w:rPr>
        <w:t>1</w:t>
      </w:r>
      <w:r>
        <w:rPr>
          <w:rFonts w:hint="eastAsia" w:ascii="仿宋_GB2312" w:hAnsi="仿宋_GB2312" w:eastAsia="仿宋_GB2312"/>
          <w:color w:val="auto"/>
          <w:sz w:val="32"/>
          <w:lang w:val="zh-CN"/>
        </w:rPr>
        <w:t>亿元，调入资金</w:t>
      </w:r>
      <w:r>
        <w:rPr>
          <w:rFonts w:hint="eastAsia" w:ascii="仿宋_GB2312" w:hAnsi="仿宋_GB2312" w:eastAsia="仿宋_GB2312"/>
          <w:color w:val="auto"/>
          <w:sz w:val="32"/>
        </w:rPr>
        <w:t>16.39亿元，</w:t>
      </w:r>
      <w:r>
        <w:rPr>
          <w:rFonts w:hint="eastAsia" w:ascii="仿宋_GB2312" w:hAnsi="仿宋_GB2312" w:eastAsia="仿宋_GB2312"/>
          <w:color w:val="auto"/>
          <w:sz w:val="32"/>
          <w:lang w:val="zh-CN"/>
        </w:rPr>
        <w:t>动用预算稳定调节基金</w:t>
      </w:r>
      <w:r>
        <w:rPr>
          <w:rFonts w:hint="eastAsia" w:ascii="仿宋_GB2312" w:hAnsi="仿宋_GB2312" w:eastAsia="仿宋_GB2312"/>
          <w:color w:val="auto"/>
          <w:sz w:val="32"/>
        </w:rPr>
        <w:t>8.06</w:t>
      </w:r>
      <w:r>
        <w:rPr>
          <w:rFonts w:hint="eastAsia" w:ascii="仿宋_GB2312" w:hAnsi="仿宋_GB2312" w:eastAsia="仿宋_GB2312"/>
          <w:color w:val="auto"/>
          <w:sz w:val="32"/>
          <w:lang w:val="zh-CN"/>
        </w:rPr>
        <w:t>亿元；一般预算总支出</w:t>
      </w:r>
      <w:r>
        <w:rPr>
          <w:rFonts w:hint="eastAsia" w:ascii="仿宋_GB2312" w:hAnsi="仿宋_GB2312" w:eastAsia="仿宋_GB2312"/>
          <w:color w:val="auto"/>
          <w:sz w:val="32"/>
        </w:rPr>
        <w:t>57.88</w:t>
      </w:r>
      <w:r>
        <w:rPr>
          <w:rFonts w:hint="eastAsia" w:ascii="仿宋_GB2312" w:hAnsi="仿宋_GB2312" w:eastAsia="仿宋_GB2312"/>
          <w:color w:val="auto"/>
          <w:sz w:val="32"/>
          <w:lang w:val="zh-CN"/>
        </w:rPr>
        <w:t>亿元，其中，一般预算财政支出</w:t>
      </w:r>
      <w:r>
        <w:rPr>
          <w:rFonts w:hint="eastAsia" w:ascii="仿宋_GB2312" w:hAnsi="仿宋_GB2312" w:eastAsia="仿宋_GB2312"/>
          <w:color w:val="auto"/>
          <w:sz w:val="32"/>
        </w:rPr>
        <w:t>34.05</w:t>
      </w:r>
      <w:r>
        <w:rPr>
          <w:rFonts w:hint="eastAsia" w:ascii="仿宋_GB2312" w:hAnsi="仿宋_GB2312" w:eastAsia="仿宋_GB2312"/>
          <w:color w:val="auto"/>
          <w:sz w:val="32"/>
          <w:lang w:val="zh-CN"/>
        </w:rPr>
        <w:t>亿元，上解上级支出</w:t>
      </w:r>
      <w:r>
        <w:rPr>
          <w:rFonts w:hint="eastAsia" w:ascii="仿宋_GB2312" w:hAnsi="仿宋_GB2312" w:eastAsia="仿宋_GB2312"/>
          <w:color w:val="auto"/>
          <w:sz w:val="32"/>
        </w:rPr>
        <w:t>0.53</w:t>
      </w:r>
      <w:r>
        <w:rPr>
          <w:rFonts w:hint="eastAsia" w:ascii="仿宋_GB2312" w:hAnsi="仿宋_GB2312" w:eastAsia="仿宋_GB2312"/>
          <w:color w:val="auto"/>
          <w:sz w:val="32"/>
          <w:lang w:val="zh-CN"/>
        </w:rPr>
        <w:t>亿元，安排预算稳定调节基金</w:t>
      </w:r>
      <w:r>
        <w:rPr>
          <w:rFonts w:hint="eastAsia" w:ascii="仿宋_GB2312" w:hAnsi="仿宋_GB2312" w:eastAsia="仿宋_GB2312"/>
          <w:color w:val="auto"/>
          <w:sz w:val="32"/>
        </w:rPr>
        <w:t>12.5</w:t>
      </w:r>
      <w:r>
        <w:rPr>
          <w:rFonts w:hint="eastAsia" w:ascii="仿宋_GB2312" w:hAnsi="仿宋_GB2312" w:eastAsia="仿宋_GB2312"/>
          <w:color w:val="auto"/>
          <w:sz w:val="32"/>
          <w:lang w:val="zh-CN"/>
        </w:rPr>
        <w:t>亿元，地方政府一般债券还本支出</w:t>
      </w:r>
      <w:r>
        <w:rPr>
          <w:rFonts w:hint="eastAsia" w:ascii="仿宋_GB2312" w:hAnsi="仿宋_GB2312" w:eastAsia="仿宋_GB2312"/>
          <w:color w:val="auto"/>
          <w:sz w:val="32"/>
        </w:rPr>
        <w:t>3</w:t>
      </w:r>
      <w:r>
        <w:rPr>
          <w:rFonts w:hint="eastAsia" w:ascii="仿宋_GB2312" w:hAnsi="仿宋_GB2312" w:eastAsia="仿宋_GB2312"/>
          <w:color w:val="auto"/>
          <w:sz w:val="32"/>
          <w:lang w:val="zh-CN"/>
        </w:rPr>
        <w:t>亿元</w:t>
      </w:r>
      <w:r>
        <w:rPr>
          <w:rFonts w:hint="eastAsia" w:ascii="仿宋_GB2312" w:hAnsi="仿宋_GB2312" w:eastAsia="仿宋_GB2312"/>
          <w:color w:val="auto"/>
          <w:sz w:val="32"/>
        </w:rPr>
        <w:t>。</w:t>
      </w:r>
      <w:r>
        <w:rPr>
          <w:rFonts w:hint="eastAsia" w:ascii="仿宋_GB2312" w:hAnsi="仿宋_GB2312" w:eastAsia="仿宋_GB2312"/>
          <w:color w:val="auto"/>
          <w:sz w:val="32"/>
          <w:lang w:val="zh-CN"/>
        </w:rPr>
        <w:t>收入与支出相抵，年终结余</w:t>
      </w:r>
      <w:r>
        <w:rPr>
          <w:rFonts w:hint="eastAsia" w:ascii="仿宋_GB2312" w:hAnsi="仿宋_GB2312" w:eastAsia="仿宋_GB2312"/>
          <w:color w:val="auto"/>
          <w:sz w:val="32"/>
        </w:rPr>
        <w:t>7.8</w:t>
      </w:r>
      <w:r>
        <w:rPr>
          <w:rFonts w:hint="eastAsia" w:ascii="仿宋_GB2312" w:hAnsi="仿宋_GB2312" w:eastAsia="仿宋_GB2312"/>
          <w:color w:val="auto"/>
          <w:sz w:val="32"/>
          <w:lang w:val="zh-CN"/>
        </w:rPr>
        <w:t>亿元，结转下年支出</w:t>
      </w:r>
      <w:r>
        <w:rPr>
          <w:rFonts w:hint="eastAsia" w:ascii="仿宋_GB2312" w:hAnsi="仿宋_GB2312" w:eastAsia="仿宋_GB2312"/>
          <w:color w:val="auto"/>
          <w:sz w:val="32"/>
        </w:rPr>
        <w:t>7.8</w:t>
      </w:r>
      <w:r>
        <w:rPr>
          <w:rFonts w:hint="eastAsia" w:ascii="仿宋_GB2312" w:hAnsi="仿宋_GB2312" w:eastAsia="仿宋_GB2312"/>
          <w:color w:val="auto"/>
          <w:sz w:val="32"/>
          <w:lang w:val="zh-CN"/>
        </w:rPr>
        <w:t>亿元，实现了一般公共预算当年收支平衡。</w:t>
      </w:r>
    </w:p>
    <w:p>
      <w:pPr>
        <w:spacing w:line="600" w:lineRule="exact"/>
        <w:ind w:firstLine="640" w:firstLineChars="200"/>
        <w:rPr>
          <w:rFonts w:hint="default" w:eastAsia="楷体_GB2312"/>
          <w:b/>
          <w:color w:val="auto"/>
          <w:sz w:val="32"/>
        </w:rPr>
      </w:pPr>
      <w:r>
        <w:rPr>
          <w:rFonts w:hint="eastAsia" w:eastAsia="楷体_GB2312"/>
          <w:color w:val="auto"/>
          <w:sz w:val="32"/>
        </w:rPr>
        <w:t>（四）基金收支情况。</w:t>
      </w:r>
    </w:p>
    <w:p>
      <w:pPr>
        <w:spacing w:line="600" w:lineRule="exact"/>
        <w:ind w:firstLine="640" w:firstLineChars="200"/>
        <w:rPr>
          <w:rFonts w:hint="eastAsia" w:ascii="仿宋_GB2312" w:hAnsi="仿宋_GB2312" w:eastAsia="仿宋_GB2312"/>
          <w:color w:val="auto"/>
          <w:sz w:val="32"/>
          <w:lang w:val="zh-CN"/>
        </w:rPr>
      </w:pPr>
      <w:r>
        <w:rPr>
          <w:rFonts w:hint="eastAsia" w:ascii="仿宋_GB2312" w:hAnsi="仿宋_GB2312" w:eastAsia="仿宋_GB2312"/>
          <w:color w:val="auto"/>
          <w:sz w:val="32"/>
          <w:lang w:val="zh-CN"/>
        </w:rPr>
        <w:t>预计年末，基金预算总收入</w:t>
      </w:r>
      <w:r>
        <w:rPr>
          <w:rFonts w:hint="eastAsia" w:ascii="仿宋_GB2312" w:hAnsi="仿宋_GB2312" w:eastAsia="仿宋_GB2312"/>
          <w:color w:val="auto"/>
          <w:sz w:val="32"/>
        </w:rPr>
        <w:t>5.91</w:t>
      </w:r>
      <w:r>
        <w:rPr>
          <w:rFonts w:hint="eastAsia" w:ascii="仿宋_GB2312" w:hAnsi="仿宋_GB2312" w:eastAsia="仿宋_GB2312"/>
          <w:color w:val="auto"/>
          <w:sz w:val="32"/>
          <w:lang w:val="zh-CN"/>
        </w:rPr>
        <w:t>亿元，其中：基金预算收入</w:t>
      </w:r>
      <w:r>
        <w:rPr>
          <w:rFonts w:hint="eastAsia" w:ascii="仿宋_GB2312" w:hAnsi="仿宋_GB2312" w:eastAsia="仿宋_GB2312"/>
          <w:color w:val="auto"/>
          <w:sz w:val="32"/>
        </w:rPr>
        <w:t>0.58</w:t>
      </w:r>
      <w:r>
        <w:rPr>
          <w:rFonts w:hint="eastAsia" w:ascii="仿宋_GB2312" w:hAnsi="仿宋_GB2312" w:eastAsia="仿宋_GB2312"/>
          <w:color w:val="auto"/>
          <w:sz w:val="32"/>
          <w:lang w:val="zh-CN"/>
        </w:rPr>
        <w:t>亿元，上级补助收入</w:t>
      </w:r>
      <w:r>
        <w:rPr>
          <w:rFonts w:hint="eastAsia" w:ascii="仿宋_GB2312" w:hAnsi="仿宋_GB2312" w:eastAsia="仿宋_GB2312"/>
          <w:color w:val="auto"/>
          <w:sz w:val="32"/>
        </w:rPr>
        <w:t>0.33</w:t>
      </w:r>
      <w:r>
        <w:rPr>
          <w:rFonts w:hint="eastAsia" w:ascii="仿宋_GB2312" w:hAnsi="仿宋_GB2312" w:eastAsia="仿宋_GB2312"/>
          <w:color w:val="auto"/>
          <w:sz w:val="32"/>
          <w:lang w:val="zh-CN"/>
        </w:rPr>
        <w:t>亿元，调入资金</w:t>
      </w:r>
      <w:r>
        <w:rPr>
          <w:rFonts w:hint="eastAsia" w:ascii="仿宋_GB2312" w:hAnsi="仿宋_GB2312" w:eastAsia="仿宋_GB2312"/>
          <w:color w:val="auto"/>
          <w:sz w:val="32"/>
        </w:rPr>
        <w:t>0.29亿元，</w:t>
      </w:r>
      <w:r>
        <w:rPr>
          <w:rFonts w:hint="eastAsia" w:ascii="仿宋_GB2312" w:hAnsi="仿宋_GB2312" w:eastAsia="仿宋_GB2312"/>
          <w:color w:val="auto"/>
          <w:sz w:val="32"/>
          <w:lang w:val="zh-CN"/>
        </w:rPr>
        <w:t>专项债务转贷收入</w:t>
      </w:r>
      <w:r>
        <w:rPr>
          <w:rFonts w:hint="eastAsia" w:ascii="仿宋_GB2312" w:hAnsi="仿宋_GB2312" w:eastAsia="仿宋_GB2312"/>
          <w:color w:val="auto"/>
          <w:sz w:val="32"/>
        </w:rPr>
        <w:t>2.37亿元，</w:t>
      </w:r>
      <w:r>
        <w:rPr>
          <w:rFonts w:hint="eastAsia" w:ascii="仿宋_GB2312" w:hAnsi="仿宋_GB2312" w:eastAsia="仿宋_GB2312"/>
          <w:color w:val="auto"/>
          <w:sz w:val="32"/>
          <w:lang w:val="zh-CN"/>
        </w:rPr>
        <w:t>上年结余</w:t>
      </w:r>
      <w:r>
        <w:rPr>
          <w:rFonts w:hint="eastAsia" w:ascii="仿宋_GB2312" w:hAnsi="仿宋_GB2312" w:eastAsia="仿宋_GB2312"/>
          <w:color w:val="auto"/>
          <w:sz w:val="32"/>
        </w:rPr>
        <w:t>2.34</w:t>
      </w:r>
      <w:r>
        <w:rPr>
          <w:rFonts w:hint="eastAsia" w:ascii="仿宋_GB2312" w:hAnsi="仿宋_GB2312" w:eastAsia="仿宋_GB2312"/>
          <w:color w:val="auto"/>
          <w:sz w:val="32"/>
          <w:lang w:val="zh-CN"/>
        </w:rPr>
        <w:t>亿元；基金预算总支出</w:t>
      </w:r>
      <w:r>
        <w:rPr>
          <w:rFonts w:hint="eastAsia" w:ascii="仿宋_GB2312" w:hAnsi="仿宋_GB2312" w:eastAsia="仿宋_GB2312"/>
          <w:color w:val="auto"/>
          <w:sz w:val="32"/>
        </w:rPr>
        <w:t>5.91</w:t>
      </w:r>
      <w:r>
        <w:rPr>
          <w:rFonts w:hint="eastAsia" w:ascii="仿宋_GB2312" w:hAnsi="仿宋_GB2312" w:eastAsia="仿宋_GB2312"/>
          <w:color w:val="auto"/>
          <w:sz w:val="32"/>
          <w:lang w:val="zh-CN"/>
        </w:rPr>
        <w:t>亿元，其中：基金预算支出</w:t>
      </w:r>
      <w:r>
        <w:rPr>
          <w:rFonts w:hint="eastAsia" w:ascii="仿宋_GB2312" w:hAnsi="仿宋_GB2312" w:eastAsia="仿宋_GB2312"/>
          <w:color w:val="auto"/>
          <w:sz w:val="32"/>
        </w:rPr>
        <w:t>4.5亿元，年终结余1.41亿元，</w:t>
      </w:r>
      <w:r>
        <w:rPr>
          <w:rFonts w:hint="eastAsia" w:ascii="仿宋_GB2312" w:hAnsi="仿宋_GB2312" w:eastAsia="仿宋_GB2312"/>
          <w:color w:val="auto"/>
          <w:sz w:val="32"/>
          <w:lang w:val="zh-CN"/>
        </w:rPr>
        <w:t>实现了基金预算当年收支平衡。</w:t>
      </w:r>
    </w:p>
    <w:p>
      <w:pPr>
        <w:spacing w:line="600" w:lineRule="exact"/>
        <w:ind w:firstLine="640" w:firstLineChars="200"/>
        <w:rPr>
          <w:rFonts w:hint="eastAsia" w:ascii="黑体" w:hAnsi="黑体" w:eastAsia="黑体"/>
          <w:color w:val="auto"/>
          <w:sz w:val="32"/>
        </w:rPr>
      </w:pPr>
      <w:r>
        <w:rPr>
          <w:rFonts w:hint="eastAsia" w:ascii="黑体" w:hAnsi="黑体" w:eastAsia="黑体"/>
          <w:color w:val="auto"/>
          <w:sz w:val="32"/>
        </w:rPr>
        <w:t>二、2023年财政主要工作情况</w:t>
      </w:r>
    </w:p>
    <w:p>
      <w:pPr>
        <w:spacing w:line="600" w:lineRule="exact"/>
        <w:ind w:firstLine="640" w:firstLineChars="200"/>
        <w:rPr>
          <w:rFonts w:hint="eastAsia" w:ascii="仿宋_GB2312" w:hAnsi="仿宋_GB2312" w:eastAsia="仿宋_GB2312"/>
          <w:color w:val="auto"/>
          <w:sz w:val="32"/>
          <w:highlight w:val="green"/>
        </w:rPr>
      </w:pPr>
      <w:r>
        <w:rPr>
          <w:rFonts w:hint="eastAsia" w:ascii="仿宋_GB2312" w:hAnsi="仿宋_GB2312" w:eastAsia="仿宋_GB2312"/>
          <w:color w:val="auto"/>
          <w:sz w:val="32"/>
        </w:rPr>
        <w:t>为确保财政收入目标和预算执行到位，我们主要做了以下几项工作：</w:t>
      </w:r>
    </w:p>
    <w:p>
      <w:pPr>
        <w:numPr>
          <w:ilvl w:val="0"/>
          <w:numId w:val="1"/>
        </w:numPr>
        <w:spacing w:beforeLines="0" w:line="600" w:lineRule="exact"/>
        <w:ind w:firstLine="640" w:firstLineChars="200"/>
        <w:rPr>
          <w:rFonts w:hint="default" w:eastAsia="楷体_GB2312"/>
          <w:color w:val="auto"/>
          <w:sz w:val="32"/>
        </w:rPr>
      </w:pPr>
      <w:r>
        <w:rPr>
          <w:rFonts w:hint="eastAsia" w:ascii="楷体_GB2312" w:hAnsi="楷体_GB2312" w:eastAsia="楷体_GB2312"/>
          <w:sz w:val="32"/>
        </w:rPr>
        <w:t>积极应对严峻形势，保证各项政策能够落到实处。</w:t>
      </w:r>
    </w:p>
    <w:p>
      <w:pPr>
        <w:overflowPunct w:val="0"/>
        <w:autoSpaceDE w:val="0"/>
        <w:autoSpaceDN w:val="0"/>
        <w:adjustRightInd w:val="0"/>
        <w:snapToGrid w:val="0"/>
        <w:spacing w:beforeLines="0" w:line="600" w:lineRule="exact"/>
        <w:ind w:firstLine="640" w:firstLineChars="200"/>
        <w:textAlignment w:val="baseline"/>
        <w:rPr>
          <w:rFonts w:hint="eastAsia" w:ascii="仿宋_GB2312" w:eastAsia="仿宋_GB2312"/>
          <w:color w:val="000000"/>
          <w:kern w:val="0"/>
          <w:sz w:val="32"/>
        </w:rPr>
      </w:pPr>
      <w:r>
        <w:rPr>
          <w:rFonts w:hint="eastAsia" w:ascii="仿宋_GB2312" w:hAnsi="仿宋_GB2312" w:eastAsia="仿宋_GB2312"/>
          <w:color w:val="auto"/>
          <w:sz w:val="32"/>
        </w:rPr>
        <w:t>一是积极强化收入征管。加强与税务部门沟通，保障各项税费收入及时足额入库，提高政府可用财力。二是支持经营主体健康发展。</w:t>
      </w:r>
      <w:r>
        <w:rPr>
          <w:rFonts w:hint="eastAsia" w:ascii="仿宋_GB2312" w:hAnsi="仿宋_GB2312" w:eastAsia="仿宋_GB2312"/>
          <w:color w:val="auto"/>
          <w:sz w:val="32"/>
          <w:lang w:val="zh-CN"/>
        </w:rPr>
        <w:t>严格落实国家出台的各项减税降费政策，</w:t>
      </w:r>
      <w:r>
        <w:rPr>
          <w:rFonts w:hint="eastAsia" w:ascii="仿宋_GB2312" w:hAnsi="仿宋_GB2312" w:eastAsia="仿宋_GB2312"/>
          <w:color w:val="auto"/>
          <w:sz w:val="32"/>
        </w:rPr>
        <w:t>将推动已出台的政策持续落地见效。</w:t>
      </w:r>
      <w:r>
        <w:rPr>
          <w:rFonts w:hint="eastAsia" w:ascii="仿宋_GB2312" w:hAnsi="Arial" w:eastAsia="仿宋_GB2312"/>
          <w:color w:val="000000"/>
          <w:kern w:val="0"/>
          <w:sz w:val="32"/>
        </w:rPr>
        <w:t>2023年至今，全县减税降费政策共计减免16877万元。</w:t>
      </w:r>
      <w:r>
        <w:rPr>
          <w:rFonts w:hint="eastAsia" w:ascii="仿宋_GB2312" w:hAnsi="仿宋_GB2312" w:eastAsia="仿宋_GB2312"/>
          <w:color w:val="auto"/>
          <w:sz w:val="32"/>
        </w:rPr>
        <w:t>三是积极向上争取资金。发挥积极职能作用，全力服务全县经济社会发展。</w:t>
      </w:r>
      <w:r>
        <w:rPr>
          <w:rFonts w:hint="eastAsia" w:ascii="仿宋_GB2312" w:hAnsi="仿宋_GB2312" w:eastAsia="仿宋_GB2312"/>
          <w:color w:val="auto"/>
          <w:sz w:val="32"/>
          <w:lang w:val="zh-CN"/>
        </w:rPr>
        <w:t>切实管好、用好直达资金，确保各项资金第一时间惠企利民。预计全年</w:t>
      </w:r>
      <w:r>
        <w:rPr>
          <w:rFonts w:hint="eastAsia" w:ascii="仿宋_GB2312" w:hAnsi="仿宋_GB2312" w:eastAsia="仿宋_GB2312"/>
          <w:color w:val="auto"/>
          <w:sz w:val="32"/>
        </w:rPr>
        <w:t>，向上争取资金23亿元（不含债券资金）。</w:t>
      </w:r>
      <w:r>
        <w:rPr>
          <w:rFonts w:hint="eastAsia" w:ascii="仿宋_GB2312" w:hAnsi="Arial" w:eastAsia="仿宋_GB2312"/>
          <w:color w:val="000000"/>
          <w:kern w:val="0"/>
          <w:sz w:val="32"/>
        </w:rPr>
        <w:t>四是争取再融资债券资金，延缓偿债期限，减轻当期偿债压力。发行再融资债券资金26070万元。新增债券项目46个，其中：一般债券项目22个，专项债券项目24个。到位资金28470万元。五是有效盘活并高效使用行政事业单位国有资产。截止目前，上缴国有资产收益15701万元。</w:t>
      </w:r>
    </w:p>
    <w:p>
      <w:pPr>
        <w:numPr>
          <w:ilvl w:val="0"/>
          <w:numId w:val="0"/>
        </w:numPr>
        <w:spacing w:beforeLines="0" w:line="600" w:lineRule="exact"/>
        <w:ind w:firstLine="640" w:firstLineChars="200"/>
        <w:rPr>
          <w:rFonts w:hint="eastAsia" w:ascii="楷体_GB2312" w:hAnsi="楷体_GB2312" w:eastAsia="楷体_GB2312"/>
          <w:sz w:val="32"/>
        </w:rPr>
      </w:pPr>
      <w:r>
        <w:rPr>
          <w:rFonts w:hint="eastAsia" w:ascii="楷体_GB2312" w:hAnsi="楷体_GB2312" w:eastAsia="楷体_GB2312"/>
          <w:sz w:val="32"/>
        </w:rPr>
        <w:t>（二）大力优化支出结构，重点领域资金得到有效保障。</w:t>
      </w:r>
    </w:p>
    <w:p>
      <w:pPr>
        <w:overflowPunct w:val="0"/>
        <w:autoSpaceDE w:val="0"/>
        <w:autoSpaceDN w:val="0"/>
        <w:adjustRightInd w:val="0"/>
        <w:snapToGrid w:val="0"/>
        <w:spacing w:line="600" w:lineRule="exact"/>
        <w:ind w:firstLine="640" w:firstLineChars="200"/>
        <w:textAlignment w:val="baseline"/>
        <w:rPr>
          <w:rFonts w:hint="eastAsia" w:ascii="仿宋_GB2312" w:hAnsi="仿宋_GB2312" w:eastAsia="仿宋_GB2312"/>
          <w:color w:val="auto"/>
          <w:sz w:val="32"/>
          <w:highlight w:val="green"/>
        </w:rPr>
      </w:pPr>
      <w:r>
        <w:rPr>
          <w:rFonts w:hint="eastAsia" w:ascii="仿宋_GB2312" w:hAnsi="仿宋_GB2312" w:eastAsia="仿宋_GB2312"/>
          <w:color w:val="auto"/>
          <w:sz w:val="32"/>
        </w:rPr>
        <w:t>加强财政资源统筹，保持必要支出强度，坚持以人民为中心的发展思想，持续加大对经济社会发展薄弱环节和关键领域的投入，持续加强基础性、惠普性、兜底性民生建设。一是落细落实政府“过紧日子”的要求，一般性支出应压尽压、能压尽压，尽可能扩大支出压减规模，严控公务接待、会议培训支出。在财力紧张的情况下，集中财力保障“三保”等相关重点领域支出。</w:t>
      </w:r>
      <w:r>
        <w:rPr>
          <w:rFonts w:hint="eastAsia" w:ascii="仿宋_GB2312" w:hAnsi="Arial" w:eastAsia="仿宋_GB2312"/>
          <w:color w:val="000000"/>
          <w:kern w:val="0"/>
          <w:sz w:val="32"/>
        </w:rPr>
        <w:t>“三保”支出年初备案173159万元，占一般公共预算支出的</w:t>
      </w:r>
      <w:r>
        <w:rPr>
          <w:rFonts w:hint="eastAsia" w:ascii="仿宋_GB2312" w:hAnsi="Arial" w:eastAsia="仿宋_GB2312"/>
          <w:color w:val="000000"/>
          <w:kern w:val="0"/>
          <w:sz w:val="32"/>
          <w:lang w:val="en-US" w:eastAsia="zh-CN"/>
        </w:rPr>
        <w:t>55.3</w:t>
      </w:r>
      <w:r>
        <w:rPr>
          <w:rFonts w:hint="eastAsia" w:ascii="仿宋_GB2312" w:hAnsi="Arial" w:eastAsia="仿宋_GB2312"/>
          <w:color w:val="000000"/>
          <w:kern w:val="0"/>
          <w:sz w:val="32"/>
        </w:rPr>
        <w:t>%。</w:t>
      </w:r>
      <w:r>
        <w:rPr>
          <w:rFonts w:hint="eastAsia" w:ascii="仿宋_GB2312" w:hAnsi="仿宋_GB2312" w:eastAsia="仿宋_GB2312"/>
          <w:color w:val="auto"/>
          <w:sz w:val="32"/>
        </w:rPr>
        <w:t>二是保障社会服务能力和水平。2023年，预计拨付各项社会保障资金</w:t>
      </w:r>
      <w:r>
        <w:rPr>
          <w:rFonts w:hint="eastAsia" w:ascii="仿宋_GB2312" w:hAnsi="Arial" w:eastAsia="仿宋_GB2312"/>
          <w:color w:val="000000"/>
          <w:kern w:val="0"/>
          <w:sz w:val="32"/>
        </w:rPr>
        <w:t>75779</w:t>
      </w:r>
      <w:r>
        <w:rPr>
          <w:rFonts w:hint="eastAsia" w:ascii="仿宋_GB2312" w:hAnsi="仿宋_GB2312" w:eastAsia="仿宋_GB2312"/>
          <w:color w:val="auto"/>
          <w:sz w:val="32"/>
        </w:rPr>
        <w:t>万元。三是进一步补齐教育短板，改善办学条件，强化师资队伍建设。2023年，全年预计拨付各类教育资金40000万元。</w:t>
      </w:r>
      <w:r>
        <w:rPr>
          <w:rFonts w:hint="eastAsia" w:ascii="仿宋_GB2312" w:hAnsi="Arial" w:eastAsia="仿宋_GB2312"/>
          <w:color w:val="000000"/>
          <w:kern w:val="0"/>
          <w:sz w:val="32"/>
        </w:rPr>
        <w:t>四是统筹资金支持重点项目建设。全年投资10804万元，用于罗通山医养福利服务中心护理能力改造提升项目、柳河县2023年农村公路桥梁建设项目S206永新线（太平川桥、红卫桥、黄崴子桥）、柳河县2022年城市燃气管道等老化更新改造项目、三源浦以工代赈示范工程项目、柳河大街排水改造工程项目。</w:t>
      </w:r>
    </w:p>
    <w:p>
      <w:pPr>
        <w:numPr>
          <w:ilvl w:val="0"/>
          <w:numId w:val="0"/>
        </w:numPr>
        <w:spacing w:line="600" w:lineRule="exact"/>
        <w:ind w:firstLine="640" w:firstLineChars="200"/>
        <w:rPr>
          <w:rFonts w:hint="default" w:eastAsia="楷体_GB2312"/>
          <w:color w:val="auto"/>
          <w:sz w:val="32"/>
        </w:rPr>
      </w:pPr>
      <w:r>
        <w:rPr>
          <w:rFonts w:hint="eastAsia" w:ascii="楷体_GB2312" w:hAnsi="楷体_GB2312" w:eastAsia="楷体_GB2312"/>
          <w:sz w:val="32"/>
        </w:rPr>
        <w:t>（三）巩固脱贫攻坚成果，扎实推进乡村振兴及绿色转型。</w:t>
      </w:r>
    </w:p>
    <w:p>
      <w:pPr>
        <w:overflowPunct w:val="0"/>
        <w:autoSpaceDE w:val="0"/>
        <w:autoSpaceDN w:val="0"/>
        <w:adjustRightInd w:val="0"/>
        <w:snapToGrid w:val="0"/>
        <w:spacing w:line="600" w:lineRule="exact"/>
        <w:ind w:firstLine="640" w:firstLineChars="200"/>
        <w:textAlignment w:val="baseline"/>
        <w:rPr>
          <w:rFonts w:hint="eastAsia" w:ascii="仿宋_GB2312" w:hAnsi="仿宋_GB2312" w:eastAsia="仿宋_GB2312"/>
          <w:color w:val="auto"/>
          <w:sz w:val="32"/>
        </w:rPr>
      </w:pPr>
      <w:r>
        <w:rPr>
          <w:rFonts w:hint="eastAsia" w:ascii="仿宋_GB2312" w:hAnsi="仿宋_GB2312" w:eastAsia="仿宋_GB2312"/>
          <w:color w:val="auto"/>
          <w:sz w:val="32"/>
        </w:rPr>
        <w:t>一是争取乡村振兴补助资金，促进我县农业高质量发展。</w:t>
      </w:r>
      <w:r>
        <w:rPr>
          <w:rFonts w:hint="eastAsia" w:ascii="仿宋_GB2312" w:hAnsi="Arial" w:eastAsia="仿宋_GB2312"/>
          <w:color w:val="000000"/>
          <w:kern w:val="0"/>
          <w:sz w:val="32"/>
        </w:rPr>
        <w:t>2023年，共争取财政衔接推进乡村振兴补助资金7233万元，其中：中央补助资金5090万元，省级补助资金987万元，县级补助资金969万元，整合其他财政涉农专项资金187万元。二是粮食和重要农产品稳定安全供给得到坚实保障。2023年，共发放耕地地力保护补贴资金9328万元，玉米大豆“一喷多促”一次性补助资金371万元，对实际种粮农民一次性补贴829万元。三是加大对农村公共服务和社会事业的投入，支持做好教育、文化、医疗卫生、社会保障、人居环境等民生工作，着力支持改善和提高广大农民群众生活水平。</w:t>
      </w:r>
    </w:p>
    <w:p>
      <w:pPr>
        <w:spacing w:beforeLines="0" w:line="600" w:lineRule="exact"/>
        <w:ind w:firstLine="640" w:firstLineChars="200"/>
        <w:rPr>
          <w:rFonts w:hint="eastAsia" w:ascii="楷体_GB2312" w:hAnsi="楷体_GB2312" w:eastAsia="楷体_GB2312"/>
          <w:sz w:val="32"/>
        </w:rPr>
      </w:pPr>
      <w:r>
        <w:rPr>
          <w:rFonts w:hint="eastAsia" w:ascii="楷体_GB2312" w:hAnsi="楷体_GB2312" w:eastAsia="楷体_GB2312"/>
          <w:sz w:val="32"/>
        </w:rPr>
        <w:t>（四）管好用好财政资金，财政治理水平进一步提高。</w:t>
      </w:r>
    </w:p>
    <w:p>
      <w:pPr>
        <w:spacing w:line="600" w:lineRule="exact"/>
        <w:ind w:firstLine="640" w:firstLineChars="200"/>
        <w:jc w:val="left"/>
        <w:rPr>
          <w:rFonts w:hint="eastAsia" w:ascii="仿宋_GB2312" w:hAnsi="仿宋_GB2312" w:eastAsia="仿宋_GB2312"/>
          <w:color w:val="auto"/>
          <w:sz w:val="32"/>
        </w:rPr>
      </w:pPr>
      <w:r>
        <w:rPr>
          <w:rFonts w:hint="eastAsia" w:ascii="仿宋_GB2312" w:hAnsi="仿宋_GB2312" w:eastAsia="仿宋_GB2312"/>
          <w:color w:val="auto"/>
          <w:sz w:val="32"/>
        </w:rPr>
        <w:t>坚持加强管理、深化改革、完善制度一体推进，持续深化财税体制改革，加强财会监督，严肃财经纪律，进一步夯实财政管理基础，不断提升财政治理水平，更好服务保障经济社会高质量发展。一是深入推进改革创新，全面提升财政管理现代化水平。深入推进预算绩效管理，加强绩效目标管理，提升绩效自评质量，深化绩效评价结果应用。全面推进预算管理一体化，健全完善全国统一的预算管理一体化规范和标准体系，提升财政预算管理工作的规范化、科学化、标准化水平。二是财政管理积极有为。紧跟步伐持续推进国库集中支付制度改革。进一步完善政府财务报告编制，更加全面、准确反映政府财政财务状况。推进深化政府采购制度改革，努力构建保障公平竞争的采购交易规则，严格规范实施，加强质量管控。扎实推进非税收缴数字化管理，推动建立流程无纸化、渠道多元化、入账电子化的收缴服务体系。</w:t>
      </w:r>
    </w:p>
    <w:p>
      <w:pPr>
        <w:numPr>
          <w:ilvl w:val="0"/>
          <w:numId w:val="0"/>
        </w:numPr>
        <w:adjustRightInd w:val="0"/>
        <w:spacing w:line="600" w:lineRule="exact"/>
        <w:ind w:firstLine="640" w:firstLineChars="200"/>
        <w:jc w:val="left"/>
        <w:textAlignment w:val="baseline"/>
        <w:rPr>
          <w:rFonts w:hint="eastAsia" w:ascii="仿宋_GB2312" w:hAnsi="仿宋_GB2312" w:eastAsia="仿宋_GB2312"/>
          <w:color w:val="auto"/>
          <w:sz w:val="32"/>
        </w:rPr>
      </w:pPr>
      <w:r>
        <w:rPr>
          <w:rFonts w:hint="eastAsia" w:ascii="仿宋_GB2312" w:hAnsi="仿宋_GB2312" w:eastAsia="仿宋_GB2312"/>
          <w:color w:val="auto"/>
          <w:sz w:val="32"/>
        </w:rPr>
        <w:t>2023年，在县委、县政府的正确领导下，在县人大、县政协的有力监督和支持下，全县各级部门同心协力，各项财政管理取得了一定的成效，各项社会事业保持稳定发展。同时我们也认识到2023年财政工作中面临的问题。从收入来看，随着当前经济下行压力及税收形势影响,我县税收压力较大，税收增长空间有限，非税收入主要依靠一次性收入，在一定时期内我县财力出现较为紧张的情况。从支出来看，“六稳”“六保”工作及保工资、保运转、保基本民生都需要保持一定的支出强度，全年预算收支平衡面临较大挑战。对此，我们将着力扩大内需、提振信心、防范风险，不断推动经济运行持续好转、社会预期持续改善、风险隐患持续化解，推动经济实现质的有效提升和量的合理增长。</w:t>
      </w:r>
    </w:p>
    <w:p>
      <w:pPr>
        <w:spacing w:line="600" w:lineRule="exact"/>
        <w:ind w:firstLine="640" w:firstLineChars="200"/>
        <w:rPr>
          <w:rFonts w:hint="eastAsia" w:ascii="黑体" w:hAnsi="黑体" w:eastAsia="黑体"/>
          <w:color w:val="auto"/>
          <w:sz w:val="32"/>
        </w:rPr>
      </w:pPr>
      <w:r>
        <w:rPr>
          <w:rFonts w:hint="eastAsia" w:ascii="黑体" w:hAnsi="黑体" w:eastAsia="黑体"/>
          <w:color w:val="auto"/>
          <w:sz w:val="32"/>
        </w:rPr>
        <w:t>三、2024年财政预算草案</w:t>
      </w:r>
    </w:p>
    <w:p>
      <w:pPr>
        <w:numPr>
          <w:ilvl w:val="0"/>
          <w:numId w:val="0"/>
        </w:numPr>
        <w:spacing w:line="600" w:lineRule="exact"/>
        <w:ind w:firstLine="640" w:firstLineChars="200"/>
        <w:rPr>
          <w:rFonts w:hint="eastAsia" w:ascii="仿宋_GB2312" w:hAnsi="仿宋_GB2312" w:eastAsia="仿宋_GB2312"/>
          <w:color w:val="auto"/>
          <w:sz w:val="32"/>
        </w:rPr>
      </w:pPr>
      <w:r>
        <w:rPr>
          <w:rFonts w:hint="eastAsia" w:ascii="仿宋_GB2312" w:hAnsi="仿宋_GB2312" w:eastAsia="仿宋_GB2312"/>
          <w:color w:val="auto"/>
          <w:sz w:val="32"/>
        </w:rPr>
        <w:t>2024年,财政工作的指导思想是：以习近平新时代中国特色社会主义思想为指导，全面贯彻落实党的二十大和</w:t>
      </w:r>
      <w:r>
        <w:rPr>
          <w:rFonts w:hint="eastAsia" w:ascii="仿宋_GB2312" w:hAnsi="仿宋_GB2312" w:eastAsia="仿宋_GB2312"/>
          <w:color w:val="auto"/>
          <w:sz w:val="32"/>
          <w:lang w:eastAsia="zh-CN"/>
        </w:rPr>
        <w:t>二十届二中全会</w:t>
      </w:r>
      <w:r>
        <w:rPr>
          <w:rFonts w:hint="eastAsia" w:ascii="仿宋_GB2312" w:hAnsi="仿宋_GB2312" w:eastAsia="仿宋_GB2312"/>
          <w:color w:val="auto"/>
          <w:sz w:val="32"/>
        </w:rPr>
        <w:t>精神，</w:t>
      </w:r>
      <w:r>
        <w:rPr>
          <w:rFonts w:hint="eastAsia" w:ascii="仿宋_GB2312" w:hAnsi="仿宋_GB2312" w:eastAsia="仿宋_GB2312"/>
          <w:color w:val="auto"/>
          <w:sz w:val="32"/>
          <w:lang w:eastAsia="zh-CN"/>
        </w:rPr>
        <w:t>深入贯彻习近平总书记在新时代推动东北全面振兴座谈会上的重要讲话精神，</w:t>
      </w:r>
      <w:r>
        <w:rPr>
          <w:rFonts w:hint="eastAsia" w:ascii="仿宋_GB2312" w:hAnsi="仿宋_GB2312" w:eastAsia="仿宋_GB2312"/>
          <w:color w:val="auto"/>
          <w:sz w:val="32"/>
        </w:rPr>
        <w:t>坚持</w:t>
      </w:r>
      <w:r>
        <w:rPr>
          <w:rFonts w:hint="eastAsia" w:ascii="仿宋_GB2312" w:hAnsi="仿宋_GB2312" w:eastAsia="仿宋_GB2312"/>
          <w:color w:val="auto"/>
          <w:sz w:val="32"/>
          <w:lang w:eastAsia="zh-CN"/>
        </w:rPr>
        <w:t>稳中求进工作总基调，</w:t>
      </w:r>
      <w:r>
        <w:rPr>
          <w:rFonts w:hint="eastAsia" w:ascii="仿宋_GB2312" w:hAnsi="仿宋_GB2312" w:eastAsia="仿宋_GB2312"/>
          <w:color w:val="auto"/>
          <w:sz w:val="32"/>
        </w:rPr>
        <w:t>完整、准确、全面贯彻新发展理念，加快融入和服务</w:t>
      </w:r>
      <w:r>
        <w:rPr>
          <w:rFonts w:hint="eastAsia" w:ascii="仿宋_GB2312" w:hAnsi="仿宋_GB2312" w:eastAsia="仿宋_GB2312"/>
          <w:color w:val="auto"/>
          <w:sz w:val="32"/>
          <w:lang w:eastAsia="zh-CN"/>
        </w:rPr>
        <w:t>构建</w:t>
      </w:r>
      <w:r>
        <w:rPr>
          <w:rFonts w:hint="eastAsia" w:ascii="仿宋_GB2312" w:hAnsi="仿宋_GB2312" w:eastAsia="仿宋_GB2312"/>
          <w:color w:val="auto"/>
          <w:sz w:val="32"/>
        </w:rPr>
        <w:t>新发展格局，</w:t>
      </w:r>
      <w:r>
        <w:rPr>
          <w:rFonts w:hint="eastAsia" w:ascii="仿宋_GB2312" w:hAnsi="仿宋_GB2312" w:eastAsia="仿宋_GB2312"/>
          <w:color w:val="auto"/>
          <w:sz w:val="32"/>
          <w:lang w:eastAsia="zh-CN"/>
        </w:rPr>
        <w:t>着力推动高质量发展，全面深化改革开放，统筹扩大内需和深化供给侧结构性改革，统筹新型城镇化和乡村全面振兴，统筹高质量发展和高水平安全，</w:t>
      </w:r>
      <w:r>
        <w:rPr>
          <w:rFonts w:hint="eastAsia" w:ascii="仿宋_GB2312" w:hAnsi="仿宋_GB2312" w:eastAsia="仿宋_GB2312"/>
          <w:color w:val="auto"/>
          <w:sz w:val="32"/>
        </w:rPr>
        <w:t>按照省委十二届</w:t>
      </w:r>
      <w:r>
        <w:rPr>
          <w:rFonts w:hint="eastAsia" w:ascii="仿宋_GB2312" w:hAnsi="仿宋_GB2312" w:eastAsia="仿宋_GB2312"/>
          <w:color w:val="auto"/>
          <w:sz w:val="32"/>
          <w:lang w:eastAsia="zh-CN"/>
        </w:rPr>
        <w:t>四</w:t>
      </w:r>
      <w:r>
        <w:rPr>
          <w:rFonts w:hint="eastAsia" w:ascii="仿宋_GB2312" w:hAnsi="仿宋_GB2312" w:eastAsia="仿宋_GB2312"/>
          <w:color w:val="auto"/>
          <w:sz w:val="32"/>
        </w:rPr>
        <w:t>次全会、市委八届</w:t>
      </w:r>
      <w:r>
        <w:rPr>
          <w:rFonts w:hint="eastAsia" w:ascii="仿宋_GB2312" w:hAnsi="仿宋_GB2312" w:eastAsia="仿宋_GB2312"/>
          <w:color w:val="auto"/>
          <w:sz w:val="32"/>
          <w:lang w:eastAsia="zh-CN"/>
        </w:rPr>
        <w:t>六</w:t>
      </w:r>
      <w:r>
        <w:rPr>
          <w:rFonts w:hint="eastAsia" w:ascii="仿宋_GB2312" w:hAnsi="仿宋_GB2312" w:eastAsia="仿宋_GB2312"/>
          <w:color w:val="auto"/>
          <w:sz w:val="32"/>
        </w:rPr>
        <w:t>次全会、县委十六届</w:t>
      </w:r>
      <w:r>
        <w:rPr>
          <w:rFonts w:hint="eastAsia" w:ascii="仿宋_GB2312" w:hAnsi="仿宋_GB2312" w:eastAsia="仿宋_GB2312"/>
          <w:color w:val="auto"/>
          <w:sz w:val="32"/>
          <w:lang w:eastAsia="zh-CN"/>
        </w:rPr>
        <w:t>五</w:t>
      </w:r>
      <w:r>
        <w:rPr>
          <w:rFonts w:hint="eastAsia" w:ascii="仿宋_GB2312" w:hAnsi="仿宋_GB2312" w:eastAsia="仿宋_GB2312"/>
          <w:color w:val="auto"/>
          <w:sz w:val="32"/>
        </w:rPr>
        <w:t>次全会部署，</w:t>
      </w:r>
      <w:r>
        <w:rPr>
          <w:rFonts w:hint="eastAsia" w:ascii="仿宋_GB2312" w:hAnsi="仿宋_GB2312" w:eastAsia="仿宋_GB2312"/>
          <w:color w:val="auto"/>
          <w:sz w:val="32"/>
          <w:lang w:eastAsia="zh-CN"/>
        </w:rPr>
        <w:t>紧紧围绕</w:t>
      </w:r>
      <w:r>
        <w:rPr>
          <w:rFonts w:hint="eastAsia" w:ascii="仿宋_GB2312" w:hAnsi="仿宋_GB2312" w:eastAsia="仿宋_GB2312"/>
          <w:color w:val="auto"/>
          <w:sz w:val="32"/>
        </w:rPr>
        <w:t>省委“一主六双”高质量发展战略和市委“一四五”发展</w:t>
      </w:r>
      <w:r>
        <w:rPr>
          <w:rFonts w:hint="eastAsia" w:ascii="仿宋_GB2312" w:hAnsi="仿宋_GB2312" w:eastAsia="仿宋_GB2312"/>
          <w:color w:val="auto"/>
          <w:sz w:val="32"/>
          <w:lang w:eastAsia="zh-CN"/>
        </w:rPr>
        <w:t>定位</w:t>
      </w:r>
      <w:r>
        <w:rPr>
          <w:rFonts w:hint="eastAsia" w:ascii="仿宋_GB2312" w:hAnsi="仿宋_GB2312" w:eastAsia="仿宋_GB2312"/>
          <w:color w:val="auto"/>
          <w:sz w:val="32"/>
        </w:rPr>
        <w:t>，</w:t>
      </w:r>
      <w:r>
        <w:rPr>
          <w:rFonts w:hint="eastAsia" w:ascii="仿宋_GB2312" w:hAnsi="仿宋_GB2312" w:eastAsia="仿宋_GB2312"/>
          <w:color w:val="auto"/>
          <w:sz w:val="32"/>
          <w:lang w:eastAsia="zh-CN"/>
        </w:rPr>
        <w:t>锚定</w:t>
      </w:r>
      <w:r>
        <w:rPr>
          <w:rFonts w:hint="eastAsia" w:ascii="仿宋_GB2312" w:hAnsi="仿宋_GB2312" w:eastAsia="仿宋_GB2312"/>
          <w:color w:val="auto"/>
          <w:sz w:val="32"/>
        </w:rPr>
        <w:t>“一巩固、两实现”发展目标，突出做好促发展、稳增长、保稳定、防风险、惠民生工作，在中国式现代化进程中奋力推进柳河经济社会高质量发展。</w:t>
      </w:r>
    </w:p>
    <w:p>
      <w:pPr>
        <w:numPr>
          <w:ilvl w:val="0"/>
          <w:numId w:val="0"/>
        </w:numPr>
        <w:spacing w:line="600" w:lineRule="exact"/>
        <w:ind w:firstLine="640" w:firstLineChars="200"/>
        <w:rPr>
          <w:rFonts w:hint="eastAsia" w:ascii="仿宋_GB2312" w:hAnsi="仿宋_GB2312" w:eastAsia="仿宋_GB2312"/>
          <w:color w:val="auto"/>
          <w:sz w:val="32"/>
          <w:lang w:val="zh-CN"/>
        </w:rPr>
      </w:pPr>
      <w:r>
        <w:rPr>
          <w:rFonts w:hint="eastAsia" w:ascii="仿宋_GB2312" w:hAnsi="仿宋_GB2312" w:eastAsia="仿宋_GB2312"/>
          <w:color w:val="auto"/>
          <w:sz w:val="32"/>
        </w:rPr>
        <w:t>根据上述指导思想，制定2024年财政预算草案：地方级财政收入计划安排4.3亿元，同比增长13%。</w:t>
      </w:r>
    </w:p>
    <w:p>
      <w:pPr>
        <w:spacing w:line="600" w:lineRule="exact"/>
        <w:ind w:firstLine="640" w:firstLineChars="200"/>
        <w:rPr>
          <w:rFonts w:hint="eastAsia" w:ascii="黑体" w:hAnsi="黑体" w:eastAsia="黑体"/>
          <w:color w:val="auto"/>
          <w:sz w:val="32"/>
        </w:rPr>
      </w:pPr>
      <w:r>
        <w:rPr>
          <w:rFonts w:hint="eastAsia" w:ascii="黑体" w:hAnsi="黑体" w:eastAsia="黑体"/>
          <w:color w:val="auto"/>
          <w:sz w:val="32"/>
        </w:rPr>
        <w:t>四、2024年财政工作安排</w:t>
      </w:r>
    </w:p>
    <w:p>
      <w:pPr>
        <w:spacing w:line="600" w:lineRule="exact"/>
        <w:ind w:firstLine="640" w:firstLineChars="200"/>
        <w:outlineLvl w:val="0"/>
        <w:rPr>
          <w:rFonts w:hint="eastAsia" w:ascii="仿宋_GB2312" w:hAnsi="仿宋_GB2312" w:eastAsia="仿宋_GB2312"/>
          <w:color w:val="auto"/>
          <w:sz w:val="32"/>
        </w:rPr>
      </w:pPr>
      <w:r>
        <w:rPr>
          <w:rFonts w:hint="eastAsia" w:ascii="仿宋_GB2312" w:hAnsi="仿宋_GB2312" w:eastAsia="仿宋_GB2312"/>
          <w:color w:val="auto"/>
          <w:sz w:val="32"/>
        </w:rPr>
        <w:t>2024年，我们将继续贯彻落实县委、县政府工作部署，坚持以习近平新时代中国特色社会主义思想为指导，坚持新发展理念，大力支持“六稳”工作，落实“六保”任务，加强重点领域经费保障，提高财政资金配置效益，精准发力做好财政发展各项工作。</w:t>
      </w:r>
    </w:p>
    <w:p>
      <w:pPr>
        <w:numPr>
          <w:ilvl w:val="0"/>
          <w:numId w:val="0"/>
        </w:numPr>
        <w:spacing w:line="600" w:lineRule="exact"/>
        <w:ind w:firstLine="640" w:firstLineChars="200"/>
        <w:rPr>
          <w:rFonts w:hint="eastAsia" w:ascii="楷体_GB2312" w:hAnsi="楷体_GB2312" w:eastAsia="楷体_GB2312"/>
          <w:sz w:val="32"/>
        </w:rPr>
      </w:pPr>
      <w:r>
        <w:rPr>
          <w:rFonts w:hint="eastAsia" w:ascii="楷体_GB2312" w:hAnsi="楷体_GB2312" w:eastAsia="楷体_GB2312"/>
          <w:sz w:val="32"/>
        </w:rPr>
        <w:t>（一）在征收上加大力度。</w:t>
      </w:r>
    </w:p>
    <w:p>
      <w:pPr>
        <w:spacing w:beforeLines="0" w:line="600" w:lineRule="exact"/>
        <w:ind w:firstLine="640" w:firstLineChars="200"/>
        <w:rPr>
          <w:rFonts w:hint="eastAsia" w:ascii="仿宋_GB2312" w:hAnsi="仿宋_GB2312" w:eastAsia="仿宋_GB2312"/>
          <w:color w:val="auto"/>
          <w:sz w:val="32"/>
        </w:rPr>
      </w:pPr>
      <w:r>
        <w:rPr>
          <w:rFonts w:hint="eastAsia" w:ascii="仿宋_GB2312" w:hAnsi="仿宋_GB2312" w:eastAsia="仿宋_GB2312"/>
          <w:color w:val="auto"/>
          <w:sz w:val="32"/>
        </w:rPr>
        <w:t>一是认真做好与省财政各部门的对接工作，吃深吃透上级政策资金投向，密切配合相关部门，切实做好项目前期谋划和审核，千方百计争取上级支持资金最大化，弥补资金缺口，集中财力确保县委、县政府重大决策部署落地落实。二是通过统筹本级财力、争取上级债券等方式，充分发挥财政资金杠杆作用，大力扩大有效投资。三是继续支持营商环境建设，落实中央减税降费政策，强化涉企服务，落实上级有关加强各类违规涉企收费整治文件精神，助力企业轻装上阵，为财政增收夯实税源基础。四是将督查各单位对清查出来的闲置存量资产开展盘活工作，并将盘活收益缴入国库。</w:t>
      </w:r>
    </w:p>
    <w:p>
      <w:pPr>
        <w:numPr>
          <w:ilvl w:val="0"/>
          <w:numId w:val="0"/>
        </w:numPr>
        <w:spacing w:line="600" w:lineRule="exact"/>
        <w:ind w:firstLine="640" w:firstLineChars="200"/>
        <w:rPr>
          <w:rFonts w:hint="eastAsia" w:ascii="楷体_GB2312" w:hAnsi="楷体_GB2312" w:eastAsia="楷体_GB2312"/>
          <w:sz w:val="32"/>
        </w:rPr>
      </w:pPr>
      <w:r>
        <w:rPr>
          <w:rFonts w:hint="eastAsia" w:ascii="楷体_GB2312" w:hAnsi="楷体_GB2312" w:eastAsia="楷体_GB2312"/>
          <w:sz w:val="32"/>
        </w:rPr>
        <w:t>（二）在支出上持续发力。</w:t>
      </w:r>
    </w:p>
    <w:p>
      <w:pPr>
        <w:numPr>
          <w:ilvl w:val="0"/>
          <w:numId w:val="0"/>
        </w:numPr>
        <w:spacing w:line="600" w:lineRule="exact"/>
        <w:ind w:firstLine="640" w:firstLineChars="200"/>
        <w:rPr>
          <w:rFonts w:hint="eastAsia" w:ascii="仿宋_GB2312" w:hAnsi="仿宋_GB2312" w:eastAsia="仿宋_GB2312"/>
          <w:color w:val="auto"/>
          <w:sz w:val="32"/>
        </w:rPr>
      </w:pPr>
      <w:r>
        <w:rPr>
          <w:rFonts w:hint="eastAsia" w:ascii="仿宋_GB2312" w:hAnsi="仿宋_GB2312" w:eastAsia="仿宋_GB2312"/>
          <w:color w:val="auto"/>
          <w:sz w:val="32"/>
        </w:rPr>
        <w:t>一是统筹转移支付资金和自有财力，在优化支出结构上多下功夫，兜牢“三保”支出底线，压减一般性支出、非刚性支出。做好义务教育、基本医疗、基本住房等民生保障，加强困难</w:t>
      </w:r>
      <w:r>
        <w:rPr>
          <w:rFonts w:hint="eastAsia" w:ascii="仿宋_GB2312" w:hAnsi="仿宋_GB2312" w:eastAsia="仿宋_GB2312"/>
          <w:color w:val="auto"/>
          <w:sz w:val="32"/>
          <w:lang w:eastAsia="zh-CN"/>
        </w:rPr>
        <w:t>群众</w:t>
      </w:r>
      <w:r>
        <w:rPr>
          <w:rFonts w:hint="eastAsia" w:ascii="仿宋_GB2312" w:hAnsi="仿宋_GB2312" w:eastAsia="仿宋_GB2312"/>
          <w:color w:val="auto"/>
          <w:sz w:val="32"/>
        </w:rPr>
        <w:t>救助帮扶。二是围绕盘活财政存量，加大资金统筹使用力度，确保闲置、沉淀的财政资金有效用于稳增长、调结构、惠民生的重点领域和关键环节，更好地发挥积极财政政策作用，提高财政资金使用效益。三是加大对乡村振兴、生态环保、基础设施等领域投入力度，健全完善专项债券项目储备库，更好地发挥债券资金对地方建设的支持作用。</w:t>
      </w:r>
    </w:p>
    <w:p>
      <w:pPr>
        <w:numPr>
          <w:ilvl w:val="0"/>
          <w:numId w:val="0"/>
        </w:numPr>
        <w:spacing w:line="600" w:lineRule="exact"/>
        <w:ind w:firstLine="640" w:firstLineChars="200"/>
        <w:rPr>
          <w:rFonts w:hint="eastAsia" w:ascii="楷体_GB2312" w:hAnsi="楷体_GB2312" w:eastAsia="楷体_GB2312"/>
          <w:sz w:val="32"/>
        </w:rPr>
      </w:pPr>
      <w:r>
        <w:rPr>
          <w:rFonts w:hint="eastAsia" w:ascii="楷体_GB2312" w:hAnsi="楷体_GB2312" w:eastAsia="楷体_GB2312"/>
          <w:sz w:val="32"/>
        </w:rPr>
        <w:t>（三）在运行中严防风险。</w:t>
      </w:r>
    </w:p>
    <w:p>
      <w:pPr>
        <w:numPr>
          <w:ilvl w:val="0"/>
          <w:numId w:val="0"/>
        </w:numPr>
        <w:spacing w:line="600" w:lineRule="exact"/>
        <w:ind w:firstLine="640" w:firstLineChars="200"/>
        <w:rPr>
          <w:rFonts w:hint="eastAsia" w:ascii="仿宋_GB2312" w:hAnsi="仿宋_GB2312" w:eastAsia="仿宋_GB2312"/>
          <w:color w:val="auto"/>
          <w:sz w:val="32"/>
        </w:rPr>
      </w:pPr>
      <w:r>
        <w:rPr>
          <w:rFonts w:hint="eastAsia" w:ascii="仿宋_GB2312" w:hAnsi="仿宋_GB2312" w:eastAsia="仿宋_GB2312"/>
          <w:color w:val="auto"/>
          <w:sz w:val="32"/>
        </w:rPr>
        <w:t>一是积极筹措资金偿还到期债务，将债务还本付息纳入财政预算管理。将到期本金债券置换新的债券，延期偿还，减轻财政压力。二是推动重点领域项目建设，加快地方政府债券资金使用，充分发挥地方政府债券资金拉动有效投资的积极作用。强化风险认识，提升防范能力，将政府债务风险防范纳入常态工作。</w:t>
      </w:r>
    </w:p>
    <w:p>
      <w:pPr>
        <w:numPr>
          <w:ilvl w:val="0"/>
          <w:numId w:val="0"/>
        </w:numPr>
        <w:spacing w:line="600" w:lineRule="exact"/>
        <w:ind w:firstLine="640" w:firstLineChars="200"/>
        <w:rPr>
          <w:rFonts w:hint="eastAsia" w:ascii="楷体_GB2312" w:hAnsi="楷体_GB2312" w:eastAsia="楷体_GB2312"/>
          <w:sz w:val="32"/>
        </w:rPr>
      </w:pPr>
      <w:r>
        <w:rPr>
          <w:rFonts w:hint="eastAsia" w:ascii="楷体_GB2312" w:hAnsi="楷体_GB2312" w:eastAsia="楷体_GB2312"/>
          <w:sz w:val="32"/>
        </w:rPr>
        <w:t>（四）在政策中强化落实。</w:t>
      </w:r>
    </w:p>
    <w:p>
      <w:pPr>
        <w:spacing w:beforeLines="0" w:line="600" w:lineRule="exact"/>
        <w:ind w:firstLine="640" w:firstLineChars="200"/>
        <w:rPr>
          <w:rFonts w:hint="eastAsia" w:ascii="仿宋_GB2312" w:hAnsi="仿宋_GB2312" w:eastAsia="仿宋_GB2312"/>
          <w:color w:val="auto"/>
          <w:sz w:val="32"/>
        </w:rPr>
      </w:pPr>
      <w:r>
        <w:rPr>
          <w:rFonts w:hint="eastAsia" w:ascii="仿宋_GB2312" w:hAnsi="仿宋_GB2312" w:eastAsia="仿宋_GB2312"/>
          <w:color w:val="auto"/>
          <w:sz w:val="32"/>
        </w:rPr>
        <w:t>一是用好财政资金直达机制，合理加快财政支出进度，全面提升资金支付效率，推动各项财税政策落地见效。二是延续、优化、完善并落实好减税降费政策，支持民营企业、中小微企业和个体工商户发展。三是加快推进预算管理一体化系统进程。为全面推进财政信息化打好基础，充分发挥财政领域“大数据”作用。四是继续深化国有企业改革行动。围绕国有资产购建、处置等重点方面，进一步规范国有企业管理，推动国企改革发展迈上新台阶。</w:t>
      </w:r>
    </w:p>
    <w:p>
      <w:pPr>
        <w:pStyle w:val="2"/>
        <w:spacing w:beforeLines="0" w:line="600" w:lineRule="exact"/>
        <w:ind w:firstLine="640"/>
        <w:rPr>
          <w:rFonts w:hint="default" w:eastAsia="仿宋_GB2312"/>
          <w:color w:val="auto"/>
          <w:sz w:val="32"/>
          <w:u w:val="none" w:color="auto"/>
        </w:rPr>
      </w:pPr>
      <w:r>
        <w:rPr>
          <w:rFonts w:hint="eastAsia" w:ascii="仿宋_GB2312" w:hAnsi="仿宋_GB2312" w:eastAsia="仿宋_GB2312"/>
          <w:color w:val="auto"/>
          <w:sz w:val="32"/>
        </w:rPr>
        <w:t>各位代表，2024年财政工作任务十分艰巨，实现超收有一定压力。我们将在县委、县政府的正确领导下，在县人大、县政协的监督指导下，真抓实干，扎实做好财政各项工作，促进全县经济社会平稳有序发展。</w:t>
      </w:r>
    </w:p>
    <w:p/>
    <w:sectPr>
      <w:footerReference r:id="rId3" w:type="default"/>
      <w:pgSz w:w="11879" w:h="16783" w:orient="landscape"/>
      <w:pgMar w:top="1531" w:right="1701" w:bottom="1531" w:left="1701" w:header="851" w:footer="1417" w:gutter="0"/>
      <w:lnNumType w:countBy="0" w:distance="36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rPr>
        <w:rFonts w:hint="default"/>
        <w:sz w:val="18"/>
      </w:rPr>
    </w:pPr>
    <w:r>
      <w:rPr>
        <w:rFonts w:hint="default" w:ascii="Times New Roman" w:hAnsi="Times New Roman" w:eastAsia="宋体" w:cs="黑体"/>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218440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spacing w:beforeLines="0"/>
                            <w:rPr>
                              <w:rFonts w:hint="eastAsia"/>
                              <w:sz w:val="28"/>
                            </w:rPr>
                          </w:pPr>
                          <w:r>
                            <w:rPr>
                              <w:rFonts w:hint="eastAsia"/>
                              <w:sz w:val="28"/>
                            </w:rPr>
                            <w:fldChar w:fldCharType="begin"/>
                          </w:r>
                          <w:r>
                            <w:rPr>
                              <w:rFonts w:hint="eastAsia"/>
                              <w:sz w:val="28"/>
                            </w:rPr>
                            <w:instrText xml:space="preserve"> PAGE  \* MERGEFORMAT </w:instrText>
                          </w:r>
                          <w:r>
                            <w:rPr>
                              <w:rFonts w:hint="eastAsia"/>
                              <w:sz w:val="28"/>
                            </w:rPr>
                            <w:fldChar w:fldCharType="separate"/>
                          </w:r>
                          <w:r>
                            <w:t>- 1 -</w:t>
                          </w:r>
                          <w:r>
                            <w:rPr>
                              <w:rFonts w:hint="eastAsia"/>
                              <w:sz w:val="28"/>
                            </w:rPr>
                            <w:fldChar w:fldCharType="end"/>
                          </w:r>
                        </w:p>
                      </w:txbxContent>
                    </wps:txbx>
                    <wps:bodyPr wrap="none" lIns="0" tIns="0" rIns="0" bIns="0" upright="1">
                      <a:spAutoFit/>
                    </wps:bodyPr>
                  </wps:wsp>
                </a:graphicData>
              </a:graphic>
            </wp:anchor>
          </w:drawing>
        </mc:Choice>
        <mc:Fallback>
          <w:pict>
            <v:rect id="文本框 7" o:spid="_x0000_s1026" o:spt="1" style="position:absolute;left:0pt;margin-top:17.2pt;height:144pt;width:144pt;mso-position-horizontal:outside;mso-position-horizontal-relative:margin;mso-wrap-style:none;z-index:251659264;mso-width-relative:page;mso-height-relative:page;" filled="f" stroked="f" coordsize="21600,21600" o:gfxdata="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8TWOy0wAAAAcBAAAPAAAA&#10;AAAAAAEAIAAAACIAAABkcnMvZG93bnJldi54bWxQSwECFAAUAAAACACHTuJApFBq/agBAABBAwAA&#10;DgAAAAAAAAABACAAAAAiAQAAZHJzL2Uyb0RvYy54bWxQSwUGAAAAAAYABgBZAQAAPAUAAAAA&#10;">
              <v:fill on="f" focussize="0,0"/>
              <v:stroke on="f"/>
              <v:imagedata o:title=""/>
              <o:lock v:ext="edit" aspectratio="f"/>
              <v:textbox inset="0mm,0mm,0mm,0mm" style="mso-fit-shape-to-text:t;">
                <w:txbxContent>
                  <w:p>
                    <w:pPr>
                      <w:pStyle w:val="4"/>
                      <w:spacing w:beforeLines="0"/>
                      <w:rPr>
                        <w:rFonts w:hint="eastAsia"/>
                        <w:sz w:val="28"/>
                      </w:rPr>
                    </w:pPr>
                    <w:r>
                      <w:rPr>
                        <w:rFonts w:hint="eastAsia"/>
                        <w:sz w:val="28"/>
                      </w:rPr>
                      <w:fldChar w:fldCharType="begin"/>
                    </w:r>
                    <w:r>
                      <w:rPr>
                        <w:rFonts w:hint="eastAsia"/>
                        <w:sz w:val="28"/>
                      </w:rPr>
                      <w:instrText xml:space="preserve"> PAGE  \* MERGEFORMAT </w:instrText>
                    </w:r>
                    <w:r>
                      <w:rPr>
                        <w:rFonts w:hint="eastAsia"/>
                        <w:sz w:val="28"/>
                      </w:rPr>
                      <w:fldChar w:fldCharType="separate"/>
                    </w:r>
                    <w:r>
                      <w:t>- 1 -</w:t>
                    </w:r>
                    <w:r>
                      <w:rPr>
                        <w:rFonts w:hint="eastAsia"/>
                        <w:sz w:val="28"/>
                      </w:rPr>
                      <w:fldChar w:fldCharType="end"/>
                    </w:r>
                  </w:p>
                </w:txbxContent>
              </v:textbox>
            </v:rect>
          </w:pict>
        </mc:Fallback>
      </mc:AlternateContent>
    </w:r>
    <w:r>
      <w:rPr>
        <w:rFonts w:hint="default" w:ascii="Times New Roman" w:hAnsi="Times New Roman" w:eastAsia="宋体" w:cs="黑体"/>
        <w:kern w:val="2"/>
        <w:sz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wps:spPr>
                    <wps:txbx>
                      <w:txbxContent>
                        <w:p>
                          <w:pPr>
                            <w:pStyle w:val="4"/>
                            <w:spacing w:beforeLines="0"/>
                            <w:rPr>
                              <w:rFonts w:hint="eastAsia"/>
                              <w:sz w:val="18"/>
                            </w:rPr>
                          </w:pPr>
                        </w:p>
                      </w:txbxContent>
                    </wps:txbx>
                    <wps:bodyPr wrap="none" lIns="0" tIns="0" rIns="0" bIns="0" upright="1">
                      <a:spAutoFit/>
                    </wps:bodyPr>
                  </wps:wsp>
                </a:graphicData>
              </a:graphic>
            </wp:anchor>
          </w:drawing>
        </mc:Choice>
        <mc:Fallback>
          <w:pict>
            <v:rect id="文本框 4" o:spid="_x0000_s1026" o:spt="1"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S/0sLQAAAAAwEAAA8A&#10;AAAAAAAAAQAgAAAAIgAAAGRycy9kb3ducmV2LnhtbFBLAQIUABQAAAAIAIdO4kD5mUmyrQEAAD8D&#10;AAAOAAAAAAAAAAEAIAAAAB8BAABkcnMvZTJvRG9jLnhtbFBLBQYAAAAABgAGAFkBAAA+BQAAAAA=&#10;">
              <v:fill on="f" focussize="0,0"/>
              <v:stroke on="f"/>
              <v:imagedata o:title=""/>
              <o:lock v:ext="edit" aspectratio="f"/>
              <v:textbox inset="0mm,0mm,0mm,0mm" style="mso-fit-shape-to-text:t;">
                <w:txbxContent>
                  <w:p>
                    <w:pPr>
                      <w:pStyle w:val="4"/>
                      <w:spacing w:beforeLines="0"/>
                      <w:rPr>
                        <w:rFonts w:hint="eastAsia"/>
                        <w:sz w:val="18"/>
                      </w:rPr>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D9790A"/>
    <w:multiLevelType w:val="multilevel"/>
    <w:tmpl w:val="E5D9790A"/>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bookFoldPrinting w:val="1"/>
  <w:bookFoldPrintingSheets w:val="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A5F90"/>
    <w:rsid w:val="016E58CE"/>
    <w:rsid w:val="0EEA566E"/>
    <w:rsid w:val="18C16C0B"/>
    <w:rsid w:val="222F6521"/>
    <w:rsid w:val="242C08B9"/>
    <w:rsid w:val="283B025A"/>
    <w:rsid w:val="2B371EAE"/>
    <w:rsid w:val="3FD94633"/>
    <w:rsid w:val="433577CE"/>
    <w:rsid w:val="48186FE6"/>
    <w:rsid w:val="4CB45BD3"/>
    <w:rsid w:val="588C357F"/>
    <w:rsid w:val="5D474BBD"/>
    <w:rsid w:val="6675214D"/>
    <w:rsid w:val="6BA50D00"/>
    <w:rsid w:val="6CD575B9"/>
    <w:rsid w:val="6F78434F"/>
    <w:rsid w:val="79490F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jc w:val="both"/>
    </w:pPr>
    <w:rPr>
      <w:rFonts w:hint="default" w:ascii="Times New Roman" w:hAnsi="Times New Roman" w:eastAsia="宋体" w:cs="黑体"/>
      <w:kern w:val="2"/>
      <w:sz w:val="21"/>
      <w:lang w:val="en-US" w:eastAsia="zh-CN" w:bidi="ar-SA"/>
    </w:rPr>
  </w:style>
  <w:style w:type="character" w:default="1" w:styleId="7">
    <w:name w:val="Default Paragraph Font"/>
    <w:semiHidden/>
    <w:uiPriority w:val="0"/>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0"/>
    <w:pPr>
      <w:spacing w:beforeLines="0"/>
      <w:ind w:firstLine="880" w:firstLineChars="200"/>
    </w:pPr>
    <w:rPr>
      <w:rFonts w:hint="default"/>
      <w:sz w:val="21"/>
    </w:rPr>
  </w:style>
  <w:style w:type="paragraph" w:styleId="3">
    <w:name w:val="Body Text"/>
    <w:basedOn w:val="1"/>
    <w:unhideWhenUsed/>
    <w:qFormat/>
    <w:uiPriority w:val="0"/>
    <w:pPr>
      <w:spacing w:beforeLines="0" w:after="120"/>
    </w:pPr>
    <w:rPr>
      <w:rFonts w:hint="default"/>
      <w:sz w:val="21"/>
    </w:rPr>
  </w:style>
  <w:style w:type="paragraph" w:styleId="4">
    <w:name w:val="footer"/>
    <w:basedOn w:val="1"/>
    <w:unhideWhenUsed/>
    <w:qFormat/>
    <w:uiPriority w:val="0"/>
    <w:pPr>
      <w:tabs>
        <w:tab w:val="center" w:pos="4153"/>
        <w:tab w:val="right" w:pos="8306"/>
      </w:tabs>
      <w:snapToGrid w:val="0"/>
      <w:spacing w:beforeLines="0"/>
      <w:jc w:val="left"/>
    </w:pPr>
    <w:rPr>
      <w:rFonts w:hint="default"/>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p17"/>
    <w:basedOn w:val="1"/>
    <w:unhideWhenUsed/>
    <w:qFormat/>
    <w:uiPriority w:val="0"/>
    <w:pPr>
      <w:widowControl/>
      <w:spacing w:beforeLines="0"/>
    </w:pPr>
    <w:rPr>
      <w:rFonts w:hint="default"/>
      <w:kern w:val="0"/>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2023-12-18T07:30:00Z</dcterms:created>
  <dc:creator>Administrator</dc:creator>
  <cp:lastModifiedBy>Administrator</cp:lastModifiedBy>
  <cp:lastPrinted>2024-01-04T05:07:00Z</cp:lastPrinted>
  <dcterms:modified xsi:type="dcterms:W3CDTF">2025-03-06T02:01:58Z</dcterms:modified>
  <dc:title>县政府常务会会议材料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